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CA6C01" w14:textId="46E129B7" w:rsidR="00C97C5B" w:rsidRPr="003B2FAE" w:rsidRDefault="00D93EF5" w:rsidP="00F55D96">
      <w:pPr>
        <w:pStyle w:val="Heading1"/>
        <w:spacing w:line="480" w:lineRule="auto"/>
        <w:rPr>
          <w:szCs w:val="24"/>
        </w:rPr>
      </w:pPr>
      <w:r w:rsidRPr="003B2FAE">
        <w:rPr>
          <w:szCs w:val="24"/>
        </w:rPr>
        <w:t>T lymphocyte senescence</w:t>
      </w:r>
      <w:r w:rsidR="00214E80" w:rsidRPr="003B2FAE">
        <w:rPr>
          <w:szCs w:val="24"/>
        </w:rPr>
        <w:t xml:space="preserve"> </w:t>
      </w:r>
      <w:r w:rsidR="004039DC" w:rsidRPr="003B2FAE">
        <w:rPr>
          <w:szCs w:val="24"/>
        </w:rPr>
        <w:t xml:space="preserve">is attenuated </w:t>
      </w:r>
      <w:r w:rsidRPr="003B2FAE">
        <w:rPr>
          <w:szCs w:val="24"/>
        </w:rPr>
        <w:t>in Parkinson’s disease</w:t>
      </w:r>
    </w:p>
    <w:p w14:paraId="75FA20EC" w14:textId="77777777" w:rsidR="00FF0273" w:rsidRPr="003B2FAE" w:rsidRDefault="00FF0273" w:rsidP="00F55D96">
      <w:pPr>
        <w:spacing w:line="480" w:lineRule="auto"/>
        <w:rPr>
          <w:rFonts w:cs="Arial"/>
          <w:b/>
          <w:bCs/>
          <w:sz w:val="24"/>
          <w:szCs w:val="24"/>
          <w:lang w:val="en-US"/>
        </w:rPr>
      </w:pPr>
    </w:p>
    <w:p w14:paraId="5BBA9780" w14:textId="5EF21356" w:rsidR="00E63036" w:rsidRPr="003B2FAE" w:rsidRDefault="005F5957" w:rsidP="00F55D96">
      <w:pPr>
        <w:pStyle w:val="Heading2"/>
        <w:spacing w:line="480" w:lineRule="auto"/>
        <w:rPr>
          <w:sz w:val="24"/>
          <w:szCs w:val="24"/>
          <w:lang w:val="en-US"/>
        </w:rPr>
      </w:pPr>
      <w:r w:rsidRPr="003B2FAE">
        <w:rPr>
          <w:sz w:val="24"/>
          <w:szCs w:val="24"/>
          <w:lang w:val="en-US"/>
        </w:rPr>
        <w:t xml:space="preserve">Antonina </w:t>
      </w:r>
      <w:r w:rsidR="00E63036" w:rsidRPr="003B2FAE">
        <w:rPr>
          <w:sz w:val="24"/>
          <w:szCs w:val="24"/>
          <w:lang w:val="en-US"/>
        </w:rPr>
        <w:t>Kouli</w:t>
      </w:r>
      <w:r w:rsidR="00C579BD" w:rsidRPr="003B2FAE">
        <w:rPr>
          <w:sz w:val="24"/>
          <w:szCs w:val="24"/>
          <w:vertAlign w:val="superscript"/>
          <w:lang w:val="en-US"/>
        </w:rPr>
        <w:t>1</w:t>
      </w:r>
      <w:r w:rsidR="00C579BD" w:rsidRPr="003B2FAE">
        <w:rPr>
          <w:sz w:val="24"/>
          <w:szCs w:val="24"/>
          <w:lang w:val="en-US"/>
        </w:rPr>
        <w:t>*</w:t>
      </w:r>
      <w:r w:rsidR="00BA02C3" w:rsidRPr="003B2FAE">
        <w:rPr>
          <w:sz w:val="24"/>
          <w:szCs w:val="24"/>
          <w:vertAlign w:val="superscript"/>
          <w:lang w:val="en-US"/>
        </w:rPr>
        <w:t>#</w:t>
      </w:r>
      <w:r w:rsidR="00E63036" w:rsidRPr="003B2FAE">
        <w:rPr>
          <w:sz w:val="24"/>
          <w:szCs w:val="24"/>
          <w:lang w:val="en-US"/>
        </w:rPr>
        <w:t xml:space="preserve">, </w:t>
      </w:r>
      <w:r w:rsidRPr="003B2FAE">
        <w:rPr>
          <w:sz w:val="24"/>
          <w:szCs w:val="24"/>
          <w:lang w:val="en-US"/>
        </w:rPr>
        <w:t>Melanie Jensen</w:t>
      </w:r>
      <w:r w:rsidR="00240C50" w:rsidRPr="003B2FAE">
        <w:rPr>
          <w:sz w:val="24"/>
          <w:szCs w:val="24"/>
          <w:vertAlign w:val="superscript"/>
          <w:lang w:val="en-US"/>
        </w:rPr>
        <w:t>1,</w:t>
      </w:r>
      <w:r w:rsidR="001002F2" w:rsidRPr="003B2FAE">
        <w:rPr>
          <w:sz w:val="24"/>
          <w:szCs w:val="24"/>
          <w:vertAlign w:val="superscript"/>
          <w:lang w:val="en-US"/>
        </w:rPr>
        <w:t>2</w:t>
      </w:r>
      <w:r w:rsidR="00A31190" w:rsidRPr="003B2FAE">
        <w:rPr>
          <w:sz w:val="24"/>
          <w:szCs w:val="24"/>
          <w:lang w:val="en-US"/>
        </w:rPr>
        <w:t>*</w:t>
      </w:r>
      <w:r w:rsidR="00094BCF" w:rsidRPr="003B2FAE">
        <w:rPr>
          <w:sz w:val="24"/>
          <w:szCs w:val="24"/>
          <w:lang w:val="en-US"/>
        </w:rPr>
        <w:t>,</w:t>
      </w:r>
      <w:r w:rsidR="00E63036" w:rsidRPr="003B2FAE">
        <w:rPr>
          <w:sz w:val="24"/>
          <w:szCs w:val="24"/>
          <w:lang w:val="en-US"/>
        </w:rPr>
        <w:t xml:space="preserve"> </w:t>
      </w:r>
      <w:r w:rsidRPr="003B2FAE">
        <w:rPr>
          <w:sz w:val="24"/>
          <w:szCs w:val="24"/>
          <w:lang w:val="en-US"/>
        </w:rPr>
        <w:t xml:space="preserve">Vanesa </w:t>
      </w:r>
      <w:r w:rsidR="00D93EF5" w:rsidRPr="003B2FAE">
        <w:rPr>
          <w:sz w:val="24"/>
          <w:szCs w:val="24"/>
          <w:lang w:val="en-US"/>
        </w:rPr>
        <w:t>Papastavrou</w:t>
      </w:r>
      <w:r w:rsidR="00596144" w:rsidRPr="003B2FAE">
        <w:rPr>
          <w:sz w:val="24"/>
          <w:szCs w:val="24"/>
          <w:vertAlign w:val="superscript"/>
          <w:lang w:val="en-US"/>
        </w:rPr>
        <w:t>1</w:t>
      </w:r>
      <w:r w:rsidR="00D93EF5" w:rsidRPr="003B2FAE">
        <w:rPr>
          <w:sz w:val="24"/>
          <w:szCs w:val="24"/>
          <w:lang w:val="en-US"/>
        </w:rPr>
        <w:t>,</w:t>
      </w:r>
      <w:r w:rsidRPr="003B2FAE">
        <w:rPr>
          <w:sz w:val="24"/>
          <w:szCs w:val="24"/>
          <w:lang w:val="en-US"/>
        </w:rPr>
        <w:t xml:space="preserve"> </w:t>
      </w:r>
      <w:r w:rsidR="00800979" w:rsidRPr="003B2FAE">
        <w:rPr>
          <w:sz w:val="24"/>
          <w:szCs w:val="24"/>
          <w:lang w:val="en-US"/>
        </w:rPr>
        <w:t>Kirsten M Scott</w:t>
      </w:r>
      <w:r w:rsidR="00800979" w:rsidRPr="003B2FAE">
        <w:rPr>
          <w:sz w:val="24"/>
          <w:szCs w:val="24"/>
          <w:vertAlign w:val="superscript"/>
          <w:lang w:val="en-US"/>
        </w:rPr>
        <w:t>1</w:t>
      </w:r>
      <w:r w:rsidR="00800979" w:rsidRPr="003B2FAE">
        <w:rPr>
          <w:sz w:val="24"/>
          <w:szCs w:val="24"/>
          <w:lang w:val="en-US"/>
        </w:rPr>
        <w:t xml:space="preserve">, </w:t>
      </w:r>
      <w:r w:rsidRPr="003B2FAE">
        <w:rPr>
          <w:sz w:val="24"/>
          <w:szCs w:val="24"/>
          <w:lang w:val="en-US"/>
        </w:rPr>
        <w:t>Claire Kolenda</w:t>
      </w:r>
      <w:r w:rsidRPr="003B2FAE">
        <w:rPr>
          <w:sz w:val="24"/>
          <w:szCs w:val="24"/>
          <w:vertAlign w:val="superscript"/>
          <w:lang w:val="en-US"/>
        </w:rPr>
        <w:t>3</w:t>
      </w:r>
      <w:r w:rsidRPr="003B2FAE">
        <w:rPr>
          <w:sz w:val="24"/>
          <w:szCs w:val="24"/>
          <w:lang w:val="en-US"/>
        </w:rPr>
        <w:t>, Craig Parker</w:t>
      </w:r>
      <w:r w:rsidRPr="003B2FAE">
        <w:rPr>
          <w:sz w:val="24"/>
          <w:szCs w:val="24"/>
          <w:vertAlign w:val="superscript"/>
          <w:lang w:val="en-US"/>
        </w:rPr>
        <w:t>3</w:t>
      </w:r>
      <w:r w:rsidRPr="003B2FAE">
        <w:rPr>
          <w:sz w:val="24"/>
          <w:szCs w:val="24"/>
          <w:lang w:val="en-US"/>
        </w:rPr>
        <w:t>, Imtia</w:t>
      </w:r>
      <w:r w:rsidR="009B2B5A" w:rsidRPr="003B2FAE">
        <w:rPr>
          <w:sz w:val="24"/>
          <w:szCs w:val="24"/>
          <w:lang w:val="en-US"/>
        </w:rPr>
        <w:t>z</w:t>
      </w:r>
      <w:r w:rsidRPr="003B2FAE">
        <w:rPr>
          <w:sz w:val="24"/>
          <w:szCs w:val="24"/>
          <w:lang w:val="en-US"/>
        </w:rPr>
        <w:t xml:space="preserve"> H</w:t>
      </w:r>
      <w:r w:rsidR="00F537C3" w:rsidRPr="003B2FAE">
        <w:rPr>
          <w:sz w:val="24"/>
          <w:szCs w:val="24"/>
          <w:lang w:val="en-US"/>
        </w:rPr>
        <w:t xml:space="preserve"> Solim</w:t>
      </w:r>
      <w:r w:rsidR="00596144" w:rsidRPr="003B2FAE">
        <w:rPr>
          <w:sz w:val="24"/>
          <w:szCs w:val="24"/>
          <w:vertAlign w:val="superscript"/>
          <w:lang w:val="en-US"/>
        </w:rPr>
        <w:t>1</w:t>
      </w:r>
      <w:r w:rsidR="00F537C3" w:rsidRPr="003B2FAE">
        <w:rPr>
          <w:sz w:val="24"/>
          <w:szCs w:val="24"/>
          <w:lang w:val="en-US"/>
        </w:rPr>
        <w:t>,</w:t>
      </w:r>
      <w:r w:rsidRPr="003B2FAE">
        <w:rPr>
          <w:sz w:val="24"/>
          <w:szCs w:val="24"/>
          <w:lang w:val="en-US"/>
        </w:rPr>
        <w:t xml:space="preserve"> Marta</w:t>
      </w:r>
      <w:r w:rsidR="00F537C3" w:rsidRPr="003B2FAE">
        <w:rPr>
          <w:sz w:val="24"/>
          <w:szCs w:val="24"/>
          <w:lang w:val="en-US"/>
        </w:rPr>
        <w:t xml:space="preserve"> </w:t>
      </w:r>
      <w:r w:rsidR="00E63036" w:rsidRPr="003B2FAE">
        <w:rPr>
          <w:sz w:val="24"/>
          <w:szCs w:val="24"/>
          <w:lang w:val="en-US"/>
        </w:rPr>
        <w:t>Camacho</w:t>
      </w:r>
      <w:r w:rsidR="00596144" w:rsidRPr="003B2FAE">
        <w:rPr>
          <w:sz w:val="24"/>
          <w:szCs w:val="24"/>
          <w:vertAlign w:val="superscript"/>
          <w:lang w:val="en-US"/>
        </w:rPr>
        <w:t>1</w:t>
      </w:r>
      <w:r w:rsidR="00E63036" w:rsidRPr="003B2FAE">
        <w:rPr>
          <w:sz w:val="24"/>
          <w:szCs w:val="24"/>
          <w:lang w:val="en-US"/>
        </w:rPr>
        <w:t>,</w:t>
      </w:r>
      <w:r w:rsidRPr="003B2FAE">
        <w:rPr>
          <w:sz w:val="24"/>
          <w:szCs w:val="24"/>
          <w:lang w:val="en-US"/>
        </w:rPr>
        <w:t xml:space="preserve"> Carmen</w:t>
      </w:r>
      <w:r w:rsidR="00F537C3" w:rsidRPr="003B2FAE">
        <w:rPr>
          <w:sz w:val="24"/>
          <w:szCs w:val="24"/>
          <w:lang w:val="en-US"/>
        </w:rPr>
        <w:t xml:space="preserve"> </w:t>
      </w:r>
      <w:r w:rsidR="00E027C7" w:rsidRPr="003B2FAE">
        <w:rPr>
          <w:sz w:val="24"/>
          <w:szCs w:val="24"/>
          <w:lang w:val="en-US"/>
        </w:rPr>
        <w:t>Martin-Ruiz</w:t>
      </w:r>
      <w:r w:rsidR="001002F2" w:rsidRPr="003B2FAE">
        <w:rPr>
          <w:sz w:val="24"/>
          <w:szCs w:val="24"/>
          <w:vertAlign w:val="superscript"/>
          <w:lang w:val="en-US"/>
        </w:rPr>
        <w:t>3</w:t>
      </w:r>
      <w:r w:rsidR="00E027C7" w:rsidRPr="003B2FAE">
        <w:rPr>
          <w:sz w:val="24"/>
          <w:szCs w:val="24"/>
          <w:lang w:val="en-US"/>
        </w:rPr>
        <w:t>,</w:t>
      </w:r>
      <w:r w:rsidRPr="003B2FAE">
        <w:rPr>
          <w:sz w:val="24"/>
          <w:szCs w:val="24"/>
          <w:lang w:val="en-US"/>
        </w:rPr>
        <w:t xml:space="preserve"> Caroline H</w:t>
      </w:r>
      <w:r w:rsidR="00E027C7" w:rsidRPr="003B2FAE">
        <w:rPr>
          <w:sz w:val="24"/>
          <w:szCs w:val="24"/>
          <w:lang w:val="en-US"/>
        </w:rPr>
        <w:t xml:space="preserve"> </w:t>
      </w:r>
      <w:r w:rsidR="00E63036" w:rsidRPr="003B2FAE">
        <w:rPr>
          <w:sz w:val="24"/>
          <w:szCs w:val="24"/>
          <w:lang w:val="en-US"/>
        </w:rPr>
        <w:t>Williams</w:t>
      </w:r>
      <w:r w:rsidRPr="003B2FAE">
        <w:rPr>
          <w:sz w:val="24"/>
          <w:szCs w:val="24"/>
          <w:lang w:val="en-US"/>
        </w:rPr>
        <w:t>-Gray</w:t>
      </w:r>
      <w:r w:rsidR="00596144" w:rsidRPr="003B2FAE">
        <w:rPr>
          <w:sz w:val="24"/>
          <w:szCs w:val="24"/>
          <w:vertAlign w:val="superscript"/>
          <w:lang w:val="en-US"/>
        </w:rPr>
        <w:t>1</w:t>
      </w:r>
      <w:r w:rsidR="00E027C7" w:rsidRPr="003B2FAE">
        <w:rPr>
          <w:sz w:val="24"/>
          <w:szCs w:val="24"/>
          <w:lang w:val="en-US"/>
        </w:rPr>
        <w:t xml:space="preserve"> </w:t>
      </w:r>
    </w:p>
    <w:p w14:paraId="028C2F9B" w14:textId="5CD265F7" w:rsidR="00E63036" w:rsidRPr="003B2FAE" w:rsidRDefault="00E63036" w:rsidP="00F55D96">
      <w:pPr>
        <w:spacing w:line="480" w:lineRule="auto"/>
        <w:rPr>
          <w:rFonts w:cs="Arial"/>
          <w:sz w:val="24"/>
          <w:szCs w:val="24"/>
          <w:lang w:val="en-US"/>
        </w:rPr>
      </w:pPr>
    </w:p>
    <w:p w14:paraId="2C8F232E" w14:textId="74B303A4" w:rsidR="00596144" w:rsidRPr="003B2FAE" w:rsidRDefault="00A31190" w:rsidP="00F55D96">
      <w:pPr>
        <w:spacing w:line="480" w:lineRule="auto"/>
        <w:rPr>
          <w:sz w:val="24"/>
          <w:szCs w:val="24"/>
        </w:rPr>
      </w:pPr>
      <w:r w:rsidRPr="003B2FAE">
        <w:rPr>
          <w:sz w:val="24"/>
          <w:szCs w:val="24"/>
          <w:vertAlign w:val="superscript"/>
        </w:rPr>
        <w:t>1</w:t>
      </w:r>
      <w:r w:rsidR="00BD4671">
        <w:rPr>
          <w:sz w:val="24"/>
          <w:szCs w:val="24"/>
        </w:rPr>
        <w:t xml:space="preserve">John Van </w:t>
      </w:r>
      <w:proofErr w:type="spellStart"/>
      <w:r w:rsidR="00BD4671">
        <w:rPr>
          <w:sz w:val="24"/>
          <w:szCs w:val="24"/>
        </w:rPr>
        <w:t>Geest</w:t>
      </w:r>
      <w:proofErr w:type="spellEnd"/>
      <w:r w:rsidR="00BD4671">
        <w:rPr>
          <w:sz w:val="24"/>
          <w:szCs w:val="24"/>
        </w:rPr>
        <w:t xml:space="preserve"> Centre for Brain Repair, </w:t>
      </w:r>
      <w:r w:rsidR="00FF0273" w:rsidRPr="003B2FAE">
        <w:rPr>
          <w:sz w:val="24"/>
          <w:szCs w:val="24"/>
        </w:rPr>
        <w:t xml:space="preserve">Department of Clinical Neurosciences, University of Cambridge, </w:t>
      </w:r>
      <w:proofErr w:type="spellStart"/>
      <w:r w:rsidR="00FF0273" w:rsidRPr="003B2FAE">
        <w:rPr>
          <w:sz w:val="24"/>
          <w:szCs w:val="24"/>
        </w:rPr>
        <w:t>Forvie</w:t>
      </w:r>
      <w:proofErr w:type="spellEnd"/>
      <w:r w:rsidR="00FF0273" w:rsidRPr="003B2FAE">
        <w:rPr>
          <w:sz w:val="24"/>
          <w:szCs w:val="24"/>
        </w:rPr>
        <w:t xml:space="preserve"> Site, </w:t>
      </w:r>
      <w:r w:rsidR="00781E59" w:rsidRPr="003B2FAE">
        <w:rPr>
          <w:sz w:val="24"/>
          <w:szCs w:val="24"/>
        </w:rPr>
        <w:t xml:space="preserve">Robinson Way, </w:t>
      </w:r>
      <w:r w:rsidR="00FF0273" w:rsidRPr="003B2FAE">
        <w:rPr>
          <w:sz w:val="24"/>
          <w:szCs w:val="24"/>
        </w:rPr>
        <w:t xml:space="preserve">Cambridge, </w:t>
      </w:r>
      <w:r w:rsidR="00781E59" w:rsidRPr="003B2FAE">
        <w:rPr>
          <w:sz w:val="24"/>
          <w:szCs w:val="24"/>
        </w:rPr>
        <w:t xml:space="preserve">CB2 0PY, </w:t>
      </w:r>
      <w:r w:rsidR="00FF0273" w:rsidRPr="003B2FAE">
        <w:rPr>
          <w:sz w:val="24"/>
          <w:szCs w:val="24"/>
        </w:rPr>
        <w:t>UK</w:t>
      </w:r>
    </w:p>
    <w:p w14:paraId="7C8FAA07" w14:textId="435F9A75" w:rsidR="001002F2" w:rsidRPr="003B2FAE" w:rsidRDefault="001002F2" w:rsidP="00F55D96">
      <w:pPr>
        <w:spacing w:line="480" w:lineRule="auto"/>
        <w:rPr>
          <w:sz w:val="24"/>
          <w:szCs w:val="24"/>
        </w:rPr>
      </w:pPr>
      <w:r w:rsidRPr="003B2FAE">
        <w:rPr>
          <w:sz w:val="24"/>
          <w:szCs w:val="24"/>
          <w:vertAlign w:val="superscript"/>
        </w:rPr>
        <w:t>2</w:t>
      </w:r>
      <w:r w:rsidRPr="003B2FAE">
        <w:rPr>
          <w:sz w:val="24"/>
          <w:szCs w:val="24"/>
        </w:rPr>
        <w:t>Department of Cellular Pathology, Charing Cross Hospital, Imperial College Healthcare NHS Trust, London, W6 8RF, UK</w:t>
      </w:r>
    </w:p>
    <w:p w14:paraId="5936A62B" w14:textId="4E4422EB" w:rsidR="00FF0273" w:rsidRPr="003B2FAE" w:rsidRDefault="001002F2" w:rsidP="00F55D96">
      <w:pPr>
        <w:spacing w:line="480" w:lineRule="auto"/>
        <w:rPr>
          <w:rFonts w:cs="Arial"/>
          <w:sz w:val="24"/>
          <w:szCs w:val="24"/>
          <w:lang w:val="en-US"/>
        </w:rPr>
      </w:pPr>
      <w:r w:rsidRPr="003B2FAE">
        <w:rPr>
          <w:sz w:val="24"/>
          <w:szCs w:val="24"/>
          <w:vertAlign w:val="superscript"/>
        </w:rPr>
        <w:t>3</w:t>
      </w:r>
      <w:r w:rsidR="00596144" w:rsidRPr="003B2FAE">
        <w:rPr>
          <w:sz w:val="24"/>
          <w:szCs w:val="24"/>
        </w:rPr>
        <w:t xml:space="preserve">Bioscience Institute, </w:t>
      </w:r>
      <w:proofErr w:type="spellStart"/>
      <w:r w:rsidR="00684741" w:rsidRPr="003B2FAE">
        <w:rPr>
          <w:sz w:val="24"/>
          <w:szCs w:val="24"/>
        </w:rPr>
        <w:t>BioScreening</w:t>
      </w:r>
      <w:proofErr w:type="spellEnd"/>
      <w:r w:rsidR="00596144" w:rsidRPr="003B2FAE">
        <w:rPr>
          <w:sz w:val="24"/>
          <w:szCs w:val="24"/>
        </w:rPr>
        <w:t xml:space="preserve"> Core Facility, Campus for Ageing and Vitality, Newcastle University, Newcastle upon Tyne, NE4 5PL, UK.</w:t>
      </w:r>
    </w:p>
    <w:p w14:paraId="78205EB5" w14:textId="77777777" w:rsidR="0076158D" w:rsidRPr="003B2FAE" w:rsidRDefault="0076158D" w:rsidP="00F55D96">
      <w:pPr>
        <w:spacing w:line="480" w:lineRule="auto"/>
        <w:rPr>
          <w:rFonts w:cs="Arial"/>
          <w:sz w:val="24"/>
          <w:szCs w:val="24"/>
          <w:lang w:val="en-US"/>
        </w:rPr>
      </w:pPr>
    </w:p>
    <w:p w14:paraId="1678B378" w14:textId="5A740E7D" w:rsidR="00214E80" w:rsidRPr="003B2FAE" w:rsidRDefault="00C579BD" w:rsidP="00F55D96">
      <w:pPr>
        <w:spacing w:line="480" w:lineRule="auto"/>
        <w:rPr>
          <w:rFonts w:cs="Arial"/>
          <w:sz w:val="24"/>
          <w:szCs w:val="24"/>
          <w:lang w:val="en-US"/>
        </w:rPr>
      </w:pPr>
      <w:r w:rsidRPr="003B2FAE">
        <w:rPr>
          <w:rFonts w:cs="Arial"/>
          <w:sz w:val="24"/>
          <w:szCs w:val="24"/>
          <w:lang w:val="en-US"/>
        </w:rPr>
        <w:t>*</w:t>
      </w:r>
      <w:r w:rsidR="00214E80" w:rsidRPr="003B2FAE">
        <w:rPr>
          <w:rFonts w:cs="Arial"/>
          <w:sz w:val="24"/>
          <w:szCs w:val="24"/>
          <w:lang w:val="en-US"/>
        </w:rPr>
        <w:t>These authors have contributed equally to this work.</w:t>
      </w:r>
    </w:p>
    <w:p w14:paraId="734CB899" w14:textId="0E03C380" w:rsidR="00FF0273" w:rsidRPr="003B2FAE" w:rsidRDefault="00C579BD" w:rsidP="00F55D96">
      <w:pPr>
        <w:spacing w:line="480" w:lineRule="auto"/>
        <w:rPr>
          <w:rFonts w:cs="Arial"/>
          <w:sz w:val="24"/>
          <w:szCs w:val="24"/>
          <w:lang w:val="en-US"/>
        </w:rPr>
      </w:pPr>
      <w:r w:rsidRPr="003B2FAE">
        <w:rPr>
          <w:rFonts w:cs="Arial"/>
          <w:sz w:val="24"/>
          <w:szCs w:val="24"/>
          <w:vertAlign w:val="superscript"/>
          <w:lang w:val="en-US"/>
        </w:rPr>
        <w:t>#</w:t>
      </w:r>
      <w:r w:rsidR="00FF0273" w:rsidRPr="003B2FAE">
        <w:rPr>
          <w:rFonts w:cs="Arial"/>
          <w:sz w:val="24"/>
          <w:szCs w:val="24"/>
          <w:lang w:val="en-US"/>
        </w:rPr>
        <w:t>Corresponding author:</w:t>
      </w:r>
    </w:p>
    <w:p w14:paraId="6152B765" w14:textId="77777777" w:rsidR="00FF0273" w:rsidRPr="003B2FAE" w:rsidRDefault="00FF0273" w:rsidP="00F55D96">
      <w:pPr>
        <w:spacing w:line="480" w:lineRule="auto"/>
        <w:rPr>
          <w:rFonts w:cs="Arial"/>
          <w:sz w:val="24"/>
          <w:szCs w:val="24"/>
          <w:lang w:val="en-US"/>
        </w:rPr>
      </w:pPr>
      <w:r w:rsidRPr="003B2FAE">
        <w:rPr>
          <w:rFonts w:cs="Arial"/>
          <w:sz w:val="24"/>
          <w:szCs w:val="24"/>
          <w:lang w:val="en-US"/>
        </w:rPr>
        <w:t xml:space="preserve">Antonina </w:t>
      </w:r>
      <w:proofErr w:type="spellStart"/>
      <w:r w:rsidRPr="003B2FAE">
        <w:rPr>
          <w:rFonts w:cs="Arial"/>
          <w:sz w:val="24"/>
          <w:szCs w:val="24"/>
          <w:lang w:val="en-US"/>
        </w:rPr>
        <w:t>Kouli</w:t>
      </w:r>
      <w:proofErr w:type="spellEnd"/>
      <w:r w:rsidRPr="003B2FAE">
        <w:rPr>
          <w:rFonts w:cs="Arial"/>
          <w:sz w:val="24"/>
          <w:szCs w:val="24"/>
          <w:lang w:val="en-US"/>
        </w:rPr>
        <w:t>, PhD</w:t>
      </w:r>
      <w:r w:rsidRPr="003B2FAE">
        <w:rPr>
          <w:rFonts w:cs="Arial"/>
          <w:sz w:val="24"/>
          <w:szCs w:val="24"/>
          <w:lang w:val="en-US"/>
        </w:rPr>
        <w:tab/>
      </w:r>
      <w:r w:rsidRPr="003B2FAE">
        <w:rPr>
          <w:rFonts w:cs="Arial"/>
          <w:sz w:val="24"/>
          <w:szCs w:val="24"/>
          <w:lang w:val="en-US"/>
        </w:rPr>
        <w:tab/>
      </w:r>
      <w:r w:rsidRPr="003B2FAE">
        <w:rPr>
          <w:rFonts w:cs="Arial"/>
          <w:sz w:val="24"/>
          <w:szCs w:val="24"/>
          <w:lang w:val="en-US"/>
        </w:rPr>
        <w:tab/>
      </w:r>
      <w:r w:rsidRPr="003B2FAE">
        <w:rPr>
          <w:rFonts w:cs="Arial"/>
          <w:sz w:val="24"/>
          <w:szCs w:val="24"/>
          <w:lang w:val="en-US"/>
        </w:rPr>
        <w:tab/>
      </w:r>
    </w:p>
    <w:p w14:paraId="62FEA701" w14:textId="2A61B189" w:rsidR="00080A5A" w:rsidRDefault="00080A5A" w:rsidP="00F55D96">
      <w:pPr>
        <w:spacing w:line="480" w:lineRule="auto"/>
        <w:rPr>
          <w:rFonts w:cs="Arial"/>
          <w:sz w:val="24"/>
          <w:szCs w:val="24"/>
          <w:lang w:val="en-US"/>
        </w:rPr>
      </w:pPr>
      <w:r>
        <w:rPr>
          <w:rFonts w:cs="Arial"/>
          <w:sz w:val="24"/>
          <w:szCs w:val="24"/>
          <w:lang w:val="en-US"/>
        </w:rPr>
        <w:t>Department of Clinical Neurosciences</w:t>
      </w:r>
    </w:p>
    <w:p w14:paraId="00E4A865" w14:textId="709072E2" w:rsidR="00080A5A" w:rsidRDefault="00080A5A" w:rsidP="00F55D96">
      <w:pPr>
        <w:spacing w:line="480" w:lineRule="auto"/>
        <w:rPr>
          <w:rFonts w:cs="Arial"/>
          <w:sz w:val="24"/>
          <w:szCs w:val="24"/>
          <w:lang w:val="en-US"/>
        </w:rPr>
      </w:pPr>
      <w:r>
        <w:rPr>
          <w:rFonts w:cs="Arial"/>
          <w:sz w:val="24"/>
          <w:szCs w:val="24"/>
          <w:lang w:val="en-US"/>
        </w:rPr>
        <w:t>University of Cambridge</w:t>
      </w:r>
    </w:p>
    <w:p w14:paraId="70944814" w14:textId="3B1C6D49" w:rsidR="00DB3E30" w:rsidRPr="003B2FAE" w:rsidRDefault="00DB3E30" w:rsidP="00F55D96">
      <w:pPr>
        <w:spacing w:line="480" w:lineRule="auto"/>
        <w:rPr>
          <w:rFonts w:cs="Arial"/>
          <w:sz w:val="24"/>
          <w:szCs w:val="24"/>
          <w:lang w:val="en-US"/>
        </w:rPr>
      </w:pPr>
      <w:r>
        <w:rPr>
          <w:rFonts w:cs="Arial"/>
          <w:sz w:val="24"/>
          <w:szCs w:val="24"/>
          <w:lang w:val="en-US"/>
        </w:rPr>
        <w:t xml:space="preserve">John van </w:t>
      </w:r>
      <w:proofErr w:type="spellStart"/>
      <w:r>
        <w:rPr>
          <w:rFonts w:cs="Arial"/>
          <w:sz w:val="24"/>
          <w:szCs w:val="24"/>
          <w:lang w:val="en-US"/>
        </w:rPr>
        <w:t>Geest</w:t>
      </w:r>
      <w:proofErr w:type="spellEnd"/>
      <w:r>
        <w:rPr>
          <w:rFonts w:cs="Arial"/>
          <w:sz w:val="24"/>
          <w:szCs w:val="24"/>
          <w:lang w:val="en-US"/>
        </w:rPr>
        <w:t xml:space="preserve"> Centre for Brain Repair</w:t>
      </w:r>
    </w:p>
    <w:p w14:paraId="2501B18E" w14:textId="787E9FCD" w:rsidR="00FF0273" w:rsidRPr="003B2FAE" w:rsidRDefault="00FF0273" w:rsidP="00F55D96">
      <w:pPr>
        <w:spacing w:line="480" w:lineRule="auto"/>
        <w:rPr>
          <w:rFonts w:cs="Arial"/>
          <w:sz w:val="24"/>
          <w:szCs w:val="24"/>
          <w:lang w:val="en-US"/>
        </w:rPr>
      </w:pPr>
      <w:proofErr w:type="spellStart"/>
      <w:r w:rsidRPr="003B2FAE">
        <w:rPr>
          <w:rFonts w:cs="Arial"/>
          <w:sz w:val="24"/>
          <w:szCs w:val="24"/>
          <w:lang w:val="en-US"/>
        </w:rPr>
        <w:t>Forvie</w:t>
      </w:r>
      <w:proofErr w:type="spellEnd"/>
      <w:r w:rsidRPr="003B2FAE">
        <w:rPr>
          <w:rFonts w:cs="Arial"/>
          <w:sz w:val="24"/>
          <w:szCs w:val="24"/>
          <w:lang w:val="en-US"/>
        </w:rPr>
        <w:t xml:space="preserve"> Site, Robinson </w:t>
      </w:r>
      <w:r w:rsidR="00DB3E30">
        <w:rPr>
          <w:rFonts w:cs="Arial"/>
          <w:sz w:val="24"/>
          <w:szCs w:val="24"/>
          <w:lang w:val="en-US"/>
        </w:rPr>
        <w:t>W</w:t>
      </w:r>
      <w:r w:rsidRPr="003B2FAE">
        <w:rPr>
          <w:rFonts w:cs="Arial"/>
          <w:sz w:val="24"/>
          <w:szCs w:val="24"/>
          <w:lang w:val="en-US"/>
        </w:rPr>
        <w:t xml:space="preserve">ay </w:t>
      </w:r>
    </w:p>
    <w:p w14:paraId="4D05637C" w14:textId="77777777" w:rsidR="00FF0273" w:rsidRPr="003B2FAE" w:rsidRDefault="00FF0273" w:rsidP="00F55D96">
      <w:pPr>
        <w:spacing w:line="480" w:lineRule="auto"/>
        <w:rPr>
          <w:rFonts w:cs="Arial"/>
          <w:sz w:val="24"/>
          <w:szCs w:val="24"/>
          <w:lang w:val="en-US"/>
        </w:rPr>
      </w:pPr>
      <w:r w:rsidRPr="003B2FAE">
        <w:rPr>
          <w:rFonts w:cs="Arial"/>
          <w:sz w:val="24"/>
          <w:szCs w:val="24"/>
          <w:lang w:val="en-US"/>
        </w:rPr>
        <w:t>Cambridge, United Kingdom, CB2 OPY</w:t>
      </w:r>
    </w:p>
    <w:p w14:paraId="62C67026" w14:textId="77777777" w:rsidR="00FF0273" w:rsidRPr="003B2FAE" w:rsidRDefault="00FF0273" w:rsidP="00F55D96">
      <w:pPr>
        <w:spacing w:line="480" w:lineRule="auto"/>
        <w:rPr>
          <w:rFonts w:cs="Arial"/>
          <w:sz w:val="24"/>
          <w:szCs w:val="24"/>
          <w:lang w:val="en-US"/>
        </w:rPr>
      </w:pPr>
      <w:r w:rsidRPr="003B2FAE">
        <w:rPr>
          <w:rFonts w:cs="Arial"/>
          <w:sz w:val="24"/>
          <w:szCs w:val="24"/>
          <w:lang w:val="en-US"/>
        </w:rPr>
        <w:t>+44 1223 336200</w:t>
      </w:r>
    </w:p>
    <w:p w14:paraId="2AE19AC8" w14:textId="315CC866" w:rsidR="00FF0273" w:rsidRPr="00F55D96" w:rsidRDefault="00705EE5" w:rsidP="00F55D96">
      <w:pPr>
        <w:spacing w:line="480" w:lineRule="auto"/>
        <w:rPr>
          <w:rFonts w:cs="Arial"/>
          <w:sz w:val="24"/>
          <w:szCs w:val="24"/>
        </w:rPr>
      </w:pPr>
      <w:hyperlink r:id="rId8" w:history="1">
        <w:r w:rsidR="00FF0273" w:rsidRPr="003B2FAE">
          <w:rPr>
            <w:rStyle w:val="Hyperlink"/>
            <w:rFonts w:cs="Arial"/>
            <w:sz w:val="24"/>
            <w:szCs w:val="24"/>
          </w:rPr>
          <w:t>ak950@cam.ac.uk</w:t>
        </w:r>
      </w:hyperlink>
    </w:p>
    <w:p w14:paraId="719D5C9D" w14:textId="3CF6E796" w:rsidR="00FF0273" w:rsidRPr="003B2FAE" w:rsidRDefault="00FF0273" w:rsidP="00F55D96">
      <w:pPr>
        <w:spacing w:line="480" w:lineRule="auto"/>
        <w:rPr>
          <w:rFonts w:cs="Arial"/>
          <w:sz w:val="24"/>
          <w:szCs w:val="24"/>
          <w:lang w:val="en-US"/>
        </w:rPr>
      </w:pPr>
    </w:p>
    <w:p w14:paraId="4006D182" w14:textId="2246174E" w:rsidR="00D93EF5" w:rsidRPr="003B2FAE" w:rsidRDefault="00845582" w:rsidP="00F55D96">
      <w:pPr>
        <w:spacing w:line="480" w:lineRule="auto"/>
        <w:rPr>
          <w:rFonts w:cs="Arial"/>
          <w:sz w:val="24"/>
          <w:szCs w:val="24"/>
          <w:lang w:val="en-US"/>
        </w:rPr>
      </w:pPr>
      <w:r w:rsidRPr="00775257">
        <w:rPr>
          <w:rFonts w:cs="Arial"/>
          <w:sz w:val="24"/>
          <w:szCs w:val="24"/>
          <w:lang w:val="en-US"/>
        </w:rPr>
        <w:t xml:space="preserve">Keywords: </w:t>
      </w:r>
      <w:r w:rsidR="00F55D96" w:rsidRPr="00775257">
        <w:rPr>
          <w:rFonts w:cs="Arial"/>
          <w:sz w:val="24"/>
          <w:szCs w:val="24"/>
          <w:lang w:val="en-US"/>
        </w:rPr>
        <w:t xml:space="preserve">Parkinson’s disease; </w:t>
      </w:r>
      <w:proofErr w:type="spellStart"/>
      <w:r w:rsidR="00F55D96" w:rsidRPr="00775257">
        <w:rPr>
          <w:rFonts w:cs="Arial"/>
          <w:sz w:val="24"/>
          <w:szCs w:val="24"/>
          <w:lang w:val="en-US"/>
        </w:rPr>
        <w:t>Immunosenescence</w:t>
      </w:r>
      <w:proofErr w:type="spellEnd"/>
      <w:r w:rsidR="00F55D96" w:rsidRPr="00775257">
        <w:rPr>
          <w:rFonts w:cs="Arial"/>
          <w:sz w:val="24"/>
          <w:szCs w:val="24"/>
          <w:lang w:val="en-US"/>
        </w:rPr>
        <w:t>, T lymphocytes</w:t>
      </w:r>
      <w:r w:rsidR="00775257" w:rsidRPr="00775257">
        <w:rPr>
          <w:rFonts w:cs="Arial"/>
          <w:sz w:val="24"/>
          <w:szCs w:val="24"/>
          <w:lang w:val="en-US"/>
        </w:rPr>
        <w:t>, Ageing markers</w:t>
      </w:r>
    </w:p>
    <w:p w14:paraId="4B756DAF" w14:textId="77777777" w:rsidR="00866C26" w:rsidRPr="003B2FAE" w:rsidRDefault="00866C26" w:rsidP="00AC4E9D">
      <w:pPr>
        <w:pStyle w:val="Heading1"/>
        <w:spacing w:line="480" w:lineRule="auto"/>
        <w:rPr>
          <w:szCs w:val="24"/>
        </w:rPr>
      </w:pPr>
      <w:r w:rsidRPr="003B2FAE">
        <w:rPr>
          <w:szCs w:val="24"/>
        </w:rPr>
        <w:lastRenderedPageBreak/>
        <w:t>Abstract</w:t>
      </w:r>
    </w:p>
    <w:p w14:paraId="30B6EEF4" w14:textId="77777777" w:rsidR="00EF312B" w:rsidRDefault="00866C26" w:rsidP="00AC4E9D">
      <w:pPr>
        <w:spacing w:line="480" w:lineRule="auto"/>
        <w:rPr>
          <w:sz w:val="24"/>
          <w:szCs w:val="24"/>
        </w:rPr>
      </w:pPr>
      <w:r w:rsidRPr="003B2FAE">
        <w:rPr>
          <w:sz w:val="24"/>
          <w:szCs w:val="24"/>
        </w:rPr>
        <w:t xml:space="preserve"> </w:t>
      </w:r>
    </w:p>
    <w:p w14:paraId="4E16C094" w14:textId="77777777" w:rsidR="00EF312B" w:rsidRPr="001B1523" w:rsidRDefault="00EF312B" w:rsidP="00AC4E9D">
      <w:pPr>
        <w:spacing w:line="480" w:lineRule="auto"/>
        <w:rPr>
          <w:sz w:val="24"/>
          <w:szCs w:val="24"/>
        </w:rPr>
      </w:pPr>
      <w:r w:rsidRPr="00EF312B">
        <w:rPr>
          <w:b/>
          <w:bCs/>
          <w:sz w:val="24"/>
          <w:szCs w:val="24"/>
        </w:rPr>
        <w:t>Background:</w:t>
      </w:r>
      <w:r>
        <w:rPr>
          <w:sz w:val="24"/>
          <w:szCs w:val="24"/>
        </w:rPr>
        <w:t xml:space="preserve"> </w:t>
      </w:r>
      <w:r w:rsidR="00080A5A">
        <w:rPr>
          <w:sz w:val="24"/>
          <w:szCs w:val="24"/>
        </w:rPr>
        <w:t>Immune involvement</w:t>
      </w:r>
      <w:r w:rsidR="00080A5A" w:rsidRPr="003B2FAE">
        <w:rPr>
          <w:sz w:val="24"/>
          <w:szCs w:val="24"/>
        </w:rPr>
        <w:t xml:space="preserve"> </w:t>
      </w:r>
      <w:r w:rsidR="00866C26" w:rsidRPr="003B2FAE">
        <w:rPr>
          <w:sz w:val="24"/>
          <w:szCs w:val="24"/>
        </w:rPr>
        <w:t>is well-described in Parkinson’s disease (PD)</w:t>
      </w:r>
      <w:r w:rsidR="00D56550">
        <w:rPr>
          <w:sz w:val="24"/>
          <w:szCs w:val="24"/>
        </w:rPr>
        <w:t>, including an adaptive T</w:t>
      </w:r>
      <w:r w:rsidR="005779AF">
        <w:rPr>
          <w:sz w:val="24"/>
          <w:szCs w:val="24"/>
        </w:rPr>
        <w:t xml:space="preserve"> </w:t>
      </w:r>
      <w:r w:rsidR="00D56550">
        <w:rPr>
          <w:sz w:val="24"/>
          <w:szCs w:val="24"/>
        </w:rPr>
        <w:t>lymphocyte response</w:t>
      </w:r>
      <w:r w:rsidR="00080A5A">
        <w:rPr>
          <w:sz w:val="24"/>
          <w:szCs w:val="24"/>
        </w:rPr>
        <w:t>.</w:t>
      </w:r>
      <w:r w:rsidR="00866C26" w:rsidRPr="003B2FAE">
        <w:rPr>
          <w:sz w:val="24"/>
          <w:szCs w:val="24"/>
        </w:rPr>
        <w:t xml:space="preserve"> </w:t>
      </w:r>
      <w:r w:rsidR="00D56550">
        <w:rPr>
          <w:sz w:val="24"/>
          <w:szCs w:val="24"/>
        </w:rPr>
        <w:t>Given the increasing prevalence of Parkinson’s disease in older age, a</w:t>
      </w:r>
      <w:r w:rsidR="00D56550" w:rsidRPr="00D56550">
        <w:rPr>
          <w:sz w:val="24"/>
          <w:szCs w:val="24"/>
        </w:rPr>
        <w:t xml:space="preserve">ge-related dysregulation of </w:t>
      </w:r>
      <w:r w:rsidR="00D56550">
        <w:rPr>
          <w:sz w:val="24"/>
          <w:szCs w:val="24"/>
        </w:rPr>
        <w:t>T</w:t>
      </w:r>
      <w:r w:rsidR="005779AF">
        <w:rPr>
          <w:sz w:val="24"/>
          <w:szCs w:val="24"/>
        </w:rPr>
        <w:t xml:space="preserve"> </w:t>
      </w:r>
      <w:r w:rsidR="00D56550">
        <w:rPr>
          <w:sz w:val="24"/>
          <w:szCs w:val="24"/>
        </w:rPr>
        <w:t xml:space="preserve">lymphocytes may be relevant in this </w:t>
      </w:r>
      <w:r w:rsidR="00D56550" w:rsidRPr="001B1523">
        <w:rPr>
          <w:sz w:val="24"/>
          <w:szCs w:val="24"/>
        </w:rPr>
        <w:t>disorder, and we have previously observed changes in age-associated CD8</w:t>
      </w:r>
      <w:r w:rsidR="00D56550" w:rsidRPr="001B1523">
        <w:rPr>
          <w:sz w:val="24"/>
          <w:szCs w:val="24"/>
          <w:vertAlign w:val="superscript"/>
        </w:rPr>
        <w:t>+</w:t>
      </w:r>
      <w:r w:rsidR="00D56550" w:rsidRPr="001B1523">
        <w:rPr>
          <w:sz w:val="24"/>
          <w:szCs w:val="24"/>
        </w:rPr>
        <w:t xml:space="preserve"> T</w:t>
      </w:r>
      <w:r w:rsidR="005779AF" w:rsidRPr="001B1523">
        <w:rPr>
          <w:sz w:val="24"/>
          <w:szCs w:val="24"/>
        </w:rPr>
        <w:t xml:space="preserve"> </w:t>
      </w:r>
      <w:r w:rsidR="00D56550" w:rsidRPr="001B1523">
        <w:rPr>
          <w:sz w:val="24"/>
          <w:szCs w:val="24"/>
        </w:rPr>
        <w:t xml:space="preserve">cell subsets in mid-stage PD. </w:t>
      </w:r>
      <w:r w:rsidR="00866C26" w:rsidRPr="001B1523">
        <w:rPr>
          <w:sz w:val="24"/>
          <w:szCs w:val="24"/>
        </w:rPr>
        <w:t>This study aimed to further characterise T</w:t>
      </w:r>
      <w:r w:rsidR="00E06961" w:rsidRPr="001B1523">
        <w:rPr>
          <w:sz w:val="24"/>
          <w:szCs w:val="24"/>
        </w:rPr>
        <w:t xml:space="preserve"> </w:t>
      </w:r>
      <w:r w:rsidR="00866C26" w:rsidRPr="001B1523">
        <w:rPr>
          <w:sz w:val="24"/>
          <w:szCs w:val="24"/>
        </w:rPr>
        <w:t xml:space="preserve">cell </w:t>
      </w:r>
      <w:proofErr w:type="spellStart"/>
      <w:r w:rsidR="00866C26" w:rsidRPr="001B1523">
        <w:rPr>
          <w:sz w:val="24"/>
          <w:szCs w:val="24"/>
        </w:rPr>
        <w:t>immunosenescence</w:t>
      </w:r>
      <w:proofErr w:type="spellEnd"/>
      <w:r w:rsidR="00866C26" w:rsidRPr="001B1523">
        <w:rPr>
          <w:sz w:val="24"/>
          <w:szCs w:val="24"/>
        </w:rPr>
        <w:t xml:space="preserve"> in </w:t>
      </w:r>
      <w:r w:rsidR="00D56550" w:rsidRPr="001B1523">
        <w:rPr>
          <w:sz w:val="24"/>
          <w:szCs w:val="24"/>
        </w:rPr>
        <w:t>newly</w:t>
      </w:r>
      <w:r w:rsidR="00E06961" w:rsidRPr="001B1523">
        <w:rPr>
          <w:sz w:val="24"/>
          <w:szCs w:val="24"/>
        </w:rPr>
        <w:t>-</w:t>
      </w:r>
      <w:r w:rsidR="00D56550" w:rsidRPr="001B1523">
        <w:rPr>
          <w:sz w:val="24"/>
          <w:szCs w:val="24"/>
        </w:rPr>
        <w:t xml:space="preserve">diagnosed </w:t>
      </w:r>
      <w:r w:rsidR="00866C26" w:rsidRPr="001B1523">
        <w:rPr>
          <w:sz w:val="24"/>
          <w:szCs w:val="24"/>
        </w:rPr>
        <w:t>PD</w:t>
      </w:r>
      <w:r w:rsidR="00D56550" w:rsidRPr="001B1523">
        <w:rPr>
          <w:sz w:val="24"/>
          <w:szCs w:val="24"/>
        </w:rPr>
        <w:t xml:space="preserve"> </w:t>
      </w:r>
      <w:r w:rsidR="00E06961" w:rsidRPr="001B1523">
        <w:rPr>
          <w:sz w:val="24"/>
          <w:szCs w:val="24"/>
        </w:rPr>
        <w:t>patients</w:t>
      </w:r>
      <w:r w:rsidR="00866C26" w:rsidRPr="001B1523">
        <w:rPr>
          <w:sz w:val="24"/>
          <w:szCs w:val="24"/>
        </w:rPr>
        <w:t>, including shifts in CD4</w:t>
      </w:r>
      <w:r w:rsidR="00866C26" w:rsidRPr="001B1523">
        <w:rPr>
          <w:sz w:val="24"/>
          <w:szCs w:val="24"/>
          <w:vertAlign w:val="superscript"/>
        </w:rPr>
        <w:t>+</w:t>
      </w:r>
      <w:r w:rsidR="00866C26" w:rsidRPr="001B1523">
        <w:rPr>
          <w:sz w:val="24"/>
          <w:szCs w:val="24"/>
        </w:rPr>
        <w:t xml:space="preserve"> and CD8</w:t>
      </w:r>
      <w:r w:rsidR="00866C26" w:rsidRPr="001B1523">
        <w:rPr>
          <w:sz w:val="24"/>
          <w:szCs w:val="24"/>
          <w:vertAlign w:val="superscript"/>
        </w:rPr>
        <w:t>+</w:t>
      </w:r>
      <w:r w:rsidR="00866C26" w:rsidRPr="001B1523">
        <w:rPr>
          <w:sz w:val="24"/>
          <w:szCs w:val="24"/>
        </w:rPr>
        <w:t xml:space="preserve"> subpopulations</w:t>
      </w:r>
      <w:r w:rsidR="00652838" w:rsidRPr="001B1523">
        <w:rPr>
          <w:sz w:val="24"/>
          <w:szCs w:val="24"/>
        </w:rPr>
        <w:t>,</w:t>
      </w:r>
      <w:r w:rsidR="00866C26" w:rsidRPr="001B1523">
        <w:rPr>
          <w:sz w:val="24"/>
          <w:szCs w:val="24"/>
        </w:rPr>
        <w:t xml:space="preserve"> </w:t>
      </w:r>
      <w:r w:rsidR="003466D6" w:rsidRPr="001B1523">
        <w:rPr>
          <w:sz w:val="24"/>
          <w:szCs w:val="24"/>
        </w:rPr>
        <w:t>and changes in markers of cellular ageing</w:t>
      </w:r>
      <w:r w:rsidR="00D56550" w:rsidRPr="001B1523">
        <w:rPr>
          <w:sz w:val="24"/>
          <w:szCs w:val="24"/>
        </w:rPr>
        <w:t xml:space="preserve"> in</w:t>
      </w:r>
      <w:r w:rsidR="00E06961" w:rsidRPr="001B1523">
        <w:rPr>
          <w:sz w:val="24"/>
          <w:szCs w:val="24"/>
        </w:rPr>
        <w:t xml:space="preserve"> CD8</w:t>
      </w:r>
      <w:r w:rsidR="00E06961" w:rsidRPr="001B1523">
        <w:rPr>
          <w:sz w:val="24"/>
          <w:szCs w:val="24"/>
          <w:vertAlign w:val="superscript"/>
        </w:rPr>
        <w:t>+</w:t>
      </w:r>
      <w:r w:rsidR="00D56550" w:rsidRPr="001B1523">
        <w:rPr>
          <w:sz w:val="24"/>
          <w:szCs w:val="24"/>
        </w:rPr>
        <w:t xml:space="preserve"> T</w:t>
      </w:r>
      <w:r w:rsidR="00D55179" w:rsidRPr="001B1523">
        <w:rPr>
          <w:sz w:val="24"/>
          <w:szCs w:val="24"/>
        </w:rPr>
        <w:t xml:space="preserve"> </w:t>
      </w:r>
      <w:r w:rsidR="00D56550" w:rsidRPr="001B1523">
        <w:rPr>
          <w:sz w:val="24"/>
          <w:szCs w:val="24"/>
        </w:rPr>
        <w:t>lymphocytes</w:t>
      </w:r>
      <w:r w:rsidR="00866C26" w:rsidRPr="001B1523">
        <w:rPr>
          <w:sz w:val="24"/>
          <w:szCs w:val="24"/>
        </w:rPr>
        <w:t>.</w:t>
      </w:r>
      <w:r w:rsidRPr="001B1523">
        <w:rPr>
          <w:sz w:val="24"/>
          <w:szCs w:val="24"/>
        </w:rPr>
        <w:t xml:space="preserve"> </w:t>
      </w:r>
    </w:p>
    <w:p w14:paraId="2B5AC9B9" w14:textId="3AA35C0F" w:rsidR="00EF312B" w:rsidRPr="001B1523" w:rsidRDefault="00EF312B" w:rsidP="00AC4E9D">
      <w:pPr>
        <w:spacing w:line="480" w:lineRule="auto"/>
        <w:rPr>
          <w:sz w:val="24"/>
          <w:szCs w:val="24"/>
        </w:rPr>
      </w:pPr>
      <w:r w:rsidRPr="001B1523">
        <w:rPr>
          <w:b/>
          <w:bCs/>
          <w:sz w:val="24"/>
          <w:szCs w:val="24"/>
        </w:rPr>
        <w:t>Methods:</w:t>
      </w:r>
      <w:r w:rsidR="00866C26" w:rsidRPr="001B1523">
        <w:rPr>
          <w:sz w:val="24"/>
          <w:szCs w:val="24"/>
        </w:rPr>
        <w:t xml:space="preserve"> Peripheral blood mononuclear cells were extracted from the blood of 61 newly</w:t>
      </w:r>
      <w:r w:rsidR="00371E15" w:rsidRPr="001B1523">
        <w:rPr>
          <w:sz w:val="24"/>
          <w:szCs w:val="24"/>
        </w:rPr>
        <w:t>-</w:t>
      </w:r>
      <w:r w:rsidR="00866C26" w:rsidRPr="001B1523">
        <w:rPr>
          <w:sz w:val="24"/>
          <w:szCs w:val="24"/>
        </w:rPr>
        <w:t>diagnosed PD patients and 63 age- and sex-matched controls. Flow cytometric analysis was used for immunophenotyping of CD8</w:t>
      </w:r>
      <w:r w:rsidR="00866C26" w:rsidRPr="001B1523">
        <w:rPr>
          <w:sz w:val="24"/>
          <w:szCs w:val="24"/>
          <w:vertAlign w:val="superscript"/>
        </w:rPr>
        <w:t>+</w:t>
      </w:r>
      <w:r w:rsidR="00866C26" w:rsidRPr="001B1523">
        <w:rPr>
          <w:sz w:val="24"/>
          <w:szCs w:val="24"/>
        </w:rPr>
        <w:t xml:space="preserve"> and CD4</w:t>
      </w:r>
      <w:r w:rsidR="00866C26" w:rsidRPr="001B1523">
        <w:rPr>
          <w:sz w:val="24"/>
          <w:szCs w:val="24"/>
          <w:vertAlign w:val="superscript"/>
        </w:rPr>
        <w:t>+</w:t>
      </w:r>
      <w:r w:rsidR="00866C26" w:rsidRPr="001B1523">
        <w:rPr>
          <w:sz w:val="24"/>
          <w:szCs w:val="24"/>
        </w:rPr>
        <w:t xml:space="preserve"> lymphocyte subsets</w:t>
      </w:r>
      <w:r w:rsidR="00063CF5" w:rsidRPr="001B1523">
        <w:rPr>
          <w:sz w:val="24"/>
          <w:szCs w:val="24"/>
        </w:rPr>
        <w:t xml:space="preserve">, and analysis of recent thymic emigrant cells. </w:t>
      </w:r>
      <w:r w:rsidR="00866C26" w:rsidRPr="001B1523">
        <w:rPr>
          <w:sz w:val="24"/>
          <w:szCs w:val="24"/>
        </w:rPr>
        <w:t xml:space="preserve">Telomere length </w:t>
      </w:r>
      <w:r w:rsidR="00063CF5" w:rsidRPr="001B1523">
        <w:rPr>
          <w:sz w:val="24"/>
          <w:szCs w:val="24"/>
        </w:rPr>
        <w:t xml:space="preserve">within T lymphocytes </w:t>
      </w:r>
      <w:r w:rsidR="00866C26" w:rsidRPr="001B1523">
        <w:rPr>
          <w:sz w:val="24"/>
          <w:szCs w:val="24"/>
        </w:rPr>
        <w:t>was assessed, as well as the expression of the telomerase reverse transcriptase enzyme (hTERT), and the</w:t>
      </w:r>
      <w:r w:rsidR="00DD4103" w:rsidRPr="001B1523">
        <w:rPr>
          <w:sz w:val="24"/>
          <w:szCs w:val="24"/>
        </w:rPr>
        <w:t xml:space="preserve"> cell-</w:t>
      </w:r>
      <w:r w:rsidR="00866C26" w:rsidRPr="001B1523">
        <w:rPr>
          <w:sz w:val="24"/>
          <w:szCs w:val="24"/>
        </w:rPr>
        <w:t xml:space="preserve">ageing markers </w:t>
      </w:r>
      <w:r w:rsidR="00790CAB" w:rsidRPr="001B1523">
        <w:rPr>
          <w:sz w:val="24"/>
          <w:szCs w:val="24"/>
        </w:rPr>
        <w:t>p16</w:t>
      </w:r>
      <w:r w:rsidR="00790CAB" w:rsidRPr="001B1523">
        <w:rPr>
          <w:sz w:val="24"/>
          <w:szCs w:val="24"/>
          <w:vertAlign w:val="superscript"/>
        </w:rPr>
        <w:t>INK4a</w:t>
      </w:r>
      <w:r w:rsidR="00790CAB" w:rsidRPr="001B1523">
        <w:rPr>
          <w:sz w:val="24"/>
          <w:szCs w:val="24"/>
        </w:rPr>
        <w:t xml:space="preserve"> and p21</w:t>
      </w:r>
      <w:r w:rsidR="00790CAB" w:rsidRPr="001B1523">
        <w:rPr>
          <w:sz w:val="24"/>
          <w:szCs w:val="24"/>
          <w:vertAlign w:val="superscript"/>
        </w:rPr>
        <w:t>CIP1</w:t>
      </w:r>
      <w:r w:rsidR="004E30C5" w:rsidRPr="001B1523">
        <w:rPr>
          <w:sz w:val="24"/>
          <w:szCs w:val="24"/>
          <w:vertAlign w:val="superscript"/>
        </w:rPr>
        <w:t>/</w:t>
      </w:r>
      <w:r w:rsidR="00790CAB" w:rsidRPr="001B1523">
        <w:rPr>
          <w:sz w:val="24"/>
          <w:szCs w:val="24"/>
          <w:vertAlign w:val="superscript"/>
        </w:rPr>
        <w:t>Waf1</w:t>
      </w:r>
      <w:r w:rsidR="00866C26" w:rsidRPr="001B1523">
        <w:rPr>
          <w:sz w:val="24"/>
          <w:szCs w:val="24"/>
        </w:rPr>
        <w:t xml:space="preserve">. </w:t>
      </w:r>
    </w:p>
    <w:p w14:paraId="2C1DC455" w14:textId="77777777" w:rsidR="00EF312B" w:rsidRPr="001B1523" w:rsidRDefault="00EF312B" w:rsidP="00AC4E9D">
      <w:pPr>
        <w:spacing w:line="480" w:lineRule="auto"/>
        <w:rPr>
          <w:sz w:val="24"/>
          <w:szCs w:val="24"/>
        </w:rPr>
      </w:pPr>
      <w:r w:rsidRPr="001B1523">
        <w:rPr>
          <w:b/>
          <w:bCs/>
          <w:sz w:val="24"/>
          <w:szCs w:val="24"/>
        </w:rPr>
        <w:t>Results:</w:t>
      </w:r>
      <w:r w:rsidRPr="001B1523">
        <w:rPr>
          <w:sz w:val="24"/>
          <w:szCs w:val="24"/>
        </w:rPr>
        <w:t xml:space="preserve"> </w:t>
      </w:r>
      <w:r w:rsidR="00866C26" w:rsidRPr="001B1523">
        <w:rPr>
          <w:sz w:val="24"/>
          <w:szCs w:val="24"/>
        </w:rPr>
        <w:t>The number of CD8</w:t>
      </w:r>
      <w:r w:rsidR="00866C26" w:rsidRPr="001B1523">
        <w:rPr>
          <w:sz w:val="24"/>
          <w:szCs w:val="24"/>
          <w:vertAlign w:val="superscript"/>
        </w:rPr>
        <w:t>+</w:t>
      </w:r>
      <w:r w:rsidR="00866C26" w:rsidRPr="001B1523">
        <w:rPr>
          <w:sz w:val="24"/>
          <w:szCs w:val="24"/>
        </w:rPr>
        <w:t xml:space="preserve"> TEMRA T</w:t>
      </w:r>
      <w:r w:rsidR="005779AF" w:rsidRPr="001B1523">
        <w:rPr>
          <w:sz w:val="24"/>
          <w:szCs w:val="24"/>
        </w:rPr>
        <w:t xml:space="preserve"> </w:t>
      </w:r>
      <w:r w:rsidR="00866C26" w:rsidRPr="001B1523">
        <w:rPr>
          <w:sz w:val="24"/>
          <w:szCs w:val="24"/>
        </w:rPr>
        <w:t xml:space="preserve">cells was found to be significantly reduced in PD patients compared to controls. The expression of </w:t>
      </w:r>
      <w:r w:rsidR="00790CAB" w:rsidRPr="001B1523">
        <w:rPr>
          <w:sz w:val="24"/>
          <w:szCs w:val="24"/>
        </w:rPr>
        <w:t>p16</w:t>
      </w:r>
      <w:r w:rsidR="00790CAB" w:rsidRPr="001B1523">
        <w:rPr>
          <w:sz w:val="24"/>
          <w:szCs w:val="24"/>
          <w:vertAlign w:val="superscript"/>
        </w:rPr>
        <w:t>INK4a</w:t>
      </w:r>
      <w:r w:rsidR="00790CAB" w:rsidRPr="001B1523">
        <w:rPr>
          <w:sz w:val="24"/>
          <w:szCs w:val="24"/>
        </w:rPr>
        <w:t xml:space="preserve"> </w:t>
      </w:r>
      <w:r w:rsidR="00D56550" w:rsidRPr="001B1523">
        <w:rPr>
          <w:sz w:val="24"/>
          <w:szCs w:val="24"/>
        </w:rPr>
        <w:t>in CD8</w:t>
      </w:r>
      <w:r w:rsidR="00D56550" w:rsidRPr="001B1523">
        <w:rPr>
          <w:sz w:val="24"/>
          <w:szCs w:val="24"/>
          <w:vertAlign w:val="superscript"/>
        </w:rPr>
        <w:t>+</w:t>
      </w:r>
      <w:r w:rsidR="00D56550" w:rsidRPr="001B1523">
        <w:rPr>
          <w:sz w:val="24"/>
          <w:szCs w:val="24"/>
        </w:rPr>
        <w:t xml:space="preserve"> lymphocytes </w:t>
      </w:r>
      <w:r w:rsidR="00866C26" w:rsidRPr="001B1523">
        <w:rPr>
          <w:sz w:val="24"/>
          <w:szCs w:val="24"/>
        </w:rPr>
        <w:t xml:space="preserve">was also lower in patients versus controls. Chronic latent CMV infection </w:t>
      </w:r>
      <w:r w:rsidR="00D56550" w:rsidRPr="001B1523">
        <w:rPr>
          <w:sz w:val="24"/>
          <w:szCs w:val="24"/>
        </w:rPr>
        <w:t xml:space="preserve">was associated with </w:t>
      </w:r>
      <w:r w:rsidR="00866C26" w:rsidRPr="001B1523">
        <w:rPr>
          <w:sz w:val="24"/>
          <w:szCs w:val="24"/>
        </w:rPr>
        <w:t>increase</w:t>
      </w:r>
      <w:r w:rsidR="00D56550" w:rsidRPr="001B1523">
        <w:rPr>
          <w:sz w:val="24"/>
          <w:szCs w:val="24"/>
        </w:rPr>
        <w:t>d</w:t>
      </w:r>
      <w:r w:rsidR="00866C26" w:rsidRPr="001B1523">
        <w:rPr>
          <w:sz w:val="24"/>
          <w:szCs w:val="24"/>
        </w:rPr>
        <w:t xml:space="preserve"> senescent </w:t>
      </w:r>
      <w:r w:rsidR="00D56550" w:rsidRPr="001B1523">
        <w:rPr>
          <w:sz w:val="24"/>
          <w:szCs w:val="24"/>
        </w:rPr>
        <w:t>CD8</w:t>
      </w:r>
      <w:r w:rsidR="00D56550" w:rsidRPr="001B1523">
        <w:rPr>
          <w:sz w:val="24"/>
          <w:szCs w:val="24"/>
          <w:vertAlign w:val="superscript"/>
        </w:rPr>
        <w:t>+</w:t>
      </w:r>
      <w:r w:rsidR="00D56550" w:rsidRPr="001B1523">
        <w:rPr>
          <w:sz w:val="24"/>
          <w:szCs w:val="24"/>
        </w:rPr>
        <w:t xml:space="preserve"> </w:t>
      </w:r>
      <w:r w:rsidR="00866C26" w:rsidRPr="001B1523">
        <w:rPr>
          <w:sz w:val="24"/>
          <w:szCs w:val="24"/>
        </w:rPr>
        <w:t xml:space="preserve">lymphocytes in healthy controls but this shift </w:t>
      </w:r>
      <w:r w:rsidR="000647E1" w:rsidRPr="001B1523">
        <w:rPr>
          <w:sz w:val="24"/>
          <w:szCs w:val="24"/>
        </w:rPr>
        <w:t xml:space="preserve">was </w:t>
      </w:r>
      <w:r w:rsidR="00DC68EF" w:rsidRPr="001B1523">
        <w:rPr>
          <w:sz w:val="24"/>
          <w:szCs w:val="24"/>
        </w:rPr>
        <w:t xml:space="preserve">less apparent </w:t>
      </w:r>
      <w:r w:rsidR="00866C26" w:rsidRPr="001B1523">
        <w:rPr>
          <w:sz w:val="24"/>
          <w:szCs w:val="24"/>
        </w:rPr>
        <w:t xml:space="preserve">in PD patients. </w:t>
      </w:r>
    </w:p>
    <w:p w14:paraId="318B3505" w14:textId="77845E2C" w:rsidR="00866C26" w:rsidRPr="001B1523" w:rsidRDefault="00EF312B" w:rsidP="00AC4E9D">
      <w:pPr>
        <w:spacing w:line="480" w:lineRule="auto"/>
        <w:rPr>
          <w:sz w:val="24"/>
          <w:szCs w:val="24"/>
        </w:rPr>
      </w:pPr>
      <w:r w:rsidRPr="001B1523">
        <w:rPr>
          <w:b/>
          <w:bCs/>
          <w:sz w:val="24"/>
          <w:szCs w:val="24"/>
        </w:rPr>
        <w:t>Conclusions:</w:t>
      </w:r>
      <w:r w:rsidRPr="001B1523">
        <w:rPr>
          <w:sz w:val="24"/>
          <w:szCs w:val="24"/>
        </w:rPr>
        <w:t xml:space="preserve"> </w:t>
      </w:r>
      <w:r w:rsidR="00866C26" w:rsidRPr="001B1523">
        <w:rPr>
          <w:sz w:val="24"/>
          <w:szCs w:val="24"/>
        </w:rPr>
        <w:t xml:space="preserve">Taken together, our data demonstrates a </w:t>
      </w:r>
      <w:r w:rsidR="00866C26" w:rsidRPr="001B1523">
        <w:rPr>
          <w:sz w:val="24"/>
          <w:szCs w:val="24"/>
          <w:lang w:val="en-US"/>
        </w:rPr>
        <w:t>reduction in CD8</w:t>
      </w:r>
      <w:r w:rsidR="00866C26" w:rsidRPr="001B1523">
        <w:rPr>
          <w:sz w:val="24"/>
          <w:szCs w:val="24"/>
          <w:vertAlign w:val="superscript"/>
          <w:lang w:val="en-US"/>
        </w:rPr>
        <w:t>+</w:t>
      </w:r>
      <w:r w:rsidR="00866C26" w:rsidRPr="001B1523">
        <w:rPr>
          <w:sz w:val="24"/>
          <w:szCs w:val="24"/>
          <w:lang w:val="en-US"/>
        </w:rPr>
        <w:t xml:space="preserve"> T</w:t>
      </w:r>
      <w:r w:rsidR="005779AF" w:rsidRPr="001B1523">
        <w:rPr>
          <w:sz w:val="24"/>
          <w:szCs w:val="24"/>
          <w:lang w:val="en-US"/>
        </w:rPr>
        <w:t xml:space="preserve"> </w:t>
      </w:r>
      <w:r w:rsidR="00866C26" w:rsidRPr="001B1523">
        <w:rPr>
          <w:sz w:val="24"/>
          <w:szCs w:val="24"/>
        </w:rPr>
        <w:t xml:space="preserve">cell replicative senescence which is present at the earliest stages of Parkinson’s disease. </w:t>
      </w:r>
    </w:p>
    <w:p w14:paraId="16FEE3CA" w14:textId="447DBF9B" w:rsidR="00866C26" w:rsidRPr="001B1523" w:rsidRDefault="00866C26" w:rsidP="00AC4E9D">
      <w:pPr>
        <w:spacing w:line="480" w:lineRule="auto"/>
        <w:rPr>
          <w:rFonts w:cs="Arial"/>
          <w:sz w:val="24"/>
          <w:szCs w:val="24"/>
        </w:rPr>
      </w:pPr>
    </w:p>
    <w:p w14:paraId="7150A7AE" w14:textId="3E3DB5B9" w:rsidR="00866C26" w:rsidRPr="001B1523" w:rsidRDefault="00866C26" w:rsidP="00AC4E9D">
      <w:pPr>
        <w:spacing w:line="480" w:lineRule="auto"/>
        <w:rPr>
          <w:rFonts w:cs="Arial"/>
        </w:rPr>
      </w:pPr>
    </w:p>
    <w:p w14:paraId="0ABEA642" w14:textId="66568F71" w:rsidR="00FF0273" w:rsidRPr="001B1523" w:rsidRDefault="00FF0273" w:rsidP="006C5047">
      <w:pPr>
        <w:pStyle w:val="Heading1"/>
        <w:spacing w:line="480" w:lineRule="auto"/>
      </w:pPr>
      <w:r w:rsidRPr="001B1523">
        <w:lastRenderedPageBreak/>
        <w:t>Introduction</w:t>
      </w:r>
    </w:p>
    <w:p w14:paraId="7B603FE6" w14:textId="6B1D7FE8" w:rsidR="00762BFC" w:rsidRPr="001B1523" w:rsidRDefault="00D93EF5" w:rsidP="00AC4E9D">
      <w:pPr>
        <w:spacing w:line="480" w:lineRule="auto"/>
        <w:ind w:firstLine="720"/>
        <w:rPr>
          <w:rFonts w:cs="Arial"/>
          <w:lang w:val="en-US"/>
        </w:rPr>
      </w:pPr>
      <w:r w:rsidRPr="001B1523">
        <w:rPr>
          <w:rFonts w:cs="Arial"/>
        </w:rPr>
        <w:t xml:space="preserve"> </w:t>
      </w:r>
    </w:p>
    <w:p w14:paraId="508800A3" w14:textId="1F964602" w:rsidR="00360DBD" w:rsidRPr="001B1523" w:rsidRDefault="00762BFC" w:rsidP="00AC4E9D">
      <w:pPr>
        <w:spacing w:line="480" w:lineRule="auto"/>
        <w:rPr>
          <w:sz w:val="24"/>
          <w:szCs w:val="24"/>
          <w:lang w:val="en-AU"/>
        </w:rPr>
      </w:pPr>
      <w:r w:rsidRPr="001B1523">
        <w:rPr>
          <w:sz w:val="24"/>
          <w:szCs w:val="24"/>
          <w:lang w:val="en-AU"/>
        </w:rPr>
        <w:t xml:space="preserve">It is well-recognised that numerous innate and adaptive </w:t>
      </w:r>
      <w:r w:rsidR="00781E59" w:rsidRPr="001B1523">
        <w:rPr>
          <w:sz w:val="24"/>
          <w:szCs w:val="24"/>
          <w:lang w:val="en-AU"/>
        </w:rPr>
        <w:t>immune</w:t>
      </w:r>
      <w:r w:rsidRPr="001B1523">
        <w:rPr>
          <w:sz w:val="24"/>
          <w:szCs w:val="24"/>
          <w:lang w:val="en-AU"/>
        </w:rPr>
        <w:t xml:space="preserve"> </w:t>
      </w:r>
      <w:r w:rsidR="00781E59" w:rsidRPr="001B1523">
        <w:rPr>
          <w:sz w:val="24"/>
          <w:szCs w:val="24"/>
          <w:lang w:val="en-AU"/>
        </w:rPr>
        <w:t>changes</w:t>
      </w:r>
      <w:r w:rsidRPr="001B1523">
        <w:rPr>
          <w:sz w:val="24"/>
          <w:szCs w:val="24"/>
          <w:lang w:val="en-AU"/>
        </w:rPr>
        <w:t xml:space="preserve"> occur both in the brain and the periphery </w:t>
      </w:r>
      <w:r w:rsidR="00781E59" w:rsidRPr="001B1523">
        <w:rPr>
          <w:sz w:val="24"/>
          <w:szCs w:val="24"/>
          <w:lang w:val="en-AU"/>
        </w:rPr>
        <w:t>in</w:t>
      </w:r>
      <w:r w:rsidRPr="001B1523">
        <w:rPr>
          <w:sz w:val="24"/>
          <w:szCs w:val="24"/>
          <w:lang w:val="en-AU"/>
        </w:rPr>
        <w:t xml:space="preserve"> Parkinson’s disease </w:t>
      </w:r>
      <w:r w:rsidR="00577A3D" w:rsidRPr="001B1523">
        <w:rPr>
          <w:sz w:val="24"/>
          <w:szCs w:val="24"/>
          <w:lang w:val="en-AU"/>
        </w:rPr>
        <w:t xml:space="preserve">(PD) </w:t>
      </w:r>
      <w:r w:rsidRPr="001B1523">
        <w:rPr>
          <w:sz w:val="24"/>
          <w:szCs w:val="24"/>
          <w:lang w:val="en-AU"/>
        </w:rPr>
        <w:t xml:space="preserve">patients </w:t>
      </w:r>
      <w:r w:rsidRPr="001B1523">
        <w:rPr>
          <w:sz w:val="24"/>
          <w:szCs w:val="24"/>
          <w:lang w:val="en-AU"/>
        </w:rPr>
        <w:fldChar w:fldCharType="begin"/>
      </w:r>
      <w:r w:rsidR="0005433E" w:rsidRPr="001B1523">
        <w:rPr>
          <w:sz w:val="24"/>
          <w:szCs w:val="24"/>
          <w:lang w:val="en-AU"/>
        </w:rPr>
        <w:instrText xml:space="preserve"> ADDIN ZOTERO_ITEM CSL_CITATION {"citationID":"lii5lyJW","properties":{"formattedCitation":"[1]","plainCitation":"[1]","noteIndex":0},"citationItems":[{"id":380,"uris":["http://zotero.org/users/2272275/items/CJADEUNT"],"uri":["http://zotero.org/users/2272275/items/CJADEUNT"],"itemData":{"id":380,"type":"article-journal","container-title":"Cold Spring Harbor Perspectives in Medicine","DOI":"10.1101/cshperspect.a009381","ISSN":"2157-1422","issue":"1","language":"en","page":"a009381-a009381","source":"CrossRef","title":"Inflammation and Adaptive Immunity in Parkinson's Disease","volume":"2","author":[{"family":"Mosley","given":"R. L."},{"family":"Hutter-Saunders","given":"J. A."},{"family":"Stone","given":"D. K."},{"family":"Gendelman","given":"H. E."}],"issued":{"date-parts":[["2012",1,1]]}}}],"schema":"https://github.com/citation-style-language/schema/raw/master/csl-citation.json"} </w:instrText>
      </w:r>
      <w:r w:rsidRPr="001B1523">
        <w:rPr>
          <w:sz w:val="24"/>
          <w:szCs w:val="24"/>
          <w:lang w:val="en-AU"/>
        </w:rPr>
        <w:fldChar w:fldCharType="separate"/>
      </w:r>
      <w:r w:rsidR="0005433E" w:rsidRPr="001B1523">
        <w:rPr>
          <w:rFonts w:cs="Arial"/>
          <w:sz w:val="24"/>
        </w:rPr>
        <w:t>[1]</w:t>
      </w:r>
      <w:r w:rsidRPr="001B1523">
        <w:rPr>
          <w:sz w:val="24"/>
          <w:szCs w:val="24"/>
          <w:lang w:val="en-AU"/>
        </w:rPr>
        <w:fldChar w:fldCharType="end"/>
      </w:r>
      <w:r w:rsidRPr="001B1523">
        <w:rPr>
          <w:sz w:val="24"/>
          <w:szCs w:val="24"/>
          <w:lang w:val="en-AU"/>
        </w:rPr>
        <w:t>, though the precise mechanisms and their role in disease progression are still poorly understood</w:t>
      </w:r>
      <w:r w:rsidR="00360DBD" w:rsidRPr="001B1523">
        <w:rPr>
          <w:sz w:val="24"/>
          <w:szCs w:val="24"/>
          <w:lang w:val="en-AU"/>
        </w:rPr>
        <w:t xml:space="preserve">. A better understanding of the </w:t>
      </w:r>
      <w:r w:rsidR="00781E59" w:rsidRPr="001B1523">
        <w:rPr>
          <w:sz w:val="24"/>
          <w:szCs w:val="24"/>
          <w:lang w:val="en-AU"/>
        </w:rPr>
        <w:t xml:space="preserve">immune </w:t>
      </w:r>
      <w:r w:rsidR="00360DBD" w:rsidRPr="001B1523">
        <w:rPr>
          <w:sz w:val="24"/>
          <w:szCs w:val="24"/>
          <w:lang w:val="en-AU"/>
        </w:rPr>
        <w:t>pathways involved in PD pathogenesis is needed, both to identify predictive biomarkers and to identify rational therapeutic targets for disease-modification.</w:t>
      </w:r>
    </w:p>
    <w:p w14:paraId="267B7117" w14:textId="324039D5" w:rsidR="00360DBD" w:rsidRPr="001B1523" w:rsidRDefault="0055368F" w:rsidP="00272149">
      <w:pPr>
        <w:spacing w:line="480" w:lineRule="auto"/>
        <w:ind w:firstLine="720"/>
        <w:rPr>
          <w:sz w:val="24"/>
          <w:szCs w:val="24"/>
          <w:lang w:val="en-AU"/>
        </w:rPr>
      </w:pPr>
      <w:r w:rsidRPr="001B1523">
        <w:rPr>
          <w:sz w:val="24"/>
          <w:szCs w:val="24"/>
          <w:lang w:val="en-AU"/>
        </w:rPr>
        <w:t>Age-related i</w:t>
      </w:r>
      <w:r w:rsidR="00360DBD" w:rsidRPr="001B1523">
        <w:rPr>
          <w:sz w:val="24"/>
          <w:szCs w:val="24"/>
          <w:lang w:val="en-AU"/>
        </w:rPr>
        <w:t>mmune changes (</w:t>
      </w:r>
      <w:proofErr w:type="spellStart"/>
      <w:r w:rsidR="00360DBD" w:rsidRPr="001B1523">
        <w:rPr>
          <w:sz w:val="24"/>
          <w:szCs w:val="24"/>
          <w:lang w:val="en-AU"/>
        </w:rPr>
        <w:t>immunosenescence</w:t>
      </w:r>
      <w:proofErr w:type="spellEnd"/>
      <w:r w:rsidR="00360DBD" w:rsidRPr="001B1523">
        <w:rPr>
          <w:sz w:val="24"/>
          <w:szCs w:val="24"/>
          <w:lang w:val="en-AU"/>
        </w:rPr>
        <w:t xml:space="preserve">) may be </w:t>
      </w:r>
      <w:r w:rsidR="00781E59" w:rsidRPr="001B1523">
        <w:rPr>
          <w:sz w:val="24"/>
          <w:szCs w:val="24"/>
          <w:lang w:val="en-AU"/>
        </w:rPr>
        <w:t xml:space="preserve">particularly </w:t>
      </w:r>
      <w:r w:rsidR="00360DBD" w:rsidRPr="001B1523">
        <w:rPr>
          <w:sz w:val="24"/>
          <w:szCs w:val="24"/>
          <w:lang w:val="en-AU"/>
        </w:rPr>
        <w:t>relevant to diseases</w:t>
      </w:r>
      <w:r w:rsidR="00781E59" w:rsidRPr="001B1523">
        <w:rPr>
          <w:sz w:val="24"/>
          <w:szCs w:val="24"/>
          <w:lang w:val="en-AU"/>
        </w:rPr>
        <w:t xml:space="preserve"> </w:t>
      </w:r>
      <w:r w:rsidR="00DC432C" w:rsidRPr="001B1523">
        <w:rPr>
          <w:sz w:val="24"/>
          <w:szCs w:val="24"/>
          <w:lang w:val="en-AU"/>
        </w:rPr>
        <w:t>like</w:t>
      </w:r>
      <w:r w:rsidR="00781E59" w:rsidRPr="001B1523">
        <w:rPr>
          <w:sz w:val="24"/>
          <w:szCs w:val="24"/>
          <w:lang w:val="en-AU"/>
        </w:rPr>
        <w:t xml:space="preserve"> PD</w:t>
      </w:r>
      <w:r w:rsidR="00360DBD" w:rsidRPr="001B1523">
        <w:rPr>
          <w:sz w:val="24"/>
          <w:szCs w:val="24"/>
          <w:lang w:val="en-AU"/>
        </w:rPr>
        <w:t xml:space="preserve"> </w:t>
      </w:r>
      <w:r w:rsidR="00781E59" w:rsidRPr="001B1523">
        <w:rPr>
          <w:sz w:val="24"/>
          <w:szCs w:val="24"/>
          <w:lang w:val="en-AU"/>
        </w:rPr>
        <w:t>for</w:t>
      </w:r>
      <w:r w:rsidR="00360DBD" w:rsidRPr="001B1523">
        <w:rPr>
          <w:sz w:val="24"/>
          <w:szCs w:val="24"/>
          <w:lang w:val="en-AU"/>
        </w:rPr>
        <w:t xml:space="preserve"> which ageing is a </w:t>
      </w:r>
      <w:r w:rsidR="00781E59" w:rsidRPr="001B1523">
        <w:rPr>
          <w:sz w:val="24"/>
          <w:szCs w:val="24"/>
          <w:lang w:val="en-AU"/>
        </w:rPr>
        <w:t xml:space="preserve">major </w:t>
      </w:r>
      <w:r w:rsidR="00360DBD" w:rsidRPr="001B1523">
        <w:rPr>
          <w:sz w:val="24"/>
          <w:szCs w:val="24"/>
          <w:lang w:val="en-AU"/>
        </w:rPr>
        <w:t xml:space="preserve">risk factor. </w:t>
      </w:r>
      <w:proofErr w:type="spellStart"/>
      <w:r w:rsidRPr="001B1523">
        <w:rPr>
          <w:sz w:val="24"/>
          <w:szCs w:val="24"/>
          <w:lang w:val="en-AU"/>
        </w:rPr>
        <w:t>Immunosenescence</w:t>
      </w:r>
      <w:proofErr w:type="spellEnd"/>
      <w:r w:rsidR="00DC432C" w:rsidRPr="001B1523">
        <w:rPr>
          <w:sz w:val="24"/>
          <w:szCs w:val="24"/>
          <w:lang w:val="en-AU"/>
        </w:rPr>
        <w:t xml:space="preserve"> leads </w:t>
      </w:r>
      <w:r w:rsidR="00360DBD" w:rsidRPr="001B1523">
        <w:rPr>
          <w:sz w:val="24"/>
          <w:szCs w:val="24"/>
          <w:lang w:val="en-AU"/>
        </w:rPr>
        <w:t>to increased infection susceptibility and reduced effectiveness of vaccines</w:t>
      </w:r>
      <w:r w:rsidR="005A08F2" w:rsidRPr="001B1523">
        <w:rPr>
          <w:sz w:val="24"/>
          <w:szCs w:val="24"/>
          <w:lang w:val="en-AU"/>
        </w:rPr>
        <w:t xml:space="preserve"> </w:t>
      </w:r>
      <w:r w:rsidR="005A08F2" w:rsidRPr="001B1523">
        <w:rPr>
          <w:sz w:val="24"/>
          <w:szCs w:val="24"/>
          <w:lang w:val="en-AU"/>
        </w:rPr>
        <w:fldChar w:fldCharType="begin"/>
      </w:r>
      <w:r w:rsidR="0005433E" w:rsidRPr="001B1523">
        <w:rPr>
          <w:sz w:val="24"/>
          <w:szCs w:val="24"/>
          <w:lang w:val="en-AU"/>
        </w:rPr>
        <w:instrText xml:space="preserve"> ADDIN ZOTERO_ITEM CSL_CITATION {"citationID":"CvZBBCLo","properties":{"formattedCitation":"[2]","plainCitation":"[2]","noteIndex":0},"citationItems":[{"id":10919,"uris":["http://zotero.org/users/2272275/items/HJIJQMVP"],"uri":["http://zotero.org/users/2272275/items/HJIJQMVP"],"itemData":{"id":10919,"type":"article-journal","abstract":"The decline of the immune system appears to be an intractable consequence of aging, leading to increased susceptibility to infections, reduced effectiveness of vaccination and higher incidences of many diseases including osteoporosis and cancer in the elderly. These outcomes can be attributed, at least in part, to a phenomenon known as T cell replicative senescence, a terminal state characterized by dysregulated immune function, loss of the CD28 costimulatory molecule, shortened telomeres and elevated production of pro-inflammatory cytokines. Senescent CD8 T cells, which accumulate in the elderly, have been shown to frequently bear antigen specificity against cytomegalovirus (CMV), suggesting that this common and persistent infection may drive immune senescence and result in functional and phenotypic changes to the T cell repertoire. Senescent T cells have also been identified in patients with certain cancers, autoimmune diseases and chronic infections, such as HIV. This review discusses the in vivo and in vitro evidence for the contribution of CD8 T cell replicative senescence to a plethora of age-related pathologies and a few possible therapeutic avenues to delay or prevent this differentiative end-state in T cells. The age-associated remodeling of the immune system, through accumulation of senescent T cells has far-reaching consequences on the individual and society alike, for the current healthcare system needs to meet the urgent demands of the increasing proportions of the elderly in the US and abroad.","container-title":"Current pharmaceutical design","ISSN":"1381-6128","issue":"9","journalAbbreviation":"Curr Pharm Des","note":"PMID: 23061726\nPMCID: PMC3749774","page":"1680-1698","source":"PubMed Central","title":"T CELL REPLICATIVE SENESCENCE IN HUMAN AGING","volume":"19","author":[{"family":"Chou","given":"Jennifer P."},{"family":"Effros","given":"Rita B."}],"issued":{"date-parts":[["2013"]]}}}],"schema":"https://github.com/citation-style-language/schema/raw/master/csl-citation.json"} </w:instrText>
      </w:r>
      <w:r w:rsidR="005A08F2" w:rsidRPr="001B1523">
        <w:rPr>
          <w:sz w:val="24"/>
          <w:szCs w:val="24"/>
          <w:lang w:val="en-AU"/>
        </w:rPr>
        <w:fldChar w:fldCharType="separate"/>
      </w:r>
      <w:r w:rsidR="0005433E" w:rsidRPr="001B1523">
        <w:rPr>
          <w:rFonts w:cs="Arial"/>
          <w:sz w:val="24"/>
        </w:rPr>
        <w:t>[2]</w:t>
      </w:r>
      <w:r w:rsidR="005A08F2" w:rsidRPr="001B1523">
        <w:rPr>
          <w:sz w:val="24"/>
          <w:szCs w:val="24"/>
          <w:lang w:val="en-AU"/>
        </w:rPr>
        <w:fldChar w:fldCharType="end"/>
      </w:r>
      <w:r w:rsidR="00360DBD" w:rsidRPr="001B1523">
        <w:rPr>
          <w:sz w:val="24"/>
          <w:szCs w:val="24"/>
          <w:lang w:val="en-AU"/>
        </w:rPr>
        <w:t>. This is mediated primarily by changes in CD8</w:t>
      </w:r>
      <w:r w:rsidR="00360DBD" w:rsidRPr="001B1523">
        <w:rPr>
          <w:sz w:val="24"/>
          <w:szCs w:val="24"/>
          <w:vertAlign w:val="superscript"/>
          <w:lang w:val="en-AU"/>
        </w:rPr>
        <w:t>+</w:t>
      </w:r>
      <w:r w:rsidR="00360DBD" w:rsidRPr="001B1523">
        <w:rPr>
          <w:sz w:val="24"/>
          <w:szCs w:val="24"/>
          <w:lang w:val="en-AU"/>
        </w:rPr>
        <w:t xml:space="preserve"> T</w:t>
      </w:r>
      <w:r w:rsidR="00DB5EAA" w:rsidRPr="001B1523">
        <w:rPr>
          <w:sz w:val="24"/>
          <w:szCs w:val="24"/>
          <w:lang w:val="en-AU"/>
        </w:rPr>
        <w:t xml:space="preserve"> lymphocytes</w:t>
      </w:r>
      <w:r w:rsidR="00360DBD" w:rsidRPr="001B1523">
        <w:rPr>
          <w:sz w:val="24"/>
          <w:szCs w:val="24"/>
          <w:lang w:val="en-AU"/>
        </w:rPr>
        <w:t>. A critical phenotypic change</w:t>
      </w:r>
      <w:r w:rsidR="00DB5EAA" w:rsidRPr="001B1523">
        <w:rPr>
          <w:sz w:val="24"/>
          <w:szCs w:val="24"/>
          <w:lang w:val="en-AU"/>
        </w:rPr>
        <w:t xml:space="preserve"> in these cells</w:t>
      </w:r>
      <w:r w:rsidR="00360DBD" w:rsidRPr="001B1523">
        <w:rPr>
          <w:sz w:val="24"/>
          <w:szCs w:val="24"/>
          <w:lang w:val="en-AU"/>
        </w:rPr>
        <w:t xml:space="preserve"> is the loss of surface expression of CD28 and upregulation of CD57</w:t>
      </w:r>
      <w:r w:rsidR="005A08F2" w:rsidRPr="001B1523">
        <w:rPr>
          <w:sz w:val="24"/>
          <w:szCs w:val="24"/>
          <w:lang w:val="en-AU"/>
        </w:rPr>
        <w:t xml:space="preserve"> </w:t>
      </w:r>
      <w:r w:rsidR="005A08F2" w:rsidRPr="001B1523">
        <w:rPr>
          <w:sz w:val="24"/>
          <w:szCs w:val="24"/>
          <w:lang w:val="en-AU"/>
        </w:rPr>
        <w:fldChar w:fldCharType="begin"/>
      </w:r>
      <w:r w:rsidR="0005433E" w:rsidRPr="001B1523">
        <w:rPr>
          <w:sz w:val="24"/>
          <w:szCs w:val="24"/>
          <w:lang w:val="en-AU"/>
        </w:rPr>
        <w:instrText xml:space="preserve"> ADDIN ZOTERO_ITEM CSL_CITATION {"citationID":"9Iif4hln","properties":{"unsorted":true,"formattedCitation":"[3\\uc0\\u8211{}5]","plainCitation":"[3–5]","noteIndex":0},"citationItems":[{"id":10849,"uris":["http://zotero.org/users/2272275/items/ALLW48D4"],"uri":["http://zotero.org/users/2272275/items/ALLW48D4"],"itemData":{"id":10849,"type":"article-journal","abstract":"Virus-specific CD8+ T-cell responses play a pivotal role in limiting viral replication. Alterations in these responses, such as decreased cytolytic function, inappropriate maturation, and limited proliferative ability could reduce their ability to control viral replication. Here, we report on the capacity of HIV-specific CD8+ T cells to secrete cytokines and proliferate in response to HIV antigen stimulation. We find that a large proportion of HIV-specific CD8+ T cells that produce cytokines in response to cognate antigen are unable to divide and die during a 48-hour in vitro culture. This lack of proliferative ability of HIV-specific CD8+ T cells is defined by surface expression of CD57 but not by absence of CD28 or CCR7. This inability to proliferate in response to antigen cannot be overcome by exogenous interleukin-2 (IL-2) or IL-15. Furthermore, CD57 expression on CD8+ T cells, CD4+ T cells, and NK cells is a general marker of proliferative inability, a history of more cell divisions, and short telomeres. We suggest, therefore, that the increase in CD57+ HIV-specific CD8+ T cells results from chronic antigen stimulation that is a hallmark of HIV infection. Thus, our studies define a phenotype associated with replicative senescence in HIV-specific CD8+ T cells, which may have broad implications to other conditions associated with chronic antigenic stimulation.","container-title":"Blood","DOI":"10.1182/blood-2002-07-2103","ISSN":"0006-4971","issue":"7","journalAbbreviation":"Blood","page":"2711-2720","source":"Silverchair","title":"Expression of CD57 defines replicative senescence and antigen-induced apoptotic death of CD8+ T cells","volume":"101","author":[{"family":"Brenchley","given":"Jason M."},{"family":"Karandikar","given":"Nitin J."},{"family":"Betts","given":"Michael R."},{"family":"Ambrozak","given":"David R."},{"family":"Hill","given":"Brenna J."},{"family":"Crotty","given":"Laura E."},{"family":"Casazza","given":"Joseph P."},{"family":"Kuruppu","given":"Janaki"},{"family":"Migueles","given":"Stephen A."},{"family":"Connors","given":"Mark"},{"family":"Roederer","given":"Mario"},{"family":"Douek","given":"Daniel C."},{"family":"Koup","given":"Richard A."}],"issued":{"date-parts":[["2003",4,1]]}}},{"id":10852,"uris":["http://zotero.org/users/2272275/items/EW2JYHWS"],"uri":["http://zotero.org/users/2272275/items/EW2JYHWS"],"itemData":{"id":10852,"type":"article-journal","abstract":"In humans, CD56, CD161, CD16, CD94 or CD57 represent prototypic markers of NK cells, although they are also found on a subset of CD8+ T cells. We propose here that the expression of NK receptors on CD8+ T cells can be considered a marker of cytotoxic effector T cells that are expanded in vivo after antigenic activation leading to extensive proliferation. The persistence of antigen will lead to loss of co-stimulatory molecules, telomere shortening and defective IL-2 production, changes that define the state replicative senescence in T lymphocytes. The majority of these “effector/senescent” T lymphocytes are CD8+, CD45RA+, CD11abright, CD28−, CD27−, CD62L−and CCR7−. They are cytotoxic T cells with strong expression of intracytoplasmic perforin and granzyme, but with low proliferative capacity and defective IL-2 production. Many of these characteristics are shared by the recently defined “effector/memory” T cells, being mainly distinguished by the absence of CD45RA expression on the memory cells. The expression of NK receptor in these effector cells will probably contribute to the regulation of their cytotoxic function. Expansion of cells with these characteristics can be found not only in the elderly but also in other clinical conditions involving chronic activation of the immune system such as viral infections, rheumatic and autoimmune diseases or tumors. Another subset of T cells that expresses the NK receptors is the α-galactosyl-ceramide specific T cell subset defined by the expression of canonical Vα24JαQ TCR, recognition of CD1d and secretion of high amounts of IL-4 and IFN-γ. However, the changes observed in the expression of NK-R on T cells associated to immunosenescence can not be attributed to expansion of this particular T cell subset, although alterations in the number and function of these cells have been demonstrated in some autoimmune diseases.","collection-title":"First Conference of the EU Thematic Network Immunology and Ageing in Europe (ImAginE)","container-title":"Mechanisms of Ageing and Development","DOI":"10.1016/S0047-6374(00)00199-8","ISSN":"0047-6374","issue":"1","journalAbbreviation":"Mechanisms of Ageing and Development","language":"en","page":"77-88","source":"ScienceDirect","title":"Increased expression of NK cell markers on T lymphocytes in aging and chronic activation of the immune system reflects the accumulation of effector/senescent T cells","volume":"121","author":[{"family":"Tarazona","given":"Raquel"},{"family":"DelaRosa","given":"Olga"},{"family":"Alonso","given":"Corona"},{"family":"Ostos","given":"Belén"},{"family":"Espejo","given":"Joaquı́n"},{"family":"Peña","given":"José"},{"family":"Solana","given":"Rafael"}],"issued":{"date-parts":[["2001",1,20]]}}},{"id":10846,"uris":["http://zotero.org/users/2272275/items/BZRS4EJI"],"uri":["http://zotero.org/users/2272275/items/BZRS4EJI"],"itemData":{"id":10846,"type":"article-journal","abstract":"The dramatic decline in immune function with age, especially in T cell proliferative activity, has been documented extensively in experimental animal models and in clinical studies of the elderly. A similar proliferative decline is also seen in long-term T lymphocyte cultures used to study in vitro cellular senescence. We have compared the peripheral blood T lymphocytes of centenarians and younger controls for the cell surface expression of CD28, a costimulatory molecule that is required for optimal activation and proliferation following engagement of the T cell receptor. Our analysis shows a significant decrease (p &lt; 0.001) in the percentage of T cells expressing CD28 in the elderly cohort, with values ranging from 44% to 90%, as compared to the mean control value of 91%. The decline in the percentage of CD28+ T cells correlates with a reduction in the CD4/CD8 ratio (r2 = 0.695, p &lt; 0.0001). Concommitantly, experiments using an in vitro T cell culture system showed a progressive loss of CD28 expression with culture “age”. The concordance of proliferative decline and loss of CD28 in the centenarians and in the in vitro cultures suggest that a Hayflick phenomenon may operate in vivo leading to immunosenescence.","container-title":"Experimental Gerontology","DOI":"10.1016/0531-5565(94)90073-6","ISSN":"0531-5565","issue":"6","journalAbbreviation":"Experimental Gerontology","language":"en","page":"601-609","source":"ScienceDirect","title":"Decline in CD28+ T cells in centenarians and in long-term T cell cultures: A possible cause for both in vivo and in vitro immunosenescence","title-short":"Decline in CD28+ T cells in centenarians and in long-term T cell cultures","volume":"29","author":[{"family":"Effros","given":"Rita B."},{"family":"Boucher","given":"Nathalie"},{"family":"Porter","given":"Verna"},{"family":"Zhu","given":"Xiaoming"},{"family":"Spaulding","given":"Carolyn"},{"family":"Walford","given":"Roy L."},{"family":"Kronenberg","given":"Mitchell"},{"family":"Cohen","given":"Daniel"},{"family":"Schächter","given":"François"}],"issued":{"date-parts":[["1994",11,1]]}}}],"schema":"https://github.com/citation-style-language/schema/raw/master/csl-citation.json"} </w:instrText>
      </w:r>
      <w:r w:rsidR="005A08F2" w:rsidRPr="001B1523">
        <w:rPr>
          <w:sz w:val="24"/>
          <w:szCs w:val="24"/>
          <w:lang w:val="en-AU"/>
        </w:rPr>
        <w:fldChar w:fldCharType="separate"/>
      </w:r>
      <w:r w:rsidR="0005433E" w:rsidRPr="001B1523">
        <w:rPr>
          <w:rFonts w:cs="Arial"/>
          <w:sz w:val="24"/>
          <w:szCs w:val="24"/>
        </w:rPr>
        <w:t>[3–5]</w:t>
      </w:r>
      <w:r w:rsidR="005A08F2" w:rsidRPr="001B1523">
        <w:rPr>
          <w:sz w:val="24"/>
          <w:szCs w:val="24"/>
          <w:lang w:val="en-AU"/>
        </w:rPr>
        <w:fldChar w:fldCharType="end"/>
      </w:r>
      <w:r w:rsidR="00360DBD" w:rsidRPr="001B1523">
        <w:rPr>
          <w:sz w:val="24"/>
          <w:szCs w:val="24"/>
          <w:lang w:val="en-AU"/>
        </w:rPr>
        <w:t xml:space="preserve">. Functionally, </w:t>
      </w:r>
      <w:r w:rsidR="00DB5EAA" w:rsidRPr="001B1523">
        <w:rPr>
          <w:sz w:val="24"/>
          <w:szCs w:val="24"/>
          <w:lang w:val="en-AU"/>
        </w:rPr>
        <w:t>“</w:t>
      </w:r>
      <w:r w:rsidR="00360DBD" w:rsidRPr="001B1523">
        <w:rPr>
          <w:sz w:val="24"/>
          <w:szCs w:val="24"/>
          <w:lang w:val="en-AU"/>
        </w:rPr>
        <w:t>senescent</w:t>
      </w:r>
      <w:r w:rsidR="00DB5EAA" w:rsidRPr="001B1523">
        <w:rPr>
          <w:sz w:val="24"/>
          <w:szCs w:val="24"/>
          <w:lang w:val="en-AU"/>
        </w:rPr>
        <w:t>”</w:t>
      </w:r>
      <w:r w:rsidR="00360DBD" w:rsidRPr="001B1523">
        <w:rPr>
          <w:sz w:val="24"/>
          <w:szCs w:val="24"/>
          <w:lang w:val="en-AU"/>
        </w:rPr>
        <w:t xml:space="preserve"> CD28</w:t>
      </w:r>
      <w:r w:rsidR="00360DBD" w:rsidRPr="001B1523">
        <w:rPr>
          <w:sz w:val="24"/>
          <w:szCs w:val="24"/>
          <w:vertAlign w:val="superscript"/>
          <w:lang w:val="en-AU"/>
        </w:rPr>
        <w:t>lo</w:t>
      </w:r>
      <w:r w:rsidR="00360DBD" w:rsidRPr="001B1523">
        <w:rPr>
          <w:sz w:val="24"/>
          <w:szCs w:val="24"/>
          <w:lang w:val="en-AU"/>
        </w:rPr>
        <w:t>CD57</w:t>
      </w:r>
      <w:r w:rsidR="00360DBD" w:rsidRPr="001B1523">
        <w:rPr>
          <w:sz w:val="24"/>
          <w:szCs w:val="24"/>
          <w:vertAlign w:val="superscript"/>
          <w:lang w:val="en-AU"/>
        </w:rPr>
        <w:t>hi</w:t>
      </w:r>
      <w:r w:rsidR="00360DBD" w:rsidRPr="001B1523">
        <w:rPr>
          <w:sz w:val="24"/>
          <w:szCs w:val="24"/>
          <w:lang w:val="en-AU"/>
        </w:rPr>
        <w:t xml:space="preserve"> </w:t>
      </w:r>
      <w:r w:rsidR="00965E2B" w:rsidRPr="001B1523">
        <w:rPr>
          <w:sz w:val="24"/>
          <w:szCs w:val="24"/>
          <w:lang w:val="en-AU"/>
        </w:rPr>
        <w:t>lymphocytes</w:t>
      </w:r>
      <w:r w:rsidR="00360DBD" w:rsidRPr="001B1523">
        <w:rPr>
          <w:sz w:val="24"/>
          <w:szCs w:val="24"/>
          <w:lang w:val="en-AU"/>
        </w:rPr>
        <w:t xml:space="preserve"> have limited proliferative potential, decreased cytolytic function, and are clonally restricted. </w:t>
      </w:r>
      <w:proofErr w:type="spellStart"/>
      <w:r w:rsidR="00360DBD" w:rsidRPr="001B1523">
        <w:rPr>
          <w:sz w:val="24"/>
          <w:szCs w:val="24"/>
          <w:lang w:val="en-AU"/>
        </w:rPr>
        <w:t>Immunosenescence</w:t>
      </w:r>
      <w:proofErr w:type="spellEnd"/>
      <w:r w:rsidR="00360DBD" w:rsidRPr="001B1523">
        <w:rPr>
          <w:sz w:val="24"/>
          <w:szCs w:val="24"/>
          <w:lang w:val="en-AU"/>
        </w:rPr>
        <w:t xml:space="preserve"> is also characterised by</w:t>
      </w:r>
      <w:r w:rsidRPr="001B1523">
        <w:rPr>
          <w:sz w:val="24"/>
          <w:szCs w:val="24"/>
          <w:lang w:val="en-AU"/>
        </w:rPr>
        <w:t xml:space="preserve"> </w:t>
      </w:r>
      <w:r w:rsidR="00360DBD" w:rsidRPr="001B1523">
        <w:rPr>
          <w:sz w:val="24"/>
          <w:szCs w:val="24"/>
          <w:lang w:val="en-AU"/>
        </w:rPr>
        <w:t>a decrease in naïve cells coupled with expansion of late-differentiated antigen-exposed cells</w:t>
      </w:r>
      <w:r w:rsidR="00A50624" w:rsidRPr="001B1523">
        <w:rPr>
          <w:sz w:val="24"/>
          <w:szCs w:val="24"/>
          <w:lang w:val="en-AU"/>
        </w:rPr>
        <w:t xml:space="preserve"> </w:t>
      </w:r>
      <w:r w:rsidR="00A50624" w:rsidRPr="001B1523">
        <w:rPr>
          <w:sz w:val="24"/>
          <w:szCs w:val="24"/>
          <w:lang w:val="en-AU"/>
        </w:rPr>
        <w:fldChar w:fldCharType="begin"/>
      </w:r>
      <w:r w:rsidR="0005433E" w:rsidRPr="001B1523">
        <w:rPr>
          <w:sz w:val="24"/>
          <w:szCs w:val="24"/>
          <w:lang w:val="en-AU"/>
        </w:rPr>
        <w:instrText xml:space="preserve"> ADDIN ZOTERO_ITEM CSL_CITATION {"citationID":"NsrqRnnj","properties":{"formattedCitation":"[6]","plainCitation":"[6]","noteIndex":0},"citationItems":[{"id":10855,"uris":["http://zotero.org/users/2272275/items/QB9K5T6V"],"uri":["http://zotero.org/users/2272275/items/QB9K5T6V"],"itemData":{"id":10855,"type":"article-journal","abstract":"The study of T cell biology has been accelerated by substantial progress at the technological level, particularly through the continuing advancement of flow cytometry. The conventional approach of observing T cells as either T helper or T cytotoxic is overly simplistic and does not allow investigators to clearly identify immune mechanisms or alterations in physiological processes that impact on clinical outcomes. The complexity of T cell sub-populations, as we understand them today, combined with the immunological and functional diversity of these subsets represent significant complications for the study of T cell biology. In this article, we review the use of classical markers in delineating T cell sub-populations, from “truly naïve” T cells (recent thymic emigrants with no proliferative history) to “exhausted senescent” T cells (poorly proliferative cells that display severe functional abnormalities) wherein the different phenotypes of these populations reflect their disparate functionalities. In addition, since persistent infections and chronological aging have been shown to be associated with significant alterations in human T cell distribution and function, we also discuss age-associated and cytomegalovirus-driven alterations in the expression of key subset markers. © 2013 International Society for Advancement of Cytometry","container-title":"Cytometry Part A","DOI":"https://doi.org/10.1002/cyto.a.22351","ISSN":"1552-4930","issue":"1","language":"en","note":"_eprint: https://onlinelibrary.wiley.com/doi/pdf/10.1002/cyto.a.22351","page":"25-35","source":"Wiley Online Library","title":"From “truly naïve” to “exhausted senescent” T cells: When markers predict functionality","title-short":"From “truly naïve” to “exhausted senescent” T cells","volume":"85","author":[{"family":"Larbi","given":"Anis"},{"family":"Fulop","given":"Tamas"}],"issued":{"date-parts":[["2014"]]}}}],"schema":"https://github.com/citation-style-language/schema/raw/master/csl-citation.json"} </w:instrText>
      </w:r>
      <w:r w:rsidR="00A50624" w:rsidRPr="001B1523">
        <w:rPr>
          <w:sz w:val="24"/>
          <w:szCs w:val="24"/>
          <w:lang w:val="en-AU"/>
        </w:rPr>
        <w:fldChar w:fldCharType="separate"/>
      </w:r>
      <w:r w:rsidR="0005433E" w:rsidRPr="001B1523">
        <w:rPr>
          <w:rFonts w:cs="Arial"/>
          <w:sz w:val="24"/>
        </w:rPr>
        <w:t>[6]</w:t>
      </w:r>
      <w:r w:rsidR="00A50624" w:rsidRPr="001B1523">
        <w:rPr>
          <w:sz w:val="24"/>
          <w:szCs w:val="24"/>
          <w:lang w:val="en-AU"/>
        </w:rPr>
        <w:fldChar w:fldCharType="end"/>
      </w:r>
      <w:r w:rsidR="00360DBD" w:rsidRPr="001B1523">
        <w:rPr>
          <w:sz w:val="24"/>
          <w:szCs w:val="24"/>
          <w:lang w:val="en-AU"/>
        </w:rPr>
        <w:t xml:space="preserve">. </w:t>
      </w:r>
      <w:r w:rsidR="00272149" w:rsidRPr="001B1523">
        <w:rPr>
          <w:sz w:val="24"/>
          <w:szCs w:val="24"/>
          <w:lang w:val="en-AU"/>
        </w:rPr>
        <w:t xml:space="preserve">Terminally </w:t>
      </w:r>
      <w:r w:rsidR="00360DBD" w:rsidRPr="001B1523">
        <w:rPr>
          <w:sz w:val="24"/>
          <w:szCs w:val="24"/>
          <w:lang w:val="en-AU"/>
        </w:rPr>
        <w:t>differentiated effector memory cells re-expressing CD45RA</w:t>
      </w:r>
      <w:r w:rsidR="004D17DF" w:rsidRPr="001B1523">
        <w:rPr>
          <w:sz w:val="24"/>
          <w:szCs w:val="24"/>
          <w:lang w:val="en-AU"/>
        </w:rPr>
        <w:t xml:space="preserve"> </w:t>
      </w:r>
      <w:r w:rsidR="00360DBD" w:rsidRPr="001B1523">
        <w:rPr>
          <w:sz w:val="24"/>
          <w:szCs w:val="24"/>
          <w:lang w:val="en-AU"/>
        </w:rPr>
        <w:t>(TEMRA)</w:t>
      </w:r>
      <w:r w:rsidR="004D17DF" w:rsidRPr="001B1523">
        <w:rPr>
          <w:sz w:val="24"/>
          <w:szCs w:val="24"/>
          <w:lang w:val="en-AU"/>
        </w:rPr>
        <w:t xml:space="preserve"> </w:t>
      </w:r>
      <w:r w:rsidR="00360DBD" w:rsidRPr="001B1523">
        <w:rPr>
          <w:sz w:val="24"/>
          <w:szCs w:val="24"/>
          <w:lang w:val="en-AU"/>
        </w:rPr>
        <w:t>–</w:t>
      </w:r>
      <w:r w:rsidR="00D91B1E" w:rsidRPr="001B1523">
        <w:rPr>
          <w:sz w:val="24"/>
          <w:szCs w:val="24"/>
          <w:lang w:val="en-AU"/>
        </w:rPr>
        <w:t xml:space="preserve"> </w:t>
      </w:r>
      <w:r w:rsidR="008D3F6B" w:rsidRPr="001B1523">
        <w:rPr>
          <w:sz w:val="24"/>
          <w:szCs w:val="24"/>
          <w:lang w:val="en-AU"/>
        </w:rPr>
        <w:t xml:space="preserve">replicative </w:t>
      </w:r>
      <w:r w:rsidR="00272149" w:rsidRPr="001B1523">
        <w:rPr>
          <w:sz w:val="24"/>
          <w:szCs w:val="24"/>
          <w:lang w:val="en-AU"/>
        </w:rPr>
        <w:t>senescent cells with</w:t>
      </w:r>
      <w:r w:rsidR="00360DBD" w:rsidRPr="001B1523">
        <w:rPr>
          <w:sz w:val="24"/>
          <w:szCs w:val="24"/>
          <w:lang w:val="en-AU"/>
        </w:rPr>
        <w:t xml:space="preserve"> diminished proliferative ability – are a marker of age-associated immune dysregulation</w:t>
      </w:r>
      <w:r w:rsidR="00A50624" w:rsidRPr="001B1523">
        <w:rPr>
          <w:sz w:val="24"/>
          <w:szCs w:val="24"/>
          <w:lang w:val="en-AU"/>
        </w:rPr>
        <w:t xml:space="preserve"> </w:t>
      </w:r>
      <w:r w:rsidR="00A50624" w:rsidRPr="001B1523">
        <w:rPr>
          <w:sz w:val="24"/>
          <w:szCs w:val="24"/>
          <w:lang w:val="en-AU"/>
        </w:rPr>
        <w:fldChar w:fldCharType="begin"/>
      </w:r>
      <w:r w:rsidR="0005433E" w:rsidRPr="001B1523">
        <w:rPr>
          <w:sz w:val="24"/>
          <w:szCs w:val="24"/>
          <w:lang w:val="en-AU"/>
        </w:rPr>
        <w:instrText xml:space="preserve"> ADDIN ZOTERO_ITEM CSL_CITATION {"citationID":"RkUNNLJQ","properties":{"formattedCitation":"[7]","plainCitation":"[7]","noteIndex":0},"citationItems":[{"id":10858,"uris":["http://zotero.org/users/2272275/items/3NXD8VA5"],"uri":["http://zotero.org/users/2272275/items/3NXD8VA5"],"itemData":{"id":10858,"type":"article-journal","abstract":"Age-dependent changes of the BM drive the accumulation of a highly activated CD8+CD28− T cell population but do not impair memory T cell polyfunctionality.","container-title":"Journal of Leukocyte Biology","DOI":"https://doi.org/10.1189/jlb.0611299","ISSN":"1938-3673","issue":"2","language":"en","note":"_eprint: https://jlb.onlinelibrary.wiley.com/doi/pdf/10.1189/jlb.0611299","page":"197-205","source":"Wiley Online Library"</w:instrText>
      </w:r>
      <w:r w:rsidR="0005433E" w:rsidRPr="001B1523">
        <w:rPr>
          <w:rFonts w:hint="eastAsia"/>
          <w:sz w:val="24"/>
          <w:szCs w:val="24"/>
          <w:lang w:val="en-AU"/>
        </w:rPr>
        <w:instrText>,"title":"The impact of aging on memory T cell phenotype and function in the human bone marrow","volume":"91","author":[{"family":"Herndler</w:instrText>
      </w:r>
      <w:r w:rsidR="0005433E" w:rsidRPr="001B1523">
        <w:rPr>
          <w:rFonts w:hint="eastAsia"/>
          <w:sz w:val="24"/>
          <w:szCs w:val="24"/>
          <w:lang w:val="en-AU"/>
        </w:rPr>
        <w:instrText>‐</w:instrText>
      </w:r>
      <w:r w:rsidR="0005433E" w:rsidRPr="001B1523">
        <w:rPr>
          <w:rFonts w:hint="eastAsia"/>
          <w:sz w:val="24"/>
          <w:szCs w:val="24"/>
          <w:lang w:val="en-AU"/>
        </w:rPr>
        <w:instrText>Brandstetter","given":"Dietmar"},{"family":"Landgraf","given":"Katja"},{"family":"Tzankov","given":"Alexandar"},{"f</w:instrText>
      </w:r>
      <w:r w:rsidR="0005433E" w:rsidRPr="001B1523">
        <w:rPr>
          <w:sz w:val="24"/>
          <w:szCs w:val="24"/>
          <w:lang w:val="en-AU"/>
        </w:rPr>
        <w:instrText>amily":"Jenewein","given":"Brigitte"},{"family":"Brunauer","given":"Regina"},{"family":"Laschober","given":"Gerhard T."},{"family":"Parson","given":"Walther"},{"family":"Kloss","given":"Frank"},{"family":"Gassner","given":"Robert"},{"family":"Lepperdinger</w:instrText>
      </w:r>
      <w:r w:rsidR="0005433E" w:rsidRPr="001B1523">
        <w:rPr>
          <w:rFonts w:hint="eastAsia"/>
          <w:sz w:val="24"/>
          <w:szCs w:val="24"/>
          <w:lang w:val="en-AU"/>
        </w:rPr>
        <w:instrText>","given":"Günter"},{"family":"Grubeck</w:instrText>
      </w:r>
      <w:r w:rsidR="0005433E" w:rsidRPr="001B1523">
        <w:rPr>
          <w:rFonts w:hint="eastAsia"/>
          <w:sz w:val="24"/>
          <w:szCs w:val="24"/>
          <w:lang w:val="en-AU"/>
        </w:rPr>
        <w:instrText>‐</w:instrText>
      </w:r>
      <w:r w:rsidR="0005433E" w:rsidRPr="001B1523">
        <w:rPr>
          <w:rFonts w:hint="eastAsia"/>
          <w:sz w:val="24"/>
          <w:szCs w:val="24"/>
          <w:lang w:val="en-AU"/>
        </w:rPr>
        <w:instrText xml:space="preserve">Loebenstein","given":"Beatrix"}],"issued":{"date-parts":[["2012"]]}}}],"schema":"https://github.com/citation-style-language/schema/raw/master/csl-citation.json"} </w:instrText>
      </w:r>
      <w:r w:rsidR="00A50624" w:rsidRPr="001B1523">
        <w:rPr>
          <w:sz w:val="24"/>
          <w:szCs w:val="24"/>
          <w:lang w:val="en-AU"/>
        </w:rPr>
        <w:fldChar w:fldCharType="separate"/>
      </w:r>
      <w:r w:rsidR="0005433E" w:rsidRPr="001B1523">
        <w:rPr>
          <w:rFonts w:cs="Arial"/>
          <w:sz w:val="24"/>
        </w:rPr>
        <w:t>[7]</w:t>
      </w:r>
      <w:r w:rsidR="00A50624" w:rsidRPr="001B1523">
        <w:rPr>
          <w:sz w:val="24"/>
          <w:szCs w:val="24"/>
          <w:lang w:val="en-AU"/>
        </w:rPr>
        <w:fldChar w:fldCharType="end"/>
      </w:r>
      <w:r w:rsidR="00360DBD" w:rsidRPr="001B1523">
        <w:rPr>
          <w:sz w:val="24"/>
          <w:szCs w:val="24"/>
          <w:lang w:val="en-AU"/>
        </w:rPr>
        <w:t>. CD8</w:t>
      </w:r>
      <w:r w:rsidR="00360DBD" w:rsidRPr="001B1523">
        <w:rPr>
          <w:sz w:val="24"/>
          <w:szCs w:val="24"/>
          <w:vertAlign w:val="superscript"/>
          <w:lang w:val="en-AU"/>
        </w:rPr>
        <w:t>+</w:t>
      </w:r>
      <w:r w:rsidR="00360DBD" w:rsidRPr="001B1523">
        <w:rPr>
          <w:sz w:val="24"/>
          <w:szCs w:val="24"/>
          <w:lang w:val="en-AU"/>
        </w:rPr>
        <w:t xml:space="preserve"> T</w:t>
      </w:r>
      <w:r w:rsidR="00DB5EAA" w:rsidRPr="001B1523">
        <w:rPr>
          <w:sz w:val="24"/>
          <w:szCs w:val="24"/>
          <w:lang w:val="en-AU"/>
        </w:rPr>
        <w:t xml:space="preserve"> </w:t>
      </w:r>
      <w:r w:rsidR="00360DBD" w:rsidRPr="001B1523">
        <w:rPr>
          <w:sz w:val="24"/>
          <w:szCs w:val="24"/>
          <w:lang w:val="en-AU"/>
        </w:rPr>
        <w:t>cell senescence is strongly associated with exposure to common latent viral infections, such as cytomegalovirus</w:t>
      </w:r>
      <w:r w:rsidR="008D3F6B" w:rsidRPr="001B1523">
        <w:rPr>
          <w:sz w:val="24"/>
          <w:szCs w:val="24"/>
          <w:lang w:val="en-AU"/>
        </w:rPr>
        <w:t xml:space="preserve"> (CMV)</w:t>
      </w:r>
      <w:r w:rsidR="00360DBD" w:rsidRPr="001B1523">
        <w:rPr>
          <w:sz w:val="24"/>
          <w:szCs w:val="24"/>
          <w:lang w:val="en-AU"/>
        </w:rPr>
        <w:t xml:space="preserve"> and Epstein-Barr virus</w:t>
      </w:r>
      <w:r w:rsidR="008D3F6B" w:rsidRPr="001B1523">
        <w:rPr>
          <w:sz w:val="24"/>
          <w:szCs w:val="24"/>
          <w:lang w:val="en-AU"/>
        </w:rPr>
        <w:t xml:space="preserve"> (EBV)</w:t>
      </w:r>
      <w:r w:rsidR="00360DBD" w:rsidRPr="001B1523">
        <w:rPr>
          <w:sz w:val="24"/>
          <w:szCs w:val="24"/>
          <w:lang w:val="en-AU"/>
        </w:rPr>
        <w:t>, with increases in both antigen-specific CD8</w:t>
      </w:r>
      <w:r w:rsidR="00360DBD" w:rsidRPr="001B1523">
        <w:rPr>
          <w:sz w:val="24"/>
          <w:szCs w:val="24"/>
          <w:vertAlign w:val="superscript"/>
          <w:lang w:val="en-AU"/>
        </w:rPr>
        <w:t>+</w:t>
      </w:r>
      <w:r w:rsidR="00360DBD" w:rsidRPr="001B1523">
        <w:rPr>
          <w:sz w:val="24"/>
          <w:szCs w:val="24"/>
          <w:lang w:val="en-AU"/>
        </w:rPr>
        <w:t xml:space="preserve"> CD28</w:t>
      </w:r>
      <w:r w:rsidR="00360DBD" w:rsidRPr="001B1523">
        <w:rPr>
          <w:sz w:val="24"/>
          <w:szCs w:val="24"/>
          <w:vertAlign w:val="superscript"/>
          <w:lang w:val="en-AU"/>
        </w:rPr>
        <w:t>lo</w:t>
      </w:r>
      <w:r w:rsidR="00360DBD" w:rsidRPr="001B1523">
        <w:rPr>
          <w:sz w:val="24"/>
          <w:szCs w:val="24"/>
          <w:lang w:val="en-AU"/>
        </w:rPr>
        <w:t>CD57</w:t>
      </w:r>
      <w:r w:rsidR="00360DBD" w:rsidRPr="001B1523">
        <w:rPr>
          <w:sz w:val="24"/>
          <w:szCs w:val="24"/>
          <w:vertAlign w:val="superscript"/>
          <w:lang w:val="en-AU"/>
        </w:rPr>
        <w:t>hi</w:t>
      </w:r>
      <w:r w:rsidR="00360DBD" w:rsidRPr="001B1523">
        <w:rPr>
          <w:sz w:val="24"/>
          <w:szCs w:val="24"/>
          <w:lang w:val="en-AU"/>
        </w:rPr>
        <w:t xml:space="preserve"> and CD8</w:t>
      </w:r>
      <w:r w:rsidR="00360DBD" w:rsidRPr="001B1523">
        <w:rPr>
          <w:sz w:val="24"/>
          <w:szCs w:val="24"/>
          <w:vertAlign w:val="superscript"/>
          <w:lang w:val="en-AU"/>
        </w:rPr>
        <w:t>+</w:t>
      </w:r>
      <w:r w:rsidR="00360DBD" w:rsidRPr="001B1523">
        <w:rPr>
          <w:sz w:val="24"/>
          <w:szCs w:val="24"/>
          <w:lang w:val="en-AU"/>
        </w:rPr>
        <w:t xml:space="preserve"> TEMRA populations reported in seropositive populations</w:t>
      </w:r>
      <w:r w:rsidR="00A50624" w:rsidRPr="001B1523">
        <w:rPr>
          <w:sz w:val="24"/>
          <w:szCs w:val="24"/>
          <w:lang w:val="en-AU"/>
        </w:rPr>
        <w:t xml:space="preserve"> </w:t>
      </w:r>
      <w:r w:rsidR="00A50624" w:rsidRPr="001B1523">
        <w:rPr>
          <w:sz w:val="24"/>
          <w:szCs w:val="24"/>
          <w:lang w:val="en-AU"/>
        </w:rPr>
        <w:fldChar w:fldCharType="begin"/>
      </w:r>
      <w:r w:rsidR="00CE3D6F" w:rsidRPr="001B1523">
        <w:rPr>
          <w:sz w:val="24"/>
          <w:szCs w:val="24"/>
          <w:lang w:val="en-AU"/>
        </w:rPr>
        <w:instrText xml:space="preserve"> ADDIN ZOTERO_ITEM CSL_CITATION {"citationID":"JMn12NLx","properties":{"formattedCitation":"[2,8,9]","plainCitation":"[2,8,9]","noteIndex":0},"citationItems":[{"id":10919,"uris":["http://zotero.org/users/2272275/items/HJIJQMVP"],"uri":["http://zotero.org/users/2272275/items/HJIJQMVP"],"itemData":{"id":10919,"type":"article-journal","abstract":"The decline of the immune system appears to be an intractable consequence of aging, leading to increased susceptibility to infections, reduced effectiveness of vaccination and higher incidences of many diseases including osteoporosis and cancer in the elderly. These outcomes can be attributed, at least in part, to a phenomenon known as T cell replicative senescence, a terminal state characterized by dysregulated immune function, loss of the CD28 costimulatory molecule, shortened telomeres and elevated production of pro-inflammatory cytokines. Senescent CD8 T cells, which accumulate in the elderly, have been shown to frequently bear antigen specificity against cytomegalovirus (CMV), suggesting that this common and persistent infection may drive immune senescence and result in functional and phenotypic changes to the T cell repertoire. Senescent T cells have also been identified in patients with certain cancers, autoimmune diseases and chronic infections, such as HIV. This review discusses the in vivo and in vitro evidence for the contribution of CD8 T cell replicative senescence to a plethora of age-related pathologies and a few possible therapeutic avenues to delay or prevent this differentiative end-state in T cells. The age-associated remodeling of the immune system, through accumulation of senescent T cells has far-reaching consequences on the individual and society alike, for the current healthcare system needs to meet the urgent demands of the increasing proportions of the elderly in the US and abroad.","container-title":"Current pharmaceutical design","ISSN":"1381-6128","issue":"9","journalAbbreviation":"Curr Pharm Des","note":"PMID: 23061726\nPMCID: PMC3749774","page":"1680-1698","source":"PubMed Central","title":"T CELL REPLICATIVE SENESCENCE IN HUMAN AGING","volume":"19","author":[{"family":"Chou","given":"Jennifer P."},{"family":"Effros","given":"Rita B."}],"issued":{"date-parts":[["2013"]]}}},{"id":10864,"uris":["http://zotero.org/users/2272275/items/RJA5DRPS"],"uri":["http://zotero.org/users/2272275/items/RJA5DRPS"],"itemData":{"id":10864,"type":"article-journal","abstract":"The elderly population is more susceptible to infections as a result of an altered immune response, commonly referred to as immunosenescence. Cytomegalovirus (CMV)-infection associated changes in blood lymphocytes are known to impact this process, but the interaction with gender remains unclear. Therefore, we analysed the effects and interaction of gender and CMV on the absolute numbers of a comprehensive set of naive and memory T- and B-cell subsets in people between 50 and 65 years of age. Enumeration and characterisation of lymphocyte subsets by flow cytometry was performed on fresh whole blood samples from 255 middle-aged persons. CMV-IgG serostatus was determined by ELISA. Gender was a major factor affecting immune cell numbers. CMV infection was mainly associated with an expansion of late-differentiated T-cell subsets. CMV+ males carried lower numbers of total CD4+, CD4+ central memory (CM) and follicular helper T-cells than females and CMV− males. Moreover, CMV+ males had significantly lower numbers of regulatory T (Treg)-cells and memory B-cells than CMV+ females. We here demonstrate an interaction between the effects of CMV infection and gender on T- and B-cells in middle-aged individuals. These differential effects on adaptive immunity between males and females may have implications for vaccination strategies at middle-age.","container-title":"Scientific Reports","DOI":"10.1038/srep26892","ISSN":"2045-2322","journalAbbreviation":"Sci Rep","note":"PMID: 27243552\nPMCID: PMC4886678","source":"PubMed Central","title":"Differential effects of Cytomegalovirus carriage on the immune phenotype of middle-aged males and females","URL":"https://www.ncbi.nlm.nih.gov/pmc/articles/PMC4886678/","volume":"6","author":[{"family":"Heiden","given":"Marieke","non-dropping-particle":"van der"},{"family":"Zelm","given":"Menno C.","non-dropping-particle":"van"},{"family":"Bartol","given":"Sophinus J. W."},{"family":"Rond","given":"Lia G. H.","non-dropping-particle":"de"},{"family":"Berbers","given":"Guy A. M."},{"family":"Boots","given":"Annemieke M. H."},{"family":"Buisman","given":"Anne-Marie"}],"accessed":{"date-parts":[["2021",2,22]]},"issued":{"date-parts":[["2016",5,31]]}}},{"id":11153,"uris":["http://zotero.org/users/2272275/items/HJGFTG77"],"uri":["http://zotero.org/users/2272275/items/HJGFTG77"],"itemData":{"id":11153,"type":"article-journal","abstract":"Human cytomegalovirus (CMV) establishes persistent, usually asymptomatic, infection in healthy people. Because CMV infection is associated with the presence of lower proportions of peripheral naïve CD8+ T-cells and a higher fraction of late-differentiated CD8+ cells, commonly taken as biomarkers of age-associated compromised adaptive immunity (‘immunosenescence’), we asked whether chronic exposure to any persistent virus mediates these effects. Herpes simplex virus (HSV) is also a widespread herpesvirus that establishes lifelong persistence, but, unlike CMV, its impact on the distribution of T-cell subsets has not been established. Here, we analysed T-cell subsets in 93 healthy people aged 42–81 years infected or not infected with CMV and/or HSV. Individuals harbouring CMV were confirmed to possess lower frequencies of naïve CD8+ T-cells (defined as CD45RA+CCR7+CD27+CD28+) and greater proportions of late-differentiated effector memory (CD45RA−CCR7−CD27−CD28−) and so-called TEMRA (CD45RA+CCR7−CD27−CD28−) CD4 and CD8 subsets, independent of HSV seropositivity. In CMV-seronegative donors, HSV did not affect T-cell subset distribution significantly. We conclude that these hallmarks of age-associated alterations to immune signatures are indeed observed in the general population in people infected with CMV and not those infected with a different persistent herpesvirus.,","container-title":"Journal of General Virology","DOI":"10.1099/vir.0.036004-0","ISSN":"1465-2099,","issue":"12","note":"publisher: Microbiology Society,","page":"2746-2756","source":"Microbiology Society Journals","title":"Infection with cytomegalovirus but not herpes simplex virus induces the accumulation of late-differentiated CD4+ and CD8+ T-cells in humans","volume":"92","author":[{"family":"Derhovanessian","given":"Evelyna"},{"family":"Maier","given":"Andrea B."},{"family":"Hähnel","given":"Karin"},{"family":"Beck","given":"Robert"},{"family":"Craen","given":"Anton J. M.","non-dropping-particle":"de"},{"family":"Slagboom","given":"Eline P."},{"family":"Westendorp","given":"Rudi G. J."},{"family":"Pawelec","given":"GrahamYR 2011"}]}}],"schema":"https://github.com/citation-style-language/schema/raw/master/csl-citation.json"} </w:instrText>
      </w:r>
      <w:r w:rsidR="00A50624" w:rsidRPr="001B1523">
        <w:rPr>
          <w:sz w:val="24"/>
          <w:szCs w:val="24"/>
          <w:lang w:val="en-AU"/>
        </w:rPr>
        <w:fldChar w:fldCharType="separate"/>
      </w:r>
      <w:r w:rsidR="00CE3D6F" w:rsidRPr="001B1523">
        <w:rPr>
          <w:rFonts w:cs="Arial"/>
          <w:sz w:val="24"/>
        </w:rPr>
        <w:t>[2,8,9]</w:t>
      </w:r>
      <w:r w:rsidR="00A50624" w:rsidRPr="001B1523">
        <w:rPr>
          <w:sz w:val="24"/>
          <w:szCs w:val="24"/>
          <w:lang w:val="en-AU"/>
        </w:rPr>
        <w:fldChar w:fldCharType="end"/>
      </w:r>
      <w:r w:rsidR="00360DBD" w:rsidRPr="001B1523">
        <w:rPr>
          <w:sz w:val="24"/>
          <w:szCs w:val="24"/>
          <w:lang w:val="en-AU"/>
        </w:rPr>
        <w:t>.</w:t>
      </w:r>
      <w:r w:rsidR="00272149" w:rsidRPr="001B1523">
        <w:rPr>
          <w:sz w:val="24"/>
          <w:szCs w:val="24"/>
          <w:lang w:val="en-AU"/>
        </w:rPr>
        <w:t xml:space="preserve"> </w:t>
      </w:r>
      <w:r w:rsidR="00360DBD" w:rsidRPr="001B1523">
        <w:rPr>
          <w:sz w:val="24"/>
          <w:szCs w:val="24"/>
          <w:lang w:val="en-AU"/>
        </w:rPr>
        <w:t xml:space="preserve">Similar age-related changes </w:t>
      </w:r>
      <w:r w:rsidR="00C34341" w:rsidRPr="001B1523">
        <w:rPr>
          <w:sz w:val="24"/>
          <w:szCs w:val="24"/>
          <w:lang w:val="en-AU"/>
        </w:rPr>
        <w:t xml:space="preserve">may also </w:t>
      </w:r>
      <w:r w:rsidR="00360DBD" w:rsidRPr="001B1523">
        <w:rPr>
          <w:sz w:val="24"/>
          <w:szCs w:val="24"/>
          <w:lang w:val="en-AU"/>
        </w:rPr>
        <w:t>occur in the CD4</w:t>
      </w:r>
      <w:r w:rsidR="00360DBD" w:rsidRPr="001B1523">
        <w:rPr>
          <w:sz w:val="24"/>
          <w:szCs w:val="24"/>
          <w:vertAlign w:val="superscript"/>
          <w:lang w:val="en-AU"/>
        </w:rPr>
        <w:t>+</w:t>
      </w:r>
      <w:r w:rsidR="00360DBD" w:rsidRPr="001B1523">
        <w:rPr>
          <w:sz w:val="24"/>
          <w:szCs w:val="24"/>
          <w:lang w:val="en-AU"/>
        </w:rPr>
        <w:t xml:space="preserve"> T</w:t>
      </w:r>
      <w:r w:rsidR="00DB5EAA" w:rsidRPr="001B1523">
        <w:rPr>
          <w:sz w:val="24"/>
          <w:szCs w:val="24"/>
          <w:lang w:val="en-AU"/>
        </w:rPr>
        <w:t xml:space="preserve"> </w:t>
      </w:r>
      <w:r w:rsidR="00360DBD" w:rsidRPr="001B1523">
        <w:rPr>
          <w:sz w:val="24"/>
          <w:szCs w:val="24"/>
          <w:lang w:val="en-AU"/>
        </w:rPr>
        <w:t xml:space="preserve">cell compartment. </w:t>
      </w:r>
      <w:r w:rsidR="00A50624" w:rsidRPr="001B1523">
        <w:rPr>
          <w:sz w:val="24"/>
          <w:szCs w:val="24"/>
          <w:lang w:val="en-AU"/>
        </w:rPr>
        <w:fldChar w:fldCharType="begin"/>
      </w:r>
      <w:r w:rsidR="00CE3D6F" w:rsidRPr="001B1523">
        <w:rPr>
          <w:sz w:val="24"/>
          <w:szCs w:val="24"/>
          <w:lang w:val="en-AU"/>
        </w:rPr>
        <w:instrText xml:space="preserve"> ADDIN ZOTERO_ITEM CSL_CITATION {"citationID":"AKCPmWyp","properties":{"formattedCitation":"[10]","plainCitation":"[10]","noteIndex":0},"citationItems":[{"id":10867,"uris":["http://zotero.org/users/2272275/items/XN7N65RG"],"uri":["http://zotero.org/users/2272275/items/XN7N65RG"],"itemData":{"id":10867,"type":"article-journal","abstract":"Beyond midlife, the immune system shows aging features and its defensive capability becomes impaired, by a process known as immunosenescence that involves many changes in the innate and adaptive responses. Innate immunity seems to be better preserved globally, while the adaptive immune response exhibits profound age-dependent modifications. Elderly people display a decline in numbers of na&amp;#239;ve T-cells in peripheral blood and lymphoid tissues, while, in contrast, their proportion of highly differentiated effector and memory T-cells, such as the CD28null T-cells, increases markedly. Na&amp;#239;ve and memory CD4+ T-cells constitute a highly dynamic system with constant homeostatic and antigen-driven proliferation, influx, and loss of T-cells. Thymic activity dwindles with age and essentially ceases in the later decades of life, severely constraining the generation of new T-cells. Homeostatic control mechanisms are very effective at maintaining a large and diverse subset of na&amp;#239;ve CD4+ T-cells throughout life, but although later than in CD8+T-cell compartment, these mechanisms ultimately fail with age.","container-title":"Frontiers in Immunology","DOI":"10.3389/fimmu.2013.00107","ISSN":"1664-3224","journalAbbreviation":"Front. Immunol.","language":"English","note":"publisher: Frontiers","source":"Frontiers","title":"When Aging Reaches CD4+ T-Cells: Phenotypic and Functional Changes","title-short":"When Aging Reaches CD4+ T-Cells","URL":"https://www.frontiersin.org/articles/10.3389/fimmu.2013.00107/full","volume":"4","author":[{"family":"Moro-García","given":"Marco Antonio"},{"family":"Alonso-Arias","given":"Rebeca"},{"family":"Lopez-Larrea","given":"Carlos"}],"accessed":{"date-parts":[["2021",2,22]]},"issued":{"date-parts":[["2013"]]}}}],"schema":"https://github.com/citation-style-language/schema/raw/master/csl-citation.json"} </w:instrText>
      </w:r>
      <w:r w:rsidR="00A50624" w:rsidRPr="001B1523">
        <w:rPr>
          <w:sz w:val="24"/>
          <w:szCs w:val="24"/>
          <w:lang w:val="en-AU"/>
        </w:rPr>
        <w:fldChar w:fldCharType="separate"/>
      </w:r>
      <w:r w:rsidR="00CE3D6F" w:rsidRPr="001B1523">
        <w:rPr>
          <w:rFonts w:cs="Arial"/>
          <w:sz w:val="24"/>
        </w:rPr>
        <w:t>[10]</w:t>
      </w:r>
      <w:r w:rsidR="00A50624" w:rsidRPr="001B1523">
        <w:rPr>
          <w:sz w:val="24"/>
          <w:szCs w:val="24"/>
          <w:lang w:val="en-AU"/>
        </w:rPr>
        <w:fldChar w:fldCharType="end"/>
      </w:r>
      <w:r w:rsidR="00360DBD" w:rsidRPr="001B1523">
        <w:rPr>
          <w:sz w:val="24"/>
          <w:szCs w:val="24"/>
          <w:lang w:val="en-AU"/>
        </w:rPr>
        <w:t xml:space="preserve">. </w:t>
      </w:r>
    </w:p>
    <w:p w14:paraId="1E8554E1" w14:textId="6F7D0C56" w:rsidR="00360DBD" w:rsidRPr="001B1523" w:rsidRDefault="00360DBD" w:rsidP="00AC4E9D">
      <w:pPr>
        <w:spacing w:line="480" w:lineRule="auto"/>
        <w:ind w:firstLine="720"/>
        <w:rPr>
          <w:sz w:val="24"/>
          <w:szCs w:val="24"/>
          <w:lang w:val="en-AU"/>
        </w:rPr>
      </w:pPr>
      <w:r w:rsidRPr="001B1523">
        <w:rPr>
          <w:sz w:val="24"/>
          <w:szCs w:val="24"/>
          <w:lang w:val="en-AU"/>
        </w:rPr>
        <w:lastRenderedPageBreak/>
        <w:t>Atrophy of the thymus gland, a key source of clonally diverse naïve T</w:t>
      </w:r>
      <w:r w:rsidR="00DB5EAA" w:rsidRPr="001B1523">
        <w:rPr>
          <w:sz w:val="24"/>
          <w:szCs w:val="24"/>
          <w:lang w:val="en-AU"/>
        </w:rPr>
        <w:t xml:space="preserve"> lymphocytes</w:t>
      </w:r>
      <w:r w:rsidRPr="001B1523">
        <w:rPr>
          <w:sz w:val="24"/>
          <w:szCs w:val="24"/>
          <w:lang w:val="en-AU"/>
        </w:rPr>
        <w:t>, is another</w:t>
      </w:r>
      <w:r w:rsidR="00A2306B" w:rsidRPr="001B1523">
        <w:rPr>
          <w:sz w:val="24"/>
          <w:szCs w:val="24"/>
          <w:lang w:val="en-AU"/>
        </w:rPr>
        <w:t xml:space="preserve"> key</w:t>
      </w:r>
      <w:r w:rsidRPr="001B1523">
        <w:rPr>
          <w:sz w:val="24"/>
          <w:szCs w:val="24"/>
          <w:lang w:val="en-AU"/>
        </w:rPr>
        <w:t xml:space="preserve"> feature of </w:t>
      </w:r>
      <w:proofErr w:type="spellStart"/>
      <w:r w:rsidRPr="001B1523">
        <w:rPr>
          <w:sz w:val="24"/>
          <w:szCs w:val="24"/>
          <w:lang w:val="en-AU"/>
        </w:rPr>
        <w:t>immunosenescence</w:t>
      </w:r>
      <w:proofErr w:type="spellEnd"/>
      <w:r w:rsidRPr="001B1523">
        <w:rPr>
          <w:sz w:val="24"/>
          <w:szCs w:val="24"/>
          <w:lang w:val="en-AU"/>
        </w:rPr>
        <w:t>. Thymic decline with age limits the naïve T</w:t>
      </w:r>
      <w:r w:rsidR="00DB5EAA" w:rsidRPr="001B1523">
        <w:rPr>
          <w:sz w:val="24"/>
          <w:szCs w:val="24"/>
          <w:lang w:val="en-AU"/>
        </w:rPr>
        <w:t xml:space="preserve"> </w:t>
      </w:r>
      <w:r w:rsidRPr="001B1523">
        <w:rPr>
          <w:sz w:val="24"/>
          <w:szCs w:val="24"/>
          <w:lang w:val="en-AU"/>
        </w:rPr>
        <w:t xml:space="preserve">cell repertoire, with consequent </w:t>
      </w:r>
      <w:r w:rsidR="00C34341" w:rsidRPr="001B1523">
        <w:rPr>
          <w:sz w:val="24"/>
          <w:szCs w:val="24"/>
          <w:lang w:val="en-AU"/>
        </w:rPr>
        <w:t xml:space="preserve">impaired </w:t>
      </w:r>
      <w:r w:rsidR="00272149" w:rsidRPr="001B1523">
        <w:rPr>
          <w:sz w:val="24"/>
          <w:szCs w:val="24"/>
          <w:lang w:val="en-AU"/>
        </w:rPr>
        <w:t xml:space="preserve">recognition of </w:t>
      </w:r>
      <w:r w:rsidRPr="001B1523">
        <w:rPr>
          <w:sz w:val="24"/>
          <w:szCs w:val="24"/>
          <w:lang w:val="en-AU"/>
        </w:rPr>
        <w:t>novel antigens</w:t>
      </w:r>
      <w:r w:rsidR="00A50624" w:rsidRPr="001B1523">
        <w:rPr>
          <w:sz w:val="24"/>
          <w:szCs w:val="24"/>
          <w:lang w:val="en-AU"/>
        </w:rPr>
        <w:t xml:space="preserve"> </w:t>
      </w:r>
      <w:r w:rsidR="00A50624" w:rsidRPr="001B1523">
        <w:rPr>
          <w:sz w:val="24"/>
          <w:szCs w:val="24"/>
          <w:lang w:val="en-AU"/>
        </w:rPr>
        <w:fldChar w:fldCharType="begin"/>
      </w:r>
      <w:r w:rsidR="00430995" w:rsidRPr="001B1523">
        <w:rPr>
          <w:sz w:val="24"/>
          <w:szCs w:val="24"/>
          <w:lang w:val="en-AU"/>
        </w:rPr>
        <w:instrText xml:space="preserve"> ADDIN ZOTERO_ITEM CSL_CITATION {"citationID":"PFmQYfaG","properties":{"unsorted":true,"formattedCitation":"[11,12]","plainCitation":"[11,12]","noteIndex":0},"citationItems":[{"id":10905,"uris":["http://zotero.org/users/2272275/items/JX3YZBVT"],"uri":["http://zotero.org/users/2272275/items/JX3YZBVT"],"itemData":{"id":10905,"type":"article-journal","abstract":"Age-related regression of the thymus is associated with a decline in na&amp;#239;ve T cell output. This is thought to contribute to the reduction in T cell diversity seen in older individuals and linked with increased susceptibility to infection, autoimmune disease and cancer. Thymic involution is one of the most dramatic and ubiquitous changes seen in the ageing immune system, but the mechanisms which underlying this process are poorly understood. However, a picture is emerging, implicating the involvement of both extrinsic and intrinsic factors. In this review we assess the role of the thymic microenvironment as a potential target that regulates thymic involution, question whether thymocyte development in the aged thymus is functionally impaired and explore the kinetics of thymic involution.","container-title":"Frontiers in Immunology","DOI":"10.3389/fimmu.2013.00316","ISSN":"1664-3224","journalAbbreviation":"Front. Immunol.","language":"English","note":"publisher: Frontiers","source":"Frontiers","title":"The Effect of Age on Thymic Function","URL":"https://www.frontiersin.org/articles/10.3389/fimmu.2013.00316/full","volume":"4","author":[{"family":"Palmer","given":"Donald B."}],"accessed":{"date-parts":[["2021",2,22]]},"issued":{"date-parts":[["2013"]]}}},{"id":10869,"uris":["http://zotero.org/users/2272275/items/AHC7GZ5L"],"uri":["http://zotero.org/users/2272275/items/AHC7GZ5L"],"itemData":{"id":10869,"type":"article-journal","abstract":"Chronic thymus involution associated with aging results in less efficient T-cell development and decreased emigration of naïve T cells to the periphery. Thymic decline in the aged is linked to increased morbidity and mortality in a wide range of clinical settings. Negative consequences of these effects on global health make it of paramount importance to understand the mechanisms driving thymic involution and homeostatic processes across the lifespan. There is growing evidence that thymus tissue is plastic and that the involution process might be therapeutically halted or reversed. We present here progress on the exploitation of thymosuppressive and thymostimulatory pathways using factors such as keratinocyte growth factor, interleukin 7 or sex steroid ablation for therapeutic thymus restoration and peripheral immune reconstitution in adults.","container-title":"Trends in Immunology","DOI":"10.1016/j.it.2009.04.003","ISSN":"1471-4906","issue":"7","journalAbbreviation":"Trends in Immunology","language":"en","page":"366-373","source":"ScienceDirect","title":"Thymic involution and immune reconstitution","volume":"30","author":[{"family":"Lynch","given":"Heather E."},{"family":"Goldberg","given":"Gabrielle L."},{"family":"Chidgey","given":"Ann"},{"family":"Van den Brink","given":"Marcel R. M."},{"family":"Boyd","given":"Richard"},{"family":"Sempowski","given":"Gregory D."}],"issued":{"date-parts":[["2009",7,1]]}}}],"schema":"https://github.com/citation-style-language/schema/raw/master/csl-citation.json"} </w:instrText>
      </w:r>
      <w:r w:rsidR="00A50624" w:rsidRPr="001B1523">
        <w:rPr>
          <w:sz w:val="24"/>
          <w:szCs w:val="24"/>
          <w:lang w:val="en-AU"/>
        </w:rPr>
        <w:fldChar w:fldCharType="separate"/>
      </w:r>
      <w:r w:rsidR="00430995" w:rsidRPr="001B1523">
        <w:rPr>
          <w:rFonts w:cs="Arial"/>
          <w:sz w:val="24"/>
        </w:rPr>
        <w:t>[11,12]</w:t>
      </w:r>
      <w:r w:rsidR="00A50624" w:rsidRPr="001B1523">
        <w:rPr>
          <w:sz w:val="24"/>
          <w:szCs w:val="24"/>
          <w:lang w:val="en-AU"/>
        </w:rPr>
        <w:fldChar w:fldCharType="end"/>
      </w:r>
      <w:r w:rsidRPr="001B1523">
        <w:rPr>
          <w:sz w:val="24"/>
          <w:szCs w:val="24"/>
          <w:lang w:val="en-AU"/>
        </w:rPr>
        <w:t>. Thymic function can be quantified non-invasively by the measurement of recent thymic emigrants (RTEs) in the peripheral blood</w:t>
      </w:r>
      <w:r w:rsidR="00D55E6A" w:rsidRPr="001B1523">
        <w:rPr>
          <w:sz w:val="24"/>
          <w:szCs w:val="24"/>
          <w:lang w:val="en-AU"/>
        </w:rPr>
        <w:t xml:space="preserve"> </w:t>
      </w:r>
      <w:r w:rsidR="00D55E6A" w:rsidRPr="001B1523">
        <w:rPr>
          <w:sz w:val="24"/>
          <w:szCs w:val="24"/>
          <w:lang w:val="en-AU"/>
        </w:rPr>
        <w:fldChar w:fldCharType="begin"/>
      </w:r>
      <w:r w:rsidR="00430995" w:rsidRPr="001B1523">
        <w:rPr>
          <w:sz w:val="24"/>
          <w:szCs w:val="24"/>
          <w:lang w:val="en-AU"/>
        </w:rPr>
        <w:instrText xml:space="preserve"> ADDIN ZOTERO_ITEM CSL_CITATION {"citationID":"UlrfKo6r","properties":{"formattedCitation":"[13]","plainCitation":"[13]","noteIndex":0},"citationItems":[{"id":10872,"uris":["http://zotero.org/users/2272275/items/S9ZZPRX5"],"uri":["http://zotero.org/users/2272275/items/S9ZZPRX5"],"itemData":{"id":10872,"type":"article-journal","abstract":"It is widely accepted that aging is accompanied by remodelling of the immune system including thymic atrophy and increased frequency of senescent T cells, leading to immune compromise. However, physical activity, which influences immunity but declines dramatically with age, is not considered in this literature. We assessed immune profiles in 125 adults (55–79 years) who had maintained a high level of physical activity (cycling) for much of their adult lives, 75 age-matched older adults and 55 young adults not involved in regular exercise. The frequency of naïve T cells and recent thymic emigrants (RTE) were both higher in cyclists compared with inactive elders, and RTE frequency in cyclists was no different to young adults. Compared with their less active counterparts, the cyclists had significantly higher serum levels of the thymoprotective cytokine IL-7 and lower IL-6, which promotes thymic atrophy. Cyclists also showed additional evidence of reduced immunesenescence, namely lower Th17 polarization and higher B regulatory cell frequency than inactive elders. Physical activity did not protect against all aspects of immunesenescence: CD28−veCD57+ve senescent CD8 T-cell frequency did not differ between cyclists and inactive elders. We conclude that many features of immunesenescence may be driven by reduced physical activity with age.","container-title":"Aging Cell","DOI":"https://doi.org/10.1111/acel.12750","ISSN":"1474-9726","issue":"2","language":"en","note":"_eprint: https://onlinelibrary.wiley.com/doi/pdf/10.1111/acel.12750","page":"e12750","source":"Wiley Online Library","title":"Major features of immunesenescence, including reduced thymic output, are ameliorated by high levels of physical activity in adulthood","volume":"17","author":[{"family":"Duggal","given":"Niharika Arora"},{"family":"Pollock","given":"Ross D."},{"family":"Lazarus","given":"Norman R."},{"family":"Harridge","given":"Stephen"},{"family":"Lord","given":"Janet M."}],"issued":{"date-parts":[["2018"]]}}}],"schema":"https://github.com/citation-style-language/schema/raw/master/csl-citation.json"} </w:instrText>
      </w:r>
      <w:r w:rsidR="00D55E6A" w:rsidRPr="001B1523">
        <w:rPr>
          <w:sz w:val="24"/>
          <w:szCs w:val="24"/>
          <w:lang w:val="en-AU"/>
        </w:rPr>
        <w:fldChar w:fldCharType="separate"/>
      </w:r>
      <w:r w:rsidR="00430995" w:rsidRPr="001B1523">
        <w:rPr>
          <w:rFonts w:cs="Arial"/>
          <w:sz w:val="24"/>
        </w:rPr>
        <w:t>[13]</w:t>
      </w:r>
      <w:r w:rsidR="00D55E6A" w:rsidRPr="001B1523">
        <w:rPr>
          <w:sz w:val="24"/>
          <w:szCs w:val="24"/>
          <w:lang w:val="en-AU"/>
        </w:rPr>
        <w:fldChar w:fldCharType="end"/>
      </w:r>
      <w:r w:rsidRPr="001B1523">
        <w:rPr>
          <w:sz w:val="24"/>
          <w:szCs w:val="24"/>
          <w:lang w:val="en-AU"/>
        </w:rPr>
        <w:t>. CD103</w:t>
      </w:r>
      <w:r w:rsidRPr="001B1523">
        <w:rPr>
          <w:sz w:val="24"/>
          <w:szCs w:val="24"/>
          <w:vertAlign w:val="superscript"/>
          <w:lang w:val="en-AU"/>
        </w:rPr>
        <w:t>+</w:t>
      </w:r>
      <w:r w:rsidRPr="001B1523">
        <w:rPr>
          <w:sz w:val="24"/>
          <w:szCs w:val="24"/>
          <w:lang w:val="en-AU"/>
        </w:rPr>
        <w:t xml:space="preserve"> and PTK7</w:t>
      </w:r>
      <w:r w:rsidRPr="001B1523">
        <w:rPr>
          <w:sz w:val="24"/>
          <w:szCs w:val="24"/>
          <w:vertAlign w:val="superscript"/>
          <w:lang w:val="en-AU"/>
        </w:rPr>
        <w:t>+</w:t>
      </w:r>
      <w:r w:rsidRPr="001B1523">
        <w:rPr>
          <w:sz w:val="24"/>
          <w:szCs w:val="24"/>
          <w:lang w:val="en-AU"/>
        </w:rPr>
        <w:t xml:space="preserve"> naïve cells within the CD8</w:t>
      </w:r>
      <w:r w:rsidRPr="001B1523">
        <w:rPr>
          <w:sz w:val="24"/>
          <w:szCs w:val="24"/>
          <w:vertAlign w:val="superscript"/>
          <w:lang w:val="en-AU"/>
        </w:rPr>
        <w:t>+</w:t>
      </w:r>
      <w:r w:rsidRPr="001B1523">
        <w:rPr>
          <w:sz w:val="24"/>
          <w:szCs w:val="24"/>
          <w:lang w:val="en-AU"/>
        </w:rPr>
        <w:t xml:space="preserve"> and CD4</w:t>
      </w:r>
      <w:r w:rsidRPr="001B1523">
        <w:rPr>
          <w:sz w:val="24"/>
          <w:szCs w:val="24"/>
          <w:vertAlign w:val="superscript"/>
          <w:lang w:val="en-AU"/>
        </w:rPr>
        <w:t>+</w:t>
      </w:r>
      <w:r w:rsidRPr="001B1523">
        <w:rPr>
          <w:sz w:val="24"/>
          <w:szCs w:val="24"/>
          <w:lang w:val="en-AU"/>
        </w:rPr>
        <w:t xml:space="preserve"> pool, respectively, have been identified as key markers of RTE</w:t>
      </w:r>
      <w:r w:rsidR="00DF561D" w:rsidRPr="001B1523">
        <w:rPr>
          <w:sz w:val="24"/>
          <w:szCs w:val="24"/>
          <w:lang w:val="en-AU"/>
        </w:rPr>
        <w:t>s</w:t>
      </w:r>
      <w:r w:rsidR="00D55E6A" w:rsidRPr="001B1523">
        <w:rPr>
          <w:sz w:val="24"/>
          <w:szCs w:val="24"/>
          <w:lang w:val="en-AU"/>
        </w:rPr>
        <w:t xml:space="preserve"> </w:t>
      </w:r>
      <w:r w:rsidR="00D55E6A" w:rsidRPr="001B1523">
        <w:rPr>
          <w:sz w:val="24"/>
          <w:szCs w:val="24"/>
          <w:lang w:val="en-AU"/>
        </w:rPr>
        <w:fldChar w:fldCharType="begin"/>
      </w:r>
      <w:r w:rsidR="00430995" w:rsidRPr="001B1523">
        <w:rPr>
          <w:sz w:val="24"/>
          <w:szCs w:val="24"/>
          <w:lang w:val="en-AU"/>
        </w:rPr>
        <w:instrText xml:space="preserve"> ADDIN ZOTERO_ITEM CSL_CITATION {"citationID":"C5C1Op9y","properties":{"formattedCitation":"[14,15]","plainCitation":"[14,15]","noteIndex":0},"citationItems":[{"id":10881,"uris":["http://zotero.org/users/2272275/items/FZIBBRIY"],"uri":["http://zotero.org/users/2272275/items/FZIBBRIY"],"itemData":{"id":10881,"type":"article-journal","abstract":"CD4+ recent thymic emigrants (RTEs) comprise a clinically and immunologically important T cell population that indicates thymic output and that is essential for maintaining a diverse αβ–T cell receptor (TCR) repertoire of the naive CD4+ T cell compartment. However, their frequency and function are poorly understood because no known surface markers distinguish them from older non-RTE naive CD4+ T cells. We demonstrate that protein tyrosine kinase 7 (PTK7) is a novel marker for human CD4+ RTEs. Consistent with their recent thymic origin, human PTK7+ RTEs contained higher levels of signal joint TCR gene excision circles and were more responsive to interleukin (IL)-7 compared with PTK7− naive CD4+ T cells, and rapidly decreased after complete thymectomy. Importantly, CD4+ RTEs proliferated less and produced less IL-2 and interferon-γ than PTK7− naive CD4+ T cells after αβ-TCR/CD3 and CD28 engagement. This immaturity in CD4+ RTE effector function may contribute to the reduced CD4+ T cell immunity observed in contexts in which CD4+ RTEs predominate, such as in the fetus and neonate or after immune reconstitution. The ability to identify viable CD4+ RTEs by PTK7 staining should be useful for monitoring thymic output in both healthy individuals and in patients with genetic or acquired CD4+ T cell immunodeficiencies.","container-title":"Journal of Experimental Medicine","DOI":"10.1084/jem.20080996","ISSN":"0022-1007","issue":"2","journalAbbreviation":"Journal of Experimental Medicine","page":"275-285","source":"Silverchair","title":"Human CD4+ T cell recent thymic emigrants are identified by protein tyrosine kinase 7 and have reduced immune function","volume":"206","author":[{"family":"Haines","given":"Christopher J."},{"family":"Giffon","given":"Thierry D."},{"family":"Lu","given":"Li-Sheng"},{"family":"Lu","given":"Xiaowei"},{"family":"Tessier-Lavigne","given":"Marc"},{"family":"Ross","given":"Douglas T."},{"family":"Lewis","given":"David B."}],"issued":{"date-parts":[["2009",1,26]]}}},{"id":10877,"uris":["http://zotero.org/users/2272275/items/CFSBE78K"],"uri":["http://zotero.org/users/2272275/items/CFSBE78K"],"itemData":{"id":10877,"type":"article-journal","abstract":"The ability to measure human thymic output would be an invaluable tool for the study of the development of the naïve T cell repertoire, as well as naïve T cell regeneration after intensive cytotoxic chemotherapy or effective antiretroviral therapy of progressive HIV infection. We and others have demonstrated previously that quantification of T cell receptor rearrangement excision circles (TREC) within peripheral T cell populations provides insight into the frequency of recent thymic emigrants (RTE) and, therefore, into thymic function. However, measurement of RTE by this approach is complicated by the fact that TREC levels also are determined by turnover within the naïve T cell compartment. Here, we report a phenotypic approach to RTE measurement. We demonstrate that αE integrin (CD103) expression is up-regulated very late in thymic development on a subset of CD8+/CD4− thymocytes and also defines a distinct subset of naïve CD8+ T cells in the periphery. The latter subset is differentiated from circulating CD103+ mucosa-associated memory T cells by its naïve T cell phenotype (CD45RO−, CD62Lbright, CD27bright, CD11adim, CD95dim) and its high concentration of TREC. Indeed, sorted CD103+ naïve CD8+ cells display higher levels of TREC than their CD103− naïve counterparts, and these cells demonstrate an age-related decline in frequency that is enhanced significantly by thymectomy. The thymic dependence of this subset and the cells' relatively evanescent presence in the periphery suggest that these cells are a population of RTE and that quantification of their frequency in peripheral blood provides an estimate of the level of ongoing thymopoiesis.","container-title":"Proceedings of the National Academy of Sciences","DOI":"10.1073/pnas.070061597","ISSN":"0027-8424, 1091-6490","issue":"8","journalAbbreviation":"PNAS","language":"en","note":"publisher: National Academy of Sciences\nsection: Biological Sciences\nPMID: 10737767","page":"4215-4220","source":"www.pnas.org","title":"Identification of a human recent thymic emigrant phenotype","volume":"97","author":[{"family":"McFarland","given":"Richard D."},{"family":"Douek","given":"Daniel C."},{"family":"Koup","given":"Richard A."},{"family":"Picker","given":"Louis J."}],"issued":{"date-parts":[["2000",4,11]]}}}],"schema":"https://github.com/citation-style-language/schema/raw/master/csl-citation.json"} </w:instrText>
      </w:r>
      <w:r w:rsidR="00D55E6A" w:rsidRPr="001B1523">
        <w:rPr>
          <w:sz w:val="24"/>
          <w:szCs w:val="24"/>
          <w:lang w:val="en-AU"/>
        </w:rPr>
        <w:fldChar w:fldCharType="separate"/>
      </w:r>
      <w:r w:rsidR="00430995" w:rsidRPr="001B1523">
        <w:rPr>
          <w:rFonts w:cs="Arial"/>
          <w:sz w:val="24"/>
        </w:rPr>
        <w:t>[14,15]</w:t>
      </w:r>
      <w:r w:rsidR="00D55E6A" w:rsidRPr="001B1523">
        <w:rPr>
          <w:sz w:val="24"/>
          <w:szCs w:val="24"/>
          <w:lang w:val="en-AU"/>
        </w:rPr>
        <w:fldChar w:fldCharType="end"/>
      </w:r>
      <w:r w:rsidRPr="001B1523">
        <w:rPr>
          <w:sz w:val="24"/>
          <w:szCs w:val="24"/>
          <w:lang w:val="en-AU"/>
        </w:rPr>
        <w:t>.</w:t>
      </w:r>
      <w:r w:rsidR="00430995" w:rsidRPr="001B1523">
        <w:rPr>
          <w:sz w:val="24"/>
          <w:szCs w:val="24"/>
          <w:lang w:val="en-AU"/>
        </w:rPr>
        <w:t xml:space="preserve"> </w:t>
      </w:r>
      <w:r w:rsidRPr="001B1523">
        <w:rPr>
          <w:sz w:val="24"/>
          <w:szCs w:val="24"/>
          <w:lang w:val="en-AU"/>
        </w:rPr>
        <w:t xml:space="preserve">Telomeres, the protective nucleoprotein structures located at the ends of chromosomes, shorten with age, and have been proposed as a biomarker of </w:t>
      </w:r>
      <w:r w:rsidR="00891CD7" w:rsidRPr="001B1523">
        <w:rPr>
          <w:sz w:val="24"/>
          <w:szCs w:val="24"/>
          <w:lang w:val="en-AU"/>
        </w:rPr>
        <w:t xml:space="preserve">cell </w:t>
      </w:r>
      <w:r w:rsidRPr="001B1523">
        <w:rPr>
          <w:sz w:val="24"/>
          <w:szCs w:val="24"/>
          <w:lang w:val="en-AU"/>
        </w:rPr>
        <w:t>ageing</w:t>
      </w:r>
      <w:r w:rsidR="006C6076" w:rsidRPr="001B1523">
        <w:rPr>
          <w:sz w:val="24"/>
          <w:szCs w:val="24"/>
          <w:lang w:val="en-AU"/>
        </w:rPr>
        <w:t xml:space="preserve"> </w:t>
      </w:r>
      <w:r w:rsidR="006C6076" w:rsidRPr="001B1523">
        <w:rPr>
          <w:sz w:val="24"/>
          <w:szCs w:val="24"/>
          <w:lang w:val="en-AU"/>
        </w:rPr>
        <w:fldChar w:fldCharType="begin"/>
      </w:r>
      <w:r w:rsidR="003D3539" w:rsidRPr="001B1523">
        <w:rPr>
          <w:sz w:val="24"/>
          <w:szCs w:val="24"/>
          <w:lang w:val="en-AU"/>
        </w:rPr>
        <w:instrText xml:space="preserve"> ADDIN ZOTERO_ITEM CSL_CITATION {"citationID":"naA9dUn6","properties":{"formattedCitation":"[16]","plainCitation":"[16]","noteIndex":0},"citationItems":[{"id":10884,"uris":["http://zotero.org/users/2272275/items/KZJLNPR8"],"uri":["http://zotero.org/users/2272275/items/KZJLNPR8"],"itemData":{"id":10884,"type":"article-journal","abstract":"Telomeres, the DNA–protein structures located at the ends of chromosomes, have been proposed to act as a biomarker of aging. In this review, the human evidence that telomere length is a biomarker of aging is evaluated. Although telomere length is implicated in cellular aging, the evidence suggesting telomere length is a biomarker of aging in humans is equivocal. More studies examining the relationships between telomere length and mortality and with measures that decline with “normal” aging in community samples are required. These studies would benefit from longitudinal measures of both telomere length and aging-related parameters.","container-title":"The Journals of Gerontology: Series A","DOI":"10.1093/gerona/glq180","ISSN":"1079-5006","issue":"2","journalAbbreviation":"The Journals of Gerontology: Series A","page":"202-213","source":"Silverchair","title":"Is Telomere Length a Biomarker of Aging? A Review","title-short":"Is Telomere Length a Biomarker of Aging?","volume":"66A","author":[{"family":"Mather","given":"Karen Anne"},{"family":"Jorm","given":"Anthony Francis"},{"family":"Parslow","given":"Ruth Adeline"},{"family":"Christensen","given":"Helen"}],"issued":{"date-parts":[["2011",2,1]]}}}],"schema":"https://github.com/citation-style-language/schema/raw/master/csl-citation.json"} </w:instrText>
      </w:r>
      <w:r w:rsidR="006C6076" w:rsidRPr="001B1523">
        <w:rPr>
          <w:sz w:val="24"/>
          <w:szCs w:val="24"/>
          <w:lang w:val="en-AU"/>
        </w:rPr>
        <w:fldChar w:fldCharType="separate"/>
      </w:r>
      <w:r w:rsidR="003D3539" w:rsidRPr="001B1523">
        <w:rPr>
          <w:rFonts w:cs="Arial"/>
          <w:sz w:val="24"/>
        </w:rPr>
        <w:t>[16]</w:t>
      </w:r>
      <w:r w:rsidR="006C6076" w:rsidRPr="001B1523">
        <w:rPr>
          <w:sz w:val="24"/>
          <w:szCs w:val="24"/>
          <w:lang w:val="en-AU"/>
        </w:rPr>
        <w:fldChar w:fldCharType="end"/>
      </w:r>
      <w:r w:rsidRPr="001B1523">
        <w:rPr>
          <w:sz w:val="24"/>
          <w:szCs w:val="24"/>
          <w:lang w:val="en-AU"/>
        </w:rPr>
        <w:t>.</w:t>
      </w:r>
      <w:r w:rsidR="00DE4F61" w:rsidRPr="001B1523">
        <w:rPr>
          <w:sz w:val="24"/>
          <w:szCs w:val="24"/>
          <w:lang w:val="en-AU"/>
        </w:rPr>
        <w:t xml:space="preserve"> </w:t>
      </w:r>
      <w:r w:rsidR="00F426DF" w:rsidRPr="001B1523">
        <w:rPr>
          <w:sz w:val="24"/>
          <w:szCs w:val="24"/>
          <w:lang w:val="en-AU"/>
        </w:rPr>
        <w:t>T</w:t>
      </w:r>
      <w:r w:rsidRPr="001B1523">
        <w:rPr>
          <w:sz w:val="24"/>
          <w:szCs w:val="24"/>
          <w:lang w:val="en-AU"/>
        </w:rPr>
        <w:t xml:space="preserve">elomere shortening and reduction of telomerase activity (a critical counter to telomere attrition) </w:t>
      </w:r>
      <w:r w:rsidR="00F426DF" w:rsidRPr="001B1523">
        <w:rPr>
          <w:sz w:val="24"/>
          <w:szCs w:val="24"/>
          <w:lang w:val="en-AU"/>
        </w:rPr>
        <w:t>occur in</w:t>
      </w:r>
      <w:r w:rsidRPr="001B1523">
        <w:rPr>
          <w:sz w:val="24"/>
          <w:szCs w:val="24"/>
          <w:lang w:val="en-AU"/>
        </w:rPr>
        <w:t xml:space="preserve"> senescent T</w:t>
      </w:r>
      <w:r w:rsidR="00DF561D" w:rsidRPr="001B1523">
        <w:rPr>
          <w:sz w:val="24"/>
          <w:szCs w:val="24"/>
          <w:lang w:val="en-AU"/>
        </w:rPr>
        <w:t xml:space="preserve"> </w:t>
      </w:r>
      <w:r w:rsidRPr="001B1523">
        <w:rPr>
          <w:sz w:val="24"/>
          <w:szCs w:val="24"/>
          <w:lang w:val="en-AU"/>
        </w:rPr>
        <w:t>cells</w:t>
      </w:r>
      <w:r w:rsidR="006C6076" w:rsidRPr="001B1523">
        <w:rPr>
          <w:sz w:val="24"/>
          <w:szCs w:val="24"/>
          <w:lang w:val="en-AU"/>
        </w:rPr>
        <w:t xml:space="preserve"> </w:t>
      </w:r>
      <w:r w:rsidR="006C6076" w:rsidRPr="001B1523">
        <w:rPr>
          <w:sz w:val="24"/>
          <w:szCs w:val="24"/>
          <w:lang w:val="en-AU"/>
        </w:rPr>
        <w:fldChar w:fldCharType="begin"/>
      </w:r>
      <w:r w:rsidR="003D3539" w:rsidRPr="001B1523">
        <w:rPr>
          <w:sz w:val="24"/>
          <w:szCs w:val="24"/>
          <w:lang w:val="en-AU"/>
        </w:rPr>
        <w:instrText xml:space="preserve"> ADDIN ZOTERO_ITEM CSL_CITATION {"citationID":"EG6ytnKH","properties":{"formattedCitation":"[17]","plainCitation":"[17]","noteIndex":0},"citationItems":[{"id":10887,"uris":["http://zotero.org/users/2272275/items/SBPRY5UT"],"uri":["http://zotero.org/users/2272275/items/SBPRY5UT"],"itemData":{"id":10887,"type":"article-journal","abstract":"Summary: The loss of CD28 expression on T cells is the most consistent biological indicator of aging in the human immune system, and the frequency of CD28null T cells is a key predictor of immune incompetence in the elderly. There is also mounting evidence for the high frequency of these unusual T cells among patients with inflammatory syndromes or with chronic infections disproportionate with their age. In these pathological states, CD28null T cells likely represent prematurely senescent lymphocytes due to persistent immune activation. Unlike the situation in CD28 gene knockout mice that have anergic CD280/0 T cells, human CD28null T cells are functionally active, long-lived, oligoclonal lymphocytes that lack or have limited proliferative capacity. Results of replicative senescence studies show that CD28null T cells are derived from CD28+ precursors that have undergone repeated stimulation, indicating that CD28 silencing underlies the program of T-cell aging. Dissection of the machinery regulating CD28 expression is paving the way in elucidating the molecular events leading to immune senescence as well as providing clues into the functional rejuvenation of senescent T cells.","container-title":"Immunological Reviews","DOI":"https://doi.org/10.1111/j.0105-2896.2005.00256.x","ISSN":"1600-065X","issue":"1","language":"en","note":"_eprint: https://onlinelibrary.wiley.com/doi/pdf/10.1111/j.0105-2896.2005.00256.x","page":"158-169","source":"Wiley Online Library","title":"CD28 extinction in human T cells: altered functions and the program of T-cell senescence","title-short":"CD28 extinction in human T cells","volume":"205","author":[{"family":"Vallejo","given":"Abbe N."}],"issued":{"date-parts":[["2005"]]}}}],"schema":"https://github.com/citation-style-language/schema/raw/master/csl-citation.json"} </w:instrText>
      </w:r>
      <w:r w:rsidR="006C6076" w:rsidRPr="001B1523">
        <w:rPr>
          <w:sz w:val="24"/>
          <w:szCs w:val="24"/>
          <w:lang w:val="en-AU"/>
        </w:rPr>
        <w:fldChar w:fldCharType="separate"/>
      </w:r>
      <w:r w:rsidR="003D3539" w:rsidRPr="001B1523">
        <w:rPr>
          <w:rFonts w:cs="Arial"/>
          <w:sz w:val="24"/>
        </w:rPr>
        <w:t>[17]</w:t>
      </w:r>
      <w:r w:rsidR="006C6076" w:rsidRPr="001B1523">
        <w:rPr>
          <w:sz w:val="24"/>
          <w:szCs w:val="24"/>
          <w:lang w:val="en-AU"/>
        </w:rPr>
        <w:fldChar w:fldCharType="end"/>
      </w:r>
      <w:r w:rsidRPr="001B1523">
        <w:rPr>
          <w:sz w:val="24"/>
          <w:szCs w:val="24"/>
          <w:lang w:val="en-AU"/>
        </w:rPr>
        <w:t xml:space="preserve">. </w:t>
      </w:r>
      <w:r w:rsidR="00E54889" w:rsidRPr="001B1523">
        <w:rPr>
          <w:sz w:val="24"/>
          <w:szCs w:val="24"/>
          <w:lang w:val="en-AU"/>
        </w:rPr>
        <w:t xml:space="preserve">Expression of </w:t>
      </w:r>
      <w:r w:rsidRPr="001B1523">
        <w:rPr>
          <w:sz w:val="24"/>
          <w:szCs w:val="24"/>
          <w:lang w:val="en-AU"/>
        </w:rPr>
        <w:t>hTERT, a rate-limiting catalytic subunit of telomerase</w:t>
      </w:r>
      <w:r w:rsidR="00F426DF" w:rsidRPr="001B1523">
        <w:rPr>
          <w:sz w:val="24"/>
          <w:szCs w:val="24"/>
          <w:lang w:val="en-AU"/>
        </w:rPr>
        <w:t>,</w:t>
      </w:r>
      <w:r w:rsidR="00DE4F61" w:rsidRPr="001B1523">
        <w:rPr>
          <w:sz w:val="24"/>
          <w:szCs w:val="24"/>
          <w:lang w:val="en-AU"/>
        </w:rPr>
        <w:t xml:space="preserve"> </w:t>
      </w:r>
      <w:r w:rsidRPr="001B1523">
        <w:rPr>
          <w:sz w:val="24"/>
          <w:szCs w:val="24"/>
          <w:lang w:val="en-AU"/>
        </w:rPr>
        <w:t>also progressively declines during T</w:t>
      </w:r>
      <w:r w:rsidR="00DF561D" w:rsidRPr="001B1523">
        <w:rPr>
          <w:sz w:val="24"/>
          <w:szCs w:val="24"/>
          <w:lang w:val="en-AU"/>
        </w:rPr>
        <w:t xml:space="preserve"> </w:t>
      </w:r>
      <w:r w:rsidRPr="001B1523">
        <w:rPr>
          <w:sz w:val="24"/>
          <w:szCs w:val="24"/>
          <w:lang w:val="en-AU"/>
        </w:rPr>
        <w:t>cell differentiation</w:t>
      </w:r>
      <w:r w:rsidR="006C6076" w:rsidRPr="001B1523">
        <w:rPr>
          <w:sz w:val="24"/>
          <w:szCs w:val="24"/>
          <w:lang w:val="en-AU"/>
        </w:rPr>
        <w:t xml:space="preserve"> </w:t>
      </w:r>
      <w:r w:rsidR="006C6076" w:rsidRPr="001B1523">
        <w:rPr>
          <w:sz w:val="24"/>
          <w:szCs w:val="24"/>
          <w:lang w:val="en-AU"/>
        </w:rPr>
        <w:fldChar w:fldCharType="begin"/>
      </w:r>
      <w:r w:rsidR="003D3539" w:rsidRPr="001B1523">
        <w:rPr>
          <w:sz w:val="24"/>
          <w:szCs w:val="24"/>
          <w:lang w:val="en-AU"/>
        </w:rPr>
        <w:instrText xml:space="preserve"> ADDIN ZOTERO_ITEM CSL_CITATION {"citationID":"C5pryyG4","properties":{"formattedCitation":"[18]","plainCitation":"[18]","noteIndex":0},"citationItems":[{"id":10890,"uris":["http://zotero.org/users/2272275/items/Z43JEMWB"],"uri":["http://zotero.org/users/2272275/items/Z43JEMWB"],"itemData":{"id":10890,"type":"article-journal","abstract":"Maintenance of telomeres is essential for preserving T cell proliferative responses yet the precise role of telomerase in human T cell differentiation, function and aging is not fully understood. Here we analyzed human telomerase reverse transcriptase (hTERT) expression and telomerase activity in six T cell subsets from 111 human adults and found that levels of hTERT mRNA and telomerase activity had an ordered decrease from naïve (TN) to central memory (TCM) to effector memory (TEM) cells and were higher in CD4+ than their corresponding CD8+ subsets. This differentiation-related reduction of hTERT mRNA and telomerase activity was preserved after activation. Furthermore, the levels of hTERT mRNA and telomerase activity were positively correlated with the degree of activation-induced proliferation and survival of T cells in vitro. Partial knockdown of hTERT by an anti-sense oligo in naïve CD4+ cells led to a modest but significant reduction of cell proliferation and increase of apoptosis. Finally, we found that activation-induced levels of hTERT mRNA and telomerase activity in naïve CD4+ T cells were significantly lower in old than in young subjects. These findings reveal that hTERT/telomerase expression declines during T cell differentiation and age-associated reduction of activation-induced expression of hTERT/telomerase mainly affect naïve CD4+ T cells and suggest that enhancing telomerase activity could be a strategy to improve T cell function in the elderly.","container-title":"Frontiers in Immunology","DOI":"10.3389/fimmu.2019.01993","ISSN":"1664-3224","journalAbbreviation":"Front. Immunol.","language":"English","note":"publisher: Frontiers","source":"Frontiers","title":"Human T Cell Differentiation Negatively Regulates Telomerase Expression Resulting in Reduced Activation-Induced Proliferation and Survival","URL":"https://www.frontiersin.org/articles/10.3389/fimmu.2019.01993/full","volume":"10","author":[{"family":"Patrick","given":"Michael S."},{"family":"Cheng","given":"Nai-Lin"},{"family":"Kim","given":"Jaekwan"},{"family":"An","given":"Jie"},{"family":"Dong","given":"Fangyuan"},{"family":"Yang","given":"Qian"},{"family":"Zou","given":"Iris"},{"family":"Weng","given":"Nan-ping"}],"accessed":{"date-parts":[["2021",2,22]]},"issued":{"date-parts":[["2019"]]}}}],"schema":"https://github.com/citation-style-language/schema/raw/master/csl-citation.json"} </w:instrText>
      </w:r>
      <w:r w:rsidR="006C6076" w:rsidRPr="001B1523">
        <w:rPr>
          <w:sz w:val="24"/>
          <w:szCs w:val="24"/>
          <w:lang w:val="en-AU"/>
        </w:rPr>
        <w:fldChar w:fldCharType="separate"/>
      </w:r>
      <w:r w:rsidR="003D3539" w:rsidRPr="001B1523">
        <w:rPr>
          <w:rFonts w:cs="Arial"/>
          <w:sz w:val="24"/>
        </w:rPr>
        <w:t>[18]</w:t>
      </w:r>
      <w:r w:rsidR="006C6076" w:rsidRPr="001B1523">
        <w:rPr>
          <w:sz w:val="24"/>
          <w:szCs w:val="24"/>
          <w:lang w:val="en-AU"/>
        </w:rPr>
        <w:fldChar w:fldCharType="end"/>
      </w:r>
      <w:r w:rsidRPr="001B1523">
        <w:rPr>
          <w:sz w:val="24"/>
          <w:szCs w:val="24"/>
          <w:lang w:val="en-AU"/>
        </w:rPr>
        <w:t xml:space="preserve">. </w:t>
      </w:r>
      <w:r w:rsidR="00C93FE1" w:rsidRPr="001B1523">
        <w:rPr>
          <w:sz w:val="24"/>
          <w:szCs w:val="24"/>
          <w:lang w:val="en-AU"/>
        </w:rPr>
        <w:t xml:space="preserve">Cellular </w:t>
      </w:r>
      <w:r w:rsidR="00AF3FA3" w:rsidRPr="001B1523">
        <w:rPr>
          <w:sz w:val="24"/>
          <w:szCs w:val="24"/>
        </w:rPr>
        <w:t xml:space="preserve">senescence is </w:t>
      </w:r>
      <w:r w:rsidR="00371E15" w:rsidRPr="001B1523">
        <w:rPr>
          <w:sz w:val="24"/>
          <w:szCs w:val="24"/>
        </w:rPr>
        <w:t xml:space="preserve">also </w:t>
      </w:r>
      <w:r w:rsidR="00AF3FA3" w:rsidRPr="001B1523">
        <w:rPr>
          <w:sz w:val="24"/>
          <w:szCs w:val="24"/>
        </w:rPr>
        <w:t xml:space="preserve">associated with an increase in the </w:t>
      </w:r>
      <w:r w:rsidR="00891CD7" w:rsidRPr="001B1523">
        <w:rPr>
          <w:sz w:val="24"/>
          <w:szCs w:val="24"/>
          <w:lang w:val="en-AU"/>
        </w:rPr>
        <w:t xml:space="preserve">cyclin-dependent kinase inhibitors </w:t>
      </w:r>
      <w:r w:rsidR="00EA185D" w:rsidRPr="001B1523">
        <w:rPr>
          <w:sz w:val="24"/>
          <w:szCs w:val="24"/>
          <w:lang w:val="en-AU"/>
        </w:rPr>
        <w:t>p16</w:t>
      </w:r>
      <w:r w:rsidR="00EA185D" w:rsidRPr="001B1523">
        <w:rPr>
          <w:sz w:val="24"/>
          <w:szCs w:val="24"/>
          <w:vertAlign w:val="superscript"/>
          <w:lang w:val="en-AU"/>
        </w:rPr>
        <w:t>INK4</w:t>
      </w:r>
      <w:r w:rsidR="00790CAB" w:rsidRPr="001B1523">
        <w:rPr>
          <w:sz w:val="24"/>
          <w:szCs w:val="24"/>
          <w:vertAlign w:val="superscript"/>
          <w:lang w:val="en-AU"/>
        </w:rPr>
        <w:t>a</w:t>
      </w:r>
      <w:r w:rsidR="00EA185D" w:rsidRPr="001B1523">
        <w:rPr>
          <w:sz w:val="24"/>
          <w:szCs w:val="24"/>
          <w:lang w:val="en-AU"/>
        </w:rPr>
        <w:t xml:space="preserve"> </w:t>
      </w:r>
      <w:r w:rsidR="00737321" w:rsidRPr="001B1523">
        <w:rPr>
          <w:sz w:val="24"/>
          <w:szCs w:val="24"/>
          <w:lang w:val="en-AU"/>
        </w:rPr>
        <w:t>and</w:t>
      </w:r>
      <w:r w:rsidR="00EA185D" w:rsidRPr="001B1523">
        <w:rPr>
          <w:sz w:val="24"/>
          <w:szCs w:val="24"/>
          <w:lang w:val="en-AU"/>
        </w:rPr>
        <w:t xml:space="preserve"> p21</w:t>
      </w:r>
      <w:r w:rsidR="00EA185D" w:rsidRPr="001B1523">
        <w:rPr>
          <w:sz w:val="24"/>
          <w:szCs w:val="24"/>
          <w:vertAlign w:val="superscript"/>
          <w:lang w:val="en-AU"/>
        </w:rPr>
        <w:t>CIP1</w:t>
      </w:r>
      <w:r w:rsidR="00465F84" w:rsidRPr="001B1523">
        <w:rPr>
          <w:sz w:val="24"/>
          <w:szCs w:val="24"/>
          <w:vertAlign w:val="superscript"/>
          <w:lang w:val="en-AU"/>
        </w:rPr>
        <w:t>/</w:t>
      </w:r>
      <w:r w:rsidR="00EA185D" w:rsidRPr="001B1523">
        <w:rPr>
          <w:sz w:val="24"/>
          <w:szCs w:val="24"/>
          <w:vertAlign w:val="superscript"/>
          <w:lang w:val="en-AU"/>
        </w:rPr>
        <w:t>Waf1</w:t>
      </w:r>
      <w:r w:rsidR="00AF3FA3" w:rsidRPr="001B1523">
        <w:rPr>
          <w:sz w:val="24"/>
          <w:szCs w:val="24"/>
          <w:lang w:val="en-AU"/>
        </w:rPr>
        <w:t xml:space="preserve">, and </w:t>
      </w:r>
      <w:r w:rsidR="009940A6" w:rsidRPr="001B1523">
        <w:rPr>
          <w:sz w:val="24"/>
          <w:szCs w:val="24"/>
          <w:lang w:val="en-AU"/>
        </w:rPr>
        <w:t xml:space="preserve">their gene expression levels within lymphocytes </w:t>
      </w:r>
      <w:r w:rsidR="00AF3FA3" w:rsidRPr="001B1523">
        <w:rPr>
          <w:sz w:val="24"/>
          <w:szCs w:val="24"/>
          <w:lang w:val="en-AU"/>
        </w:rPr>
        <w:t xml:space="preserve">have been explored as biomarkers in age-related </w:t>
      </w:r>
      <w:r w:rsidR="009940A6" w:rsidRPr="001B1523">
        <w:rPr>
          <w:sz w:val="24"/>
          <w:szCs w:val="24"/>
          <w:lang w:val="en-AU"/>
        </w:rPr>
        <w:t xml:space="preserve">cardiac and lung </w:t>
      </w:r>
      <w:r w:rsidR="00AF3FA3" w:rsidRPr="001B1523">
        <w:rPr>
          <w:sz w:val="24"/>
          <w:szCs w:val="24"/>
          <w:lang w:val="en-AU"/>
        </w:rPr>
        <w:t>diseases</w:t>
      </w:r>
      <w:r w:rsidR="000F0668" w:rsidRPr="001B1523">
        <w:rPr>
          <w:sz w:val="24"/>
          <w:szCs w:val="24"/>
          <w:lang w:val="en-AU"/>
        </w:rPr>
        <w:t xml:space="preserve"> </w:t>
      </w:r>
      <w:r w:rsidR="000F0668" w:rsidRPr="001B1523">
        <w:rPr>
          <w:sz w:val="24"/>
          <w:szCs w:val="24"/>
          <w:lang w:val="en-AU"/>
        </w:rPr>
        <w:fldChar w:fldCharType="begin"/>
      </w:r>
      <w:r w:rsidR="003D3539" w:rsidRPr="001B1523">
        <w:rPr>
          <w:sz w:val="24"/>
          <w:szCs w:val="24"/>
          <w:lang w:val="en-AU"/>
        </w:rPr>
        <w:instrText xml:space="preserve"> ADDIN ZOTERO_ITEM CSL_CITATION {"citationID":"Bk3yMcLI","properties":{"formattedCitation":"[19,20]","plainCitation":"[19,20]","noteIndex":0},"citationItems":[{"id":10980,"uris":["http://zotero.org/users/2272275/items/AU3E9X9B"],"uri":["http://zotero.org/users/2272275/items/AU3E9X9B"],"itemData":{"id":10980,"type":"article-journal","abstract":"Adults older than 65years undergo more than 120,000 coronary artery bypass (CAB) procedures each year in the United States. Chronological age alone, though commonly used in prediction models of outcomes after CAB, does not alone reflect variability in aging process; thus, the risk of complications in older adults. We performed a prospective study to evaluate a relationship between senescence marker p16INK4a expression in peripheral blood T-lymphocytes (p16 levels in PBTLs) with aging and with perioperative outcomes in older CAB patients. We included 55 patients age 55 and older, who underwent CAB in Johns Hopkins Hospital between September 1st, 2010 and March 25th, 2013. Demographic, clinical and laboratory data following outline of the Society of Thoracic Surgeons data collection form was collected, and p16 mRNA levels in PBTLs were measured using TaqMan® qRT-PCR. Associations between p16 mRNA levels in PBTLs with length of hospital stay, frailty status, p16 protein levels in the aortic and left internal mammary artery tissue, cerebral oxygen saturation, and augmentation index as a measure of vascular stiffness were measured using regression analyses. Length of hospital stay was the primary outcome of interest, and major organ morbidity, mortality, and discharge to a skilled nursing facility were secondary outcomes. In secondary analysis, we evaluated associations between p16 mRNA levels in PBTLs and interleukin-6 levels using regression analyses. Median age of enrolled patients was 63.5years (range 56–81years), they were predominantly male (74.55%), of Caucasian descent (85.45%). Median log2(p16 levels in PBTLs) were 4.71 (range 1.10–6.82). P16 levels in PBTLs were significantly associated with chronological age (mean difference 0.06 for each year increase in age, 95% CI 0.01–0.11) and interleukin 6 levels (mean difference 0.09 for each pg/ml increase in IL-6 levels, 95% CI 0.01–0.18). There were no significant associations with frailty status, augmentation index, cerebral oxygenation and p16 protein levels in blood vessels. Increasing p16 levels in PBTLs did not predict length of stay in the hospital (HR 1.10, 95% CI 0.87–1.40) or intensive care unit (HR 1.02, 95% CI 0.79–1.32). Additional evaluation of p16 levels in PBTLs as predictor of perioperative outcomes is required and should include additional markers of immune system aging as well as different outcomes after CAB in addition to length of hospital stay.","container-title":"Experimental Gerontology","DOI":"10.1016/j.exger.2015.12.003","ISSN":"0531-5565","journalAbbreviation":"Experimental Gerontology","language":"en","page":"29-36","source":"ScienceDirect","title":"Role of senescence marker p16INK4a measured in peripheral blood T-lymphocytes in predicting length of hospital stay after coronary artery bypass surgery in older adults","volume":"74","author":[{"family":"Pustavoitau","given":"Aliaksei"},{"family":"Barodka","given":"Viachaslau"},{"family":"Sharpless","given":"Norman E."},{"family":"Torrice","given":"Chad"},{"family":"Nyhan","given":"Daniel"},{"family":"Berkowitz","given":"Dan E."},{"family":"Shah","given":"Ashish S."},{"family":"Bandeen Roche","given":"Karen J."},{"family":"Walston","given":"Jeremy D."}],"issued":{"date-parts":[["2016",2,1]]}}},{"id":10983,"uris":["http://zotero.org/users/2272275/items/V7V7C6DE"],"uri":["http://zotero.org/users/2272275/items/V7V7C6DE"],"itemData":{"id":10983,"type":"article-journal","abstract":"Background\nAccelerated aging has been proposed as a pathologic mechanism of various chronic diseases, including COPD. This concept has almost exclusively been approached by analyses of individual markers. We investigated whether COPD is associated with accelerated aging using a panel of markers representing various interconnected aspects of the aging process.\nMethods\nLung function, leukocyte telomere length, lymphocyte gene expression of anti-aging (sirtuin 1, total klotho, and soluble klotho [Sklotho]), senescence (p16/21), and DNA repair (Ku70/80 and TERF2) proteins, and markers of systemic inflammation and oxidative stress were determined in 160 patients with COPD, 82 smoking subjects, and 38 never-smoking control subjects.\nResults\nMedian levels for telomere length, Sklotho, Ku70, and sirtuin 1 gene expression were lower (respectively, 4.4, 4.6, and 4.7 kbp for telomere length; 74%, 82%, and 100% for Sklotho; 88%, 92%, and 100% for Ku70 and 70%, 92%, and 100% for sirtuin 1, all P &lt; .05) in patients compared with the smoking and never-smoking control groups. P21 gene expression was higher in patients compared with smoking control subjects. Telomere length correlated with Ku70 gene expression (r = 0.15, P = .02). After correction for age, smoking history, systemic inflammation, and oxidative stress, telomere length and p21 were the only markers that remained independently associated with lung function. In separate groups, only telomere length remained associated with lung function parameters.\nConclusions\nMarkers of the aging mechanism represent distinct molecular aspects of aging. Among them, different markers were altered in COPD, but only telomere length was consistently associated with lung function, and seems a useful marker for expressing accelerated aging in COPD.","container-title":"Chest","DOI":"10.1378/chest.15-0645","ISSN":"0012-3692","issue":"1","journalAbbreviation":"Chest","language":"en","page":"53-61","source":"ScienceDirect","title":"Various Mechanistic Pathways Representing the Aging Process Are Altered in COPD","volume":"149","author":[{"family":"Rutten","given":"Erica P. A."},{"family":"Gopal","given":"Poornima"},{"family":"Wouters","given":"Emiel F. M."},{"family":"Franssen","given":"Frits M. E."},{"family":"Hageman","given":"Geja J."},{"family":"Vanfleteren","given":"Lowie E."},{"family":"Spruit","given":"Martijn A."},{"family":"Reynaert","given":"Niki L."}],"issued":{"date-parts":[["2016",1,1]]}}}],"schema":"https://github.com/citation-style-language/schema/raw/master/csl-citation.json"} </w:instrText>
      </w:r>
      <w:r w:rsidR="000F0668" w:rsidRPr="001B1523">
        <w:rPr>
          <w:sz w:val="24"/>
          <w:szCs w:val="24"/>
          <w:lang w:val="en-AU"/>
        </w:rPr>
        <w:fldChar w:fldCharType="separate"/>
      </w:r>
      <w:r w:rsidR="003D3539" w:rsidRPr="001B1523">
        <w:rPr>
          <w:rFonts w:cs="Arial"/>
          <w:sz w:val="24"/>
        </w:rPr>
        <w:t>[19,20]</w:t>
      </w:r>
      <w:r w:rsidR="000F0668" w:rsidRPr="001B1523">
        <w:rPr>
          <w:sz w:val="24"/>
          <w:szCs w:val="24"/>
          <w:lang w:val="en-AU"/>
        </w:rPr>
        <w:fldChar w:fldCharType="end"/>
      </w:r>
      <w:r w:rsidR="000F0668" w:rsidRPr="001B1523">
        <w:rPr>
          <w:sz w:val="24"/>
          <w:szCs w:val="24"/>
          <w:lang w:val="en-AU"/>
        </w:rPr>
        <w:t>.</w:t>
      </w:r>
    </w:p>
    <w:p w14:paraId="73ABBE70" w14:textId="2B71B320" w:rsidR="00360DBD" w:rsidRPr="001B1523" w:rsidRDefault="009940A6" w:rsidP="00652C89">
      <w:pPr>
        <w:spacing w:line="480" w:lineRule="auto"/>
        <w:ind w:firstLine="720"/>
        <w:rPr>
          <w:sz w:val="24"/>
          <w:szCs w:val="24"/>
          <w:lang w:val="fr-FR"/>
        </w:rPr>
      </w:pPr>
      <w:r w:rsidRPr="001B1523">
        <w:rPr>
          <w:sz w:val="24"/>
          <w:szCs w:val="24"/>
          <w:lang w:val="en-AU"/>
        </w:rPr>
        <w:t xml:space="preserve">Investigation of </w:t>
      </w:r>
      <w:proofErr w:type="spellStart"/>
      <w:r w:rsidRPr="001B1523">
        <w:rPr>
          <w:sz w:val="24"/>
          <w:szCs w:val="24"/>
          <w:lang w:val="en-AU"/>
        </w:rPr>
        <w:t>immunosenescence</w:t>
      </w:r>
      <w:proofErr w:type="spellEnd"/>
      <w:r w:rsidRPr="001B1523">
        <w:rPr>
          <w:sz w:val="24"/>
          <w:szCs w:val="24"/>
          <w:lang w:val="en-AU"/>
        </w:rPr>
        <w:t xml:space="preserve"> markers in PD h</w:t>
      </w:r>
      <w:r w:rsidR="00AC7442" w:rsidRPr="001B1523">
        <w:rPr>
          <w:sz w:val="24"/>
          <w:szCs w:val="24"/>
          <w:lang w:val="en-AU"/>
        </w:rPr>
        <w:t>as been</w:t>
      </w:r>
      <w:r w:rsidRPr="001B1523">
        <w:rPr>
          <w:sz w:val="24"/>
          <w:szCs w:val="24"/>
          <w:lang w:val="en-AU"/>
        </w:rPr>
        <w:t xml:space="preserve"> limited to date</w:t>
      </w:r>
      <w:r w:rsidR="00D82B62" w:rsidRPr="001B1523">
        <w:rPr>
          <w:sz w:val="24"/>
          <w:szCs w:val="24"/>
          <w:lang w:val="en-AU"/>
        </w:rPr>
        <w:t>. O</w:t>
      </w:r>
      <w:r w:rsidR="00AC7442" w:rsidRPr="001B1523">
        <w:rPr>
          <w:sz w:val="24"/>
          <w:szCs w:val="24"/>
          <w:lang w:val="en-AU"/>
        </w:rPr>
        <w:t xml:space="preserve">ur </w:t>
      </w:r>
      <w:r w:rsidRPr="001B1523">
        <w:rPr>
          <w:sz w:val="24"/>
          <w:szCs w:val="24"/>
          <w:lang w:val="en-AU"/>
        </w:rPr>
        <w:t>previous</w:t>
      </w:r>
      <w:r w:rsidR="00AC7442" w:rsidRPr="001B1523">
        <w:rPr>
          <w:sz w:val="24"/>
          <w:szCs w:val="24"/>
          <w:lang w:val="en-AU"/>
        </w:rPr>
        <w:t xml:space="preserve"> </w:t>
      </w:r>
      <w:r w:rsidR="00D82B62" w:rsidRPr="001B1523">
        <w:rPr>
          <w:sz w:val="24"/>
          <w:szCs w:val="24"/>
          <w:lang w:val="en-AU"/>
        </w:rPr>
        <w:t xml:space="preserve">study is the only one to our knowledge which has </w:t>
      </w:r>
      <w:r w:rsidR="00AC7442" w:rsidRPr="001B1523">
        <w:rPr>
          <w:sz w:val="24"/>
          <w:szCs w:val="24"/>
          <w:lang w:val="en-AU"/>
        </w:rPr>
        <w:t>specifically</w:t>
      </w:r>
      <w:r w:rsidRPr="001B1523">
        <w:rPr>
          <w:sz w:val="24"/>
          <w:szCs w:val="24"/>
          <w:lang w:val="en-AU"/>
        </w:rPr>
        <w:t xml:space="preserve"> investigated </w:t>
      </w:r>
      <w:r w:rsidR="00AC7442" w:rsidRPr="001B1523">
        <w:rPr>
          <w:sz w:val="24"/>
          <w:szCs w:val="24"/>
          <w:lang w:val="en-AU"/>
        </w:rPr>
        <w:t>senescent T cell subsets</w:t>
      </w:r>
      <w:r w:rsidR="008D3F6B" w:rsidRPr="001B1523">
        <w:rPr>
          <w:sz w:val="24"/>
          <w:szCs w:val="24"/>
          <w:lang w:val="en-AU"/>
        </w:rPr>
        <w:t xml:space="preserve"> in PD patients</w:t>
      </w:r>
      <w:r w:rsidR="00AC7442" w:rsidRPr="001B1523">
        <w:rPr>
          <w:sz w:val="24"/>
          <w:szCs w:val="24"/>
          <w:lang w:val="en-AU"/>
        </w:rPr>
        <w:t>.</w:t>
      </w:r>
      <w:r w:rsidR="00360DBD" w:rsidRPr="001B1523">
        <w:rPr>
          <w:sz w:val="24"/>
          <w:szCs w:val="24"/>
          <w:lang w:val="en-AU"/>
        </w:rPr>
        <w:t xml:space="preserve"> Using flow cytometric analysis</w:t>
      </w:r>
      <w:r w:rsidRPr="001B1523">
        <w:rPr>
          <w:sz w:val="24"/>
          <w:szCs w:val="24"/>
          <w:lang w:val="en-AU"/>
        </w:rPr>
        <w:t xml:space="preserve"> of peripheral blood mononuclear cells</w:t>
      </w:r>
      <w:r w:rsidR="00F426DF" w:rsidRPr="001B1523">
        <w:rPr>
          <w:sz w:val="24"/>
          <w:szCs w:val="24"/>
          <w:lang w:val="en-AU"/>
        </w:rPr>
        <w:t xml:space="preserve"> (PBMCs)</w:t>
      </w:r>
      <w:r w:rsidRPr="001B1523">
        <w:rPr>
          <w:sz w:val="24"/>
          <w:szCs w:val="24"/>
          <w:lang w:val="en-AU"/>
        </w:rPr>
        <w:t>, we observed</w:t>
      </w:r>
      <w:r w:rsidR="00360DBD" w:rsidRPr="001B1523">
        <w:rPr>
          <w:sz w:val="24"/>
          <w:szCs w:val="24"/>
          <w:lang w:val="en-AU"/>
        </w:rPr>
        <w:t xml:space="preserve"> a more activated and less senescent CD8</w:t>
      </w:r>
      <w:r w:rsidR="00360DBD" w:rsidRPr="001B1523">
        <w:rPr>
          <w:sz w:val="24"/>
          <w:szCs w:val="24"/>
          <w:vertAlign w:val="superscript"/>
          <w:lang w:val="en-AU"/>
        </w:rPr>
        <w:t>+</w:t>
      </w:r>
      <w:r w:rsidR="00360DBD" w:rsidRPr="001B1523">
        <w:rPr>
          <w:sz w:val="24"/>
          <w:szCs w:val="24"/>
          <w:lang w:val="en-AU"/>
        </w:rPr>
        <w:t xml:space="preserve"> T</w:t>
      </w:r>
      <w:r w:rsidR="00DF561D" w:rsidRPr="001B1523">
        <w:rPr>
          <w:sz w:val="24"/>
          <w:szCs w:val="24"/>
          <w:lang w:val="en-AU"/>
        </w:rPr>
        <w:t xml:space="preserve"> </w:t>
      </w:r>
      <w:r w:rsidR="00360DBD" w:rsidRPr="001B1523">
        <w:rPr>
          <w:sz w:val="24"/>
          <w:szCs w:val="24"/>
          <w:lang w:val="en-AU"/>
        </w:rPr>
        <w:t>cell profile</w:t>
      </w:r>
      <w:r w:rsidRPr="001B1523">
        <w:rPr>
          <w:sz w:val="24"/>
          <w:szCs w:val="24"/>
          <w:lang w:val="en-AU"/>
        </w:rPr>
        <w:t xml:space="preserve"> in PD cases (n=41) compared to age and </w:t>
      </w:r>
      <w:r w:rsidR="00D81F29" w:rsidRPr="001B1523">
        <w:rPr>
          <w:sz w:val="24"/>
          <w:szCs w:val="24"/>
          <w:lang w:val="en-AU"/>
        </w:rPr>
        <w:t>sex</w:t>
      </w:r>
      <w:r w:rsidRPr="001B1523">
        <w:rPr>
          <w:sz w:val="24"/>
          <w:szCs w:val="24"/>
          <w:lang w:val="en-AU"/>
        </w:rPr>
        <w:t>-matched controls (n=41)</w:t>
      </w:r>
      <w:r w:rsidR="00360DBD" w:rsidRPr="001B1523">
        <w:rPr>
          <w:sz w:val="24"/>
          <w:szCs w:val="24"/>
          <w:lang w:val="en-AU"/>
        </w:rPr>
        <w:t xml:space="preserve">, with </w:t>
      </w:r>
      <w:r w:rsidRPr="001B1523">
        <w:rPr>
          <w:sz w:val="24"/>
          <w:szCs w:val="24"/>
          <w:lang w:val="en-AU"/>
        </w:rPr>
        <w:t xml:space="preserve">a </w:t>
      </w:r>
      <w:r w:rsidR="00360DBD" w:rsidRPr="001B1523">
        <w:rPr>
          <w:sz w:val="24"/>
          <w:szCs w:val="24"/>
          <w:lang w:val="en-AU"/>
        </w:rPr>
        <w:t>reduced percentage of CD28</w:t>
      </w:r>
      <w:r w:rsidR="00360DBD" w:rsidRPr="001B1523">
        <w:rPr>
          <w:sz w:val="24"/>
          <w:szCs w:val="24"/>
          <w:vertAlign w:val="superscript"/>
          <w:lang w:val="en-AU"/>
        </w:rPr>
        <w:t>lo</w:t>
      </w:r>
      <w:r w:rsidR="00421BEF" w:rsidRPr="001B1523">
        <w:rPr>
          <w:sz w:val="24"/>
          <w:szCs w:val="24"/>
          <w:lang w:val="en-AU"/>
        </w:rPr>
        <w:t>CD5</w:t>
      </w:r>
      <w:r w:rsidR="00360DBD" w:rsidRPr="001B1523">
        <w:rPr>
          <w:sz w:val="24"/>
          <w:szCs w:val="24"/>
          <w:lang w:val="en-AU"/>
        </w:rPr>
        <w:t>7</w:t>
      </w:r>
      <w:r w:rsidR="00360DBD" w:rsidRPr="001B1523">
        <w:rPr>
          <w:sz w:val="24"/>
          <w:szCs w:val="24"/>
          <w:vertAlign w:val="superscript"/>
          <w:lang w:val="en-AU"/>
        </w:rPr>
        <w:t>hi</w:t>
      </w:r>
      <w:r w:rsidR="00360DBD" w:rsidRPr="001B1523">
        <w:rPr>
          <w:sz w:val="24"/>
          <w:szCs w:val="24"/>
          <w:lang w:val="en-AU"/>
        </w:rPr>
        <w:t xml:space="preserve"> cells and TEMRA cells</w:t>
      </w:r>
      <w:r w:rsidR="006C6076" w:rsidRPr="001B1523">
        <w:rPr>
          <w:sz w:val="24"/>
          <w:szCs w:val="24"/>
          <w:lang w:val="en-AU"/>
        </w:rPr>
        <w:t xml:space="preserve"> </w:t>
      </w:r>
      <w:r w:rsidR="006C6076" w:rsidRPr="001B1523">
        <w:rPr>
          <w:sz w:val="24"/>
          <w:szCs w:val="24"/>
          <w:lang w:val="en-AU"/>
        </w:rPr>
        <w:fldChar w:fldCharType="begin"/>
      </w:r>
      <w:r w:rsidR="003D3539" w:rsidRPr="001B1523">
        <w:rPr>
          <w:sz w:val="24"/>
          <w:szCs w:val="24"/>
          <w:lang w:val="en-AU"/>
        </w:rPr>
        <w:instrText xml:space="preserve"> ADDIN ZOTERO_ITEM CSL_CITATION {"citationID":"wsjYfVWS","properties":{"formattedCitation":"[21]","plainCitation":"[21]","noteIndex":0},"citationItems":[{"id":1994,"uris":["http://zotero.org/users/2272275/items/MV5CB7RG"],"uri":["http://zotero.org/users/2272275/items/MV5CB7RG"],"itemData":{"id":1994,"type":"article-journal","abstract":"A wealth of evidence implicates both central and peripheral immune changes as contributing to the pathogenesis of Parkinson’s disease (PD). It is critical to better understand this aspect of PD given that it is a tractable target for disease-modifying therapy. Age-related changes are known to occur in the immune system (immunosenescence) and might be of particular relevance in PD given that its prevalence rises with increasing age. We therefore sought to investigate this with respect to T cell replicative senescence, a key immune component of human ageing.","container-title":"Journal of Neuroinflammation","DOI":"10.1186/s12974-018-1206-5","ISSN":"1742-2094","issue":"1","journalAbbreviation":"Journal of Neuroinflammation","page":"166","source":"BioMed Central","title":"Abnormalities of age-related T cell senescence in Parkinson’s disease","volume":"15","author":[{"family":"Williams-Gray","given":"C. H."},{"family":"Wijeyekoon","given":"R. S."},{"family":"Scott","given":"K. M."},{"family":"Hayat","given":"S."},{"family":"Barker","given":"R. A."},{"family":"Jones","given":"J. L."}],"issued":{"date-parts":[["2018",5,28]]}}}],"schema":"https://github.com/citation-style-language/schema/raw/master/csl-citation.json"} </w:instrText>
      </w:r>
      <w:r w:rsidR="006C6076" w:rsidRPr="001B1523">
        <w:rPr>
          <w:sz w:val="24"/>
          <w:szCs w:val="24"/>
          <w:lang w:val="en-AU"/>
        </w:rPr>
        <w:fldChar w:fldCharType="separate"/>
      </w:r>
      <w:r w:rsidR="003D3539" w:rsidRPr="001B1523">
        <w:rPr>
          <w:rFonts w:cs="Arial"/>
          <w:sz w:val="24"/>
        </w:rPr>
        <w:t>[21]</w:t>
      </w:r>
      <w:r w:rsidR="006C6076" w:rsidRPr="001B1523">
        <w:rPr>
          <w:sz w:val="24"/>
          <w:szCs w:val="24"/>
          <w:lang w:val="en-AU"/>
        </w:rPr>
        <w:fldChar w:fldCharType="end"/>
      </w:r>
      <w:r w:rsidR="00360DBD" w:rsidRPr="001B1523">
        <w:rPr>
          <w:sz w:val="24"/>
          <w:szCs w:val="24"/>
          <w:lang w:val="en-AU"/>
        </w:rPr>
        <w:t xml:space="preserve">. </w:t>
      </w:r>
      <w:r w:rsidR="00AC7442" w:rsidRPr="001B1523">
        <w:rPr>
          <w:sz w:val="24"/>
          <w:szCs w:val="24"/>
          <w:lang w:val="en-AU"/>
        </w:rPr>
        <w:t xml:space="preserve">Our findings </w:t>
      </w:r>
      <w:r w:rsidR="00360DBD" w:rsidRPr="001B1523">
        <w:rPr>
          <w:sz w:val="24"/>
          <w:szCs w:val="24"/>
          <w:lang w:val="en-AU"/>
        </w:rPr>
        <w:t xml:space="preserve">support </w:t>
      </w:r>
      <w:r w:rsidR="00F426DF" w:rsidRPr="001B1523">
        <w:rPr>
          <w:sz w:val="24"/>
          <w:szCs w:val="24"/>
          <w:lang w:val="en-AU"/>
        </w:rPr>
        <w:t xml:space="preserve">the proposed </w:t>
      </w:r>
      <w:r w:rsidR="00360DBD" w:rsidRPr="001B1523">
        <w:rPr>
          <w:sz w:val="24"/>
          <w:szCs w:val="24"/>
          <w:lang w:val="en-AU"/>
        </w:rPr>
        <w:t>role of immune hyperactivity and inflammation in PD initiation and progression</w:t>
      </w:r>
      <w:r w:rsidR="006C6076" w:rsidRPr="001B1523">
        <w:rPr>
          <w:sz w:val="24"/>
          <w:szCs w:val="24"/>
          <w:lang w:val="en-AU"/>
        </w:rPr>
        <w:t xml:space="preserve"> </w:t>
      </w:r>
      <w:r w:rsidR="006C6076" w:rsidRPr="001B1523">
        <w:rPr>
          <w:sz w:val="24"/>
          <w:szCs w:val="24"/>
          <w:lang w:val="en-AU"/>
        </w:rPr>
        <w:fldChar w:fldCharType="begin"/>
      </w:r>
      <w:r w:rsidR="003D3539" w:rsidRPr="001B1523">
        <w:rPr>
          <w:sz w:val="24"/>
          <w:szCs w:val="24"/>
          <w:lang w:val="en-AU"/>
        </w:rPr>
        <w:instrText xml:space="preserve"> ADDIN ZOTERO_ITEM CSL_CITATION {"citationID":"azYBrZG9","properties":{"unsorted":true,"formattedCitation":"[22,23]","plainCitation":"[22,23]","noteIndex":0},"citationItems":[{"id":423,"uris":["http://zotero.org/users/2272275/items/ATIIC2QI"],"uri":["http://zotero.org/users/2272275/items/ATIIC2QI"],"itemData":{"id":423,"type":"article-journal","abstract":"Background\n\nThe immune system is a promising therapeutic target for disease modification in Parkinson's disease (PD), but appropriate immune-related biomarkers must be identified to allow patient stratification for trials and tracking of therapeutic effects. The objective of this study was to investigate whether immune markers in peripheral blood are candidate prognostic biomarkers through determining their relationship with disease progression in PD.\n\n\nMethods\n\nSerum samples were collected in incident PD cases and age-matched controls. Subjects were clinically evaluated at baseline and 18 and 36 months. Ten cytokines and C-reactive protein were measured, with data reduction using principal-component analysis, and relationships between component scores and motor (MDS Unified Parkinson's Disease Rating Scale — part 3) and cognitive (Mini Mental State Examination [MMSE]) measures of disease severity/progression were investigated.\n\n\nResults\n\nTNF-α, IL1-β, IL-2, and IL-10 were higher in PD (n = 230) than in controls (n = 93), P ≤ 0.001). Principal-component analysis of log-transformed data resulted in a 3-component solution explaining 51% of the variance. Higher “proinflammatory” and lower “anti-inflammatory” component scores were associated with more rapid motor progression over 36 months (P &lt; 0.05), and higher “proinflammatory” component scores were associated with lower MMSE at all times (P &lt; 0.05). Multiple linear regression analysis with adjustment for covariates confirmed “anti-inflammatory” component score was the strongest predictor of slower motor progression (β = −0.22, P = 0.002), whereas proinflammatory cytokines were associated with lower baseline MMSE (β = −0.175, P = 0.007).\n\n\nConclusions\n\nSerum immune marker profile is predictive of disease progression in PD and hence a potential prognostic biomarker. However, interventional trials are needed to clarify whether peripheral immune changes causally contribute to the progression of PD. © 2016 The Authors. Movement Disorders published by Wiley Periodicals, Inc. on behalf of International Parkinson and Movement Disorder Society","container-title":"Movement Disorders","DOI":"10.1002/mds.26563","ISSN":"1531-8257","issue":"7","journalAbbreviation":"Mov Disord.","language":"en","page":"995-1003","source":"Wiley Online Library","title":"Serum immune markers and disease progression in an incident Parkinson's disease cohort (ICICLE-PD)","volume":"31","author":[{"family":"Williams-Gray","given":"Caroline H."},{"family":"Wijeyekoon","given":"Ruwani"},{"family":"Yarnall","given":"Alison J."},{"family":"Lawson","given":"Rachael A."},{"family":"Breen","given":"David P."},{"family":"Evans","given":"Jonathan R."},{"family":"Cummins","given":"Gemma A."},{"family":"Duncan","given":"Gordon W."},{"family":"Khoo","given":"Tien K."},{"family":"Burn","given":"David J."},{"family":"Barker","given":"Roger A."},{"literal":"on behalf of the ICICLE-PD study group"}],"issued":{"date-parts":[["2016",7,1]]}}},{"id":264,"uris":["http://zotero.org/users/2272275/items/WJ2JDQAP"],"uri":["http://zotero.org/users/2272275/items/WJ2JDQAP"],"itemData":{"id":264,"type":"article-journal","container-title":"The Lancet Neurology","issue":"4","page":"382–397","source":"Google Scholar","title":"Neuroinflammation in Parkinson's disease: a target for neuroprotection?","title-short":"Neuroinflammation in Parkinson's disease","volume":"8","author":[{"family":"Hirsch","given":"Etienne C."},{"family":"Hunot","given":"Stéphane"}],"issued":{"date-parts":[["2009"]]}}}],"schema":"https://github.com/citation-style-language/schema/raw/master/csl-citation.json"} </w:instrText>
      </w:r>
      <w:r w:rsidR="006C6076" w:rsidRPr="001B1523">
        <w:rPr>
          <w:sz w:val="24"/>
          <w:szCs w:val="24"/>
          <w:lang w:val="en-AU"/>
        </w:rPr>
        <w:fldChar w:fldCharType="separate"/>
      </w:r>
      <w:r w:rsidR="003D3539" w:rsidRPr="001B1523">
        <w:rPr>
          <w:rFonts w:cs="Arial"/>
          <w:sz w:val="24"/>
        </w:rPr>
        <w:t>[22,23]</w:t>
      </w:r>
      <w:r w:rsidR="006C6076" w:rsidRPr="001B1523">
        <w:rPr>
          <w:sz w:val="24"/>
          <w:szCs w:val="24"/>
          <w:lang w:val="en-AU"/>
        </w:rPr>
        <w:fldChar w:fldCharType="end"/>
      </w:r>
      <w:r w:rsidR="00360DBD" w:rsidRPr="001B1523">
        <w:rPr>
          <w:sz w:val="24"/>
          <w:szCs w:val="24"/>
          <w:lang w:val="en-AU"/>
        </w:rPr>
        <w:t>.</w:t>
      </w:r>
      <w:r w:rsidR="00737321" w:rsidRPr="001B1523">
        <w:rPr>
          <w:sz w:val="24"/>
          <w:szCs w:val="24"/>
          <w:lang w:val="en-AU"/>
        </w:rPr>
        <w:t xml:space="preserve"> </w:t>
      </w:r>
      <w:r w:rsidR="00360DBD" w:rsidRPr="001B1523">
        <w:rPr>
          <w:sz w:val="24"/>
          <w:szCs w:val="24"/>
          <w:lang w:val="en-AU"/>
        </w:rPr>
        <w:t>Interestingly, CMV positivity was associated with CD8 senescence</w:t>
      </w:r>
      <w:r w:rsidR="00F426DF" w:rsidRPr="001B1523">
        <w:rPr>
          <w:sz w:val="24"/>
          <w:szCs w:val="24"/>
          <w:lang w:val="en-AU"/>
        </w:rPr>
        <w:t>,</w:t>
      </w:r>
      <w:r w:rsidR="00360DBD" w:rsidRPr="001B1523">
        <w:rPr>
          <w:sz w:val="24"/>
          <w:szCs w:val="24"/>
          <w:lang w:val="en-AU"/>
        </w:rPr>
        <w:t xml:space="preserve"> (as expected</w:t>
      </w:r>
      <w:r w:rsidR="00F426DF" w:rsidRPr="001B1523">
        <w:rPr>
          <w:sz w:val="24"/>
          <w:szCs w:val="24"/>
          <w:lang w:val="en-AU"/>
        </w:rPr>
        <w:t>,</w:t>
      </w:r>
      <w:r w:rsidR="00360DBD" w:rsidRPr="001B1523">
        <w:rPr>
          <w:sz w:val="24"/>
          <w:szCs w:val="24"/>
          <w:lang w:val="en-AU"/>
        </w:rPr>
        <w:t xml:space="preserve"> in controls, but not in PD patients</w:t>
      </w:r>
      <w:r w:rsidR="0046388D" w:rsidRPr="001B1523">
        <w:rPr>
          <w:sz w:val="24"/>
          <w:szCs w:val="24"/>
          <w:lang w:val="en-AU"/>
        </w:rPr>
        <w:t xml:space="preserve">, raising the </w:t>
      </w:r>
      <w:r w:rsidR="00360DBD" w:rsidRPr="001B1523">
        <w:rPr>
          <w:sz w:val="24"/>
          <w:szCs w:val="24"/>
          <w:lang w:val="en-AU"/>
        </w:rPr>
        <w:t xml:space="preserve">possibility that PD </w:t>
      </w:r>
      <w:r w:rsidR="0046388D" w:rsidRPr="001B1523">
        <w:rPr>
          <w:sz w:val="24"/>
          <w:szCs w:val="24"/>
          <w:lang w:val="en-AU"/>
        </w:rPr>
        <w:t>might be</w:t>
      </w:r>
      <w:r w:rsidR="00360DBD" w:rsidRPr="001B1523">
        <w:rPr>
          <w:sz w:val="24"/>
          <w:szCs w:val="24"/>
          <w:lang w:val="en-AU"/>
        </w:rPr>
        <w:t xml:space="preserve"> associated with intrinsic differences in </w:t>
      </w:r>
      <w:r w:rsidR="0046388D" w:rsidRPr="001B1523">
        <w:rPr>
          <w:sz w:val="24"/>
          <w:szCs w:val="24"/>
          <w:lang w:val="en-AU"/>
        </w:rPr>
        <w:t>the CD8</w:t>
      </w:r>
      <w:r w:rsidR="0046388D" w:rsidRPr="001B1523">
        <w:rPr>
          <w:sz w:val="24"/>
          <w:szCs w:val="24"/>
          <w:vertAlign w:val="superscript"/>
          <w:lang w:val="en-AU"/>
        </w:rPr>
        <w:t>+</w:t>
      </w:r>
      <w:r w:rsidR="0046388D" w:rsidRPr="001B1523">
        <w:rPr>
          <w:sz w:val="24"/>
          <w:szCs w:val="24"/>
          <w:lang w:val="en-AU"/>
        </w:rPr>
        <w:t xml:space="preserve"> response </w:t>
      </w:r>
      <w:r w:rsidR="0046388D" w:rsidRPr="001B1523">
        <w:rPr>
          <w:sz w:val="24"/>
          <w:szCs w:val="24"/>
          <w:lang w:val="en-AU"/>
        </w:rPr>
        <w:lastRenderedPageBreak/>
        <w:t xml:space="preserve">to viral infection. </w:t>
      </w:r>
      <w:r w:rsidR="00D82B62" w:rsidRPr="001B1523">
        <w:rPr>
          <w:sz w:val="24"/>
          <w:szCs w:val="24"/>
          <w:lang w:val="en-AU"/>
        </w:rPr>
        <w:t xml:space="preserve">We </w:t>
      </w:r>
      <w:r w:rsidR="00360DBD" w:rsidRPr="001B1523">
        <w:rPr>
          <w:sz w:val="24"/>
          <w:szCs w:val="24"/>
          <w:lang w:val="en-AU"/>
        </w:rPr>
        <w:t>found no significant changes in markers of CD4</w:t>
      </w:r>
      <w:r w:rsidR="00360DBD" w:rsidRPr="001B1523">
        <w:rPr>
          <w:sz w:val="24"/>
          <w:szCs w:val="24"/>
          <w:vertAlign w:val="superscript"/>
          <w:lang w:val="en-AU"/>
        </w:rPr>
        <w:t>+</w:t>
      </w:r>
      <w:r w:rsidR="00360DBD" w:rsidRPr="001B1523">
        <w:rPr>
          <w:sz w:val="24"/>
          <w:szCs w:val="24"/>
          <w:lang w:val="en-AU"/>
        </w:rPr>
        <w:t xml:space="preserve"> replicative senescence in PD versus controls, but this warrants replication given the evidence for altered CD4</w:t>
      </w:r>
      <w:r w:rsidR="00360DBD" w:rsidRPr="001B1523">
        <w:rPr>
          <w:sz w:val="24"/>
          <w:szCs w:val="24"/>
          <w:vertAlign w:val="superscript"/>
          <w:lang w:val="en-AU"/>
        </w:rPr>
        <w:t>+</w:t>
      </w:r>
      <w:r w:rsidR="00360DBD" w:rsidRPr="001B1523">
        <w:rPr>
          <w:sz w:val="24"/>
          <w:szCs w:val="24"/>
          <w:lang w:val="en-AU"/>
        </w:rPr>
        <w:t xml:space="preserve"> T</w:t>
      </w:r>
      <w:r w:rsidR="00A72D68" w:rsidRPr="001B1523">
        <w:rPr>
          <w:sz w:val="24"/>
          <w:szCs w:val="24"/>
          <w:lang w:val="en-AU"/>
        </w:rPr>
        <w:t xml:space="preserve"> </w:t>
      </w:r>
      <w:r w:rsidR="00360DBD" w:rsidRPr="001B1523">
        <w:rPr>
          <w:sz w:val="24"/>
          <w:szCs w:val="24"/>
          <w:lang w:val="en-AU"/>
        </w:rPr>
        <w:t>cell subsets in PD</w:t>
      </w:r>
      <w:r w:rsidR="006C6076" w:rsidRPr="001B1523">
        <w:rPr>
          <w:sz w:val="24"/>
          <w:szCs w:val="24"/>
          <w:lang w:val="en-AU"/>
        </w:rPr>
        <w:t xml:space="preserve"> </w:t>
      </w:r>
      <w:r w:rsidR="006C6076" w:rsidRPr="001B1523">
        <w:rPr>
          <w:sz w:val="24"/>
          <w:szCs w:val="24"/>
          <w:lang w:val="en-AU"/>
        </w:rPr>
        <w:fldChar w:fldCharType="begin"/>
      </w:r>
      <w:r w:rsidR="003D3539" w:rsidRPr="001B1523">
        <w:rPr>
          <w:sz w:val="24"/>
          <w:szCs w:val="24"/>
          <w:lang w:val="en-AU"/>
        </w:rPr>
        <w:instrText xml:space="preserve"> ADDIN ZOTERO_ITEM CSL_CITATION {"citationID":"NedCjhX1","properties":{"unsorted":true,"formattedCitation":"[21,24\\uc0\\u8211{}26]","plainCitation":"[21,24–26]","noteIndex":0},"citationItems":[{"id":1994,"uris":["http://zotero.org/users/2272275/items/MV5CB7RG"],"uri":["http://zotero.org/users/2272275/items/MV5CB7RG"],"itemData":{"id":1994,"type":"article-journal","abstract":"A wealth of evidence implicates both central and peripheral immune changes as contributing to the pathogenesis of Parkinson’s disease (PD). It is critical to better understand this aspect of PD given that it is a tractable target for disease-modifying therapy. Age-related changes are known to occur in the immune system (immunosenescence) and might be of particular relevance in PD given that its prevalence rises with increasing age. We therefore sought to investigate this with respect to T cell replicative senescence, a key immune component of human ageing.","container-title":"Journal of Neuroinflammation","DOI":"10.1186/s12974-018-1206-5","ISSN":"1742-2094","issue":"1","journalAbbreviation":"Journal of Neuroinflammation","page":"166","source":"BioMed Central","title":"Abnormalities of age-related T cell senescence in Parkinson’s disease","volume":"15","author":[{"family":"Williams-Gray","given":"C. H."},{"family":"Wijeyekoon","given":"R. S."},{"family":"Scott","given":"K. M."},{"family":"Hayat","given":"S."},{"family":"Barker","given":"R. A."},{"family":"Jones","given":"J. L."}],"issued":{"date-parts":[["2018",5,28]]}}},{"id":2083,"uris":["http://zotero.org/users/2272275/items/QFLKPGAE"],"uri":["http://zotero.org/users/2272275/items/QFLKPGAE"],"itemData":{"id":2083,"type":"article-journal","abstract":"Animal models and clinical studies have linked the innate and adaptive immune system to the pathology of Parkinson’s disease (PD). Despite such progress, the specific immune responses that influence disease progression have eluded investigators. Herein, we assessed relationships between T cell phenotype and function with PD progression. Peripheral blood lymphocytes from two separate cohorts, a discovery cohort and a validation cohort, totaling 113 PD patients and 96 age- and environment-matched caregivers were examined by flow cytometric analysis and T cell proliferation assays. Increased effector/memory T cells (Tem), defined as CD45RO+ and FAS+ CD4+ T cells and decreased CD31+ and α4β7+ CD4+ T cells were associated with progressive Unified Parkinson’s Disease Rating Scale III scores. However, no associations were seen between immune biomarkers and increased age or disease duration. Impaired abilities of regulatory T cells (Treg) from PD patients to suppress effector T cell function was observed. These data support the concept that chronic immune stimulation, notably Tem activation and Treg dysfunction is linked to PD pathobiology and disease severity, but not disease duration. The association of T cell phenotypes with motor symptoms provides fresh avenues for novel biomarkers and therapeutic designs.","container-title":"Journal of Neuroimmune Pharmacology","DOI":"10.1007/s11481-012-9402-z","ISSN":"1557-1904","issue":"4","journalAbbreviation":"J Neuroimmune Pharmacol","language":"en","page":"927-938","source":"Springer Link","title":"CD4+ Regulatory and Effector/Memory T Cell Subsets Profile Motor Dysfunction in Parkinson’s Disease","volume":"7","author":[{"family":"Saunders","given":"Jessica A. Hutter"},{"family":"Estes","given":"Katherine A."},{"family":"Kosloski","given":"Lisa M."},{"family":"Allen","given":"Heather E."},{"family":"Dempsey","given":"Kathryn M."},{"family":"Torres-Russotto","given":"Diego R."},{"family":"Meza","given":"Jane L."},{"family":"Santamaria","given":"Pamela M."},{"family":"Bertoni","given":"John M."},{"family":"Murman","given":"Daniel L."},{"family":"Ali","given":"Hesham H."},{"family":"Standaert","given":"David G."},{"family":"Mosley","given":"R. Lee"},{"family":"Gendelman","given":"Howard E."}],"issued":{"date-parts":[["2012",12,1]]}}},{"id":2342,"uris":["http://zotero.org/users/2272275/items/5XDNQAVM"],"uri":["http://zotero.org/users/2272275/items/5XDNQAVM"],"itemData":{"id":2342,"type":"article-journal","abstract":"Immune reaction-related inflammation may be important in the pathogenesis of Parkinson disease (PD). To elucidate peripheral immunologic alterations in PD, we characterized extended peripheral T-lymphocyte populations in 33 patients with PD and 34 normal subjects. Patients with PD had significantly decreased CD4+:CD8+T-cell ratios (P&lt;0.001), fewer CD4+CD25+T cells (P&lt;0.01), and significantly increased ratios of IFN-γ-producing to IL-4-producing T cells (P&lt;0.001). The characteristics of predominant expression of CD8+T cells, depletion of CD4+CD25high cells, and a shift to a TH1-type immune response in the peripheral immune system in PD patients may reflect an immune reaction-associated inflammatory process in the brain.","container-title":"Parkinsonism &amp; Related Disorders","DOI":"10.1016/j.parkreldis.2005.07.005","ISSN":"1353-8020","issue":"8","journalAbbreviation":"Parkinsonism &amp; Related Disorders","page":"493-498","source":"ScienceDirect","title":"Alterations of T-lymphocyte populations in Parkinson disease","volume":"11","author":[{"family":"Baba","given":"Yasuhiko"},{"family":"Kuroiwa","given":"Ataru"},{"family":"Uitti","given":"Ryan J."},{"family":"Wszolek","given":"Zbigniew K."},{"family":"Yamada","given":"Tatsuo"}],"issued":{"date-parts":[["2005",12,1]]}}},{"id":2346,"uris":["http://zotero.org/users/2272275/items/D456UPV7"],"uri":["http://zotero.org/users/2272275/items/D456UPV7"],"itemData":{"id":2346,"type":"article-journal","abstract":"To assess the involvement of the immune system in Parkinson’s disease we studied the phenotype of circulating lymphocytes in 30 untreated and 34 treated patients. We found a numeric decrease in helper T cells (higher in CD4+CD45RA+ than in CD4+CD29+) and B cells, and a rise in activated, CD4+CD25+ lymphocytes that was correlated with lymphocyte depletion. All these alterations were independent of levodopa treatment. In addition, we performed striatal dopamine depletion in rats with either MPP+ or 6-OHDA, showing that MPP+ but not 6-OHDA can increase CD4+CD25+ lymphocytes. Thus, mechanisms other than dopamine deficit may explain the immune activation in Parkinson’s disease.","container-title":"Journal of Neuroimmunology","DOI":"10.1016/S0165-5728(00)00422-7","ISSN":"0165-5728","issue":"1","journalAbbreviation":"Journal of Neuroimmunology","page":"146-152","source":"ScienceDirect","title":"Lymphocyte populations in Parkinson’s disease and in rat models of parkinsonism","volume":"113","author":[{"family":"Bas","given":"Jordi"},{"family":"Calopa","given":"Màtil"},{"family":"Mestre","given":"Mariona"},{"family":"Mollevı́","given":"David G."},{"family":"Cutillas","given":"Blanca"},{"family":"Ambrosio","given":"Santiago"},{"family":"Buendia","given":"Enric"}],"issued":{"date-parts":[["2001",2,1]]}}}],"schema":"https://github.com/citation-style-language/schema/raw/master/csl-citation.json"} </w:instrText>
      </w:r>
      <w:r w:rsidR="006C6076" w:rsidRPr="001B1523">
        <w:rPr>
          <w:sz w:val="24"/>
          <w:szCs w:val="24"/>
          <w:lang w:val="en-AU"/>
        </w:rPr>
        <w:fldChar w:fldCharType="separate"/>
      </w:r>
      <w:r w:rsidR="003D3539" w:rsidRPr="001B1523">
        <w:rPr>
          <w:rFonts w:cs="Arial"/>
          <w:sz w:val="24"/>
          <w:szCs w:val="24"/>
        </w:rPr>
        <w:t>[21,24–26]</w:t>
      </w:r>
      <w:r w:rsidR="006C6076" w:rsidRPr="001B1523">
        <w:rPr>
          <w:sz w:val="24"/>
          <w:szCs w:val="24"/>
          <w:lang w:val="en-AU"/>
        </w:rPr>
        <w:fldChar w:fldCharType="end"/>
      </w:r>
      <w:r w:rsidR="00360DBD" w:rsidRPr="001B1523">
        <w:rPr>
          <w:sz w:val="24"/>
          <w:szCs w:val="24"/>
          <w:lang w:val="fr-FR"/>
        </w:rPr>
        <w:t>.</w:t>
      </w:r>
      <w:r w:rsidR="00652C89" w:rsidRPr="001B1523">
        <w:rPr>
          <w:sz w:val="24"/>
          <w:szCs w:val="24"/>
          <w:lang w:val="fr-FR"/>
        </w:rPr>
        <w:t xml:space="preserve"> </w:t>
      </w:r>
      <w:r w:rsidR="00652C89" w:rsidRPr="001B1523">
        <w:rPr>
          <w:sz w:val="24"/>
          <w:szCs w:val="24"/>
          <w:lang w:val="en-AU"/>
        </w:rPr>
        <w:t>Thymic output in PD has not previously been explored.</w:t>
      </w:r>
    </w:p>
    <w:p w14:paraId="141CA435" w14:textId="70ABBB43" w:rsidR="00D15F81" w:rsidRPr="001B1523" w:rsidRDefault="00652C89" w:rsidP="00AC4E9D">
      <w:pPr>
        <w:spacing w:line="480" w:lineRule="auto"/>
        <w:ind w:firstLine="720"/>
        <w:rPr>
          <w:sz w:val="24"/>
          <w:szCs w:val="24"/>
          <w:lang w:val="en-AU"/>
        </w:rPr>
      </w:pPr>
      <w:r w:rsidRPr="001B1523">
        <w:rPr>
          <w:sz w:val="24"/>
          <w:szCs w:val="24"/>
          <w:lang w:val="en-AU"/>
        </w:rPr>
        <w:t xml:space="preserve">Prior </w:t>
      </w:r>
      <w:r w:rsidR="00360DBD" w:rsidRPr="001B1523">
        <w:rPr>
          <w:sz w:val="24"/>
          <w:szCs w:val="24"/>
          <w:lang w:val="en-AU"/>
        </w:rPr>
        <w:t>studies exploring telomere length in PD are equivocal: a recent meta-analysis of eight studies showed no difference between 956 PD patients and 1284 controls when pooling across different tissue types</w:t>
      </w:r>
      <w:r w:rsidR="006C6076" w:rsidRPr="001B1523">
        <w:rPr>
          <w:sz w:val="24"/>
          <w:szCs w:val="24"/>
          <w:lang w:val="en-AU"/>
        </w:rPr>
        <w:t xml:space="preserve"> </w:t>
      </w:r>
      <w:r w:rsidR="006C6076" w:rsidRPr="001B1523">
        <w:rPr>
          <w:sz w:val="24"/>
          <w:szCs w:val="24"/>
          <w:lang w:val="en-AU"/>
        </w:rPr>
        <w:fldChar w:fldCharType="begin"/>
      </w:r>
      <w:r w:rsidR="00CE3D6F" w:rsidRPr="001B1523">
        <w:rPr>
          <w:sz w:val="24"/>
          <w:szCs w:val="24"/>
          <w:lang w:val="en-AU"/>
        </w:rPr>
        <w:instrText xml:space="preserve"> ADDIN ZOTERO_ITEM CSL_CITATION {"citationID":"xrDU10gZ","properties":{"formattedCitation":"[27]","plainCitation":"[27]","noteIndex":0},"citationItems":[{"id":10907,"uris":["http://zotero.org/users/2272275/items/N4CR5UUK"],"uri":["http://zotero.org/users/2272275/items/N4CR5UUK"],"itemData":{"id":10907,"type":"article-journal","abstract":"Parkinson's disease (PD) is a common and severe movement disorder. Differences in telomere length (TL) have been reported as possible risk factors for several neuropsychiatric disorders, including PD. Results from published studies for TL in PD are inconsistent, highlighting the need for a meta-analysis. In the current work, a meta-analysis of published studies for TL in PD was carried out. PubMed, Web of Science and Google Scholar databases were used to identify relevant articles that reported TL in groups of PD patients and controls. A random-effects model was used for meta-analytical procedures. The meta-analysis included eight primary studies, derived from populations of European and Asian descent, and did not show a significant difference in TL between 956 PD patients and 1284 controls (p value: 0.246). Our results show that there is no consistent evidence of shorter telomeres in PD patients and suggest the importance of future studies on TL and PD that analyze other populations and also include assessment of TL from different brain regions.","container-title":"Experimental Gerontology","DOI":"10.1016/j.exger.2016.01.002","ISSN":"0531-5565","journalAbbreviation":"Experimental Gerontology","language":"en","page":"53-55","source":"ScienceDirect","title":"Telomere length in Parkinson's disease: A meta-analysis","title-short":"Telomere length in Parkinson's disease","volume":"75","author":[{"family":"Forero","given":"Diego A."},{"family":"González-Giraldo","given":"Yeimy"},{"family":"López-Quintero","given":"Catalina"},{"family":"Castro-Vega","given":"Luis J."},{"family":"Barreto","given":"George E."},{"family":"Perry","given":"George"}],"issued":{"date-parts":[["2016",3,1]]}}}],"schema":"https://github.com/citation-style-language/schema/raw/master/csl-citation.json"} </w:instrText>
      </w:r>
      <w:r w:rsidR="006C6076" w:rsidRPr="001B1523">
        <w:rPr>
          <w:sz w:val="24"/>
          <w:szCs w:val="24"/>
          <w:lang w:val="en-AU"/>
        </w:rPr>
        <w:fldChar w:fldCharType="separate"/>
      </w:r>
      <w:r w:rsidR="00CE3D6F" w:rsidRPr="001B1523">
        <w:rPr>
          <w:rFonts w:cs="Arial"/>
          <w:sz w:val="24"/>
        </w:rPr>
        <w:t>[27]</w:t>
      </w:r>
      <w:r w:rsidR="006C6076" w:rsidRPr="001B1523">
        <w:rPr>
          <w:sz w:val="24"/>
          <w:szCs w:val="24"/>
          <w:lang w:val="en-AU"/>
        </w:rPr>
        <w:fldChar w:fldCharType="end"/>
      </w:r>
      <w:r w:rsidR="00360DBD" w:rsidRPr="001B1523">
        <w:rPr>
          <w:sz w:val="24"/>
          <w:szCs w:val="24"/>
          <w:lang w:val="en-AU"/>
        </w:rPr>
        <w:t>. However</w:t>
      </w:r>
      <w:r w:rsidR="006C6076" w:rsidRPr="001B1523">
        <w:rPr>
          <w:sz w:val="24"/>
          <w:szCs w:val="24"/>
          <w:lang w:val="en-AU"/>
        </w:rPr>
        <w:t>,</w:t>
      </w:r>
      <w:r w:rsidR="00360DBD" w:rsidRPr="001B1523">
        <w:rPr>
          <w:sz w:val="24"/>
          <w:szCs w:val="24"/>
          <w:lang w:val="en-AU"/>
        </w:rPr>
        <w:t xml:space="preserve"> longer telomere length in peripheral blood mononuclear cells of PD patients versus controls has been observed</w:t>
      </w:r>
      <w:r w:rsidR="00F426DF" w:rsidRPr="001B1523">
        <w:rPr>
          <w:sz w:val="24"/>
          <w:szCs w:val="24"/>
          <w:lang w:val="en-AU"/>
        </w:rPr>
        <w:t>.</w:t>
      </w:r>
      <w:r w:rsidR="00360DBD" w:rsidRPr="001B1523">
        <w:rPr>
          <w:sz w:val="24"/>
          <w:szCs w:val="24"/>
          <w:lang w:val="en-AU"/>
        </w:rPr>
        <w:t xml:space="preserve"> </w:t>
      </w:r>
      <w:r w:rsidR="006C6076" w:rsidRPr="001B1523">
        <w:rPr>
          <w:sz w:val="24"/>
          <w:szCs w:val="24"/>
          <w:lang w:val="en-AU"/>
        </w:rPr>
        <w:fldChar w:fldCharType="begin"/>
      </w:r>
      <w:r w:rsidR="00CE3D6F" w:rsidRPr="001B1523">
        <w:rPr>
          <w:sz w:val="24"/>
          <w:szCs w:val="24"/>
          <w:lang w:val="en-AU"/>
        </w:rPr>
        <w:instrText xml:space="preserve"> ADDIN ZOTERO_ITEM CSL_CITATION {"citationID":"HPmX2gVG","properties":{"formattedCitation":"[28]","plainCitation":"[28]","noteIndex":0},"citationItems":[{"id":10916,"uris":["http://zotero.org/users/2272275/items/FVFUQ627"],"uri":["http://zotero.org/users/2272275/items/FVFUQ627"],"itemData":{"id":10916,"type":"article-journal","abstract":"Telomeres are repetitive tracts of DNA which protect chromosomal integrity. Increased oxidative stress leads to shorter telomeres, which have been associated with several late-onset human diseases. Given independent evidence of oxidative stress and Parkinson's disease (PD), and conflicting reports of the role of telomere length in PD, we measured telomere length in both PD peripheral blood monocytes and in substantia nigra from affected individuals and controls. We confirmed previous findings of a paradoxically longer telomere length in blood from PD patients, but found no difference in telomere length in substantia nigra. Confounding factors provide a likely explanation for the findings in blood, and possibly the reduced frequency of cigarette smoking in PD patients. We conclude that telomere shortening is unlikely to be involved in the pathogenesis of PD.","container-title":"Neurobiology of Aging","DOI":"10.1016/j.neurobiolaging.2011.05.022","ISSN":"1558-1497","issue":"11","journalAbbreviation":"Neurobiol Aging","language":"eng","note":"PMID: 21794951\nPMCID: PMC4034165","page":"2107.e3-5","source":"PubMed","title":"No evidence of substantia nigra telomere shortening in Parkinson's disease","volume":"32","author":[{"family":"Hudson","given":"Gavin"},{"family":"Faini","given":"David"},{"family":"Stutt","given":"Andrea"},{"family":"Eccles","given":"Martin"},{"family":"Robinson","given":"Louise"},{"family":"Burn","given":"David J."},{"family":"Chinnery","given":"Patrick F."}],"issued":{"date-parts":[["2011",11]]}}}],"schema":"https://github.com/citation-style-language/schema/raw/master/csl-citation.json"} </w:instrText>
      </w:r>
      <w:r w:rsidR="006C6076" w:rsidRPr="001B1523">
        <w:rPr>
          <w:sz w:val="24"/>
          <w:szCs w:val="24"/>
          <w:lang w:val="en-AU"/>
        </w:rPr>
        <w:fldChar w:fldCharType="separate"/>
      </w:r>
      <w:r w:rsidR="00CE3D6F" w:rsidRPr="001B1523">
        <w:rPr>
          <w:rFonts w:cs="Arial"/>
          <w:sz w:val="24"/>
        </w:rPr>
        <w:t>[28]</w:t>
      </w:r>
      <w:r w:rsidR="006C6076" w:rsidRPr="001B1523">
        <w:rPr>
          <w:sz w:val="24"/>
          <w:szCs w:val="24"/>
          <w:lang w:val="en-AU"/>
        </w:rPr>
        <w:fldChar w:fldCharType="end"/>
      </w:r>
      <w:r w:rsidR="00360DBD" w:rsidRPr="001B1523">
        <w:rPr>
          <w:sz w:val="24"/>
          <w:szCs w:val="24"/>
          <w:lang w:val="en-AU"/>
        </w:rPr>
        <w:t>. In addition</w:t>
      </w:r>
      <w:r w:rsidR="008A1487" w:rsidRPr="001B1523">
        <w:rPr>
          <w:sz w:val="24"/>
          <w:szCs w:val="24"/>
          <w:lang w:val="en-AU"/>
        </w:rPr>
        <w:t>,</w:t>
      </w:r>
      <w:r w:rsidR="00360DBD" w:rsidRPr="001B1523">
        <w:rPr>
          <w:sz w:val="24"/>
          <w:szCs w:val="24"/>
          <w:lang w:val="en-AU"/>
        </w:rPr>
        <w:t xml:space="preserve"> long</w:t>
      </w:r>
      <w:r w:rsidR="00F426DF" w:rsidRPr="001B1523">
        <w:rPr>
          <w:sz w:val="24"/>
          <w:szCs w:val="24"/>
          <w:lang w:val="en-AU"/>
        </w:rPr>
        <w:t>er</w:t>
      </w:r>
      <w:r w:rsidR="00360DBD" w:rsidRPr="001B1523">
        <w:rPr>
          <w:sz w:val="24"/>
          <w:szCs w:val="24"/>
          <w:lang w:val="en-AU"/>
        </w:rPr>
        <w:t xml:space="preserve"> leukocyte telomeres have been identified as a risk factor for developing dementia within three years of PD diagnosis</w:t>
      </w:r>
      <w:r w:rsidR="006C6076" w:rsidRPr="001B1523">
        <w:rPr>
          <w:sz w:val="24"/>
          <w:szCs w:val="24"/>
          <w:lang w:val="en-AU"/>
        </w:rPr>
        <w:t xml:space="preserve"> </w:t>
      </w:r>
      <w:r w:rsidR="006C6076" w:rsidRPr="001B1523">
        <w:rPr>
          <w:sz w:val="24"/>
          <w:szCs w:val="24"/>
          <w:lang w:val="en-AU"/>
        </w:rPr>
        <w:fldChar w:fldCharType="begin"/>
      </w:r>
      <w:r w:rsidR="00CE3D6F" w:rsidRPr="001B1523">
        <w:rPr>
          <w:sz w:val="24"/>
          <w:szCs w:val="24"/>
          <w:lang w:val="en-AU"/>
        </w:rPr>
        <w:instrText xml:space="preserve"> ADDIN ZOTERO_ITEM CSL_CITATION {"citationID":"C9GVZikx","properties":{"formattedCitation":"[29]","plainCitation":"[29]","noteIndex":0},"citationItems":[{"id":10910,"uris":["http://zotero.org/users/2272275/items/NLCAFJKN"],"uri":["http://zotero.org/users/2272275/items/NLCAFJKN"],"itemData":{"id":10910,"type":"article-journal","abstract":"Telomere length (TL) is regarded as a marker of cellular aging due to the gradual shortening by each cell division, but is influenced by a number of factors including oxidative stress and inflammation. Parkinson's disease and atypical forms of parkinsonism occur mainly in the elderly, with oxidative stress and inflammation in afflicted cells. In this study the relationship between blood TL and prognosis of 168 patients with idiopathic parkinsonism (136 Parkinson's disease [PD], 17 Progressive Supranuclear Palsy [PSP], and 15 Multiple System Atrophy [MSA]) and 30 controls was investigated. TL and motor and cognitive performance were assessed at baseline (diagnosis) and repeatedly up to three to five years follow up. No difference in TL between controls and patients was shown at baseline, nor any significant difference in TL stability or attrition during follow up. Interestingly, a significant relationship between TL at diagnosis and cognitive phenotype at follow up in PD and PSP patients was found, with longer mean TL at diagnosis in patients that developed dementia within three years.","container-title":"PLOS ONE","DOI":"10.1371/journal.pone.0113387","ISSN":"1932-6203","issue":"12","journalAbbreviation":"PLOS ONE","language":"en","note":"publisher: Public Library of Science","page":"e113387","source":"PLoS Journals","title":"Long Leukocyte Telomere Length at Diagnosis Is a Risk Factor for Dementia Progression in Idiopathic Parkinsonism","volume":"9","author":[{"family":"Degerman","given":"Sofie"},{"family":"Domellöf","given":"Magdalena"},{"family":"Landfors","given":"Mattias"},{"family":"Linder","given":"Jan"},{"family":"Lundin","given":"Mathias"},{"family":"Haraldsson","given":"Susann"},{"family":"Elgh","given":"Eva"},{"family":"Roos","given":"Göran"},{"family":"Forsgren","given":"Lars"}],"issued":{"date-parts":[["2014",12,12]]}}}],"schema":"https://github.com/citation-style-language/schema/raw/master/csl-citation.json"} </w:instrText>
      </w:r>
      <w:r w:rsidR="006C6076" w:rsidRPr="001B1523">
        <w:rPr>
          <w:sz w:val="24"/>
          <w:szCs w:val="24"/>
          <w:lang w:val="en-AU"/>
        </w:rPr>
        <w:fldChar w:fldCharType="separate"/>
      </w:r>
      <w:r w:rsidR="00CE3D6F" w:rsidRPr="001B1523">
        <w:rPr>
          <w:rFonts w:cs="Arial"/>
          <w:sz w:val="24"/>
        </w:rPr>
        <w:t>[29]</w:t>
      </w:r>
      <w:r w:rsidR="006C6076" w:rsidRPr="001B1523">
        <w:rPr>
          <w:sz w:val="24"/>
          <w:szCs w:val="24"/>
          <w:lang w:val="en-AU"/>
        </w:rPr>
        <w:fldChar w:fldCharType="end"/>
      </w:r>
      <w:r w:rsidR="005D73D8" w:rsidRPr="001B1523">
        <w:rPr>
          <w:sz w:val="24"/>
          <w:szCs w:val="24"/>
          <w:lang w:val="en-AU"/>
        </w:rPr>
        <w:t>, although our own prior study</w:t>
      </w:r>
      <w:r w:rsidR="00E774F1" w:rsidRPr="001B1523">
        <w:rPr>
          <w:sz w:val="24"/>
          <w:szCs w:val="24"/>
          <w:lang w:val="en-AU"/>
        </w:rPr>
        <w:t xml:space="preserve"> had opposing findings, with shorter telomeres in incident PD cases who went on to develop a dementia within 3 years</w:t>
      </w:r>
      <w:r w:rsidR="006A198D" w:rsidRPr="001B1523">
        <w:rPr>
          <w:sz w:val="24"/>
          <w:szCs w:val="24"/>
          <w:lang w:val="en-AU"/>
        </w:rPr>
        <w:t xml:space="preserve"> </w:t>
      </w:r>
      <w:r w:rsidR="006A198D" w:rsidRPr="001B1523">
        <w:rPr>
          <w:sz w:val="24"/>
          <w:szCs w:val="24"/>
          <w:lang w:val="en-AU"/>
        </w:rPr>
        <w:fldChar w:fldCharType="begin"/>
      </w:r>
      <w:r w:rsidR="00CE3D6F" w:rsidRPr="001B1523">
        <w:rPr>
          <w:sz w:val="24"/>
          <w:szCs w:val="24"/>
          <w:lang w:val="en-AU"/>
        </w:rPr>
        <w:instrText xml:space="preserve"> ADDIN ZOTERO_ITEM CSL_CITATION {"citationID":"YsHyVQw0","properties":{"formattedCitation":"[30]","plainCitation":"[30]","noteIndex":0},"citationItems":[{"id":10965,"uris":["http://zotero.org/users/2272275/items/EKKTHB3E"],"uri":["http://zotero.org/users/2272275/items/EKKTHB3E"],"itemData":{"id":10965,"type":"article-journal","abstract":"Background: Cognitive decline is a frequent complication of Parkinson’s disease (PD) and the identification of predictive biomarkers for it would help in its management. Objective: Our aim was to analyse whether senescence markers (telomere length, p","container-title":"Journal of Parkinson's Disease","DOI":"10.3233/JPD-191724","ISSN":"1877-7171","issue":"1","language":"en","note":"publisher: IOS Press","page":"193-206","source":"content.iospress.com","title":"Senescence and Inflammatory Markers for Predicting Clinical Progression in Parkinson’s Disease: The ICICLE-PD Study","title-short":"Senescence and Inflammatory Markers for Predicting Clinical Progression in Parkinson’s Disease","volume":"10","author":[{"family":"Martin-Ruiz","given":"Carmen"},{"family":"Williams-Gray","given":"Caroline H."},{"family":"Yarnall","given":"Alison J."},{"family":"Boucher","given":"John J."},{"family":"Lawson","given":"Rachael A."},{"family":"Wijeyekoon","given":"Ruwani S."},{"family":"Barker","given":"Roger A."},{"family":"Kolenda","given":"Claire"},{"family":"Parker","given":"Craig"},{"family":"Burn","given":"David J."},{"family":"Von Zglinicki","given":"Thomas"},{"family":"Saretzki","given":"Gabriele"}],"issued":{"date-parts":[["2020",1,1]]}}}],"schema":"https://github.com/citation-style-language/schema/raw/master/csl-citation.json"} </w:instrText>
      </w:r>
      <w:r w:rsidR="006A198D" w:rsidRPr="001B1523">
        <w:rPr>
          <w:sz w:val="24"/>
          <w:szCs w:val="24"/>
          <w:lang w:val="en-AU"/>
        </w:rPr>
        <w:fldChar w:fldCharType="separate"/>
      </w:r>
      <w:r w:rsidR="00CE3D6F" w:rsidRPr="001B1523">
        <w:rPr>
          <w:rFonts w:cs="Arial"/>
          <w:sz w:val="24"/>
        </w:rPr>
        <w:t>[30]</w:t>
      </w:r>
      <w:r w:rsidR="006A198D" w:rsidRPr="001B1523">
        <w:rPr>
          <w:sz w:val="24"/>
          <w:szCs w:val="24"/>
          <w:lang w:val="en-AU"/>
        </w:rPr>
        <w:fldChar w:fldCharType="end"/>
      </w:r>
      <w:r w:rsidR="006A198D" w:rsidRPr="001B1523">
        <w:rPr>
          <w:sz w:val="24"/>
          <w:szCs w:val="24"/>
          <w:lang w:val="en-AU"/>
        </w:rPr>
        <w:t>.</w:t>
      </w:r>
      <w:r w:rsidR="00E774F1" w:rsidRPr="001B1523">
        <w:rPr>
          <w:sz w:val="24"/>
          <w:szCs w:val="24"/>
          <w:lang w:val="en-AU"/>
        </w:rPr>
        <w:t xml:space="preserve"> </w:t>
      </w:r>
      <w:r w:rsidR="00F426DF" w:rsidRPr="001B1523">
        <w:rPr>
          <w:sz w:val="24"/>
          <w:szCs w:val="24"/>
          <w:lang w:val="en-AU"/>
        </w:rPr>
        <w:t>W</w:t>
      </w:r>
      <w:r w:rsidR="00E774F1" w:rsidRPr="001B1523">
        <w:rPr>
          <w:sz w:val="24"/>
          <w:szCs w:val="24"/>
          <w:lang w:val="en-AU"/>
        </w:rPr>
        <w:t xml:space="preserve">e </w:t>
      </w:r>
      <w:r w:rsidR="00F426DF" w:rsidRPr="001B1523">
        <w:rPr>
          <w:sz w:val="24"/>
          <w:szCs w:val="24"/>
          <w:lang w:val="en-AU"/>
        </w:rPr>
        <w:t xml:space="preserve">also </w:t>
      </w:r>
      <w:r w:rsidR="00E774F1" w:rsidRPr="001B1523">
        <w:rPr>
          <w:sz w:val="24"/>
          <w:szCs w:val="24"/>
          <w:lang w:val="en-AU"/>
        </w:rPr>
        <w:t xml:space="preserve">found that </w:t>
      </w:r>
      <w:r w:rsidR="00EE1FF8" w:rsidRPr="001B1523">
        <w:rPr>
          <w:sz w:val="24"/>
          <w:szCs w:val="24"/>
          <w:lang w:val="en-AU"/>
        </w:rPr>
        <w:t xml:space="preserve">leukocyte expression levels of the cellular senescence marker p21 were lower in PD versus controls, whilst lower p16 </w:t>
      </w:r>
      <w:r w:rsidR="00F426DF" w:rsidRPr="001B1523">
        <w:rPr>
          <w:sz w:val="24"/>
          <w:szCs w:val="24"/>
          <w:lang w:val="en-AU"/>
        </w:rPr>
        <w:t xml:space="preserve">expression </w:t>
      </w:r>
      <w:r w:rsidR="00EE1FF8" w:rsidRPr="001B1523">
        <w:rPr>
          <w:sz w:val="24"/>
          <w:szCs w:val="24"/>
          <w:lang w:val="en-AU"/>
        </w:rPr>
        <w:t xml:space="preserve">at baseline </w:t>
      </w:r>
      <w:r w:rsidR="00F426DF" w:rsidRPr="001B1523">
        <w:rPr>
          <w:sz w:val="24"/>
          <w:szCs w:val="24"/>
          <w:lang w:val="en-AU"/>
        </w:rPr>
        <w:t>was</w:t>
      </w:r>
      <w:r w:rsidR="00EE1FF8" w:rsidRPr="001B1523">
        <w:rPr>
          <w:sz w:val="24"/>
          <w:szCs w:val="24"/>
          <w:lang w:val="en-AU"/>
        </w:rPr>
        <w:t xml:space="preserve"> associated with faster motor and cognitive progression over 36 months</w:t>
      </w:r>
      <w:r w:rsidR="00C66396" w:rsidRPr="001B1523">
        <w:rPr>
          <w:sz w:val="24"/>
          <w:szCs w:val="24"/>
          <w:lang w:val="en-AU"/>
        </w:rPr>
        <w:t xml:space="preserve">; </w:t>
      </w:r>
      <w:r w:rsidR="006A198D" w:rsidRPr="001B1523">
        <w:rPr>
          <w:sz w:val="24"/>
          <w:szCs w:val="24"/>
          <w:lang w:val="en-AU"/>
        </w:rPr>
        <w:t>thus,</w:t>
      </w:r>
      <w:r w:rsidR="00C66396" w:rsidRPr="001B1523">
        <w:rPr>
          <w:sz w:val="24"/>
          <w:szCs w:val="24"/>
          <w:lang w:val="en-AU"/>
        </w:rPr>
        <w:t xml:space="preserve"> supporting the hypothesis that </w:t>
      </w:r>
      <w:proofErr w:type="spellStart"/>
      <w:r w:rsidR="00C66396" w:rsidRPr="001B1523">
        <w:rPr>
          <w:sz w:val="24"/>
          <w:szCs w:val="24"/>
          <w:lang w:val="en-AU"/>
        </w:rPr>
        <w:t>immunosenescence</w:t>
      </w:r>
      <w:proofErr w:type="spellEnd"/>
      <w:r w:rsidR="00C66396" w:rsidRPr="001B1523">
        <w:rPr>
          <w:sz w:val="24"/>
          <w:szCs w:val="24"/>
          <w:lang w:val="en-AU"/>
        </w:rPr>
        <w:t xml:space="preserve"> </w:t>
      </w:r>
      <w:r w:rsidR="001B1CAE" w:rsidRPr="001B1523">
        <w:rPr>
          <w:sz w:val="24"/>
          <w:szCs w:val="24"/>
          <w:lang w:val="en-AU"/>
        </w:rPr>
        <w:t>is reduced</w:t>
      </w:r>
      <w:r w:rsidR="00C66396" w:rsidRPr="001B1523">
        <w:rPr>
          <w:sz w:val="24"/>
          <w:szCs w:val="24"/>
          <w:lang w:val="en-AU"/>
        </w:rPr>
        <w:t xml:space="preserve"> in PD.</w:t>
      </w:r>
      <w:r w:rsidR="00EE1FF8" w:rsidRPr="001B1523">
        <w:rPr>
          <w:sz w:val="24"/>
          <w:szCs w:val="24"/>
          <w:lang w:val="en-AU"/>
        </w:rPr>
        <w:t xml:space="preserve">  </w:t>
      </w:r>
    </w:p>
    <w:p w14:paraId="5E5CD179" w14:textId="0EB15DD1" w:rsidR="00154DD0" w:rsidRPr="001B1523" w:rsidRDefault="00C66396" w:rsidP="00AC4E9D">
      <w:pPr>
        <w:spacing w:line="480" w:lineRule="auto"/>
        <w:ind w:firstLine="720"/>
        <w:rPr>
          <w:sz w:val="24"/>
          <w:szCs w:val="24"/>
          <w:lang w:val="en-AU"/>
        </w:rPr>
      </w:pPr>
      <w:bookmarkStart w:id="0" w:name="_Hlk82777802"/>
      <w:r w:rsidRPr="001B1523">
        <w:rPr>
          <w:sz w:val="24"/>
          <w:szCs w:val="24"/>
          <w:lang w:val="en-AU"/>
        </w:rPr>
        <w:t xml:space="preserve">On the basis of our </w:t>
      </w:r>
      <w:r w:rsidR="00D15F81" w:rsidRPr="001B1523">
        <w:rPr>
          <w:sz w:val="24"/>
          <w:szCs w:val="24"/>
          <w:lang w:val="en-AU"/>
        </w:rPr>
        <w:t xml:space="preserve">previous </w:t>
      </w:r>
      <w:r w:rsidRPr="001B1523">
        <w:rPr>
          <w:sz w:val="24"/>
          <w:szCs w:val="24"/>
          <w:lang w:val="en-AU"/>
        </w:rPr>
        <w:t xml:space="preserve">findings, we </w:t>
      </w:r>
      <w:r w:rsidR="00240FD3" w:rsidRPr="001B1523">
        <w:rPr>
          <w:sz w:val="24"/>
          <w:szCs w:val="24"/>
          <w:lang w:val="en-AU"/>
        </w:rPr>
        <w:t xml:space="preserve">hypothesize </w:t>
      </w:r>
      <w:r w:rsidRPr="001B1523">
        <w:rPr>
          <w:sz w:val="24"/>
          <w:szCs w:val="24"/>
          <w:lang w:val="en-AU"/>
        </w:rPr>
        <w:t xml:space="preserve">that </w:t>
      </w:r>
      <w:r w:rsidR="001B1CAE" w:rsidRPr="001B1523">
        <w:rPr>
          <w:sz w:val="24"/>
          <w:szCs w:val="24"/>
          <w:lang w:val="en-AU"/>
        </w:rPr>
        <w:t xml:space="preserve">attenuated </w:t>
      </w:r>
      <w:r w:rsidRPr="001B1523">
        <w:rPr>
          <w:sz w:val="24"/>
          <w:szCs w:val="24"/>
          <w:lang w:val="en-AU"/>
        </w:rPr>
        <w:t xml:space="preserve">T cell senescence is relevant in </w:t>
      </w:r>
      <w:r w:rsidR="006A198D" w:rsidRPr="001B1523">
        <w:rPr>
          <w:sz w:val="24"/>
          <w:szCs w:val="24"/>
          <w:lang w:val="en-AU"/>
        </w:rPr>
        <w:t>PD and</w:t>
      </w:r>
      <w:r w:rsidR="001B1CAE" w:rsidRPr="001B1523">
        <w:rPr>
          <w:sz w:val="24"/>
          <w:szCs w:val="24"/>
          <w:lang w:val="en-AU"/>
        </w:rPr>
        <w:t xml:space="preserve"> </w:t>
      </w:r>
      <w:r w:rsidR="00F426DF" w:rsidRPr="001B1523">
        <w:rPr>
          <w:sz w:val="24"/>
          <w:szCs w:val="24"/>
          <w:lang w:val="en-AU"/>
        </w:rPr>
        <w:t>warrants further investigation as a potential</w:t>
      </w:r>
      <w:r w:rsidR="001B1CAE" w:rsidRPr="001B1523">
        <w:rPr>
          <w:sz w:val="24"/>
          <w:szCs w:val="24"/>
          <w:lang w:val="en-AU"/>
        </w:rPr>
        <w:t xml:space="preserve"> biomarker of the disease</w:t>
      </w:r>
      <w:bookmarkEnd w:id="0"/>
      <w:r w:rsidR="00D15F81" w:rsidRPr="001B1523">
        <w:rPr>
          <w:sz w:val="24"/>
          <w:szCs w:val="24"/>
          <w:lang w:val="en-AU"/>
        </w:rPr>
        <w:t xml:space="preserve">. </w:t>
      </w:r>
      <w:r w:rsidR="00360DBD" w:rsidRPr="001B1523">
        <w:rPr>
          <w:sz w:val="24"/>
          <w:szCs w:val="24"/>
          <w:lang w:val="en-AU"/>
        </w:rPr>
        <w:t xml:space="preserve">This </w:t>
      </w:r>
      <w:r w:rsidR="001B1CAE" w:rsidRPr="001B1523">
        <w:rPr>
          <w:sz w:val="24"/>
          <w:szCs w:val="24"/>
          <w:lang w:val="en-AU"/>
        </w:rPr>
        <w:t xml:space="preserve">current </w:t>
      </w:r>
      <w:r w:rsidR="00360DBD" w:rsidRPr="001B1523">
        <w:rPr>
          <w:sz w:val="24"/>
          <w:szCs w:val="24"/>
          <w:lang w:val="en-AU"/>
        </w:rPr>
        <w:t xml:space="preserve">study aimed to </w:t>
      </w:r>
      <w:r w:rsidR="00D15F81" w:rsidRPr="001B1523">
        <w:rPr>
          <w:sz w:val="24"/>
          <w:szCs w:val="24"/>
          <w:lang w:val="en-AU"/>
        </w:rPr>
        <w:t>validate our previous findings with respect to alterations in CD8</w:t>
      </w:r>
      <w:r w:rsidR="006A198D" w:rsidRPr="001B1523">
        <w:rPr>
          <w:sz w:val="24"/>
          <w:szCs w:val="24"/>
          <w:vertAlign w:val="superscript"/>
          <w:lang w:val="en-AU"/>
        </w:rPr>
        <w:t>+</w:t>
      </w:r>
      <w:r w:rsidR="00D15F81" w:rsidRPr="001B1523">
        <w:rPr>
          <w:sz w:val="24"/>
          <w:szCs w:val="24"/>
          <w:lang w:val="en-AU"/>
        </w:rPr>
        <w:t xml:space="preserve"> senescent </w:t>
      </w:r>
      <w:r w:rsidR="00015662" w:rsidRPr="001B1523">
        <w:rPr>
          <w:sz w:val="24"/>
          <w:szCs w:val="24"/>
          <w:lang w:val="en-AU"/>
        </w:rPr>
        <w:t>cells</w:t>
      </w:r>
      <w:r w:rsidR="00D15F81" w:rsidRPr="001B1523">
        <w:rPr>
          <w:sz w:val="24"/>
          <w:szCs w:val="24"/>
          <w:lang w:val="en-AU"/>
        </w:rPr>
        <w:t xml:space="preserve"> </w:t>
      </w:r>
      <w:r w:rsidR="00421BEF" w:rsidRPr="001B1523">
        <w:rPr>
          <w:sz w:val="24"/>
          <w:szCs w:val="24"/>
          <w:lang w:val="en-AU"/>
        </w:rPr>
        <w:t xml:space="preserve">in </w:t>
      </w:r>
      <w:r w:rsidR="00D15F81" w:rsidRPr="001B1523">
        <w:rPr>
          <w:sz w:val="24"/>
          <w:szCs w:val="24"/>
          <w:lang w:val="en-AU"/>
        </w:rPr>
        <w:t xml:space="preserve">PD, as well as to </w:t>
      </w:r>
      <w:r w:rsidR="00063CF5" w:rsidRPr="001B1523">
        <w:rPr>
          <w:sz w:val="24"/>
          <w:szCs w:val="24"/>
          <w:lang w:val="en-AU"/>
        </w:rPr>
        <w:t xml:space="preserve">comprehensively </w:t>
      </w:r>
      <w:r w:rsidR="00360DBD" w:rsidRPr="001B1523">
        <w:rPr>
          <w:sz w:val="24"/>
          <w:szCs w:val="24"/>
          <w:lang w:val="en-AU"/>
        </w:rPr>
        <w:t xml:space="preserve">characterise </w:t>
      </w:r>
      <w:r w:rsidR="00652C89" w:rsidRPr="001B1523">
        <w:rPr>
          <w:sz w:val="24"/>
          <w:szCs w:val="24"/>
          <w:lang w:val="en-AU"/>
        </w:rPr>
        <w:t xml:space="preserve">T cell </w:t>
      </w:r>
      <w:proofErr w:type="spellStart"/>
      <w:r w:rsidR="00360DBD" w:rsidRPr="001B1523">
        <w:rPr>
          <w:sz w:val="24"/>
          <w:szCs w:val="24"/>
          <w:lang w:val="en-AU"/>
        </w:rPr>
        <w:t>immunosenescence</w:t>
      </w:r>
      <w:proofErr w:type="spellEnd"/>
      <w:r w:rsidR="00652C89" w:rsidRPr="001B1523">
        <w:rPr>
          <w:sz w:val="24"/>
          <w:szCs w:val="24"/>
          <w:lang w:val="en-AU"/>
        </w:rPr>
        <w:t>,</w:t>
      </w:r>
      <w:r w:rsidR="00360DBD" w:rsidRPr="001B1523">
        <w:rPr>
          <w:sz w:val="24"/>
          <w:szCs w:val="24"/>
          <w:lang w:val="en-AU"/>
        </w:rPr>
        <w:t xml:space="preserve"> </w:t>
      </w:r>
      <w:r w:rsidR="0046388D" w:rsidRPr="001B1523">
        <w:rPr>
          <w:sz w:val="24"/>
          <w:szCs w:val="24"/>
          <w:lang w:val="en-AU"/>
        </w:rPr>
        <w:t xml:space="preserve">evidence of prior CMV and EBV infection, </w:t>
      </w:r>
      <w:r w:rsidR="00360DBD" w:rsidRPr="001B1523">
        <w:rPr>
          <w:sz w:val="24"/>
          <w:szCs w:val="24"/>
          <w:lang w:val="en-AU"/>
        </w:rPr>
        <w:t xml:space="preserve">thymic </w:t>
      </w:r>
      <w:r w:rsidR="001B1CAE" w:rsidRPr="001B1523">
        <w:rPr>
          <w:sz w:val="24"/>
          <w:szCs w:val="24"/>
          <w:lang w:val="en-AU"/>
        </w:rPr>
        <w:t xml:space="preserve">emigrants, telomere length, </w:t>
      </w:r>
      <w:r w:rsidR="00D15F81" w:rsidRPr="001B1523">
        <w:rPr>
          <w:sz w:val="24"/>
          <w:szCs w:val="24"/>
          <w:lang w:val="en-AU"/>
        </w:rPr>
        <w:t xml:space="preserve">and expression of telomerase (hTERT), p16 and p21. </w:t>
      </w:r>
      <w:r w:rsidR="00360DBD" w:rsidRPr="001B1523">
        <w:rPr>
          <w:sz w:val="24"/>
          <w:szCs w:val="24"/>
          <w:lang w:val="en-AU"/>
        </w:rPr>
        <w:t xml:space="preserve">We examined a </w:t>
      </w:r>
      <w:r w:rsidR="0062641F" w:rsidRPr="001B1523">
        <w:rPr>
          <w:sz w:val="24"/>
          <w:szCs w:val="24"/>
          <w:lang w:val="en-AU"/>
        </w:rPr>
        <w:t>newly diagnosed</w:t>
      </w:r>
      <w:r w:rsidR="00360DBD" w:rsidRPr="001B1523">
        <w:rPr>
          <w:sz w:val="24"/>
          <w:szCs w:val="24"/>
          <w:lang w:val="en-AU"/>
        </w:rPr>
        <w:t xml:space="preserve"> PD cohort to determine whether T</w:t>
      </w:r>
      <w:r w:rsidR="00792A16" w:rsidRPr="001B1523">
        <w:rPr>
          <w:sz w:val="24"/>
          <w:szCs w:val="24"/>
          <w:lang w:val="en-AU"/>
        </w:rPr>
        <w:t xml:space="preserve"> </w:t>
      </w:r>
      <w:r w:rsidR="00360DBD" w:rsidRPr="001B1523">
        <w:rPr>
          <w:sz w:val="24"/>
          <w:szCs w:val="24"/>
          <w:lang w:val="en-AU"/>
        </w:rPr>
        <w:t xml:space="preserve">cell senescence </w:t>
      </w:r>
      <w:r w:rsidR="00D15F81" w:rsidRPr="001B1523">
        <w:rPr>
          <w:sz w:val="24"/>
          <w:szCs w:val="24"/>
          <w:lang w:val="en-AU"/>
        </w:rPr>
        <w:t xml:space="preserve">markers are altered in the earliest stages of the </w:t>
      </w:r>
      <w:r w:rsidR="006A198D" w:rsidRPr="001B1523">
        <w:rPr>
          <w:sz w:val="24"/>
          <w:szCs w:val="24"/>
          <w:lang w:val="en-AU"/>
        </w:rPr>
        <w:t xml:space="preserve">disease </w:t>
      </w:r>
      <w:r w:rsidR="006A198D" w:rsidRPr="001B1523">
        <w:rPr>
          <w:sz w:val="24"/>
          <w:szCs w:val="24"/>
          <w:lang w:val="en-AU"/>
        </w:rPr>
        <w:lastRenderedPageBreak/>
        <w:t>and</w:t>
      </w:r>
      <w:r w:rsidR="00C40BB4" w:rsidRPr="001B1523">
        <w:rPr>
          <w:sz w:val="24"/>
          <w:szCs w:val="24"/>
          <w:lang w:val="en-AU"/>
        </w:rPr>
        <w:t xml:space="preserve"> evaluated relationships with clinical disease characteristics and predicted clinical outcomes</w:t>
      </w:r>
      <w:r w:rsidR="00360DBD" w:rsidRPr="001B1523">
        <w:rPr>
          <w:sz w:val="24"/>
          <w:szCs w:val="24"/>
          <w:lang w:val="en-AU"/>
        </w:rPr>
        <w:t>.</w:t>
      </w:r>
    </w:p>
    <w:p w14:paraId="2A7E249E" w14:textId="3156065B" w:rsidR="00C11FA6" w:rsidRPr="001B1523" w:rsidRDefault="00C11FA6" w:rsidP="00AC4E9D">
      <w:pPr>
        <w:spacing w:line="480" w:lineRule="auto"/>
        <w:ind w:firstLine="720"/>
        <w:rPr>
          <w:sz w:val="24"/>
          <w:szCs w:val="24"/>
          <w:lang w:val="en-AU"/>
        </w:rPr>
      </w:pPr>
    </w:p>
    <w:p w14:paraId="6ABF45C2" w14:textId="6FEEC5A0" w:rsidR="00FF0273" w:rsidRPr="001B1523" w:rsidRDefault="00FF0273" w:rsidP="006C5047">
      <w:pPr>
        <w:pStyle w:val="Heading1"/>
        <w:spacing w:line="480" w:lineRule="auto"/>
        <w:rPr>
          <w:szCs w:val="24"/>
        </w:rPr>
      </w:pPr>
      <w:r w:rsidRPr="001B1523">
        <w:rPr>
          <w:szCs w:val="24"/>
        </w:rPr>
        <w:t>Materials and Methods</w:t>
      </w:r>
    </w:p>
    <w:p w14:paraId="6FEAEB12" w14:textId="77777777" w:rsidR="004A5163" w:rsidRPr="001B1523" w:rsidRDefault="004A5163" w:rsidP="00AC4E9D">
      <w:pPr>
        <w:pStyle w:val="Heading2"/>
        <w:spacing w:line="480" w:lineRule="auto"/>
        <w:rPr>
          <w:sz w:val="24"/>
          <w:szCs w:val="24"/>
        </w:rPr>
      </w:pPr>
    </w:p>
    <w:p w14:paraId="2487E531" w14:textId="1965C2B2" w:rsidR="00FF0273" w:rsidRPr="001B1523" w:rsidRDefault="00CA1008" w:rsidP="00AC4E9D">
      <w:pPr>
        <w:pStyle w:val="Heading2"/>
        <w:spacing w:line="480" w:lineRule="auto"/>
        <w:rPr>
          <w:sz w:val="24"/>
          <w:szCs w:val="24"/>
        </w:rPr>
      </w:pPr>
      <w:r w:rsidRPr="001B1523">
        <w:rPr>
          <w:sz w:val="24"/>
          <w:szCs w:val="24"/>
        </w:rPr>
        <w:t>Participants</w:t>
      </w:r>
    </w:p>
    <w:p w14:paraId="2C5145A9" w14:textId="77777777" w:rsidR="004A0FA8" w:rsidRPr="001B1523" w:rsidRDefault="004A0FA8" w:rsidP="00AC4E9D">
      <w:pPr>
        <w:spacing w:line="480" w:lineRule="auto"/>
        <w:rPr>
          <w:sz w:val="24"/>
          <w:szCs w:val="24"/>
        </w:rPr>
      </w:pPr>
    </w:p>
    <w:p w14:paraId="69DC5B79" w14:textId="381FE6B2" w:rsidR="0013536F" w:rsidRPr="001B1523" w:rsidRDefault="005956D0" w:rsidP="00AC4E9D">
      <w:pPr>
        <w:spacing w:line="480" w:lineRule="auto"/>
        <w:rPr>
          <w:rFonts w:cs="Times New Roman"/>
          <w:sz w:val="24"/>
          <w:szCs w:val="24"/>
        </w:rPr>
      </w:pPr>
      <w:r w:rsidRPr="001B1523">
        <w:rPr>
          <w:rFonts w:cs="Times New Roman"/>
          <w:sz w:val="24"/>
          <w:szCs w:val="24"/>
        </w:rPr>
        <w:t>Recently diagnosed</w:t>
      </w:r>
      <w:r w:rsidR="00071406" w:rsidRPr="001B1523">
        <w:rPr>
          <w:rFonts w:cs="Times New Roman"/>
          <w:sz w:val="24"/>
          <w:szCs w:val="24"/>
        </w:rPr>
        <w:t xml:space="preserve"> </w:t>
      </w:r>
      <w:r w:rsidR="0013536F" w:rsidRPr="001B1523">
        <w:rPr>
          <w:rFonts w:cs="Times New Roman"/>
          <w:sz w:val="24"/>
          <w:szCs w:val="24"/>
        </w:rPr>
        <w:t>P</w:t>
      </w:r>
      <w:r w:rsidRPr="001B1523">
        <w:rPr>
          <w:rFonts w:cs="Times New Roman"/>
          <w:sz w:val="24"/>
          <w:szCs w:val="24"/>
        </w:rPr>
        <w:t>D</w:t>
      </w:r>
      <w:r w:rsidR="0013536F" w:rsidRPr="001B1523">
        <w:rPr>
          <w:rFonts w:cs="Times New Roman"/>
          <w:sz w:val="24"/>
          <w:szCs w:val="24"/>
        </w:rPr>
        <w:t xml:space="preserve"> patients (≤2 years from diagnosis, Hoe</w:t>
      </w:r>
      <w:r w:rsidRPr="001B1523">
        <w:rPr>
          <w:rFonts w:cs="Times New Roman"/>
          <w:sz w:val="24"/>
          <w:szCs w:val="24"/>
        </w:rPr>
        <w:t>h</w:t>
      </w:r>
      <w:r w:rsidR="0013536F" w:rsidRPr="001B1523">
        <w:rPr>
          <w:rFonts w:cs="Times New Roman"/>
          <w:sz w:val="24"/>
          <w:szCs w:val="24"/>
        </w:rPr>
        <w:t xml:space="preserve">n &amp; </w:t>
      </w:r>
      <w:proofErr w:type="spellStart"/>
      <w:r w:rsidR="0013536F" w:rsidRPr="001B1523">
        <w:rPr>
          <w:rFonts w:cs="Times New Roman"/>
          <w:sz w:val="24"/>
          <w:szCs w:val="24"/>
        </w:rPr>
        <w:t>Yahr</w:t>
      </w:r>
      <w:proofErr w:type="spellEnd"/>
      <w:r w:rsidR="0013536F" w:rsidRPr="001B1523">
        <w:rPr>
          <w:rFonts w:cs="Times New Roman"/>
          <w:sz w:val="24"/>
          <w:szCs w:val="24"/>
        </w:rPr>
        <w:t xml:space="preserve"> ≤2) </w:t>
      </w:r>
      <w:r w:rsidR="00071406" w:rsidRPr="001B1523">
        <w:rPr>
          <w:rFonts w:cs="Times New Roman"/>
          <w:sz w:val="24"/>
          <w:szCs w:val="24"/>
        </w:rPr>
        <w:t>fulfilling UK</w:t>
      </w:r>
      <w:r w:rsidR="0013536F" w:rsidRPr="001B1523">
        <w:rPr>
          <w:rFonts w:cs="Times New Roman"/>
          <w:sz w:val="24"/>
          <w:szCs w:val="24"/>
        </w:rPr>
        <w:t xml:space="preserve"> </w:t>
      </w:r>
      <w:r w:rsidR="00071406" w:rsidRPr="001B1523">
        <w:rPr>
          <w:rFonts w:cs="Times New Roman"/>
          <w:sz w:val="24"/>
          <w:szCs w:val="24"/>
        </w:rPr>
        <w:t>PD</w:t>
      </w:r>
      <w:r w:rsidR="00CA1008" w:rsidRPr="001B1523">
        <w:rPr>
          <w:rFonts w:cs="Times New Roman"/>
          <w:sz w:val="24"/>
          <w:szCs w:val="24"/>
        </w:rPr>
        <w:t xml:space="preserve"> </w:t>
      </w:r>
      <w:r w:rsidR="00071406" w:rsidRPr="001B1523">
        <w:rPr>
          <w:rFonts w:cs="Times New Roman"/>
          <w:sz w:val="24"/>
          <w:szCs w:val="24"/>
        </w:rPr>
        <w:t xml:space="preserve">Brain Bank </w:t>
      </w:r>
      <w:r w:rsidR="00071406" w:rsidRPr="001B1523">
        <w:rPr>
          <w:rFonts w:cs="Times New Roman"/>
          <w:noProof/>
          <w:sz w:val="24"/>
          <w:szCs w:val="24"/>
        </w:rPr>
        <w:t>Criteria</w:t>
      </w:r>
      <w:r w:rsidR="00071406" w:rsidRPr="001B1523">
        <w:rPr>
          <w:rFonts w:cs="Times New Roman"/>
          <w:sz w:val="24"/>
          <w:szCs w:val="24"/>
        </w:rPr>
        <w:t xml:space="preserve"> were </w:t>
      </w:r>
      <w:r w:rsidR="00CA1008" w:rsidRPr="001B1523">
        <w:rPr>
          <w:rFonts w:cs="Times New Roman"/>
          <w:sz w:val="24"/>
          <w:szCs w:val="24"/>
        </w:rPr>
        <w:t>recruited from</w:t>
      </w:r>
      <w:r w:rsidR="00071406" w:rsidRPr="001B1523">
        <w:rPr>
          <w:rFonts w:cs="Times New Roman"/>
          <w:sz w:val="24"/>
          <w:szCs w:val="24"/>
        </w:rPr>
        <w:t xml:space="preserve"> the Parkinson’s</w:t>
      </w:r>
      <w:r w:rsidR="00CA1008" w:rsidRPr="001B1523">
        <w:rPr>
          <w:rFonts w:cs="Times New Roman"/>
          <w:sz w:val="24"/>
          <w:szCs w:val="24"/>
        </w:rPr>
        <w:t xml:space="preserve"> Disease</w:t>
      </w:r>
      <w:r w:rsidR="00071406" w:rsidRPr="001B1523">
        <w:rPr>
          <w:rFonts w:cs="Times New Roman"/>
          <w:sz w:val="24"/>
          <w:szCs w:val="24"/>
        </w:rPr>
        <w:t xml:space="preserve"> </w:t>
      </w:r>
      <w:r w:rsidR="00CA1008" w:rsidRPr="001B1523">
        <w:rPr>
          <w:rFonts w:cs="Times New Roman"/>
          <w:sz w:val="24"/>
          <w:szCs w:val="24"/>
        </w:rPr>
        <w:t>R</w:t>
      </w:r>
      <w:r w:rsidR="00071406" w:rsidRPr="001B1523">
        <w:rPr>
          <w:rFonts w:cs="Times New Roman"/>
          <w:sz w:val="24"/>
          <w:szCs w:val="24"/>
        </w:rPr>
        <w:t xml:space="preserve">esearch </w:t>
      </w:r>
      <w:r w:rsidR="00CA1008" w:rsidRPr="001B1523">
        <w:rPr>
          <w:rFonts w:cs="Times New Roman"/>
          <w:sz w:val="24"/>
          <w:szCs w:val="24"/>
        </w:rPr>
        <w:t>C</w:t>
      </w:r>
      <w:r w:rsidR="00071406" w:rsidRPr="001B1523">
        <w:rPr>
          <w:rFonts w:cs="Times New Roman"/>
          <w:sz w:val="24"/>
          <w:szCs w:val="24"/>
        </w:rPr>
        <w:t xml:space="preserve">linic at the John Van </w:t>
      </w:r>
      <w:proofErr w:type="spellStart"/>
      <w:r w:rsidR="00071406" w:rsidRPr="001B1523">
        <w:rPr>
          <w:rFonts w:cs="Times New Roman"/>
          <w:sz w:val="24"/>
          <w:szCs w:val="24"/>
        </w:rPr>
        <w:t>Geest</w:t>
      </w:r>
      <w:proofErr w:type="spellEnd"/>
      <w:r w:rsidR="00071406" w:rsidRPr="001B1523">
        <w:rPr>
          <w:rFonts w:cs="Times New Roman"/>
          <w:sz w:val="24"/>
          <w:szCs w:val="24"/>
        </w:rPr>
        <w:t xml:space="preserve"> Centre for Brain Repair</w:t>
      </w:r>
      <w:r w:rsidR="00CA1008" w:rsidRPr="001B1523">
        <w:rPr>
          <w:rFonts w:cs="Times New Roman"/>
          <w:sz w:val="24"/>
          <w:szCs w:val="24"/>
        </w:rPr>
        <w:t xml:space="preserve"> in Cambridge</w:t>
      </w:r>
      <w:r w:rsidR="00071406" w:rsidRPr="001B1523">
        <w:rPr>
          <w:rFonts w:cs="Times New Roman"/>
          <w:sz w:val="24"/>
          <w:szCs w:val="24"/>
        </w:rPr>
        <w:t>.</w:t>
      </w:r>
      <w:r w:rsidR="0013536F" w:rsidRPr="001B1523">
        <w:rPr>
          <w:sz w:val="24"/>
          <w:szCs w:val="24"/>
        </w:rPr>
        <w:t xml:space="preserve"> </w:t>
      </w:r>
      <w:r w:rsidR="00CA1008" w:rsidRPr="001B1523">
        <w:rPr>
          <w:rFonts w:cs="Times New Roman"/>
          <w:sz w:val="24"/>
          <w:szCs w:val="24"/>
        </w:rPr>
        <w:t xml:space="preserve">Controls were recruited from the NIHR Cambridge Bioresource </w:t>
      </w:r>
      <w:r w:rsidR="0013536F" w:rsidRPr="001B1523">
        <w:rPr>
          <w:rFonts w:cs="Times New Roman"/>
          <w:sz w:val="24"/>
          <w:szCs w:val="24"/>
        </w:rPr>
        <w:t>(</w:t>
      </w:r>
      <w:hyperlink r:id="rId9" w:history="1">
        <w:r w:rsidR="00136669" w:rsidRPr="001B1523">
          <w:rPr>
            <w:rStyle w:val="Hyperlink"/>
            <w:rFonts w:cs="Times New Roman"/>
            <w:color w:val="auto"/>
            <w:sz w:val="24"/>
            <w:szCs w:val="24"/>
            <w:u w:val="none"/>
          </w:rPr>
          <w:t>cambridgebioresource.org.uk</w:t>
        </w:r>
      </w:hyperlink>
      <w:r w:rsidR="0013536F" w:rsidRPr="001B1523">
        <w:rPr>
          <w:rFonts w:cs="Times New Roman"/>
          <w:sz w:val="24"/>
          <w:szCs w:val="24"/>
        </w:rPr>
        <w:t>)</w:t>
      </w:r>
      <w:r w:rsidR="00136669" w:rsidRPr="001B1523">
        <w:rPr>
          <w:rFonts w:cs="Times New Roman"/>
          <w:sz w:val="24"/>
          <w:szCs w:val="24"/>
        </w:rPr>
        <w:t xml:space="preserve"> or from the Parkinson’s Disease Research Clinic </w:t>
      </w:r>
      <w:r w:rsidR="00CA1008" w:rsidRPr="001B1523">
        <w:rPr>
          <w:rFonts w:cs="Times New Roman"/>
          <w:sz w:val="24"/>
          <w:szCs w:val="24"/>
        </w:rPr>
        <w:t xml:space="preserve">and </w:t>
      </w:r>
      <w:r w:rsidR="00071406" w:rsidRPr="001B1523">
        <w:rPr>
          <w:rFonts w:cs="Times New Roman"/>
          <w:sz w:val="24"/>
          <w:szCs w:val="24"/>
        </w:rPr>
        <w:t>were</w:t>
      </w:r>
      <w:r w:rsidR="0013536F" w:rsidRPr="001B1523">
        <w:rPr>
          <w:rFonts w:cs="Times New Roman"/>
          <w:sz w:val="24"/>
          <w:szCs w:val="24"/>
        </w:rPr>
        <w:t xml:space="preserve"> </w:t>
      </w:r>
      <w:r w:rsidR="00071406" w:rsidRPr="001B1523">
        <w:rPr>
          <w:rFonts w:cs="Times New Roman"/>
          <w:sz w:val="24"/>
          <w:szCs w:val="24"/>
        </w:rPr>
        <w:t>age</w:t>
      </w:r>
      <w:r w:rsidR="00CA1008" w:rsidRPr="001B1523">
        <w:rPr>
          <w:rFonts w:cs="Times New Roman"/>
          <w:sz w:val="24"/>
          <w:szCs w:val="24"/>
        </w:rPr>
        <w:t>-,</w:t>
      </w:r>
      <w:r w:rsidR="00071406" w:rsidRPr="001B1523">
        <w:rPr>
          <w:rFonts w:cs="Times New Roman"/>
          <w:sz w:val="24"/>
          <w:szCs w:val="24"/>
        </w:rPr>
        <w:t xml:space="preserve"> </w:t>
      </w:r>
      <w:r w:rsidRPr="001B1523">
        <w:rPr>
          <w:rFonts w:cs="Times New Roman"/>
          <w:sz w:val="24"/>
          <w:szCs w:val="24"/>
        </w:rPr>
        <w:t xml:space="preserve">and </w:t>
      </w:r>
      <w:r w:rsidR="00071406" w:rsidRPr="001B1523">
        <w:rPr>
          <w:rFonts w:cs="Times New Roman"/>
          <w:sz w:val="24"/>
          <w:szCs w:val="24"/>
        </w:rPr>
        <w:t>sex</w:t>
      </w:r>
      <w:r w:rsidR="00CA1008" w:rsidRPr="001B1523">
        <w:rPr>
          <w:rFonts w:cs="Times New Roman"/>
          <w:sz w:val="24"/>
          <w:szCs w:val="24"/>
        </w:rPr>
        <w:t>-</w:t>
      </w:r>
      <w:r w:rsidR="00071406" w:rsidRPr="001B1523">
        <w:rPr>
          <w:rFonts w:cs="Times New Roman"/>
          <w:sz w:val="24"/>
          <w:szCs w:val="24"/>
        </w:rPr>
        <w:t xml:space="preserve">matched </w:t>
      </w:r>
      <w:r w:rsidR="00CA1008" w:rsidRPr="001B1523">
        <w:rPr>
          <w:rFonts w:cs="Times New Roman"/>
          <w:sz w:val="24"/>
          <w:szCs w:val="24"/>
        </w:rPr>
        <w:t>to patients.</w:t>
      </w:r>
      <w:r w:rsidR="0013536F" w:rsidRPr="001B1523">
        <w:rPr>
          <w:rFonts w:cs="Times New Roman"/>
          <w:sz w:val="24"/>
          <w:szCs w:val="24"/>
        </w:rPr>
        <w:t xml:space="preserve"> </w:t>
      </w:r>
      <w:r w:rsidR="0097413B" w:rsidRPr="001B1523">
        <w:rPr>
          <w:rFonts w:cs="Times New Roman"/>
          <w:sz w:val="24"/>
          <w:szCs w:val="24"/>
        </w:rPr>
        <w:t>Exclusion criteria for both p</w:t>
      </w:r>
      <w:r w:rsidR="00071406" w:rsidRPr="001B1523">
        <w:rPr>
          <w:rFonts w:cs="Times New Roman"/>
          <w:sz w:val="24"/>
          <w:szCs w:val="24"/>
        </w:rPr>
        <w:t xml:space="preserve">atient and control </w:t>
      </w:r>
      <w:r w:rsidRPr="001B1523">
        <w:rPr>
          <w:rFonts w:cs="Times New Roman"/>
          <w:sz w:val="24"/>
          <w:szCs w:val="24"/>
        </w:rPr>
        <w:t>groups</w:t>
      </w:r>
      <w:r w:rsidR="0097413B" w:rsidRPr="001B1523">
        <w:rPr>
          <w:rFonts w:cs="Times New Roman"/>
          <w:sz w:val="24"/>
          <w:szCs w:val="24"/>
        </w:rPr>
        <w:t xml:space="preserve"> were the presence of chronic inflammatory or autoimmune</w:t>
      </w:r>
      <w:r w:rsidR="00071406" w:rsidRPr="001B1523">
        <w:rPr>
          <w:rFonts w:cs="Times New Roman"/>
          <w:sz w:val="24"/>
          <w:szCs w:val="24"/>
        </w:rPr>
        <w:t xml:space="preserve"> </w:t>
      </w:r>
      <w:r w:rsidR="0097413B" w:rsidRPr="001B1523">
        <w:rPr>
          <w:rFonts w:cs="Times New Roman"/>
          <w:sz w:val="24"/>
          <w:szCs w:val="24"/>
        </w:rPr>
        <w:t>disorders, current or latent infection, vaccinations in the preceding month and use of anti-inflammatory/immune-modulating medications.</w:t>
      </w:r>
      <w:r w:rsidR="00C9073C" w:rsidRPr="001B1523">
        <w:rPr>
          <w:rFonts w:cs="Times New Roman"/>
          <w:sz w:val="24"/>
          <w:szCs w:val="24"/>
        </w:rPr>
        <w:t xml:space="preserve"> </w:t>
      </w:r>
      <w:r w:rsidR="0097413B" w:rsidRPr="001B1523">
        <w:rPr>
          <w:rFonts w:cs="Times New Roman"/>
          <w:sz w:val="24"/>
          <w:szCs w:val="24"/>
        </w:rPr>
        <w:t xml:space="preserve">Additional exclusion criteria for PD patients were diagnosis of dementia according to MDS PD-dementia criteria and </w:t>
      </w:r>
      <w:r w:rsidR="0013536F" w:rsidRPr="001B1523">
        <w:rPr>
          <w:rFonts w:cs="Times New Roman"/>
          <w:sz w:val="24"/>
          <w:szCs w:val="24"/>
        </w:rPr>
        <w:t xml:space="preserve">the presence of </w:t>
      </w:r>
      <w:r w:rsidRPr="001B1523">
        <w:rPr>
          <w:rFonts w:cs="Times New Roman"/>
          <w:sz w:val="24"/>
          <w:szCs w:val="24"/>
        </w:rPr>
        <w:t xml:space="preserve">significant </w:t>
      </w:r>
      <w:r w:rsidR="0097413B" w:rsidRPr="001B1523">
        <w:rPr>
          <w:rFonts w:cs="Times New Roman"/>
          <w:sz w:val="24"/>
          <w:szCs w:val="24"/>
        </w:rPr>
        <w:t>psychiatric disturbances. Controls had no history of neurological disease or depression and no self-reported memory problems.</w:t>
      </w:r>
      <w:r w:rsidR="00F032F5" w:rsidRPr="001B1523">
        <w:rPr>
          <w:rFonts w:cs="Times New Roman"/>
          <w:sz w:val="24"/>
          <w:szCs w:val="24"/>
        </w:rPr>
        <w:t xml:space="preserve"> </w:t>
      </w:r>
    </w:p>
    <w:p w14:paraId="5B912ECD" w14:textId="2CFECE15" w:rsidR="009C3715" w:rsidRPr="001B1523" w:rsidRDefault="005956D0" w:rsidP="00AC4E9D">
      <w:pPr>
        <w:spacing w:line="480" w:lineRule="auto"/>
        <w:ind w:firstLine="720"/>
        <w:rPr>
          <w:rFonts w:cs="Times New Roman"/>
          <w:sz w:val="24"/>
          <w:szCs w:val="24"/>
        </w:rPr>
      </w:pPr>
      <w:r w:rsidRPr="001B1523">
        <w:rPr>
          <w:rFonts w:cs="Times New Roman"/>
          <w:sz w:val="24"/>
          <w:szCs w:val="24"/>
        </w:rPr>
        <w:t xml:space="preserve">All participants were clinically assessed for </w:t>
      </w:r>
      <w:r w:rsidR="00682BBC" w:rsidRPr="001B1523">
        <w:rPr>
          <w:rFonts w:cs="Times New Roman"/>
          <w:sz w:val="24"/>
          <w:szCs w:val="24"/>
        </w:rPr>
        <w:t xml:space="preserve">comorbid conditions, </w:t>
      </w:r>
      <w:r w:rsidRPr="001B1523">
        <w:rPr>
          <w:rFonts w:cs="Times New Roman"/>
          <w:sz w:val="24"/>
          <w:szCs w:val="24"/>
        </w:rPr>
        <w:t xml:space="preserve">and </w:t>
      </w:r>
      <w:r w:rsidR="00682BBC" w:rsidRPr="001B1523">
        <w:rPr>
          <w:rFonts w:cs="Times New Roman"/>
          <w:sz w:val="24"/>
          <w:szCs w:val="24"/>
        </w:rPr>
        <w:t>medication history</w:t>
      </w:r>
      <w:r w:rsidRPr="001B1523">
        <w:rPr>
          <w:rFonts w:cs="Times New Roman"/>
          <w:sz w:val="24"/>
          <w:szCs w:val="24"/>
        </w:rPr>
        <w:t>. PD cases underwent s</w:t>
      </w:r>
      <w:r w:rsidR="00682BBC" w:rsidRPr="001B1523">
        <w:rPr>
          <w:rFonts w:cs="Times New Roman"/>
          <w:sz w:val="24"/>
          <w:szCs w:val="24"/>
        </w:rPr>
        <w:t>tandardized assessments of motor and cognitive dysfunction and mood</w:t>
      </w:r>
      <w:r w:rsidR="00C40BB4" w:rsidRPr="001B1523">
        <w:rPr>
          <w:rFonts w:cs="Times New Roman"/>
          <w:sz w:val="24"/>
          <w:szCs w:val="24"/>
        </w:rPr>
        <w:t>, including the</w:t>
      </w:r>
      <w:r w:rsidR="00682BBC" w:rsidRPr="001B1523">
        <w:rPr>
          <w:rFonts w:cs="Times New Roman"/>
          <w:sz w:val="24"/>
          <w:szCs w:val="24"/>
        </w:rPr>
        <w:t xml:space="preserve"> </w:t>
      </w:r>
      <w:r w:rsidR="00682BBC" w:rsidRPr="001B1523">
        <w:rPr>
          <w:sz w:val="24"/>
          <w:szCs w:val="24"/>
        </w:rPr>
        <w:t>MDS-Unified Parkinson's Disease Rating Scale (MDS-UPDRS</w:t>
      </w:r>
      <w:r w:rsidR="002A5371" w:rsidRPr="001B1523">
        <w:rPr>
          <w:sz w:val="24"/>
          <w:szCs w:val="24"/>
        </w:rPr>
        <w:t>, completed in the ‘on’ medication state</w:t>
      </w:r>
      <w:r w:rsidR="00682BBC" w:rsidRPr="001B1523">
        <w:rPr>
          <w:sz w:val="24"/>
          <w:szCs w:val="24"/>
        </w:rPr>
        <w:t>),</w:t>
      </w:r>
      <w:r w:rsidR="00800979" w:rsidRPr="001B1523">
        <w:rPr>
          <w:sz w:val="24"/>
          <w:szCs w:val="24"/>
        </w:rPr>
        <w:t xml:space="preserve"> and</w:t>
      </w:r>
      <w:r w:rsidR="00682BBC" w:rsidRPr="001B1523">
        <w:rPr>
          <w:sz w:val="24"/>
          <w:szCs w:val="24"/>
        </w:rPr>
        <w:t xml:space="preserve"> Addenbrooke’s cognitive examination (ACE-III). </w:t>
      </w:r>
      <w:r w:rsidR="0013536F" w:rsidRPr="001B1523">
        <w:rPr>
          <w:sz w:val="24"/>
          <w:szCs w:val="24"/>
        </w:rPr>
        <w:t>Levodopa equivalent daily doses were calculated</w:t>
      </w:r>
      <w:r w:rsidR="00F97462" w:rsidRPr="001B1523">
        <w:rPr>
          <w:sz w:val="24"/>
          <w:szCs w:val="24"/>
        </w:rPr>
        <w:t xml:space="preserve"> (adapted from</w:t>
      </w:r>
      <w:r w:rsidR="007B711E" w:rsidRPr="001B1523">
        <w:rPr>
          <w:sz w:val="24"/>
          <w:szCs w:val="24"/>
        </w:rPr>
        <w:t xml:space="preserve"> </w:t>
      </w:r>
      <w:r w:rsidR="007B711E" w:rsidRPr="001B1523">
        <w:rPr>
          <w:sz w:val="24"/>
          <w:szCs w:val="24"/>
        </w:rPr>
        <w:fldChar w:fldCharType="begin"/>
      </w:r>
      <w:r w:rsidR="00CE3D6F" w:rsidRPr="001B1523">
        <w:rPr>
          <w:sz w:val="24"/>
          <w:szCs w:val="24"/>
        </w:rPr>
        <w:instrText xml:space="preserve"> ADDIN ZOTERO_ITEM CSL_CITATION {"citationID":"HcgLb7HP","properties":{"formattedCitation":"[31]","plainCitation":"[31]","noteIndex":0},"citationItems":[{"id":10811,"uris":["http://zotero.org/users/2272275/items/3NWRK7M9"],"uri":["http://zotero.org/users/2272275/items/3NWRK7M9"],"itemData":{"id":10811,"type":"article-journal","abstract":"Interpretation of clinical trials comparing different drug regimens for Parkinson's disease (PD) is complicated by the different dose intensities used: higher doses of levodopa and, possibly, other drugs produce better symptomatic control but more late complications. To address this problem, conversion factors have been calculated for antiparkinsonian drugs that yield a total daily levodopa equivalent dose (LED). LED estimates vary, so we undertook a systematic review of studies reporting LEDs to provide standardized formulae. Electronic database and hand searching of references identified 56 primary reports of LED estimates. Data were extracted and the mean and modal LEDs calculated. This yielded a standardized LED for each drug, providing a useful tool to express dose intensity of different antiparkinsonian drug regimens on a single scale. Using these conversion formulae to report LEDs would improve the consistency of reporting and assist the interpretation of clinical trials comparing different PD medications. © 2010 Movement Disorder Society","container-title":"Movement Disorders","DOI":"https://doi.org/10.1002/mds.23429","ISSN":"1531-8257","issue":"15","language":"en","note":"_eprint: https://movementdisorders.onlinelibrary.wiley.com/doi/pdf/10.1002/mds.23429","page":"2649-2653","source":"Wiley Online Library","title":"Systematic review of levodopa dose equivalency reporting in Parkinson's disease","volume":"25","author":[{"family":"Tomlinson","given":"Claire L."},{"family":"Stowe","given":"Rebecca"},{"family":"Patel","given":"Smitaa"},{"family":"Rick","given":"Caroline"},{"family":"Gray","given":"Richard"},{"family":"Clarke","given":"Carl E."}],"issued":{"date-parts":[["2010"]]}}}],"schema":"https://github.com/citation-style-language/schema/raw/master/csl-citation.json"} </w:instrText>
      </w:r>
      <w:r w:rsidR="007B711E" w:rsidRPr="001B1523">
        <w:rPr>
          <w:sz w:val="24"/>
          <w:szCs w:val="24"/>
        </w:rPr>
        <w:fldChar w:fldCharType="separate"/>
      </w:r>
      <w:r w:rsidR="00CE3D6F" w:rsidRPr="001B1523">
        <w:rPr>
          <w:rFonts w:cs="Arial"/>
          <w:sz w:val="24"/>
        </w:rPr>
        <w:t>[31]</w:t>
      </w:r>
      <w:r w:rsidR="007B711E" w:rsidRPr="001B1523">
        <w:rPr>
          <w:sz w:val="24"/>
          <w:szCs w:val="24"/>
        </w:rPr>
        <w:fldChar w:fldCharType="end"/>
      </w:r>
      <w:r w:rsidR="0013536F" w:rsidRPr="001B1523">
        <w:rPr>
          <w:sz w:val="24"/>
          <w:szCs w:val="24"/>
        </w:rPr>
        <w:t>.</w:t>
      </w:r>
      <w:r w:rsidR="00182105" w:rsidRPr="001B1523">
        <w:rPr>
          <w:sz w:val="24"/>
          <w:szCs w:val="24"/>
        </w:rPr>
        <w:t xml:space="preserve"> P</w:t>
      </w:r>
      <w:r w:rsidR="00C40BB4" w:rsidRPr="001B1523">
        <w:rPr>
          <w:sz w:val="24"/>
          <w:szCs w:val="24"/>
        </w:rPr>
        <w:t>redicted outcome at 5</w:t>
      </w:r>
      <w:r w:rsidR="00182105" w:rsidRPr="001B1523">
        <w:rPr>
          <w:sz w:val="24"/>
          <w:szCs w:val="24"/>
        </w:rPr>
        <w:t xml:space="preserve"> years (development of </w:t>
      </w:r>
      <w:r w:rsidR="00182105" w:rsidRPr="001B1523">
        <w:rPr>
          <w:sz w:val="24"/>
          <w:szCs w:val="24"/>
        </w:rPr>
        <w:lastRenderedPageBreak/>
        <w:t xml:space="preserve">postural instability, dementia, death) was calculated based on baseline clinical variables (age, UPDRS axial score and semantic fluency) using a validated prognostic model </w:t>
      </w:r>
      <w:r w:rsidR="007B711E" w:rsidRPr="001B1523">
        <w:rPr>
          <w:sz w:val="24"/>
          <w:szCs w:val="24"/>
        </w:rPr>
        <w:fldChar w:fldCharType="begin"/>
      </w:r>
      <w:r w:rsidR="00CE3D6F" w:rsidRPr="001B1523">
        <w:rPr>
          <w:sz w:val="24"/>
          <w:szCs w:val="24"/>
        </w:rPr>
        <w:instrText xml:space="preserve"> ADDIN ZOTERO_ITEM CSL_CITATION {"citationID":"QMa6HqQN","properties":{"formattedCitation":"[32]","plainCitation":"[32]","noteIndex":0},"citationItems":[{"id":10972,"uris":["http://zotero.org/users/2272275/items/V3PNSWXF"],"uri":["http://zotero.org/users/2272275/items/V3PNSWXF"],"itemData":{"id":10972,"type":"article-journal","abstract":"Objective:\nTo develop a prognostic model to predict disease outcomes in individual patients with Parkinson disease (PD) and perform an external validation study in an independent cohort.\n\nMethods:\nModel development was done in the Comorbidity and Aging in Rehabilitation Patients: The Influence on Activities (CARPA) cohort (Netherlands). External validation was performed using the Cambridgeshire Parkinson's Incidence from GP to Neurologist (CamPaIGN) cohort (UK). Both are longitudinal incident cohort studies that prospectively followed up patients with PD from the time of diagnosis. A composite outcome measure was made in which patients were classified as having an unfavorable prognosis when they had postural instability or dementia at the 5-year assessment (or at the last assessment before loss to follow-up), or had died before this time. The final model was derived with a backward selection strategy from candidate predictor variables that were measured at baseline.\n\nResults:\nIn the resulting model, higher patient age, higher Unified Parkinson's Disease Rating Scale motor examination axial score, and a lower animal fluency score were all associated with a higher probability of an unfavorable outcome. External validation confirmed good discriminative ability between favorable and unfavorable outcomes with an area under the receiver operating characteristic curve of 0.85 (95% confidence interval 0.77–0.93) and a well-calibrated model with a calibration slope of 1.13 and no significant lack of fit (Hosmer-Lemeshow test: p = 0.39).\n\nConclusion:\nWe constructed a model that allows individual patient prognostication at 5 years from diagnosis, using a small set of predictor variables that can easily be obtained by clinicians or research nurses.","container-title":"Neurology","DOI":"10.1212/WNL.0000000000002437","ISSN":"0028-3878","issue":"11","journalAbbreviation":"Neurology","note":"PMID: 26888991\nPMCID: PMC4799715","page":"986-993","source":"PubMed Central","title":"Development and external validation of a prognostic model in newly diagnosed Parkinson disease","volume":"86","author":[{"family":"Velseboer","given":"Daan C."},{"family":"Bie","given":"Rob M.A.","non-dropping-particle":"de"},{"family":"Wieske","given":"Luuk"},{"family":"Evans","given":"Jonathan R."},{"family":"Mason","given":"Sarah L."},{"family":"Foltynie","given":"Thomas"},{"family":"Schmand","given":"Ben"},{"family":"Haan","given":"Rob J.","non-dropping-particle":"de"},{"family":"Post","given":"Bart"},{"family":"Barker","given":"Roger A."},{"family":"Williams-Gray","given":"Caroline H."}],"issued":{"date-parts":[["2016",3,15]]}}}],"schema":"https://github.com/citation-style-language/schema/raw/master/csl-citation.json"} </w:instrText>
      </w:r>
      <w:r w:rsidR="007B711E" w:rsidRPr="001B1523">
        <w:rPr>
          <w:sz w:val="24"/>
          <w:szCs w:val="24"/>
        </w:rPr>
        <w:fldChar w:fldCharType="separate"/>
      </w:r>
      <w:r w:rsidR="00CE3D6F" w:rsidRPr="001B1523">
        <w:rPr>
          <w:rFonts w:cs="Arial"/>
          <w:sz w:val="24"/>
        </w:rPr>
        <w:t>[32]</w:t>
      </w:r>
      <w:r w:rsidR="007B711E" w:rsidRPr="001B1523">
        <w:rPr>
          <w:sz w:val="24"/>
          <w:szCs w:val="24"/>
        </w:rPr>
        <w:fldChar w:fldCharType="end"/>
      </w:r>
      <w:r w:rsidR="00182105" w:rsidRPr="001B1523">
        <w:rPr>
          <w:sz w:val="24"/>
          <w:szCs w:val="24"/>
        </w:rPr>
        <w:t>.</w:t>
      </w:r>
      <w:r w:rsidR="000B14C9" w:rsidRPr="001B1523">
        <w:rPr>
          <w:sz w:val="24"/>
          <w:szCs w:val="24"/>
        </w:rPr>
        <w:t xml:space="preserve"> </w:t>
      </w:r>
      <w:bookmarkStart w:id="1" w:name="_Hlk75531901"/>
      <w:r w:rsidRPr="001B1523">
        <w:rPr>
          <w:rFonts w:cs="Times New Roman"/>
          <w:sz w:val="24"/>
          <w:szCs w:val="24"/>
        </w:rPr>
        <w:t>Ethical approval was obtained from the East of England - Essex Research Ethics Committee (16/EE/0445)</w:t>
      </w:r>
      <w:r w:rsidR="00FD7C55" w:rsidRPr="001B1523">
        <w:rPr>
          <w:rFonts w:cs="Times New Roman"/>
          <w:sz w:val="24"/>
          <w:szCs w:val="24"/>
        </w:rPr>
        <w:t xml:space="preserve"> and the</w:t>
      </w:r>
      <w:r w:rsidRPr="001B1523">
        <w:rPr>
          <w:rFonts w:cs="Times New Roman"/>
          <w:sz w:val="24"/>
          <w:szCs w:val="24"/>
        </w:rPr>
        <w:t xml:space="preserve"> </w:t>
      </w:r>
      <w:r w:rsidR="00FD7C55" w:rsidRPr="001B1523">
        <w:rPr>
          <w:rFonts w:cs="Times New Roman"/>
          <w:sz w:val="24"/>
          <w:szCs w:val="24"/>
        </w:rPr>
        <w:t>East of England - Cambridge Central Research Ethics Committee (03/303).</w:t>
      </w:r>
      <w:bookmarkEnd w:id="1"/>
    </w:p>
    <w:p w14:paraId="7C843BCB" w14:textId="77777777" w:rsidR="006A12F4" w:rsidRPr="001B1523" w:rsidRDefault="006A12F4" w:rsidP="00AC4E9D">
      <w:pPr>
        <w:spacing w:line="480" w:lineRule="auto"/>
        <w:rPr>
          <w:rFonts w:cs="Times New Roman"/>
          <w:sz w:val="24"/>
          <w:szCs w:val="24"/>
        </w:rPr>
      </w:pPr>
    </w:p>
    <w:p w14:paraId="2802E044" w14:textId="6338FC48" w:rsidR="0013536F" w:rsidRPr="001B1523" w:rsidRDefault="00682BBC" w:rsidP="00AC4E9D">
      <w:pPr>
        <w:pStyle w:val="Heading2"/>
        <w:spacing w:line="480" w:lineRule="auto"/>
        <w:rPr>
          <w:sz w:val="24"/>
          <w:szCs w:val="24"/>
        </w:rPr>
      </w:pPr>
      <w:r w:rsidRPr="001B1523">
        <w:rPr>
          <w:sz w:val="24"/>
          <w:szCs w:val="24"/>
          <w:lang w:val="en-US"/>
        </w:rPr>
        <w:t>S</w:t>
      </w:r>
      <w:r w:rsidR="0097413B" w:rsidRPr="001B1523">
        <w:rPr>
          <w:sz w:val="24"/>
          <w:szCs w:val="24"/>
          <w:lang w:val="en-US"/>
        </w:rPr>
        <w:t xml:space="preserve">ample collection </w:t>
      </w:r>
      <w:r w:rsidR="0013536F" w:rsidRPr="001B1523">
        <w:rPr>
          <w:sz w:val="24"/>
          <w:szCs w:val="24"/>
          <w:lang w:val="en-US"/>
        </w:rPr>
        <w:t xml:space="preserve">and </w:t>
      </w:r>
      <w:r w:rsidR="0013536F" w:rsidRPr="001B1523">
        <w:rPr>
          <w:sz w:val="24"/>
          <w:szCs w:val="24"/>
        </w:rPr>
        <w:t>PBMC extraction</w:t>
      </w:r>
    </w:p>
    <w:p w14:paraId="119904F8" w14:textId="1162684C" w:rsidR="00667B4E" w:rsidRPr="001B1523" w:rsidRDefault="00667B4E" w:rsidP="00AC4E9D">
      <w:pPr>
        <w:pStyle w:val="Heading2"/>
        <w:spacing w:line="480" w:lineRule="auto"/>
        <w:rPr>
          <w:sz w:val="24"/>
          <w:szCs w:val="24"/>
          <w:lang w:val="en-US"/>
        </w:rPr>
      </w:pPr>
    </w:p>
    <w:p w14:paraId="200F3174" w14:textId="6940AA6A" w:rsidR="0057163F" w:rsidRPr="001B1523" w:rsidRDefault="00962543" w:rsidP="002B5D3B">
      <w:pPr>
        <w:spacing w:line="480" w:lineRule="auto"/>
        <w:rPr>
          <w:rFonts w:cs="Times New Roman"/>
          <w:sz w:val="24"/>
          <w:szCs w:val="24"/>
        </w:rPr>
      </w:pPr>
      <w:r w:rsidRPr="001B1523">
        <w:rPr>
          <w:rFonts w:cs="Times New Roman"/>
          <w:sz w:val="24"/>
          <w:szCs w:val="24"/>
        </w:rPr>
        <w:t xml:space="preserve">In total, </w:t>
      </w:r>
      <w:r w:rsidR="00682BBC" w:rsidRPr="001B1523">
        <w:rPr>
          <w:rFonts w:cs="Times New Roman"/>
          <w:sz w:val="24"/>
          <w:szCs w:val="24"/>
        </w:rPr>
        <w:t>5</w:t>
      </w:r>
      <w:r w:rsidR="00071406" w:rsidRPr="001B1523">
        <w:rPr>
          <w:rFonts w:cs="Times New Roman"/>
          <w:sz w:val="24"/>
          <w:szCs w:val="24"/>
        </w:rPr>
        <w:t>0 ml</w:t>
      </w:r>
      <w:r w:rsidR="00682BBC" w:rsidRPr="001B1523">
        <w:rPr>
          <w:rFonts w:cs="Times New Roman"/>
          <w:sz w:val="24"/>
          <w:szCs w:val="24"/>
        </w:rPr>
        <w:t xml:space="preserve"> of venous</w:t>
      </w:r>
      <w:r w:rsidR="00071406" w:rsidRPr="001B1523">
        <w:rPr>
          <w:rFonts w:cs="Times New Roman"/>
          <w:sz w:val="24"/>
          <w:szCs w:val="24"/>
        </w:rPr>
        <w:t xml:space="preserve"> blood </w:t>
      </w:r>
      <w:r w:rsidRPr="001B1523">
        <w:rPr>
          <w:rFonts w:cs="Times New Roman"/>
          <w:sz w:val="24"/>
          <w:szCs w:val="24"/>
        </w:rPr>
        <w:t xml:space="preserve">were </w:t>
      </w:r>
      <w:r w:rsidR="00071406" w:rsidRPr="001B1523">
        <w:rPr>
          <w:rFonts w:cs="Times New Roman"/>
          <w:sz w:val="24"/>
          <w:szCs w:val="24"/>
        </w:rPr>
        <w:t>collected</w:t>
      </w:r>
      <w:r w:rsidR="006A12F4" w:rsidRPr="001B1523">
        <w:rPr>
          <w:rFonts w:cs="Times New Roman"/>
          <w:sz w:val="24"/>
          <w:szCs w:val="24"/>
        </w:rPr>
        <w:t xml:space="preserve"> using</w:t>
      </w:r>
      <w:r w:rsidR="002B5D3B" w:rsidRPr="001B1523">
        <w:rPr>
          <w:rFonts w:cs="Times New Roman"/>
          <w:sz w:val="24"/>
          <w:szCs w:val="24"/>
        </w:rPr>
        <w:t xml:space="preserve"> S-</w:t>
      </w:r>
      <w:proofErr w:type="spellStart"/>
      <w:r w:rsidR="002B5D3B" w:rsidRPr="001B1523">
        <w:rPr>
          <w:rFonts w:cs="Times New Roman"/>
          <w:sz w:val="24"/>
          <w:szCs w:val="24"/>
        </w:rPr>
        <w:t>Monovette</w:t>
      </w:r>
      <w:proofErr w:type="spellEnd"/>
      <w:r w:rsidR="002B5D3B" w:rsidRPr="001B1523">
        <w:rPr>
          <w:rFonts w:cs="Times New Roman"/>
          <w:sz w:val="24"/>
          <w:szCs w:val="24"/>
        </w:rPr>
        <w:t xml:space="preserve">® </w:t>
      </w:r>
      <w:r w:rsidR="00AD29A3" w:rsidRPr="001B1523">
        <w:rPr>
          <w:rFonts w:cs="Times New Roman"/>
          <w:sz w:val="24"/>
          <w:szCs w:val="24"/>
        </w:rPr>
        <w:t>tubes (</w:t>
      </w:r>
      <w:proofErr w:type="spellStart"/>
      <w:r w:rsidR="00AD29A3" w:rsidRPr="001B1523">
        <w:rPr>
          <w:rFonts w:cs="Times New Roman"/>
          <w:sz w:val="24"/>
          <w:szCs w:val="24"/>
        </w:rPr>
        <w:t>Sarstedt</w:t>
      </w:r>
      <w:proofErr w:type="spellEnd"/>
      <w:r w:rsidR="00AD29A3" w:rsidRPr="001B1523">
        <w:rPr>
          <w:rFonts w:cs="Times New Roman"/>
          <w:sz w:val="24"/>
          <w:szCs w:val="24"/>
        </w:rPr>
        <w:t xml:space="preserve">): </w:t>
      </w:r>
      <w:r w:rsidR="00071406" w:rsidRPr="001B1523">
        <w:rPr>
          <w:rFonts w:cs="Times New Roman"/>
          <w:sz w:val="24"/>
          <w:szCs w:val="24"/>
        </w:rPr>
        <w:t>lithium</w:t>
      </w:r>
      <w:r w:rsidR="006A12F4" w:rsidRPr="001B1523">
        <w:rPr>
          <w:rFonts w:cs="Times New Roman"/>
          <w:sz w:val="24"/>
          <w:szCs w:val="24"/>
        </w:rPr>
        <w:t xml:space="preserve"> </w:t>
      </w:r>
      <w:r w:rsidR="00071406" w:rsidRPr="001B1523">
        <w:rPr>
          <w:rFonts w:cs="Times New Roman"/>
          <w:sz w:val="24"/>
          <w:szCs w:val="24"/>
        </w:rPr>
        <w:t xml:space="preserve">heparin </w:t>
      </w:r>
      <w:r w:rsidR="00C53F0F" w:rsidRPr="001B1523">
        <w:rPr>
          <w:rFonts w:cs="Times New Roman"/>
          <w:sz w:val="24"/>
          <w:szCs w:val="24"/>
        </w:rPr>
        <w:t>for peripheral blood mononuclear cell (PBMC) isolation</w:t>
      </w:r>
      <w:r w:rsidR="006A12F4" w:rsidRPr="001B1523">
        <w:rPr>
          <w:rFonts w:cs="Times New Roman"/>
          <w:sz w:val="24"/>
          <w:szCs w:val="24"/>
        </w:rPr>
        <w:t xml:space="preserve">, </w:t>
      </w:r>
      <w:r w:rsidR="00C53F0F" w:rsidRPr="001B1523">
        <w:rPr>
          <w:rFonts w:cs="Times New Roman"/>
          <w:sz w:val="24"/>
          <w:szCs w:val="24"/>
        </w:rPr>
        <w:t>ethylenediaminetetraacetic acid (EDTA)</w:t>
      </w:r>
      <w:r w:rsidR="002B5D3B" w:rsidRPr="001B1523">
        <w:rPr>
          <w:rFonts w:cs="Times New Roman"/>
          <w:sz w:val="24"/>
          <w:szCs w:val="24"/>
        </w:rPr>
        <w:t xml:space="preserve"> </w:t>
      </w:r>
      <w:r w:rsidR="00C53F0F" w:rsidRPr="001B1523">
        <w:rPr>
          <w:rFonts w:cs="Times New Roman"/>
          <w:sz w:val="24"/>
          <w:szCs w:val="24"/>
        </w:rPr>
        <w:t>for</w:t>
      </w:r>
      <w:r w:rsidR="00AD29A3" w:rsidRPr="001B1523">
        <w:rPr>
          <w:rFonts w:cs="Times New Roman"/>
          <w:sz w:val="24"/>
          <w:szCs w:val="24"/>
        </w:rPr>
        <w:t xml:space="preserve"> </w:t>
      </w:r>
      <w:r w:rsidR="00C53F0F" w:rsidRPr="001B1523">
        <w:rPr>
          <w:rFonts w:cs="Times New Roman"/>
          <w:sz w:val="24"/>
          <w:szCs w:val="24"/>
        </w:rPr>
        <w:t>full blood count,</w:t>
      </w:r>
      <w:r w:rsidR="006A12F4" w:rsidRPr="001B1523">
        <w:rPr>
          <w:rFonts w:cs="Times New Roman"/>
          <w:sz w:val="24"/>
          <w:szCs w:val="24"/>
        </w:rPr>
        <w:t xml:space="preserve"> and </w:t>
      </w:r>
      <w:r w:rsidR="00410D22" w:rsidRPr="001B1523">
        <w:rPr>
          <w:rFonts w:cs="Times New Roman"/>
          <w:sz w:val="24"/>
          <w:szCs w:val="24"/>
        </w:rPr>
        <w:t xml:space="preserve">clot activator </w:t>
      </w:r>
      <w:r w:rsidR="00AD29A3" w:rsidRPr="001B1523">
        <w:rPr>
          <w:rFonts w:cs="Times New Roman"/>
          <w:sz w:val="24"/>
          <w:szCs w:val="24"/>
        </w:rPr>
        <w:t>t</w:t>
      </w:r>
      <w:r w:rsidR="006A12F4" w:rsidRPr="001B1523">
        <w:rPr>
          <w:rFonts w:cs="Times New Roman"/>
          <w:sz w:val="24"/>
          <w:szCs w:val="24"/>
        </w:rPr>
        <w:t xml:space="preserve">ubes for separation of serum. </w:t>
      </w:r>
      <w:r w:rsidR="00C26348" w:rsidRPr="001B1523">
        <w:rPr>
          <w:rFonts w:cs="Times New Roman"/>
          <w:sz w:val="24"/>
          <w:szCs w:val="24"/>
        </w:rPr>
        <w:t xml:space="preserve">Full blood count analysis was done in the pathology laboratories at Addenbrooke’s hospital, Cambridge. </w:t>
      </w:r>
      <w:r w:rsidR="006A12F4" w:rsidRPr="001B1523">
        <w:rPr>
          <w:rFonts w:cs="Times New Roman"/>
          <w:sz w:val="24"/>
          <w:szCs w:val="24"/>
        </w:rPr>
        <w:t xml:space="preserve">Samples for serum extraction were </w:t>
      </w:r>
      <w:r w:rsidR="00842FE8" w:rsidRPr="001B1523">
        <w:rPr>
          <w:rFonts w:cs="Times New Roman"/>
          <w:sz w:val="24"/>
          <w:szCs w:val="24"/>
        </w:rPr>
        <w:t>left for 15 min</w:t>
      </w:r>
      <w:r w:rsidR="006A12F4" w:rsidRPr="001B1523">
        <w:rPr>
          <w:rFonts w:cs="Times New Roman"/>
          <w:sz w:val="24"/>
          <w:szCs w:val="24"/>
        </w:rPr>
        <w:t xml:space="preserve"> to clot </w:t>
      </w:r>
      <w:r w:rsidR="00842FE8" w:rsidRPr="001B1523">
        <w:rPr>
          <w:rFonts w:cs="Times New Roman"/>
          <w:sz w:val="24"/>
          <w:szCs w:val="24"/>
        </w:rPr>
        <w:t xml:space="preserve">prior </w:t>
      </w:r>
      <w:r w:rsidR="006A12F4" w:rsidRPr="001B1523">
        <w:rPr>
          <w:rFonts w:cs="Times New Roman"/>
          <w:sz w:val="24"/>
          <w:szCs w:val="24"/>
        </w:rPr>
        <w:t>to centrifugation at 2000 rpm for 15</w:t>
      </w:r>
      <w:r w:rsidR="000B14C9" w:rsidRPr="001B1523">
        <w:rPr>
          <w:rFonts w:cs="Times New Roman"/>
          <w:sz w:val="24"/>
          <w:szCs w:val="24"/>
        </w:rPr>
        <w:t xml:space="preserve"> </w:t>
      </w:r>
      <w:r w:rsidR="006A12F4" w:rsidRPr="001B1523">
        <w:rPr>
          <w:rFonts w:cs="Times New Roman"/>
          <w:sz w:val="24"/>
          <w:szCs w:val="24"/>
        </w:rPr>
        <w:t xml:space="preserve">min. Serum was analysed </w:t>
      </w:r>
      <w:r w:rsidR="009024AA" w:rsidRPr="001B1523">
        <w:rPr>
          <w:rFonts w:cs="Times New Roman"/>
          <w:sz w:val="24"/>
          <w:szCs w:val="24"/>
        </w:rPr>
        <w:t>in the pathology laboratories</w:t>
      </w:r>
      <w:r w:rsidR="002B4E7B" w:rsidRPr="001B1523">
        <w:rPr>
          <w:rFonts w:cs="Times New Roman"/>
          <w:sz w:val="24"/>
          <w:szCs w:val="24"/>
        </w:rPr>
        <w:t xml:space="preserve"> at </w:t>
      </w:r>
      <w:r w:rsidR="0073222F" w:rsidRPr="001B1523">
        <w:rPr>
          <w:rFonts w:cs="Times New Roman"/>
          <w:sz w:val="24"/>
          <w:szCs w:val="24"/>
        </w:rPr>
        <w:t xml:space="preserve">Addenbrooke’s </w:t>
      </w:r>
      <w:r w:rsidR="002B4E7B" w:rsidRPr="001B1523">
        <w:rPr>
          <w:rFonts w:cs="Times New Roman"/>
          <w:sz w:val="24"/>
          <w:szCs w:val="24"/>
        </w:rPr>
        <w:t>hospital</w:t>
      </w:r>
      <w:r w:rsidR="009024AA" w:rsidRPr="001B1523">
        <w:rPr>
          <w:rFonts w:cs="Times New Roman"/>
          <w:sz w:val="24"/>
          <w:szCs w:val="24"/>
        </w:rPr>
        <w:t>, Cambridge</w:t>
      </w:r>
      <w:r w:rsidR="0073222F" w:rsidRPr="001B1523">
        <w:rPr>
          <w:rFonts w:cs="Times New Roman"/>
          <w:sz w:val="24"/>
          <w:szCs w:val="24"/>
        </w:rPr>
        <w:t xml:space="preserve"> </w:t>
      </w:r>
      <w:r w:rsidR="006A12F4" w:rsidRPr="001B1523">
        <w:rPr>
          <w:rFonts w:cs="Times New Roman"/>
          <w:sz w:val="24"/>
          <w:szCs w:val="24"/>
        </w:rPr>
        <w:t xml:space="preserve">for </w:t>
      </w:r>
      <w:r w:rsidR="00C53F0F" w:rsidRPr="001B1523">
        <w:rPr>
          <w:rFonts w:cs="Times New Roman"/>
          <w:sz w:val="24"/>
          <w:szCs w:val="24"/>
        </w:rPr>
        <w:t>C-reactive protein (CRP)</w:t>
      </w:r>
      <w:r w:rsidR="006A12F4" w:rsidRPr="001B1523">
        <w:rPr>
          <w:rFonts w:cs="Times New Roman"/>
          <w:sz w:val="24"/>
          <w:szCs w:val="24"/>
        </w:rPr>
        <w:t xml:space="preserve">, </w:t>
      </w:r>
      <w:r w:rsidR="00C53F0F" w:rsidRPr="001B1523">
        <w:rPr>
          <w:rFonts w:cs="Times New Roman"/>
          <w:sz w:val="24"/>
          <w:szCs w:val="24"/>
        </w:rPr>
        <w:t>cytomegalovirus (CMV)</w:t>
      </w:r>
      <w:r w:rsidR="006A12F4" w:rsidRPr="001B1523">
        <w:rPr>
          <w:rFonts w:cs="Times New Roman"/>
          <w:sz w:val="24"/>
          <w:szCs w:val="24"/>
        </w:rPr>
        <w:t xml:space="preserve"> IgG</w:t>
      </w:r>
      <w:r w:rsidR="00C53F0F" w:rsidRPr="001B1523">
        <w:rPr>
          <w:rFonts w:cs="Times New Roman"/>
          <w:sz w:val="24"/>
          <w:szCs w:val="24"/>
        </w:rPr>
        <w:t xml:space="preserve"> and Epstein-</w:t>
      </w:r>
      <w:r w:rsidR="000B14C9" w:rsidRPr="001B1523">
        <w:rPr>
          <w:rFonts w:cs="Times New Roman"/>
          <w:sz w:val="24"/>
          <w:szCs w:val="24"/>
        </w:rPr>
        <w:t>Barr</w:t>
      </w:r>
      <w:r w:rsidR="00C53F0F" w:rsidRPr="001B1523">
        <w:rPr>
          <w:rFonts w:cs="Times New Roman"/>
          <w:sz w:val="24"/>
          <w:szCs w:val="24"/>
        </w:rPr>
        <w:t xml:space="preserve"> virus (EBV)</w:t>
      </w:r>
      <w:r w:rsidR="006A12F4" w:rsidRPr="001B1523">
        <w:rPr>
          <w:rFonts w:cs="Times New Roman"/>
          <w:sz w:val="24"/>
          <w:szCs w:val="24"/>
        </w:rPr>
        <w:t xml:space="preserve"> IgG</w:t>
      </w:r>
      <w:r w:rsidR="00C53F0F" w:rsidRPr="001B1523">
        <w:rPr>
          <w:rFonts w:cs="Times New Roman"/>
          <w:sz w:val="24"/>
          <w:szCs w:val="24"/>
        </w:rPr>
        <w:t>.</w:t>
      </w:r>
      <w:r w:rsidR="00C26348" w:rsidRPr="001B1523">
        <w:rPr>
          <w:rFonts w:cs="Times New Roman"/>
          <w:sz w:val="24"/>
          <w:szCs w:val="24"/>
        </w:rPr>
        <w:t xml:space="preserve"> </w:t>
      </w:r>
    </w:p>
    <w:p w14:paraId="0F111DFF" w14:textId="3AD33A53" w:rsidR="0057163F" w:rsidRPr="001B1523" w:rsidRDefault="001603F3" w:rsidP="00AC4E9D">
      <w:pPr>
        <w:spacing w:line="480" w:lineRule="auto"/>
        <w:ind w:firstLine="720"/>
        <w:rPr>
          <w:rFonts w:cs="Times New Roman"/>
          <w:sz w:val="24"/>
          <w:szCs w:val="24"/>
        </w:rPr>
      </w:pPr>
      <w:r w:rsidRPr="001B1523">
        <w:rPr>
          <w:rFonts w:cs="Times New Roman"/>
          <w:sz w:val="24"/>
          <w:szCs w:val="24"/>
        </w:rPr>
        <w:t xml:space="preserve">All blood samples were processed immediately after collection. </w:t>
      </w:r>
      <w:r w:rsidR="00071406" w:rsidRPr="001B1523">
        <w:rPr>
          <w:rFonts w:cs="Times New Roman"/>
          <w:sz w:val="24"/>
          <w:szCs w:val="24"/>
        </w:rPr>
        <w:t>PBMCs</w:t>
      </w:r>
      <w:r w:rsidR="0057163F" w:rsidRPr="001B1523">
        <w:rPr>
          <w:rFonts w:cs="Times New Roman"/>
          <w:sz w:val="24"/>
          <w:szCs w:val="24"/>
        </w:rPr>
        <w:t xml:space="preserve"> </w:t>
      </w:r>
      <w:r w:rsidR="00071406" w:rsidRPr="001B1523">
        <w:rPr>
          <w:rFonts w:cs="Times New Roman"/>
          <w:sz w:val="24"/>
          <w:szCs w:val="24"/>
        </w:rPr>
        <w:t xml:space="preserve">were isolated from whole blood via </w:t>
      </w:r>
      <w:r w:rsidR="0057163F" w:rsidRPr="001B1523">
        <w:rPr>
          <w:rFonts w:cs="Times New Roman"/>
          <w:sz w:val="24"/>
          <w:szCs w:val="24"/>
        </w:rPr>
        <w:t>standard</w:t>
      </w:r>
      <w:r w:rsidR="00071406" w:rsidRPr="001B1523">
        <w:rPr>
          <w:rFonts w:cs="Times New Roman"/>
          <w:sz w:val="24"/>
          <w:szCs w:val="24"/>
        </w:rPr>
        <w:t xml:space="preserve"> density gradient using </w:t>
      </w:r>
      <w:proofErr w:type="spellStart"/>
      <w:r w:rsidR="00071406" w:rsidRPr="001B1523">
        <w:rPr>
          <w:rFonts w:cs="Times New Roman"/>
          <w:sz w:val="24"/>
          <w:szCs w:val="24"/>
        </w:rPr>
        <w:t>Ficoll</w:t>
      </w:r>
      <w:proofErr w:type="spellEnd"/>
      <w:r w:rsidR="00071406" w:rsidRPr="001B1523">
        <w:rPr>
          <w:rFonts w:cs="Times New Roman"/>
          <w:sz w:val="24"/>
          <w:szCs w:val="24"/>
        </w:rPr>
        <w:t xml:space="preserve"> (GE Healthcare). </w:t>
      </w:r>
      <w:r w:rsidR="0057163F" w:rsidRPr="001B1523">
        <w:rPr>
          <w:rFonts w:cs="Times New Roman"/>
          <w:sz w:val="24"/>
          <w:szCs w:val="24"/>
        </w:rPr>
        <w:t>After extraction, the PBMCs were counted</w:t>
      </w:r>
      <w:r w:rsidR="00071406" w:rsidRPr="001B1523">
        <w:rPr>
          <w:rFonts w:cs="Times New Roman"/>
          <w:sz w:val="24"/>
          <w:szCs w:val="24"/>
        </w:rPr>
        <w:t xml:space="preserve"> on a haemocytometer</w:t>
      </w:r>
      <w:r w:rsidR="0057163F" w:rsidRPr="001B1523">
        <w:rPr>
          <w:rFonts w:cs="Times New Roman"/>
          <w:sz w:val="24"/>
          <w:szCs w:val="24"/>
        </w:rPr>
        <w:t xml:space="preserve"> and divided for immunophenotyping </w:t>
      </w:r>
      <w:r w:rsidR="0012231F" w:rsidRPr="001B1523">
        <w:rPr>
          <w:rFonts w:cs="Times New Roman"/>
          <w:sz w:val="24"/>
          <w:szCs w:val="24"/>
        </w:rPr>
        <w:t xml:space="preserve">assays and for isolation of </w:t>
      </w:r>
      <w:r w:rsidR="0057163F" w:rsidRPr="001B1523">
        <w:rPr>
          <w:rFonts w:cs="Times New Roman"/>
          <w:sz w:val="24"/>
          <w:szCs w:val="24"/>
        </w:rPr>
        <w:t>CD8</w:t>
      </w:r>
      <w:r w:rsidR="001A5D33" w:rsidRPr="001B1523">
        <w:rPr>
          <w:rFonts w:cs="Times New Roman"/>
          <w:sz w:val="24"/>
          <w:szCs w:val="24"/>
          <w:vertAlign w:val="superscript"/>
        </w:rPr>
        <w:t>+</w:t>
      </w:r>
      <w:r w:rsidR="0057163F" w:rsidRPr="001B1523">
        <w:rPr>
          <w:rFonts w:cs="Times New Roman"/>
          <w:sz w:val="24"/>
          <w:szCs w:val="24"/>
        </w:rPr>
        <w:t xml:space="preserve"> T cell</w:t>
      </w:r>
      <w:r w:rsidR="0012231F" w:rsidRPr="001B1523">
        <w:rPr>
          <w:rFonts w:cs="Times New Roman"/>
          <w:sz w:val="24"/>
          <w:szCs w:val="24"/>
        </w:rPr>
        <w:t>s</w:t>
      </w:r>
      <w:r w:rsidR="0057163F" w:rsidRPr="001B1523">
        <w:rPr>
          <w:rFonts w:cs="Times New Roman"/>
          <w:sz w:val="24"/>
          <w:szCs w:val="24"/>
        </w:rPr>
        <w:t xml:space="preserve"> </w:t>
      </w:r>
      <w:r w:rsidR="00962543" w:rsidRPr="001B1523">
        <w:rPr>
          <w:rFonts w:cs="Times New Roman"/>
          <w:sz w:val="24"/>
          <w:szCs w:val="24"/>
        </w:rPr>
        <w:t>to carry out</w:t>
      </w:r>
      <w:r w:rsidR="0012231F" w:rsidRPr="001B1523">
        <w:rPr>
          <w:rFonts w:cs="Times New Roman"/>
          <w:sz w:val="24"/>
          <w:szCs w:val="24"/>
        </w:rPr>
        <w:t xml:space="preserve"> telomere </w:t>
      </w:r>
      <w:r w:rsidR="00962543" w:rsidRPr="001B1523">
        <w:rPr>
          <w:rFonts w:cs="Times New Roman"/>
          <w:sz w:val="24"/>
          <w:szCs w:val="24"/>
        </w:rPr>
        <w:t xml:space="preserve">length </w:t>
      </w:r>
      <w:r w:rsidR="0012231F" w:rsidRPr="001B1523">
        <w:rPr>
          <w:rFonts w:cs="Times New Roman"/>
          <w:sz w:val="24"/>
          <w:szCs w:val="24"/>
        </w:rPr>
        <w:t xml:space="preserve">measurement and </w:t>
      </w:r>
      <w:r w:rsidR="00962543" w:rsidRPr="001B1523">
        <w:rPr>
          <w:rFonts w:cs="Times New Roman"/>
          <w:sz w:val="24"/>
          <w:szCs w:val="24"/>
        </w:rPr>
        <w:t xml:space="preserve">gene </w:t>
      </w:r>
      <w:r w:rsidR="0012231F" w:rsidRPr="001B1523">
        <w:rPr>
          <w:rFonts w:cs="Times New Roman"/>
          <w:sz w:val="24"/>
          <w:szCs w:val="24"/>
        </w:rPr>
        <w:t>expression analysis.</w:t>
      </w:r>
    </w:p>
    <w:p w14:paraId="54716355" w14:textId="1CE2F68B" w:rsidR="0062641F" w:rsidRPr="001B1523" w:rsidRDefault="0062641F" w:rsidP="00AC4E9D">
      <w:pPr>
        <w:spacing w:line="480" w:lineRule="auto"/>
        <w:ind w:firstLine="720"/>
        <w:rPr>
          <w:rFonts w:cs="Times New Roman"/>
          <w:sz w:val="24"/>
          <w:szCs w:val="24"/>
        </w:rPr>
      </w:pPr>
    </w:p>
    <w:p w14:paraId="4A18E752" w14:textId="77777777" w:rsidR="0062641F" w:rsidRPr="001B1523" w:rsidRDefault="0062641F" w:rsidP="00AC4E9D">
      <w:pPr>
        <w:spacing w:line="480" w:lineRule="auto"/>
        <w:ind w:firstLine="720"/>
        <w:rPr>
          <w:rFonts w:cs="Times New Roman"/>
          <w:sz w:val="24"/>
          <w:szCs w:val="24"/>
        </w:rPr>
      </w:pPr>
    </w:p>
    <w:p w14:paraId="4F5BF56D" w14:textId="77777777" w:rsidR="00D93EF5" w:rsidRPr="001B1523" w:rsidRDefault="00D93EF5" w:rsidP="00AC4E9D">
      <w:pPr>
        <w:spacing w:line="480" w:lineRule="auto"/>
        <w:rPr>
          <w:rFonts w:cs="Arial"/>
          <w:sz w:val="24"/>
          <w:szCs w:val="24"/>
          <w:lang w:val="en-US"/>
        </w:rPr>
      </w:pPr>
    </w:p>
    <w:p w14:paraId="559FF0EA" w14:textId="54A2966F" w:rsidR="00FA269D" w:rsidRPr="001B1523" w:rsidRDefault="00D93EF5" w:rsidP="00AC4E9D">
      <w:pPr>
        <w:pStyle w:val="Heading2"/>
        <w:spacing w:line="480" w:lineRule="auto"/>
        <w:rPr>
          <w:sz w:val="24"/>
          <w:szCs w:val="24"/>
        </w:rPr>
      </w:pPr>
      <w:r w:rsidRPr="001B1523">
        <w:rPr>
          <w:sz w:val="24"/>
          <w:szCs w:val="24"/>
        </w:rPr>
        <w:lastRenderedPageBreak/>
        <w:t>Flo</w:t>
      </w:r>
      <w:r w:rsidR="00071406" w:rsidRPr="001B1523">
        <w:rPr>
          <w:sz w:val="24"/>
          <w:szCs w:val="24"/>
        </w:rPr>
        <w:t>w</w:t>
      </w:r>
      <w:r w:rsidRPr="001B1523">
        <w:rPr>
          <w:sz w:val="24"/>
          <w:szCs w:val="24"/>
        </w:rPr>
        <w:t xml:space="preserve"> cytometry</w:t>
      </w:r>
      <w:r w:rsidR="009C3715" w:rsidRPr="001B1523">
        <w:rPr>
          <w:sz w:val="24"/>
          <w:szCs w:val="24"/>
        </w:rPr>
        <w:t xml:space="preserve"> immunophenotyping</w:t>
      </w:r>
    </w:p>
    <w:p w14:paraId="67E6E68A" w14:textId="77777777" w:rsidR="004A0FA8" w:rsidRPr="001B1523" w:rsidRDefault="004A0FA8" w:rsidP="00AC4E9D">
      <w:pPr>
        <w:spacing w:line="480" w:lineRule="auto"/>
        <w:rPr>
          <w:sz w:val="24"/>
          <w:szCs w:val="24"/>
        </w:rPr>
      </w:pPr>
    </w:p>
    <w:p w14:paraId="53888AC8" w14:textId="36E47A73" w:rsidR="001603F3" w:rsidRPr="001B1523" w:rsidRDefault="00071406" w:rsidP="00AC4E9D">
      <w:pPr>
        <w:spacing w:line="480" w:lineRule="auto"/>
        <w:rPr>
          <w:rFonts w:cs="Arial"/>
          <w:sz w:val="24"/>
          <w:szCs w:val="24"/>
          <w:lang w:val="en-US"/>
        </w:rPr>
      </w:pPr>
      <w:r w:rsidRPr="001B1523">
        <w:rPr>
          <w:rFonts w:cs="Arial"/>
          <w:sz w:val="24"/>
          <w:szCs w:val="24"/>
          <w:lang w:val="en-US"/>
        </w:rPr>
        <w:t>PBMCs were plated in a clear 96 well plate at 1 x 10</w:t>
      </w:r>
      <w:r w:rsidRPr="001B1523">
        <w:rPr>
          <w:rFonts w:cs="Arial"/>
          <w:sz w:val="24"/>
          <w:szCs w:val="24"/>
          <w:vertAlign w:val="superscript"/>
          <w:lang w:val="en-US"/>
        </w:rPr>
        <w:t>6</w:t>
      </w:r>
      <w:r w:rsidRPr="001B1523">
        <w:rPr>
          <w:rFonts w:cs="Arial"/>
          <w:sz w:val="24"/>
          <w:szCs w:val="24"/>
          <w:lang w:val="en-US"/>
        </w:rPr>
        <w:t xml:space="preserve"> cells/well. After blocking</w:t>
      </w:r>
      <w:r w:rsidR="0012231F" w:rsidRPr="001B1523">
        <w:rPr>
          <w:rFonts w:cs="Arial"/>
          <w:sz w:val="24"/>
          <w:szCs w:val="24"/>
          <w:lang w:val="en-US"/>
        </w:rPr>
        <w:t xml:space="preserve"> for</w:t>
      </w:r>
      <w:r w:rsidRPr="001B1523">
        <w:rPr>
          <w:rFonts w:cs="Arial"/>
          <w:sz w:val="24"/>
          <w:szCs w:val="24"/>
          <w:lang w:val="en-US"/>
        </w:rPr>
        <w:t xml:space="preserve"> </w:t>
      </w:r>
      <w:r w:rsidR="0012231F" w:rsidRPr="001B1523">
        <w:rPr>
          <w:rFonts w:cs="Arial"/>
          <w:sz w:val="24"/>
          <w:szCs w:val="24"/>
          <w:lang w:val="en-US"/>
        </w:rPr>
        <w:t>30 min at 4</w:t>
      </w:r>
      <w:r w:rsidR="0012231F" w:rsidRPr="001B1523">
        <w:rPr>
          <w:rFonts w:cs="Arial"/>
          <w:sz w:val="24"/>
          <w:szCs w:val="24"/>
          <w:vertAlign w:val="superscript"/>
          <w:lang w:val="en-US"/>
        </w:rPr>
        <w:t>o</w:t>
      </w:r>
      <w:r w:rsidR="0012231F" w:rsidRPr="001B1523">
        <w:rPr>
          <w:rFonts w:cs="Arial"/>
          <w:sz w:val="24"/>
          <w:szCs w:val="24"/>
          <w:lang w:val="en-US"/>
        </w:rPr>
        <w:t xml:space="preserve">C </w:t>
      </w:r>
      <w:r w:rsidRPr="001B1523">
        <w:rPr>
          <w:rFonts w:cs="Arial"/>
          <w:sz w:val="24"/>
          <w:szCs w:val="24"/>
          <w:lang w:val="en-US"/>
        </w:rPr>
        <w:t>in FACS buffer</w:t>
      </w:r>
      <w:r w:rsidR="00F22E9C" w:rsidRPr="001B1523">
        <w:rPr>
          <w:rFonts w:cs="Arial"/>
          <w:sz w:val="24"/>
          <w:szCs w:val="24"/>
          <w:lang w:val="en-US"/>
        </w:rPr>
        <w:t xml:space="preserve"> (0.1% BSA and 0.01% sodium </w:t>
      </w:r>
      <w:proofErr w:type="spellStart"/>
      <w:r w:rsidR="00F22E9C" w:rsidRPr="001B1523">
        <w:rPr>
          <w:rFonts w:cs="Arial"/>
          <w:sz w:val="24"/>
          <w:szCs w:val="24"/>
          <w:lang w:val="en-US"/>
        </w:rPr>
        <w:t>azide</w:t>
      </w:r>
      <w:proofErr w:type="spellEnd"/>
      <w:r w:rsidR="00F22E9C" w:rsidRPr="001B1523">
        <w:rPr>
          <w:rFonts w:cs="Arial"/>
          <w:sz w:val="24"/>
          <w:szCs w:val="24"/>
          <w:lang w:val="en-US"/>
        </w:rPr>
        <w:t xml:space="preserve"> in PBS)</w:t>
      </w:r>
      <w:r w:rsidRPr="001B1523">
        <w:rPr>
          <w:rFonts w:cs="Arial"/>
          <w:sz w:val="24"/>
          <w:szCs w:val="24"/>
          <w:lang w:val="en-US"/>
        </w:rPr>
        <w:t xml:space="preserve"> </w:t>
      </w:r>
      <w:r w:rsidR="0012231F" w:rsidRPr="001B1523">
        <w:rPr>
          <w:rFonts w:cs="Arial"/>
          <w:sz w:val="24"/>
          <w:szCs w:val="24"/>
          <w:lang w:val="en-US"/>
        </w:rPr>
        <w:t xml:space="preserve">containing </w:t>
      </w:r>
      <w:r w:rsidRPr="001B1523">
        <w:rPr>
          <w:rFonts w:cs="Arial"/>
          <w:sz w:val="24"/>
          <w:szCs w:val="24"/>
          <w:lang w:val="en-US"/>
        </w:rPr>
        <w:t xml:space="preserve">2% mouse serum, the samples were incubated with the </w:t>
      </w:r>
      <w:r w:rsidR="00B63AD6" w:rsidRPr="001B1523">
        <w:rPr>
          <w:rFonts w:cs="Arial"/>
          <w:sz w:val="24"/>
          <w:szCs w:val="24"/>
          <w:lang w:val="en-US"/>
        </w:rPr>
        <w:t xml:space="preserve">appropriate </w:t>
      </w:r>
      <w:r w:rsidRPr="001B1523">
        <w:rPr>
          <w:rFonts w:cs="Arial"/>
          <w:sz w:val="24"/>
          <w:szCs w:val="24"/>
          <w:lang w:val="en-US"/>
        </w:rPr>
        <w:t>antibodies</w:t>
      </w:r>
      <w:r w:rsidR="00B63AD6" w:rsidRPr="001B1523">
        <w:rPr>
          <w:rFonts w:cs="Arial"/>
          <w:sz w:val="24"/>
          <w:szCs w:val="24"/>
          <w:lang w:val="en-US"/>
        </w:rPr>
        <w:t>. The T cell senescence panel included the following:</w:t>
      </w:r>
      <w:r w:rsidR="00A84731" w:rsidRPr="001B1523">
        <w:rPr>
          <w:rFonts w:cs="Arial"/>
          <w:sz w:val="24"/>
          <w:szCs w:val="24"/>
          <w:lang w:val="en-US"/>
        </w:rPr>
        <w:t xml:space="preserve"> </w:t>
      </w:r>
      <w:r w:rsidR="00003E9D" w:rsidRPr="001B1523">
        <w:rPr>
          <w:rFonts w:cs="Arial"/>
          <w:sz w:val="24"/>
          <w:szCs w:val="24"/>
          <w:lang w:val="en-US"/>
        </w:rPr>
        <w:t>CD3</w:t>
      </w:r>
      <w:r w:rsidR="00B63AD6" w:rsidRPr="001B1523">
        <w:rPr>
          <w:rFonts w:cs="Arial"/>
          <w:sz w:val="24"/>
          <w:szCs w:val="24"/>
          <w:lang w:val="en-US"/>
        </w:rPr>
        <w:t xml:space="preserve"> (</w:t>
      </w:r>
      <w:r w:rsidR="00A84731" w:rsidRPr="001B1523">
        <w:rPr>
          <w:rFonts w:cs="Arial"/>
          <w:sz w:val="24"/>
          <w:szCs w:val="24"/>
          <w:lang w:val="en-US"/>
        </w:rPr>
        <w:t>APC</w:t>
      </w:r>
      <w:r w:rsidR="0080522F" w:rsidRPr="001B1523">
        <w:rPr>
          <w:rFonts w:cs="Arial"/>
          <w:sz w:val="24"/>
          <w:szCs w:val="24"/>
          <w:lang w:val="en-US"/>
        </w:rPr>
        <w:t xml:space="preserve">; </w:t>
      </w:r>
      <w:r w:rsidR="0073222F" w:rsidRPr="001B1523">
        <w:rPr>
          <w:rFonts w:cs="Arial"/>
          <w:sz w:val="24"/>
          <w:szCs w:val="24"/>
          <w:lang w:val="en-US"/>
        </w:rPr>
        <w:t>BD Biosciences</w:t>
      </w:r>
      <w:r w:rsidR="00B63AD6" w:rsidRPr="001B1523">
        <w:rPr>
          <w:rFonts w:cs="Arial"/>
          <w:sz w:val="24"/>
          <w:szCs w:val="24"/>
          <w:lang w:val="en-US"/>
        </w:rPr>
        <w:t>)</w:t>
      </w:r>
      <w:r w:rsidR="00A84731" w:rsidRPr="001B1523">
        <w:rPr>
          <w:rFonts w:cs="Arial"/>
          <w:sz w:val="24"/>
          <w:szCs w:val="24"/>
          <w:lang w:val="en-US"/>
        </w:rPr>
        <w:t xml:space="preserve">, </w:t>
      </w:r>
      <w:r w:rsidR="00B63AD6" w:rsidRPr="001B1523">
        <w:rPr>
          <w:rFonts w:cs="Arial"/>
          <w:sz w:val="24"/>
          <w:szCs w:val="24"/>
          <w:lang w:val="en-US"/>
        </w:rPr>
        <w:t>CD4 (BV510</w:t>
      </w:r>
      <w:r w:rsidR="00CD2242" w:rsidRPr="001B1523">
        <w:rPr>
          <w:rFonts w:cs="Arial"/>
          <w:sz w:val="24"/>
          <w:szCs w:val="24"/>
          <w:lang w:val="en-US"/>
        </w:rPr>
        <w:t>; BD Biosciences</w:t>
      </w:r>
      <w:r w:rsidR="00B63AD6" w:rsidRPr="001B1523">
        <w:rPr>
          <w:rFonts w:cs="Arial"/>
          <w:sz w:val="24"/>
          <w:szCs w:val="24"/>
          <w:lang w:val="en-US"/>
        </w:rPr>
        <w:t xml:space="preserve">), </w:t>
      </w:r>
      <w:r w:rsidR="00003E9D" w:rsidRPr="001B1523">
        <w:rPr>
          <w:rFonts w:cs="Arial"/>
          <w:sz w:val="24"/>
          <w:szCs w:val="24"/>
          <w:lang w:val="en-US"/>
        </w:rPr>
        <w:t>CD8</w:t>
      </w:r>
      <w:r w:rsidR="00B63AD6" w:rsidRPr="001B1523">
        <w:rPr>
          <w:rFonts w:cs="Arial"/>
          <w:sz w:val="24"/>
          <w:szCs w:val="24"/>
          <w:lang w:val="en-US"/>
        </w:rPr>
        <w:t xml:space="preserve"> (</w:t>
      </w:r>
      <w:r w:rsidR="00A84731" w:rsidRPr="001B1523">
        <w:rPr>
          <w:rFonts w:cs="Arial"/>
          <w:sz w:val="24"/>
          <w:szCs w:val="24"/>
          <w:lang w:val="en-US"/>
        </w:rPr>
        <w:t xml:space="preserve">APC </w:t>
      </w:r>
      <w:r w:rsidR="00B63AD6" w:rsidRPr="001B1523">
        <w:rPr>
          <w:rFonts w:cs="Arial"/>
          <w:sz w:val="24"/>
          <w:szCs w:val="24"/>
          <w:lang w:val="en-US"/>
        </w:rPr>
        <w:t>H</w:t>
      </w:r>
      <w:r w:rsidR="00A84731" w:rsidRPr="001B1523">
        <w:rPr>
          <w:rFonts w:cs="Arial"/>
          <w:sz w:val="24"/>
          <w:szCs w:val="24"/>
          <w:lang w:val="en-US"/>
        </w:rPr>
        <w:t>7</w:t>
      </w:r>
      <w:r w:rsidR="00CD2242" w:rsidRPr="001B1523">
        <w:rPr>
          <w:rFonts w:cs="Arial"/>
          <w:sz w:val="24"/>
          <w:szCs w:val="24"/>
          <w:lang w:val="en-US"/>
        </w:rPr>
        <w:t>; BD Biosciences</w:t>
      </w:r>
      <w:r w:rsidR="00B63AD6" w:rsidRPr="001B1523">
        <w:rPr>
          <w:rFonts w:cs="Arial"/>
          <w:sz w:val="24"/>
          <w:szCs w:val="24"/>
          <w:lang w:val="en-US"/>
        </w:rPr>
        <w:t>)</w:t>
      </w:r>
      <w:r w:rsidR="00A84731" w:rsidRPr="001B1523">
        <w:rPr>
          <w:rFonts w:cs="Arial"/>
          <w:sz w:val="24"/>
          <w:szCs w:val="24"/>
          <w:lang w:val="en-US"/>
        </w:rPr>
        <w:t xml:space="preserve">, </w:t>
      </w:r>
      <w:r w:rsidR="00B63AD6" w:rsidRPr="001B1523">
        <w:rPr>
          <w:rFonts w:cs="Arial"/>
          <w:sz w:val="24"/>
          <w:szCs w:val="24"/>
          <w:lang w:val="en-US"/>
        </w:rPr>
        <w:t>CCR7 (FITC</w:t>
      </w:r>
      <w:r w:rsidR="00CD2242" w:rsidRPr="001B1523">
        <w:rPr>
          <w:rFonts w:cs="Arial"/>
          <w:sz w:val="24"/>
          <w:szCs w:val="24"/>
          <w:lang w:val="en-US"/>
        </w:rPr>
        <w:t>; BD Biosciences</w:t>
      </w:r>
      <w:r w:rsidR="00B63AD6" w:rsidRPr="001B1523">
        <w:rPr>
          <w:rFonts w:cs="Arial"/>
          <w:sz w:val="24"/>
          <w:szCs w:val="24"/>
          <w:lang w:val="en-US"/>
        </w:rPr>
        <w:t xml:space="preserve">), </w:t>
      </w:r>
      <w:r w:rsidR="00003E9D" w:rsidRPr="001B1523">
        <w:rPr>
          <w:rFonts w:cs="Arial"/>
          <w:sz w:val="24"/>
          <w:szCs w:val="24"/>
          <w:lang w:val="en-US"/>
        </w:rPr>
        <w:t>CD45RA</w:t>
      </w:r>
      <w:r w:rsidR="00B63AD6" w:rsidRPr="001B1523">
        <w:rPr>
          <w:rFonts w:cs="Arial"/>
          <w:sz w:val="24"/>
          <w:szCs w:val="24"/>
          <w:lang w:val="en-US"/>
        </w:rPr>
        <w:t xml:space="preserve"> (</w:t>
      </w:r>
      <w:r w:rsidR="00003E9D" w:rsidRPr="001B1523">
        <w:rPr>
          <w:rFonts w:cs="Arial"/>
          <w:sz w:val="24"/>
          <w:szCs w:val="24"/>
          <w:lang w:val="en-US"/>
        </w:rPr>
        <w:t>PE</w:t>
      </w:r>
      <w:r w:rsidR="00CD2242" w:rsidRPr="001B1523">
        <w:rPr>
          <w:rFonts w:cs="Arial"/>
          <w:sz w:val="24"/>
          <w:szCs w:val="24"/>
          <w:lang w:val="en-US"/>
        </w:rPr>
        <w:t xml:space="preserve">; </w:t>
      </w:r>
      <w:proofErr w:type="spellStart"/>
      <w:r w:rsidR="00CD2242" w:rsidRPr="001B1523">
        <w:rPr>
          <w:rFonts w:cs="Arial"/>
          <w:sz w:val="24"/>
          <w:szCs w:val="24"/>
          <w:lang w:val="en-US"/>
        </w:rPr>
        <w:t>Biolegend</w:t>
      </w:r>
      <w:proofErr w:type="spellEnd"/>
      <w:r w:rsidR="00B63AD6" w:rsidRPr="001B1523">
        <w:rPr>
          <w:rFonts w:cs="Arial"/>
          <w:sz w:val="24"/>
          <w:szCs w:val="24"/>
          <w:lang w:val="en-US"/>
        </w:rPr>
        <w:t>)</w:t>
      </w:r>
      <w:r w:rsidR="00003E9D" w:rsidRPr="001B1523">
        <w:rPr>
          <w:rFonts w:cs="Arial"/>
          <w:sz w:val="24"/>
          <w:szCs w:val="24"/>
          <w:lang w:val="en-US"/>
        </w:rPr>
        <w:t>, CD28</w:t>
      </w:r>
      <w:r w:rsidR="00B63AD6" w:rsidRPr="001B1523">
        <w:rPr>
          <w:rFonts w:cs="Arial"/>
          <w:sz w:val="24"/>
          <w:szCs w:val="24"/>
          <w:lang w:val="en-US"/>
        </w:rPr>
        <w:t xml:space="preserve"> (</w:t>
      </w:r>
      <w:r w:rsidR="00003E9D" w:rsidRPr="001B1523">
        <w:rPr>
          <w:rFonts w:cs="Arial"/>
          <w:sz w:val="24"/>
          <w:szCs w:val="24"/>
          <w:lang w:val="en-US"/>
        </w:rPr>
        <w:t>PE Cy7</w:t>
      </w:r>
      <w:r w:rsidR="00CD2242" w:rsidRPr="001B1523">
        <w:rPr>
          <w:rFonts w:cs="Arial"/>
          <w:sz w:val="24"/>
          <w:szCs w:val="24"/>
          <w:lang w:val="en-US"/>
        </w:rPr>
        <w:t>; BD Biosciences</w:t>
      </w:r>
      <w:r w:rsidR="00B63AD6" w:rsidRPr="001B1523">
        <w:rPr>
          <w:rFonts w:cs="Arial"/>
          <w:sz w:val="24"/>
          <w:szCs w:val="24"/>
          <w:lang w:val="en-US"/>
        </w:rPr>
        <w:t>)</w:t>
      </w:r>
      <w:r w:rsidR="00003E9D" w:rsidRPr="001B1523">
        <w:rPr>
          <w:rFonts w:cs="Arial"/>
          <w:sz w:val="24"/>
          <w:szCs w:val="24"/>
          <w:lang w:val="en-US"/>
        </w:rPr>
        <w:t>, and</w:t>
      </w:r>
      <w:r w:rsidR="00B63AD6" w:rsidRPr="001B1523">
        <w:rPr>
          <w:rFonts w:cs="Arial"/>
          <w:sz w:val="24"/>
          <w:szCs w:val="24"/>
          <w:lang w:val="en-US"/>
        </w:rPr>
        <w:t xml:space="preserve"> CD57 (</w:t>
      </w:r>
      <w:proofErr w:type="spellStart"/>
      <w:r w:rsidR="00B63AD6" w:rsidRPr="001B1523">
        <w:rPr>
          <w:rFonts w:cs="Arial"/>
          <w:sz w:val="24"/>
          <w:szCs w:val="24"/>
          <w:lang w:val="en-US"/>
        </w:rPr>
        <w:t>PerCP</w:t>
      </w:r>
      <w:proofErr w:type="spellEnd"/>
      <w:r w:rsidR="00B63AD6" w:rsidRPr="001B1523">
        <w:rPr>
          <w:rFonts w:cs="Arial"/>
          <w:sz w:val="24"/>
          <w:szCs w:val="24"/>
          <w:lang w:val="en-US"/>
        </w:rPr>
        <w:t xml:space="preserve"> Cy5.5</w:t>
      </w:r>
      <w:r w:rsidR="00CD2242" w:rsidRPr="001B1523">
        <w:rPr>
          <w:rFonts w:cs="Arial"/>
          <w:sz w:val="24"/>
          <w:szCs w:val="24"/>
          <w:lang w:val="en-US"/>
        </w:rPr>
        <w:t xml:space="preserve">; </w:t>
      </w:r>
      <w:proofErr w:type="spellStart"/>
      <w:r w:rsidR="00CD2242" w:rsidRPr="001B1523">
        <w:rPr>
          <w:rFonts w:cs="Arial"/>
          <w:sz w:val="24"/>
          <w:szCs w:val="24"/>
          <w:lang w:val="en-US"/>
        </w:rPr>
        <w:t>Biolegend</w:t>
      </w:r>
      <w:proofErr w:type="spellEnd"/>
      <w:r w:rsidR="00B63AD6" w:rsidRPr="001B1523">
        <w:rPr>
          <w:rFonts w:cs="Arial"/>
          <w:sz w:val="24"/>
          <w:szCs w:val="24"/>
          <w:lang w:val="en-US"/>
        </w:rPr>
        <w:t>)</w:t>
      </w:r>
      <w:r w:rsidR="00003E9D" w:rsidRPr="001B1523">
        <w:rPr>
          <w:rFonts w:cs="Arial"/>
          <w:sz w:val="24"/>
          <w:szCs w:val="24"/>
          <w:lang w:val="en-US"/>
        </w:rPr>
        <w:t>.</w:t>
      </w:r>
      <w:r w:rsidR="00142EE6" w:rsidRPr="001B1523">
        <w:rPr>
          <w:rFonts w:cs="Arial"/>
          <w:sz w:val="24"/>
          <w:szCs w:val="24"/>
          <w:lang w:val="en-US"/>
        </w:rPr>
        <w:t xml:space="preserve"> </w:t>
      </w:r>
      <w:r w:rsidR="00416BFB" w:rsidRPr="001B1523">
        <w:rPr>
          <w:rFonts w:cs="Arial"/>
          <w:sz w:val="24"/>
          <w:szCs w:val="24"/>
          <w:lang w:val="en-US"/>
        </w:rPr>
        <w:t>Recent thymic emigrant (RTE)</w:t>
      </w:r>
      <w:r w:rsidR="00142EE6" w:rsidRPr="001B1523">
        <w:rPr>
          <w:rFonts w:cs="Times New Roman"/>
          <w:sz w:val="24"/>
          <w:szCs w:val="24"/>
        </w:rPr>
        <w:t xml:space="preserve"> phenotyping was done in a subset of PD patients and controls.</w:t>
      </w:r>
      <w:r w:rsidR="0044515F" w:rsidRPr="001B1523">
        <w:rPr>
          <w:rFonts w:cs="Arial"/>
          <w:sz w:val="24"/>
          <w:szCs w:val="24"/>
          <w:lang w:val="en-US"/>
        </w:rPr>
        <w:t xml:space="preserve"> </w:t>
      </w:r>
      <w:r w:rsidR="00B63AD6" w:rsidRPr="001B1523">
        <w:rPr>
          <w:rFonts w:cs="Arial"/>
          <w:sz w:val="24"/>
          <w:szCs w:val="24"/>
          <w:lang w:val="en-US"/>
        </w:rPr>
        <w:t xml:space="preserve">The RTE panel included the following: </w:t>
      </w:r>
      <w:r w:rsidR="0044515F" w:rsidRPr="001B1523">
        <w:rPr>
          <w:rFonts w:cs="Arial"/>
          <w:sz w:val="24"/>
          <w:szCs w:val="24"/>
          <w:lang w:val="en-US"/>
        </w:rPr>
        <w:t>CD3 (APC</w:t>
      </w:r>
      <w:r w:rsidR="00232E40" w:rsidRPr="001B1523">
        <w:rPr>
          <w:rFonts w:cs="Arial"/>
          <w:sz w:val="24"/>
          <w:szCs w:val="24"/>
          <w:lang w:val="en-US"/>
        </w:rPr>
        <w:t>; BD Biosciences</w:t>
      </w:r>
      <w:r w:rsidR="0044515F" w:rsidRPr="001B1523">
        <w:rPr>
          <w:rFonts w:cs="Arial"/>
          <w:sz w:val="24"/>
          <w:szCs w:val="24"/>
          <w:lang w:val="en-US"/>
        </w:rPr>
        <w:t>), CD4 (BUV395</w:t>
      </w:r>
      <w:r w:rsidR="00232E40" w:rsidRPr="001B1523">
        <w:rPr>
          <w:rFonts w:cs="Arial"/>
          <w:sz w:val="24"/>
          <w:szCs w:val="24"/>
          <w:lang w:val="en-US"/>
        </w:rPr>
        <w:t xml:space="preserve">; </w:t>
      </w:r>
      <w:proofErr w:type="spellStart"/>
      <w:r w:rsidR="0065043B" w:rsidRPr="001B1523">
        <w:rPr>
          <w:rFonts w:cs="Arial"/>
          <w:sz w:val="24"/>
          <w:szCs w:val="24"/>
          <w:lang w:val="en-US"/>
        </w:rPr>
        <w:t>Biolegend</w:t>
      </w:r>
      <w:proofErr w:type="spellEnd"/>
      <w:r w:rsidR="0044515F" w:rsidRPr="001B1523">
        <w:rPr>
          <w:rFonts w:cs="Arial"/>
          <w:sz w:val="24"/>
          <w:szCs w:val="24"/>
          <w:lang w:val="en-US"/>
        </w:rPr>
        <w:t>), CD8 (APC H7</w:t>
      </w:r>
      <w:r w:rsidR="00232E40" w:rsidRPr="001B1523">
        <w:rPr>
          <w:rFonts w:cs="Arial"/>
          <w:sz w:val="24"/>
          <w:szCs w:val="24"/>
          <w:lang w:val="en-US"/>
        </w:rPr>
        <w:t xml:space="preserve">; </w:t>
      </w:r>
      <w:proofErr w:type="spellStart"/>
      <w:r w:rsidR="0065043B" w:rsidRPr="001B1523">
        <w:rPr>
          <w:rFonts w:cs="Arial"/>
          <w:sz w:val="24"/>
          <w:szCs w:val="24"/>
          <w:lang w:val="en-US"/>
        </w:rPr>
        <w:t>Biolegend</w:t>
      </w:r>
      <w:proofErr w:type="spellEnd"/>
      <w:r w:rsidR="0044515F" w:rsidRPr="001B1523">
        <w:rPr>
          <w:rFonts w:cs="Arial"/>
          <w:sz w:val="24"/>
          <w:szCs w:val="24"/>
          <w:lang w:val="en-US"/>
        </w:rPr>
        <w:t>), CD45RA (</w:t>
      </w:r>
      <w:proofErr w:type="spellStart"/>
      <w:r w:rsidR="0044515F" w:rsidRPr="001B1523">
        <w:rPr>
          <w:rFonts w:cs="Arial"/>
          <w:sz w:val="24"/>
          <w:szCs w:val="24"/>
          <w:lang w:val="en-US"/>
        </w:rPr>
        <w:t>PerCP</w:t>
      </w:r>
      <w:proofErr w:type="spellEnd"/>
      <w:r w:rsidR="0044515F" w:rsidRPr="001B1523">
        <w:rPr>
          <w:rFonts w:cs="Arial"/>
          <w:sz w:val="24"/>
          <w:szCs w:val="24"/>
          <w:lang w:val="en-US"/>
        </w:rPr>
        <w:t xml:space="preserve"> Cy5.5</w:t>
      </w:r>
      <w:r w:rsidR="00232E40" w:rsidRPr="001B1523">
        <w:rPr>
          <w:rFonts w:cs="Arial"/>
          <w:sz w:val="24"/>
          <w:szCs w:val="24"/>
          <w:lang w:val="en-US"/>
        </w:rPr>
        <w:t xml:space="preserve">; </w:t>
      </w:r>
      <w:r w:rsidR="0065043B" w:rsidRPr="001B1523">
        <w:rPr>
          <w:rFonts w:cs="Arial"/>
          <w:sz w:val="24"/>
          <w:szCs w:val="24"/>
          <w:lang w:val="en-US"/>
        </w:rPr>
        <w:t>BD Biosciences</w:t>
      </w:r>
      <w:r w:rsidR="0044515F" w:rsidRPr="001B1523">
        <w:rPr>
          <w:rFonts w:cs="Arial"/>
          <w:sz w:val="24"/>
          <w:szCs w:val="24"/>
          <w:lang w:val="en-US"/>
        </w:rPr>
        <w:t xml:space="preserve">), </w:t>
      </w:r>
      <w:r w:rsidR="00B63AD6" w:rsidRPr="001B1523">
        <w:rPr>
          <w:rFonts w:cs="Arial"/>
          <w:sz w:val="24"/>
          <w:szCs w:val="24"/>
          <w:lang w:val="en-US"/>
        </w:rPr>
        <w:t>CD103 (FITC</w:t>
      </w:r>
      <w:r w:rsidR="00232E40" w:rsidRPr="001B1523">
        <w:rPr>
          <w:rFonts w:cs="Arial"/>
          <w:sz w:val="24"/>
          <w:szCs w:val="24"/>
          <w:lang w:val="en-US"/>
        </w:rPr>
        <w:t xml:space="preserve">; </w:t>
      </w:r>
      <w:r w:rsidR="0065043B" w:rsidRPr="001B1523">
        <w:rPr>
          <w:rFonts w:cs="Arial"/>
          <w:sz w:val="24"/>
          <w:szCs w:val="24"/>
          <w:lang w:val="en-US"/>
        </w:rPr>
        <w:t>BD Biosciences</w:t>
      </w:r>
      <w:r w:rsidR="00B63AD6" w:rsidRPr="001B1523">
        <w:rPr>
          <w:rFonts w:cs="Arial"/>
          <w:sz w:val="24"/>
          <w:szCs w:val="24"/>
          <w:lang w:val="en-US"/>
        </w:rPr>
        <w:t xml:space="preserve">), </w:t>
      </w:r>
      <w:r w:rsidR="0044515F" w:rsidRPr="001B1523">
        <w:rPr>
          <w:rFonts w:cs="Arial"/>
          <w:sz w:val="24"/>
          <w:szCs w:val="24"/>
          <w:lang w:val="en-US"/>
        </w:rPr>
        <w:t xml:space="preserve">and </w:t>
      </w:r>
      <w:r w:rsidR="00B63AD6" w:rsidRPr="001B1523">
        <w:rPr>
          <w:rFonts w:cs="Arial"/>
          <w:sz w:val="24"/>
          <w:szCs w:val="24"/>
          <w:lang w:val="en-US"/>
        </w:rPr>
        <w:t>PTK7 (PE</w:t>
      </w:r>
      <w:r w:rsidR="00232E40" w:rsidRPr="001B1523">
        <w:rPr>
          <w:rFonts w:cs="Arial"/>
          <w:sz w:val="24"/>
          <w:szCs w:val="24"/>
          <w:lang w:val="en-US"/>
        </w:rPr>
        <w:t xml:space="preserve">; </w:t>
      </w:r>
      <w:r w:rsidR="0065043B" w:rsidRPr="001B1523">
        <w:rPr>
          <w:rFonts w:cs="Arial"/>
          <w:sz w:val="24"/>
          <w:szCs w:val="24"/>
          <w:lang w:val="en-US"/>
        </w:rPr>
        <w:t>BD Biosciences</w:t>
      </w:r>
      <w:r w:rsidR="00B63AD6" w:rsidRPr="001B1523">
        <w:rPr>
          <w:rFonts w:cs="Arial"/>
          <w:sz w:val="24"/>
          <w:szCs w:val="24"/>
          <w:lang w:val="en-US"/>
        </w:rPr>
        <w:t>)</w:t>
      </w:r>
      <w:r w:rsidR="0044515F" w:rsidRPr="001B1523">
        <w:rPr>
          <w:rFonts w:cs="Arial"/>
          <w:sz w:val="24"/>
          <w:szCs w:val="24"/>
          <w:lang w:val="en-US"/>
        </w:rPr>
        <w:t>.</w:t>
      </w:r>
      <w:r w:rsidR="00B63AD6" w:rsidRPr="001B1523">
        <w:rPr>
          <w:rFonts w:cs="Arial"/>
          <w:sz w:val="24"/>
          <w:szCs w:val="24"/>
          <w:lang w:val="en-US"/>
        </w:rPr>
        <w:t xml:space="preserve"> </w:t>
      </w:r>
      <w:r w:rsidR="00A776D6" w:rsidRPr="001B1523">
        <w:rPr>
          <w:rFonts w:cs="Arial"/>
          <w:sz w:val="24"/>
          <w:szCs w:val="24"/>
          <w:lang w:val="en-US"/>
        </w:rPr>
        <w:t>After antibody incubation, the samples</w:t>
      </w:r>
      <w:r w:rsidR="005C249F" w:rsidRPr="001B1523">
        <w:rPr>
          <w:rFonts w:cs="Arial"/>
          <w:sz w:val="24"/>
          <w:szCs w:val="24"/>
          <w:lang w:val="en-US"/>
        </w:rPr>
        <w:t xml:space="preserve"> were</w:t>
      </w:r>
      <w:r w:rsidR="00A776D6" w:rsidRPr="001B1523">
        <w:rPr>
          <w:rFonts w:cs="Arial"/>
          <w:sz w:val="24"/>
          <w:szCs w:val="24"/>
          <w:lang w:val="en-US"/>
        </w:rPr>
        <w:t xml:space="preserve"> washed twice with FACS buffer and fixed with 2% paraformaldehyde. Post-fixation,</w:t>
      </w:r>
      <w:r w:rsidR="005C249F" w:rsidRPr="001B1523">
        <w:rPr>
          <w:rFonts w:cs="Arial"/>
          <w:sz w:val="24"/>
          <w:szCs w:val="24"/>
          <w:lang w:val="en-US"/>
        </w:rPr>
        <w:t xml:space="preserve"> the</w:t>
      </w:r>
      <w:r w:rsidR="00A776D6" w:rsidRPr="001B1523">
        <w:rPr>
          <w:rFonts w:cs="Arial"/>
          <w:sz w:val="24"/>
          <w:szCs w:val="24"/>
          <w:lang w:val="en-US"/>
        </w:rPr>
        <w:t xml:space="preserve"> cells were washed twice </w:t>
      </w:r>
      <w:r w:rsidR="00567375" w:rsidRPr="001B1523">
        <w:rPr>
          <w:rFonts w:cs="Arial"/>
          <w:sz w:val="24"/>
          <w:szCs w:val="24"/>
          <w:lang w:val="en-US"/>
        </w:rPr>
        <w:t xml:space="preserve">and </w:t>
      </w:r>
      <w:r w:rsidR="00A776D6" w:rsidRPr="001B1523">
        <w:rPr>
          <w:rFonts w:cs="Arial"/>
          <w:sz w:val="24"/>
          <w:szCs w:val="24"/>
          <w:lang w:val="en-US"/>
        </w:rPr>
        <w:t xml:space="preserve">were transferred to FACS tubes. </w:t>
      </w:r>
    </w:p>
    <w:p w14:paraId="074968C4" w14:textId="5DC00749" w:rsidR="001603F3" w:rsidRPr="001B1523" w:rsidRDefault="001603F3" w:rsidP="00AC4E9D">
      <w:pPr>
        <w:spacing w:line="480" w:lineRule="auto"/>
        <w:ind w:firstLine="720"/>
        <w:rPr>
          <w:rFonts w:cs="Times New Roman"/>
          <w:sz w:val="24"/>
          <w:szCs w:val="24"/>
        </w:rPr>
      </w:pPr>
      <w:r w:rsidRPr="001B1523">
        <w:rPr>
          <w:rFonts w:cs="Arial"/>
          <w:sz w:val="24"/>
          <w:szCs w:val="24"/>
          <w:lang w:val="en-US"/>
        </w:rPr>
        <w:t>Flow cytometry was run within 24 hours of PBMC extraction.</w:t>
      </w:r>
      <w:r w:rsidRPr="001B1523">
        <w:rPr>
          <w:rFonts w:cs="Times New Roman"/>
          <w:sz w:val="24"/>
          <w:szCs w:val="24"/>
        </w:rPr>
        <w:t xml:space="preserve"> D</w:t>
      </w:r>
      <w:r w:rsidR="00071406" w:rsidRPr="001B1523">
        <w:rPr>
          <w:rFonts w:cs="Times New Roman"/>
          <w:sz w:val="24"/>
          <w:szCs w:val="24"/>
        </w:rPr>
        <w:t xml:space="preserve">ata </w:t>
      </w:r>
      <w:r w:rsidR="00071406" w:rsidRPr="001B1523">
        <w:rPr>
          <w:rFonts w:cs="Times New Roman"/>
          <w:noProof/>
          <w:sz w:val="24"/>
          <w:szCs w:val="24"/>
        </w:rPr>
        <w:t>was</w:t>
      </w:r>
      <w:r w:rsidR="00071406" w:rsidRPr="001B1523">
        <w:rPr>
          <w:rFonts w:cs="Times New Roman"/>
          <w:sz w:val="24"/>
          <w:szCs w:val="24"/>
        </w:rPr>
        <w:t xml:space="preserve"> acquired on a BD LSR </w:t>
      </w:r>
      <w:proofErr w:type="spellStart"/>
      <w:r w:rsidR="00071406" w:rsidRPr="001B1523">
        <w:rPr>
          <w:rFonts w:cs="Times New Roman"/>
          <w:sz w:val="24"/>
          <w:szCs w:val="24"/>
        </w:rPr>
        <w:t>Fortessa</w:t>
      </w:r>
      <w:proofErr w:type="spellEnd"/>
      <w:r w:rsidR="00071406" w:rsidRPr="001B1523">
        <w:rPr>
          <w:rFonts w:cs="Times New Roman"/>
          <w:sz w:val="24"/>
          <w:szCs w:val="24"/>
        </w:rPr>
        <w:t xml:space="preserve">™ flow cytometer using the BD FACS Diva software at the NIHR Cambridge BRC Cell Phenotyping Hub. </w:t>
      </w:r>
      <w:r w:rsidR="00A776D6" w:rsidRPr="001B1523">
        <w:rPr>
          <w:rFonts w:cs="Times New Roman"/>
          <w:sz w:val="24"/>
          <w:szCs w:val="24"/>
        </w:rPr>
        <w:t>S</w:t>
      </w:r>
      <w:r w:rsidR="00071406" w:rsidRPr="001B1523">
        <w:rPr>
          <w:rFonts w:cs="Times New Roman"/>
          <w:sz w:val="24"/>
          <w:szCs w:val="24"/>
        </w:rPr>
        <w:t>ingle-stained samples were used</w:t>
      </w:r>
      <w:r w:rsidR="00003E9D" w:rsidRPr="001B1523">
        <w:rPr>
          <w:rFonts w:cs="Times New Roman"/>
          <w:sz w:val="24"/>
          <w:szCs w:val="24"/>
        </w:rPr>
        <w:t xml:space="preserve"> for each experiment</w:t>
      </w:r>
      <w:r w:rsidR="00A776D6" w:rsidRPr="001B1523">
        <w:rPr>
          <w:rFonts w:cs="Times New Roman"/>
          <w:sz w:val="24"/>
          <w:szCs w:val="24"/>
        </w:rPr>
        <w:t xml:space="preserve"> </w:t>
      </w:r>
      <w:r w:rsidR="00865C86" w:rsidRPr="001B1523">
        <w:rPr>
          <w:rFonts w:cs="Arial"/>
          <w:sz w:val="24"/>
          <w:szCs w:val="24"/>
          <w:lang w:val="en-US"/>
        </w:rPr>
        <w:t xml:space="preserve">and compensation was applied to </w:t>
      </w:r>
      <w:r w:rsidR="00003E9D" w:rsidRPr="001B1523">
        <w:rPr>
          <w:rFonts w:cs="Arial"/>
          <w:sz w:val="24"/>
          <w:szCs w:val="24"/>
          <w:lang w:val="en-US"/>
        </w:rPr>
        <w:t>correct for fluorescence spectral overlap</w:t>
      </w:r>
      <w:r w:rsidR="00A776D6" w:rsidRPr="001B1523">
        <w:rPr>
          <w:rFonts w:cs="Times New Roman"/>
          <w:sz w:val="24"/>
          <w:szCs w:val="24"/>
        </w:rPr>
        <w:t>.</w:t>
      </w:r>
      <w:r w:rsidR="00003E9D" w:rsidRPr="001B1523">
        <w:rPr>
          <w:rFonts w:cs="Times New Roman"/>
          <w:sz w:val="24"/>
          <w:szCs w:val="24"/>
        </w:rPr>
        <w:t xml:space="preserve"> </w:t>
      </w:r>
      <w:r w:rsidR="005C249F" w:rsidRPr="001B1523">
        <w:rPr>
          <w:rFonts w:cs="Times New Roman"/>
          <w:sz w:val="24"/>
          <w:szCs w:val="24"/>
        </w:rPr>
        <w:t>Isotype controls were used where appropriate to determine non-specific antibody binding.</w:t>
      </w:r>
      <w:r w:rsidR="00BB0DF4" w:rsidRPr="001B1523">
        <w:rPr>
          <w:rFonts w:cs="Times New Roman"/>
          <w:sz w:val="24"/>
          <w:szCs w:val="24"/>
        </w:rPr>
        <w:t xml:space="preserve"> Fluorescence minus-one controls were used to </w:t>
      </w:r>
      <w:r w:rsidR="00C4498A" w:rsidRPr="001B1523">
        <w:rPr>
          <w:rFonts w:cs="Times New Roman"/>
          <w:sz w:val="24"/>
          <w:szCs w:val="24"/>
        </w:rPr>
        <w:t>check the gating strategy for</w:t>
      </w:r>
      <w:r w:rsidR="00BB0DF4" w:rsidRPr="001B1523">
        <w:rPr>
          <w:rFonts w:cs="Times New Roman"/>
          <w:sz w:val="24"/>
          <w:szCs w:val="24"/>
        </w:rPr>
        <w:t xml:space="preserve"> cell populations of interest.</w:t>
      </w:r>
    </w:p>
    <w:p w14:paraId="2AE46804" w14:textId="77777777" w:rsidR="0062641F" w:rsidRPr="001B1523" w:rsidRDefault="0062641F" w:rsidP="00AC4E9D">
      <w:pPr>
        <w:spacing w:line="480" w:lineRule="auto"/>
        <w:ind w:firstLine="720"/>
        <w:rPr>
          <w:rFonts w:cs="Times New Roman"/>
          <w:sz w:val="24"/>
          <w:szCs w:val="24"/>
        </w:rPr>
      </w:pPr>
    </w:p>
    <w:p w14:paraId="3F22BB9A" w14:textId="77777777" w:rsidR="001603F3" w:rsidRPr="001B1523" w:rsidRDefault="001603F3" w:rsidP="00AC4E9D">
      <w:pPr>
        <w:spacing w:line="480" w:lineRule="auto"/>
        <w:ind w:firstLine="720"/>
        <w:rPr>
          <w:rFonts w:cs="Times New Roman"/>
          <w:sz w:val="24"/>
          <w:szCs w:val="24"/>
        </w:rPr>
      </w:pPr>
    </w:p>
    <w:p w14:paraId="64167ABB" w14:textId="2B58250D" w:rsidR="001603F3" w:rsidRPr="001B1523" w:rsidRDefault="001603F3" w:rsidP="00AC4E9D">
      <w:pPr>
        <w:pStyle w:val="Heading2"/>
        <w:spacing w:line="480" w:lineRule="auto"/>
        <w:rPr>
          <w:sz w:val="24"/>
          <w:szCs w:val="24"/>
        </w:rPr>
      </w:pPr>
      <w:r w:rsidRPr="001B1523">
        <w:rPr>
          <w:sz w:val="24"/>
          <w:szCs w:val="24"/>
        </w:rPr>
        <w:lastRenderedPageBreak/>
        <w:t>Data analysis</w:t>
      </w:r>
    </w:p>
    <w:p w14:paraId="3B1010AD" w14:textId="77777777" w:rsidR="001603F3" w:rsidRPr="001B1523" w:rsidRDefault="001603F3" w:rsidP="00AC4E9D">
      <w:pPr>
        <w:spacing w:line="480" w:lineRule="auto"/>
        <w:rPr>
          <w:rFonts w:cs="Times New Roman"/>
          <w:sz w:val="24"/>
          <w:szCs w:val="24"/>
        </w:rPr>
      </w:pPr>
    </w:p>
    <w:p w14:paraId="1DFB72C3" w14:textId="66FBFE27" w:rsidR="00A776D6" w:rsidRPr="001B1523" w:rsidRDefault="00071406" w:rsidP="00AC4E9D">
      <w:pPr>
        <w:spacing w:line="480" w:lineRule="auto"/>
        <w:rPr>
          <w:rFonts w:cs="Times New Roman"/>
          <w:color w:val="0070C0"/>
          <w:sz w:val="24"/>
          <w:szCs w:val="24"/>
        </w:rPr>
      </w:pPr>
      <w:r w:rsidRPr="001B1523">
        <w:rPr>
          <w:rFonts w:cs="Times New Roman"/>
          <w:sz w:val="24"/>
          <w:szCs w:val="24"/>
        </w:rPr>
        <w:t xml:space="preserve">Flow cytometry data analysis was done </w:t>
      </w:r>
      <w:r w:rsidR="009024AA" w:rsidRPr="001B1523">
        <w:rPr>
          <w:rFonts w:cs="Times New Roman"/>
          <w:sz w:val="24"/>
          <w:szCs w:val="24"/>
        </w:rPr>
        <w:t xml:space="preserve">using </w:t>
      </w:r>
      <w:proofErr w:type="spellStart"/>
      <w:r w:rsidRPr="001B1523">
        <w:rPr>
          <w:rFonts w:cs="Times New Roman"/>
          <w:sz w:val="24"/>
          <w:szCs w:val="24"/>
        </w:rPr>
        <w:t>FlowJo</w:t>
      </w:r>
      <w:proofErr w:type="spellEnd"/>
      <w:r w:rsidRPr="001B1523">
        <w:rPr>
          <w:rFonts w:cs="Times New Roman"/>
          <w:sz w:val="24"/>
          <w:szCs w:val="24"/>
        </w:rPr>
        <w:t xml:space="preserve"> v10 software</w:t>
      </w:r>
      <w:r w:rsidR="00410D22" w:rsidRPr="001B1523">
        <w:rPr>
          <w:rFonts w:cs="Times New Roman"/>
          <w:sz w:val="24"/>
          <w:szCs w:val="24"/>
        </w:rPr>
        <w:t xml:space="preserve"> (BD Life Sciences)</w:t>
      </w:r>
      <w:r w:rsidRPr="001B1523">
        <w:rPr>
          <w:rFonts w:cs="Times New Roman"/>
          <w:sz w:val="24"/>
          <w:szCs w:val="24"/>
        </w:rPr>
        <w:t>.</w:t>
      </w:r>
      <w:r w:rsidR="00A776D6" w:rsidRPr="001B1523">
        <w:rPr>
          <w:rFonts w:cs="Times New Roman"/>
          <w:sz w:val="24"/>
          <w:szCs w:val="24"/>
        </w:rPr>
        <w:t xml:space="preserve"> </w:t>
      </w:r>
      <w:r w:rsidR="001603F3" w:rsidRPr="001B1523">
        <w:rPr>
          <w:rFonts w:cs="Times New Roman"/>
          <w:sz w:val="24"/>
          <w:szCs w:val="24"/>
        </w:rPr>
        <w:t>L</w:t>
      </w:r>
      <w:r w:rsidR="00A776D6" w:rsidRPr="001B1523">
        <w:rPr>
          <w:rFonts w:cs="Times New Roman"/>
          <w:sz w:val="24"/>
          <w:szCs w:val="24"/>
        </w:rPr>
        <w:t>ymphocyte</w:t>
      </w:r>
      <w:r w:rsidR="001603F3" w:rsidRPr="001B1523">
        <w:rPr>
          <w:rFonts w:cs="Times New Roman"/>
          <w:sz w:val="24"/>
          <w:szCs w:val="24"/>
        </w:rPr>
        <w:t>s</w:t>
      </w:r>
      <w:r w:rsidR="00A776D6" w:rsidRPr="001B1523">
        <w:rPr>
          <w:rFonts w:cs="Times New Roman"/>
          <w:sz w:val="24"/>
          <w:szCs w:val="24"/>
        </w:rPr>
        <w:t xml:space="preserve"> w</w:t>
      </w:r>
      <w:r w:rsidR="00567375" w:rsidRPr="001B1523">
        <w:rPr>
          <w:rFonts w:cs="Times New Roman"/>
          <w:sz w:val="24"/>
          <w:szCs w:val="24"/>
        </w:rPr>
        <w:t>ere</w:t>
      </w:r>
      <w:r w:rsidR="00A776D6" w:rsidRPr="001B1523">
        <w:rPr>
          <w:rFonts w:cs="Times New Roman"/>
          <w:sz w:val="24"/>
          <w:szCs w:val="24"/>
        </w:rPr>
        <w:t xml:space="preserve"> gated using forward and side scatter are</w:t>
      </w:r>
      <w:r w:rsidR="001603F3" w:rsidRPr="001B1523">
        <w:rPr>
          <w:rFonts w:cs="Times New Roman"/>
          <w:sz w:val="24"/>
          <w:szCs w:val="24"/>
        </w:rPr>
        <w:t>a</w:t>
      </w:r>
      <w:r w:rsidR="00A776D6" w:rsidRPr="001B1523">
        <w:rPr>
          <w:rFonts w:cs="Times New Roman"/>
          <w:sz w:val="24"/>
          <w:szCs w:val="24"/>
        </w:rPr>
        <w:t xml:space="preserve"> and the single cells were selected on a forward scatter area versus height plot. CD4</w:t>
      </w:r>
      <w:r w:rsidR="001603F3" w:rsidRPr="001B1523">
        <w:rPr>
          <w:rFonts w:cs="Times New Roman"/>
          <w:sz w:val="24"/>
          <w:szCs w:val="24"/>
        </w:rPr>
        <w:t xml:space="preserve"> and CD8</w:t>
      </w:r>
      <w:r w:rsidR="00A776D6" w:rsidRPr="001B1523">
        <w:rPr>
          <w:rFonts w:cs="Times New Roman"/>
          <w:sz w:val="24"/>
          <w:szCs w:val="24"/>
        </w:rPr>
        <w:t xml:space="preserve"> </w:t>
      </w:r>
      <w:r w:rsidR="009361F9" w:rsidRPr="001B1523">
        <w:rPr>
          <w:rFonts w:cs="Times New Roman"/>
          <w:sz w:val="24"/>
          <w:szCs w:val="24"/>
        </w:rPr>
        <w:t xml:space="preserve">T </w:t>
      </w:r>
      <w:r w:rsidR="00A776D6" w:rsidRPr="001B1523">
        <w:rPr>
          <w:rFonts w:cs="Times New Roman"/>
          <w:sz w:val="24"/>
          <w:szCs w:val="24"/>
        </w:rPr>
        <w:t>lymph</w:t>
      </w:r>
      <w:r w:rsidR="00003E9D" w:rsidRPr="001B1523">
        <w:rPr>
          <w:rFonts w:cs="Times New Roman"/>
          <w:sz w:val="24"/>
          <w:szCs w:val="24"/>
        </w:rPr>
        <w:t>ocytes</w:t>
      </w:r>
      <w:r w:rsidR="001603F3" w:rsidRPr="001B1523">
        <w:rPr>
          <w:rFonts w:cs="Times New Roman"/>
          <w:sz w:val="24"/>
          <w:szCs w:val="24"/>
        </w:rPr>
        <w:t xml:space="preserve"> we</w:t>
      </w:r>
      <w:r w:rsidR="009361F9" w:rsidRPr="001B1523">
        <w:rPr>
          <w:rFonts w:cs="Times New Roman"/>
          <w:sz w:val="24"/>
          <w:szCs w:val="24"/>
        </w:rPr>
        <w:t>re gated as CD3</w:t>
      </w:r>
      <w:r w:rsidR="009361F9" w:rsidRPr="001B1523">
        <w:rPr>
          <w:rFonts w:cs="Times New Roman"/>
          <w:sz w:val="24"/>
          <w:szCs w:val="24"/>
          <w:vertAlign w:val="superscript"/>
        </w:rPr>
        <w:t>+</w:t>
      </w:r>
      <w:r w:rsidR="009361F9" w:rsidRPr="001B1523">
        <w:rPr>
          <w:rFonts w:cs="Times New Roman"/>
          <w:sz w:val="24"/>
          <w:szCs w:val="24"/>
        </w:rPr>
        <w:t>CD4</w:t>
      </w:r>
      <w:r w:rsidR="009361F9" w:rsidRPr="001B1523">
        <w:rPr>
          <w:rFonts w:cs="Times New Roman"/>
          <w:sz w:val="24"/>
          <w:szCs w:val="24"/>
          <w:vertAlign w:val="superscript"/>
        </w:rPr>
        <w:t>+</w:t>
      </w:r>
      <w:r w:rsidR="009361F9" w:rsidRPr="001B1523">
        <w:rPr>
          <w:rFonts w:cs="Times New Roman"/>
          <w:sz w:val="24"/>
          <w:szCs w:val="24"/>
        </w:rPr>
        <w:t xml:space="preserve"> and CD3</w:t>
      </w:r>
      <w:r w:rsidR="009361F9" w:rsidRPr="001B1523">
        <w:rPr>
          <w:rFonts w:cs="Times New Roman"/>
          <w:sz w:val="24"/>
          <w:szCs w:val="24"/>
          <w:vertAlign w:val="superscript"/>
        </w:rPr>
        <w:t>+</w:t>
      </w:r>
      <w:r w:rsidR="009361F9" w:rsidRPr="001B1523">
        <w:rPr>
          <w:rFonts w:cs="Times New Roman"/>
          <w:sz w:val="24"/>
          <w:szCs w:val="24"/>
        </w:rPr>
        <w:t>CD8</w:t>
      </w:r>
      <w:r w:rsidR="009361F9" w:rsidRPr="001B1523">
        <w:rPr>
          <w:rFonts w:cs="Times New Roman"/>
          <w:sz w:val="24"/>
          <w:szCs w:val="24"/>
          <w:vertAlign w:val="superscript"/>
        </w:rPr>
        <w:t>+</w:t>
      </w:r>
      <w:r w:rsidR="009361F9" w:rsidRPr="001B1523">
        <w:rPr>
          <w:rFonts w:cs="Times New Roman"/>
          <w:sz w:val="24"/>
          <w:szCs w:val="24"/>
        </w:rPr>
        <w:t xml:space="preserve"> cells, respectively. </w:t>
      </w:r>
      <w:r w:rsidR="004F3883" w:rsidRPr="001B1523">
        <w:rPr>
          <w:rFonts w:cs="Times New Roman"/>
          <w:sz w:val="24"/>
          <w:szCs w:val="24"/>
        </w:rPr>
        <w:t>Q</w:t>
      </w:r>
      <w:r w:rsidR="009361F9" w:rsidRPr="001B1523">
        <w:rPr>
          <w:rFonts w:cs="Times New Roman"/>
          <w:sz w:val="24"/>
          <w:szCs w:val="24"/>
        </w:rPr>
        <w:t xml:space="preserve">uadrant gating of CCR7 </w:t>
      </w:r>
      <w:r w:rsidR="004F3883" w:rsidRPr="001B1523">
        <w:rPr>
          <w:rFonts w:cs="Times New Roman"/>
          <w:sz w:val="24"/>
          <w:szCs w:val="24"/>
        </w:rPr>
        <w:t xml:space="preserve">versus </w:t>
      </w:r>
      <w:r w:rsidR="009361F9" w:rsidRPr="001B1523">
        <w:rPr>
          <w:rFonts w:cs="Times New Roman"/>
          <w:sz w:val="24"/>
          <w:szCs w:val="24"/>
        </w:rPr>
        <w:t xml:space="preserve">CD45RA </w:t>
      </w:r>
      <w:r w:rsidR="004F3883" w:rsidRPr="001B1523">
        <w:rPr>
          <w:rFonts w:cs="Times New Roman"/>
          <w:sz w:val="24"/>
          <w:szCs w:val="24"/>
        </w:rPr>
        <w:t xml:space="preserve">plots </w:t>
      </w:r>
      <w:r w:rsidR="009361F9" w:rsidRPr="001B1523">
        <w:rPr>
          <w:rFonts w:cs="Times New Roman"/>
          <w:sz w:val="24"/>
          <w:szCs w:val="24"/>
        </w:rPr>
        <w:t xml:space="preserve">was used to gate </w:t>
      </w:r>
      <w:r w:rsidR="009361F9" w:rsidRPr="001B1523">
        <w:rPr>
          <w:rFonts w:cs="Arial"/>
          <w:sz w:val="24"/>
          <w:szCs w:val="24"/>
        </w:rPr>
        <w:t>na</w:t>
      </w:r>
      <w:r w:rsidR="009361F9" w:rsidRPr="001B1523">
        <w:rPr>
          <w:rFonts w:cs="Arial"/>
          <w:color w:val="000000"/>
          <w:sz w:val="24"/>
          <w:szCs w:val="24"/>
        </w:rPr>
        <w:t xml:space="preserve">ïve, central memory, effector </w:t>
      </w:r>
      <w:r w:rsidR="00567375" w:rsidRPr="001B1523">
        <w:rPr>
          <w:rFonts w:cs="Arial"/>
          <w:color w:val="000000"/>
          <w:sz w:val="24"/>
          <w:szCs w:val="24"/>
        </w:rPr>
        <w:t xml:space="preserve">memory </w:t>
      </w:r>
      <w:r w:rsidR="007129EC" w:rsidRPr="001B1523">
        <w:rPr>
          <w:rFonts w:cs="Arial"/>
          <w:color w:val="000000"/>
          <w:sz w:val="24"/>
          <w:szCs w:val="24"/>
        </w:rPr>
        <w:t>and T effector memory cells that re-expresses CD45RA (TEMRA)</w:t>
      </w:r>
      <w:r w:rsidR="004F3883" w:rsidRPr="001B1523">
        <w:rPr>
          <w:rFonts w:cs="Arial"/>
          <w:color w:val="000000"/>
          <w:sz w:val="24"/>
          <w:szCs w:val="24"/>
        </w:rPr>
        <w:t xml:space="preserve"> within both CD4</w:t>
      </w:r>
      <w:r w:rsidR="004F3883" w:rsidRPr="001B1523">
        <w:rPr>
          <w:rFonts w:cs="Arial"/>
          <w:color w:val="000000"/>
          <w:sz w:val="24"/>
          <w:szCs w:val="24"/>
          <w:vertAlign w:val="superscript"/>
        </w:rPr>
        <w:t>+</w:t>
      </w:r>
      <w:r w:rsidR="004F3883" w:rsidRPr="001B1523">
        <w:rPr>
          <w:rFonts w:cs="Arial"/>
          <w:color w:val="000000"/>
          <w:sz w:val="24"/>
          <w:szCs w:val="24"/>
        </w:rPr>
        <w:t xml:space="preserve"> and CD8</w:t>
      </w:r>
      <w:r w:rsidR="004F3883" w:rsidRPr="001B1523">
        <w:rPr>
          <w:rFonts w:cs="Arial"/>
          <w:color w:val="000000"/>
          <w:sz w:val="24"/>
          <w:szCs w:val="24"/>
          <w:vertAlign w:val="superscript"/>
        </w:rPr>
        <w:t>+</w:t>
      </w:r>
      <w:r w:rsidR="004F3883" w:rsidRPr="001B1523">
        <w:rPr>
          <w:rFonts w:cs="Arial"/>
          <w:color w:val="000000"/>
          <w:sz w:val="24"/>
          <w:szCs w:val="24"/>
        </w:rPr>
        <w:t xml:space="preserve"> populations</w:t>
      </w:r>
      <w:r w:rsidR="009361F9" w:rsidRPr="001B1523">
        <w:rPr>
          <w:rFonts w:cs="Arial"/>
          <w:color w:val="000000"/>
          <w:sz w:val="24"/>
          <w:szCs w:val="24"/>
        </w:rPr>
        <w:t>. Within the CD8</w:t>
      </w:r>
      <w:r w:rsidR="00F335E8" w:rsidRPr="001B1523">
        <w:rPr>
          <w:rFonts w:cs="Arial"/>
          <w:color w:val="000000"/>
          <w:sz w:val="24"/>
          <w:szCs w:val="24"/>
          <w:vertAlign w:val="superscript"/>
        </w:rPr>
        <w:t>+</w:t>
      </w:r>
      <w:r w:rsidR="009361F9" w:rsidRPr="001B1523">
        <w:rPr>
          <w:rFonts w:cs="Arial"/>
          <w:color w:val="000000"/>
          <w:sz w:val="24"/>
          <w:szCs w:val="24"/>
        </w:rPr>
        <w:t xml:space="preserve"> T cell </w:t>
      </w:r>
      <w:r w:rsidR="009361F9" w:rsidRPr="001B1523">
        <w:rPr>
          <w:rFonts w:cs="Arial"/>
          <w:sz w:val="24"/>
          <w:szCs w:val="24"/>
        </w:rPr>
        <w:t xml:space="preserve">population, senescent “late differentiated” cells were </w:t>
      </w:r>
      <w:r w:rsidR="009024AA" w:rsidRPr="001B1523">
        <w:rPr>
          <w:rFonts w:cs="Arial"/>
          <w:sz w:val="24"/>
          <w:szCs w:val="24"/>
        </w:rPr>
        <w:t xml:space="preserve">also </w:t>
      </w:r>
      <w:r w:rsidR="009361F9" w:rsidRPr="001B1523">
        <w:rPr>
          <w:rFonts w:cs="Arial"/>
          <w:sz w:val="24"/>
          <w:szCs w:val="24"/>
        </w:rPr>
        <w:t>defined as CD28 low and CD57 high (CD28</w:t>
      </w:r>
      <w:r w:rsidR="009361F9" w:rsidRPr="001B1523">
        <w:rPr>
          <w:rFonts w:cs="Arial"/>
          <w:sz w:val="24"/>
          <w:szCs w:val="24"/>
          <w:vertAlign w:val="superscript"/>
        </w:rPr>
        <w:t>lo</w:t>
      </w:r>
      <w:r w:rsidR="009361F9" w:rsidRPr="001B1523">
        <w:rPr>
          <w:rFonts w:cs="Arial"/>
          <w:sz w:val="24"/>
          <w:szCs w:val="24"/>
        </w:rPr>
        <w:t>CD57</w:t>
      </w:r>
      <w:r w:rsidR="009361F9" w:rsidRPr="001B1523">
        <w:rPr>
          <w:rFonts w:cs="Arial"/>
          <w:sz w:val="24"/>
          <w:szCs w:val="24"/>
          <w:vertAlign w:val="superscript"/>
        </w:rPr>
        <w:t>hi</w:t>
      </w:r>
      <w:r w:rsidR="009361F9" w:rsidRPr="001B1523">
        <w:rPr>
          <w:rFonts w:cs="Arial"/>
          <w:sz w:val="24"/>
          <w:szCs w:val="24"/>
        </w:rPr>
        <w:t>)</w:t>
      </w:r>
      <w:r w:rsidR="009024AA" w:rsidRPr="001B1523">
        <w:rPr>
          <w:rFonts w:cs="Arial"/>
          <w:sz w:val="24"/>
          <w:szCs w:val="24"/>
        </w:rPr>
        <w:t>, in addition to the TEMRA subset.</w:t>
      </w:r>
      <w:r w:rsidR="009361F9" w:rsidRPr="001B1523">
        <w:rPr>
          <w:rFonts w:cs="Arial"/>
          <w:sz w:val="24"/>
          <w:szCs w:val="24"/>
        </w:rPr>
        <w:t xml:space="preserve"> Data is presented both as % of total lymphocytes and as absolute counts</w:t>
      </w:r>
      <w:r w:rsidR="00BD448F" w:rsidRPr="001B1523">
        <w:rPr>
          <w:rFonts w:cs="Arial"/>
          <w:sz w:val="24"/>
          <w:szCs w:val="24"/>
        </w:rPr>
        <w:t xml:space="preserve"> (calculated based on the full blood counts).</w:t>
      </w:r>
      <w:r w:rsidR="0062641F" w:rsidRPr="001B1523">
        <w:t xml:space="preserve"> </w:t>
      </w:r>
      <w:r w:rsidR="0062641F" w:rsidRPr="001B1523">
        <w:rPr>
          <w:rFonts w:cs="Arial"/>
          <w:sz w:val="24"/>
          <w:szCs w:val="24"/>
        </w:rPr>
        <w:t>One PD sample has been removed</w:t>
      </w:r>
      <w:r w:rsidR="003C5C41" w:rsidRPr="001B1523">
        <w:rPr>
          <w:rFonts w:cs="Arial"/>
          <w:sz w:val="24"/>
          <w:szCs w:val="24"/>
        </w:rPr>
        <w:t xml:space="preserve"> from the flow cytometry dataset prior to statistical comparison of groups </w:t>
      </w:r>
      <w:r w:rsidR="0062641F" w:rsidRPr="001B1523">
        <w:rPr>
          <w:rFonts w:cs="Arial"/>
          <w:sz w:val="24"/>
          <w:szCs w:val="24"/>
        </w:rPr>
        <w:t xml:space="preserve">due to a technical issue during the cytometry experiment. </w:t>
      </w:r>
      <w:r w:rsidR="004E5549" w:rsidRPr="001B1523">
        <w:rPr>
          <w:rFonts w:cs="Times New Roman"/>
          <w:sz w:val="24"/>
          <w:szCs w:val="24"/>
        </w:rPr>
        <w:t xml:space="preserve">In the </w:t>
      </w:r>
      <w:r w:rsidR="00D40731" w:rsidRPr="001B1523">
        <w:rPr>
          <w:rFonts w:cs="Times New Roman"/>
          <w:sz w:val="24"/>
          <w:szCs w:val="24"/>
        </w:rPr>
        <w:t>recent thymic emigrant pa</w:t>
      </w:r>
      <w:r w:rsidR="004E5549" w:rsidRPr="001B1523">
        <w:rPr>
          <w:rFonts w:cs="Times New Roman"/>
          <w:sz w:val="24"/>
          <w:szCs w:val="24"/>
        </w:rPr>
        <w:t>nel,</w:t>
      </w:r>
      <w:r w:rsidR="00D40731" w:rsidRPr="001B1523">
        <w:rPr>
          <w:rFonts w:cs="Times New Roman"/>
          <w:sz w:val="24"/>
          <w:szCs w:val="24"/>
        </w:rPr>
        <w:t xml:space="preserve"> CD4</w:t>
      </w:r>
      <w:r w:rsidR="00D40731" w:rsidRPr="001B1523">
        <w:rPr>
          <w:rFonts w:cs="Times New Roman"/>
          <w:sz w:val="24"/>
          <w:szCs w:val="24"/>
          <w:vertAlign w:val="superscript"/>
        </w:rPr>
        <w:t>+</w:t>
      </w:r>
      <w:r w:rsidR="00D40731" w:rsidRPr="001B1523">
        <w:rPr>
          <w:rFonts w:cs="Times New Roman"/>
          <w:sz w:val="24"/>
          <w:szCs w:val="24"/>
        </w:rPr>
        <w:t xml:space="preserve"> RTEs were defined as</w:t>
      </w:r>
      <w:r w:rsidR="004322DF" w:rsidRPr="001B1523">
        <w:rPr>
          <w:rFonts w:cs="Times New Roman"/>
          <w:sz w:val="24"/>
          <w:szCs w:val="24"/>
        </w:rPr>
        <w:t xml:space="preserve"> </w:t>
      </w:r>
      <w:r w:rsidR="00D40731" w:rsidRPr="001B1523">
        <w:rPr>
          <w:rFonts w:cs="Times New Roman"/>
          <w:sz w:val="24"/>
          <w:szCs w:val="24"/>
        </w:rPr>
        <w:t>CD45RA</w:t>
      </w:r>
      <w:r w:rsidR="00D40731" w:rsidRPr="001B1523">
        <w:rPr>
          <w:rFonts w:cs="Times New Roman"/>
          <w:sz w:val="24"/>
          <w:szCs w:val="24"/>
          <w:vertAlign w:val="superscript"/>
        </w:rPr>
        <w:t>+</w:t>
      </w:r>
      <w:r w:rsidR="00D40731" w:rsidRPr="001B1523">
        <w:rPr>
          <w:rFonts w:cs="Times New Roman"/>
          <w:sz w:val="24"/>
          <w:szCs w:val="24"/>
        </w:rPr>
        <w:t xml:space="preserve"> PTK7</w:t>
      </w:r>
      <w:r w:rsidR="00D40731" w:rsidRPr="001B1523">
        <w:rPr>
          <w:rFonts w:cs="Times New Roman"/>
          <w:sz w:val="24"/>
          <w:szCs w:val="24"/>
          <w:vertAlign w:val="superscript"/>
        </w:rPr>
        <w:t>+</w:t>
      </w:r>
      <w:r w:rsidR="00D40731" w:rsidRPr="001B1523">
        <w:rPr>
          <w:rFonts w:cs="Times New Roman"/>
          <w:sz w:val="24"/>
          <w:szCs w:val="24"/>
        </w:rPr>
        <w:t xml:space="preserve"> cells, and CD8</w:t>
      </w:r>
      <w:r w:rsidR="00D40731" w:rsidRPr="001B1523">
        <w:rPr>
          <w:rFonts w:cs="Times New Roman"/>
          <w:sz w:val="24"/>
          <w:szCs w:val="24"/>
          <w:vertAlign w:val="superscript"/>
        </w:rPr>
        <w:t>+</w:t>
      </w:r>
      <w:r w:rsidR="00D40731" w:rsidRPr="001B1523">
        <w:rPr>
          <w:rFonts w:cs="Times New Roman"/>
          <w:sz w:val="24"/>
          <w:szCs w:val="24"/>
        </w:rPr>
        <w:t xml:space="preserve"> RTEs were defined as CD45RA</w:t>
      </w:r>
      <w:r w:rsidR="00D40731" w:rsidRPr="001B1523">
        <w:rPr>
          <w:rFonts w:cs="Times New Roman"/>
          <w:sz w:val="24"/>
          <w:szCs w:val="24"/>
          <w:vertAlign w:val="superscript"/>
        </w:rPr>
        <w:t>+</w:t>
      </w:r>
      <w:r w:rsidR="00D40731" w:rsidRPr="001B1523">
        <w:rPr>
          <w:rFonts w:cs="Times New Roman"/>
          <w:sz w:val="24"/>
          <w:szCs w:val="24"/>
        </w:rPr>
        <w:t xml:space="preserve"> CD103</w:t>
      </w:r>
      <w:r w:rsidR="00D40731" w:rsidRPr="001B1523">
        <w:rPr>
          <w:rFonts w:cs="Times New Roman"/>
          <w:sz w:val="24"/>
          <w:szCs w:val="24"/>
          <w:vertAlign w:val="superscript"/>
        </w:rPr>
        <w:t>+</w:t>
      </w:r>
      <w:r w:rsidR="00D40731" w:rsidRPr="001B1523">
        <w:rPr>
          <w:rFonts w:cs="Times New Roman"/>
          <w:sz w:val="24"/>
          <w:szCs w:val="24"/>
        </w:rPr>
        <w:t xml:space="preserve"> cells.</w:t>
      </w:r>
      <w:r w:rsidR="009B2B5A" w:rsidRPr="001B1523">
        <w:rPr>
          <w:sz w:val="24"/>
          <w:szCs w:val="24"/>
        </w:rPr>
        <w:t xml:space="preserve"> </w:t>
      </w:r>
    </w:p>
    <w:p w14:paraId="4F4DBBD3" w14:textId="77777777" w:rsidR="00C11FA6" w:rsidRPr="001B1523" w:rsidRDefault="00C11FA6" w:rsidP="00AC4E9D">
      <w:pPr>
        <w:spacing w:line="480" w:lineRule="auto"/>
        <w:rPr>
          <w:rFonts w:cs="Times New Roman"/>
          <w:color w:val="FF0000"/>
          <w:sz w:val="24"/>
          <w:szCs w:val="24"/>
        </w:rPr>
      </w:pPr>
    </w:p>
    <w:p w14:paraId="23379A04" w14:textId="0F6A4657" w:rsidR="00E31E43" w:rsidRPr="001B1523" w:rsidRDefault="009C3715" w:rsidP="006C5047">
      <w:pPr>
        <w:pStyle w:val="Heading2"/>
        <w:spacing w:line="480" w:lineRule="auto"/>
        <w:rPr>
          <w:sz w:val="24"/>
          <w:szCs w:val="24"/>
        </w:rPr>
      </w:pPr>
      <w:r w:rsidRPr="001B1523">
        <w:rPr>
          <w:sz w:val="24"/>
          <w:szCs w:val="24"/>
        </w:rPr>
        <w:t>CD8 T cell separation</w:t>
      </w:r>
    </w:p>
    <w:p w14:paraId="63F922E6" w14:textId="77777777" w:rsidR="004A0FA8" w:rsidRPr="001B1523" w:rsidRDefault="004A0FA8" w:rsidP="00AC4E9D">
      <w:pPr>
        <w:spacing w:line="480" w:lineRule="auto"/>
        <w:rPr>
          <w:sz w:val="24"/>
          <w:szCs w:val="24"/>
        </w:rPr>
      </w:pPr>
    </w:p>
    <w:p w14:paraId="42B6E809" w14:textId="5E0FCDB4" w:rsidR="008B4F45" w:rsidRPr="001B1523" w:rsidRDefault="0079152F" w:rsidP="00AC4E9D">
      <w:pPr>
        <w:spacing w:line="480" w:lineRule="auto"/>
        <w:rPr>
          <w:sz w:val="24"/>
          <w:szCs w:val="24"/>
        </w:rPr>
      </w:pPr>
      <w:r w:rsidRPr="001B1523">
        <w:rPr>
          <w:sz w:val="24"/>
          <w:szCs w:val="24"/>
        </w:rPr>
        <w:t>CD8</w:t>
      </w:r>
      <w:r w:rsidR="007B5FF2" w:rsidRPr="001B1523">
        <w:rPr>
          <w:sz w:val="24"/>
          <w:szCs w:val="24"/>
          <w:vertAlign w:val="superscript"/>
        </w:rPr>
        <w:t>+</w:t>
      </w:r>
      <w:r w:rsidRPr="001B1523">
        <w:rPr>
          <w:sz w:val="24"/>
          <w:szCs w:val="24"/>
        </w:rPr>
        <w:t xml:space="preserve"> T cell subsets were separated by magnetic cell sorting using MACS® CD8 magnetic beads (</w:t>
      </w:r>
      <w:proofErr w:type="spellStart"/>
      <w:r w:rsidRPr="001B1523">
        <w:rPr>
          <w:sz w:val="24"/>
          <w:szCs w:val="24"/>
        </w:rPr>
        <w:t>Miltenyi</w:t>
      </w:r>
      <w:proofErr w:type="spellEnd"/>
      <w:r w:rsidRPr="001B1523">
        <w:rPr>
          <w:sz w:val="24"/>
          <w:szCs w:val="24"/>
        </w:rPr>
        <w:t xml:space="preserve"> </w:t>
      </w:r>
      <w:proofErr w:type="spellStart"/>
      <w:r w:rsidRPr="001B1523">
        <w:rPr>
          <w:sz w:val="24"/>
          <w:szCs w:val="24"/>
        </w:rPr>
        <w:t>Biotec</w:t>
      </w:r>
      <w:proofErr w:type="spellEnd"/>
      <w:r w:rsidRPr="001B1523">
        <w:rPr>
          <w:sz w:val="24"/>
          <w:szCs w:val="24"/>
        </w:rPr>
        <w:t>), as per the manufacturer’s instructions.</w:t>
      </w:r>
      <w:r w:rsidR="00CC234C" w:rsidRPr="001B1523">
        <w:rPr>
          <w:sz w:val="24"/>
          <w:szCs w:val="24"/>
        </w:rPr>
        <w:t xml:space="preserve"> Briefly, freshly extracted PBMCs were resuspended in MACS buffer (5</w:t>
      </w:r>
      <w:r w:rsidR="00F333C4" w:rsidRPr="001B1523">
        <w:rPr>
          <w:sz w:val="24"/>
          <w:szCs w:val="24"/>
        </w:rPr>
        <w:t xml:space="preserve"> </w:t>
      </w:r>
      <w:r w:rsidR="00CC234C" w:rsidRPr="001B1523">
        <w:rPr>
          <w:sz w:val="24"/>
          <w:szCs w:val="24"/>
        </w:rPr>
        <w:t>mg/ml BSA and 2</w:t>
      </w:r>
      <w:r w:rsidR="00F333C4" w:rsidRPr="001B1523">
        <w:rPr>
          <w:sz w:val="24"/>
          <w:szCs w:val="24"/>
        </w:rPr>
        <w:t xml:space="preserve"> </w:t>
      </w:r>
      <w:r w:rsidR="00CC234C" w:rsidRPr="001B1523">
        <w:rPr>
          <w:sz w:val="24"/>
          <w:szCs w:val="24"/>
        </w:rPr>
        <w:t>mM EDTA in PBS)</w:t>
      </w:r>
      <w:r w:rsidR="00865C86" w:rsidRPr="001B1523">
        <w:rPr>
          <w:sz w:val="24"/>
          <w:szCs w:val="24"/>
        </w:rPr>
        <w:t>,</w:t>
      </w:r>
      <w:r w:rsidR="00CC234C" w:rsidRPr="001B1523">
        <w:rPr>
          <w:sz w:val="24"/>
          <w:szCs w:val="24"/>
        </w:rPr>
        <w:t xml:space="preserve"> then incubated with CD8 magnetic bead suspension for 15 min at 4</w:t>
      </w:r>
      <w:r w:rsidR="00CC234C" w:rsidRPr="001B1523">
        <w:rPr>
          <w:sz w:val="24"/>
          <w:szCs w:val="24"/>
          <w:vertAlign w:val="superscript"/>
        </w:rPr>
        <w:t>o</w:t>
      </w:r>
      <w:r w:rsidR="00CC234C" w:rsidRPr="001B1523">
        <w:rPr>
          <w:sz w:val="24"/>
          <w:szCs w:val="24"/>
        </w:rPr>
        <w:t xml:space="preserve">C. After washing and resuspending </w:t>
      </w:r>
      <w:r w:rsidR="00741DAA" w:rsidRPr="001B1523">
        <w:rPr>
          <w:sz w:val="24"/>
          <w:szCs w:val="24"/>
        </w:rPr>
        <w:t xml:space="preserve">in MACS buffer, the cell suspension was added to pre-rinsed LS separation columns placed in a </w:t>
      </w:r>
      <w:proofErr w:type="spellStart"/>
      <w:r w:rsidR="00741DAA" w:rsidRPr="001B1523">
        <w:rPr>
          <w:sz w:val="24"/>
          <w:szCs w:val="24"/>
        </w:rPr>
        <w:t>MidiMACST</w:t>
      </w:r>
      <w:r w:rsidR="00741DAA" w:rsidRPr="001B1523">
        <w:rPr>
          <w:sz w:val="24"/>
          <w:szCs w:val="24"/>
          <w:vertAlign w:val="superscript"/>
        </w:rPr>
        <w:t>M</w:t>
      </w:r>
      <w:proofErr w:type="spellEnd"/>
      <w:r w:rsidR="00741DAA" w:rsidRPr="001B1523">
        <w:rPr>
          <w:sz w:val="24"/>
          <w:szCs w:val="24"/>
        </w:rPr>
        <w:t xml:space="preserve"> magnet separator </w:t>
      </w:r>
      <w:r w:rsidR="00741DAA" w:rsidRPr="001B1523">
        <w:rPr>
          <w:sz w:val="24"/>
          <w:szCs w:val="24"/>
        </w:rPr>
        <w:lastRenderedPageBreak/>
        <w:t>(</w:t>
      </w:r>
      <w:proofErr w:type="spellStart"/>
      <w:r w:rsidR="00741DAA" w:rsidRPr="001B1523">
        <w:rPr>
          <w:sz w:val="24"/>
          <w:szCs w:val="24"/>
        </w:rPr>
        <w:t>Miltenyi</w:t>
      </w:r>
      <w:proofErr w:type="spellEnd"/>
      <w:r w:rsidR="00741DAA" w:rsidRPr="001B1523">
        <w:rPr>
          <w:sz w:val="24"/>
          <w:szCs w:val="24"/>
        </w:rPr>
        <w:t xml:space="preserve"> </w:t>
      </w:r>
      <w:proofErr w:type="spellStart"/>
      <w:r w:rsidR="00741DAA" w:rsidRPr="001B1523">
        <w:rPr>
          <w:sz w:val="24"/>
          <w:szCs w:val="24"/>
        </w:rPr>
        <w:t>Biotec</w:t>
      </w:r>
      <w:proofErr w:type="spellEnd"/>
      <w:r w:rsidR="00741DAA" w:rsidRPr="001B1523">
        <w:rPr>
          <w:sz w:val="24"/>
          <w:szCs w:val="24"/>
        </w:rPr>
        <w:t>). After the negative fraction had run through</w:t>
      </w:r>
      <w:r w:rsidR="00AD29A3" w:rsidRPr="001B1523">
        <w:rPr>
          <w:sz w:val="24"/>
          <w:szCs w:val="24"/>
        </w:rPr>
        <w:t>,</w:t>
      </w:r>
      <w:r w:rsidR="00741DAA" w:rsidRPr="001B1523">
        <w:rPr>
          <w:sz w:val="24"/>
          <w:szCs w:val="24"/>
        </w:rPr>
        <w:t xml:space="preserve"> the column was rinsed 3</w:t>
      </w:r>
      <w:r w:rsidR="00AD29A3" w:rsidRPr="001B1523">
        <w:rPr>
          <w:sz w:val="24"/>
          <w:szCs w:val="24"/>
        </w:rPr>
        <w:t xml:space="preserve"> times</w:t>
      </w:r>
      <w:r w:rsidR="00741DAA" w:rsidRPr="001B1523">
        <w:rPr>
          <w:sz w:val="24"/>
          <w:szCs w:val="24"/>
        </w:rPr>
        <w:t xml:space="preserve"> with MACS buffer. Finally, the column was removed from the magnet and CD8</w:t>
      </w:r>
      <w:r w:rsidR="00741DAA" w:rsidRPr="001B1523">
        <w:rPr>
          <w:sz w:val="24"/>
          <w:szCs w:val="24"/>
          <w:vertAlign w:val="superscript"/>
        </w:rPr>
        <w:t>+</w:t>
      </w:r>
      <w:r w:rsidR="00741DAA" w:rsidRPr="001B1523">
        <w:rPr>
          <w:sz w:val="24"/>
          <w:szCs w:val="24"/>
        </w:rPr>
        <w:t xml:space="preserve"> cells were eluted with 5</w:t>
      </w:r>
      <w:r w:rsidR="00F333C4" w:rsidRPr="001B1523">
        <w:rPr>
          <w:sz w:val="24"/>
          <w:szCs w:val="24"/>
        </w:rPr>
        <w:t xml:space="preserve"> </w:t>
      </w:r>
      <w:r w:rsidR="00741DAA" w:rsidRPr="001B1523">
        <w:rPr>
          <w:sz w:val="24"/>
          <w:szCs w:val="24"/>
        </w:rPr>
        <w:t>ml MACS buffer. The separate</w:t>
      </w:r>
      <w:r w:rsidR="00D81F29" w:rsidRPr="001B1523">
        <w:rPr>
          <w:sz w:val="24"/>
          <w:szCs w:val="24"/>
        </w:rPr>
        <w:t>d</w:t>
      </w:r>
      <w:r w:rsidR="00741DAA" w:rsidRPr="001B1523">
        <w:rPr>
          <w:sz w:val="24"/>
          <w:szCs w:val="24"/>
        </w:rPr>
        <w:t xml:space="preserve"> cells were stored </w:t>
      </w:r>
      <w:r w:rsidR="00D81F29" w:rsidRPr="001B1523">
        <w:rPr>
          <w:sz w:val="24"/>
          <w:szCs w:val="24"/>
        </w:rPr>
        <w:t>at</w:t>
      </w:r>
      <w:r w:rsidR="00741DAA" w:rsidRPr="001B1523">
        <w:rPr>
          <w:sz w:val="24"/>
          <w:szCs w:val="24"/>
        </w:rPr>
        <w:t xml:space="preserve"> -80</w:t>
      </w:r>
      <w:r w:rsidR="00741DAA" w:rsidRPr="001B1523">
        <w:rPr>
          <w:sz w:val="24"/>
          <w:szCs w:val="24"/>
          <w:vertAlign w:val="superscript"/>
        </w:rPr>
        <w:t>o</w:t>
      </w:r>
      <w:r w:rsidR="00741DAA" w:rsidRPr="001B1523">
        <w:rPr>
          <w:sz w:val="24"/>
          <w:szCs w:val="24"/>
        </w:rPr>
        <w:t xml:space="preserve">C until </w:t>
      </w:r>
      <w:r w:rsidR="00D81F29" w:rsidRPr="001B1523">
        <w:rPr>
          <w:sz w:val="24"/>
          <w:szCs w:val="24"/>
        </w:rPr>
        <w:t>analysis</w:t>
      </w:r>
      <w:r w:rsidR="00741DAA" w:rsidRPr="001B1523">
        <w:rPr>
          <w:sz w:val="24"/>
          <w:szCs w:val="24"/>
        </w:rPr>
        <w:t>.</w:t>
      </w:r>
    </w:p>
    <w:p w14:paraId="6892A5D0" w14:textId="77777777" w:rsidR="0079152F" w:rsidRPr="001B1523" w:rsidRDefault="0079152F" w:rsidP="00AC4E9D">
      <w:pPr>
        <w:spacing w:line="480" w:lineRule="auto"/>
        <w:rPr>
          <w:sz w:val="24"/>
          <w:szCs w:val="24"/>
        </w:rPr>
      </w:pPr>
    </w:p>
    <w:p w14:paraId="0680CA45" w14:textId="362836EB" w:rsidR="00E31E43" w:rsidRPr="001B1523" w:rsidRDefault="00E31E43" w:rsidP="006C5047">
      <w:pPr>
        <w:pStyle w:val="Heading2"/>
        <w:spacing w:line="480" w:lineRule="auto"/>
        <w:rPr>
          <w:rFonts w:cs="Arial"/>
          <w:color w:val="000000"/>
          <w:sz w:val="24"/>
          <w:szCs w:val="24"/>
        </w:rPr>
      </w:pPr>
      <w:r w:rsidRPr="001B1523">
        <w:rPr>
          <w:sz w:val="24"/>
          <w:szCs w:val="24"/>
        </w:rPr>
        <w:t xml:space="preserve">Telomere </w:t>
      </w:r>
      <w:r w:rsidR="007F5817" w:rsidRPr="001B1523">
        <w:rPr>
          <w:sz w:val="24"/>
          <w:szCs w:val="24"/>
        </w:rPr>
        <w:t>length</w:t>
      </w:r>
      <w:r w:rsidRPr="001B1523">
        <w:rPr>
          <w:sz w:val="24"/>
          <w:szCs w:val="24"/>
        </w:rPr>
        <w:t xml:space="preserve"> analysis</w:t>
      </w:r>
    </w:p>
    <w:p w14:paraId="168CB063" w14:textId="77777777" w:rsidR="008E7DE9" w:rsidRPr="001B1523" w:rsidRDefault="008E7DE9" w:rsidP="00AC4E9D">
      <w:pPr>
        <w:spacing w:line="480" w:lineRule="auto"/>
        <w:rPr>
          <w:rFonts w:eastAsia="Times New Roman" w:cs="Arial"/>
          <w:sz w:val="24"/>
          <w:szCs w:val="24"/>
        </w:rPr>
      </w:pPr>
    </w:p>
    <w:p w14:paraId="559E4CF3" w14:textId="10334E18" w:rsidR="00D81F29" w:rsidRPr="001B1523" w:rsidRDefault="00D81F29" w:rsidP="00AC4E9D">
      <w:pPr>
        <w:spacing w:line="480" w:lineRule="auto"/>
        <w:rPr>
          <w:rFonts w:eastAsiaTheme="majorEastAsia" w:cstheme="majorBidi"/>
          <w:b/>
          <w:color w:val="FF0000"/>
          <w:sz w:val="24"/>
          <w:szCs w:val="24"/>
        </w:rPr>
      </w:pPr>
      <w:r w:rsidRPr="001B1523">
        <w:rPr>
          <w:rFonts w:eastAsia="Times New Roman" w:cs="Arial"/>
          <w:sz w:val="24"/>
          <w:szCs w:val="24"/>
        </w:rPr>
        <w:t>Telomere length was measured using</w:t>
      </w:r>
      <w:r w:rsidRPr="001B1523">
        <w:rPr>
          <w:rFonts w:cs="Arial"/>
          <w:iCs/>
          <w:sz w:val="24"/>
          <w:szCs w:val="24"/>
        </w:rPr>
        <w:t xml:space="preserve"> a </w:t>
      </w:r>
      <w:r w:rsidR="0012231F" w:rsidRPr="001B1523">
        <w:rPr>
          <w:color w:val="000000"/>
          <w:sz w:val="24"/>
          <w:szCs w:val="24"/>
          <w:shd w:val="clear" w:color="auto" w:fill="FFFFFF"/>
        </w:rPr>
        <w:t>previously published quantitative PCR (qPCR) method with modifications</w:t>
      </w:r>
      <w:r w:rsidR="00AC0055" w:rsidRPr="001B1523">
        <w:rPr>
          <w:color w:val="000000"/>
          <w:sz w:val="24"/>
          <w:szCs w:val="24"/>
          <w:shd w:val="clear" w:color="auto" w:fill="FFFFFF"/>
        </w:rPr>
        <w:t xml:space="preserve"> </w:t>
      </w:r>
      <w:r w:rsidR="00AC0055" w:rsidRPr="001B1523">
        <w:rPr>
          <w:color w:val="000000"/>
          <w:sz w:val="24"/>
          <w:szCs w:val="24"/>
          <w:shd w:val="clear" w:color="auto" w:fill="FFFFFF"/>
        </w:rPr>
        <w:fldChar w:fldCharType="begin"/>
      </w:r>
      <w:r w:rsidR="00CE3D6F" w:rsidRPr="001B1523">
        <w:rPr>
          <w:color w:val="000000"/>
          <w:sz w:val="24"/>
          <w:szCs w:val="24"/>
          <w:shd w:val="clear" w:color="auto" w:fill="FFFFFF"/>
        </w:rPr>
        <w:instrText xml:space="preserve"> ADDIN ZOTERO_ITEM CSL_CITATION {"citationID":"aGKsjEHu","properties":{"formattedCitation":"[33]","plainCitation":"[33]","noteIndex":0},"citationItems":[{"id":11026,"uris":["http://zotero.org/users/2272275/items/LP4C3HUM"],"uri":["http://zotero.org/users/2272275/items/LP4C3HUM"],"itemData":{"id":11026,"type":"article-journal","abstract":"To determine the most important drivers of successful ageing at extreme old age, we combined community-based prospective cohorts: Tokyo Oldest Old Survey on Total Health (TOOTH), Tokyo Centenarians Study (TCS) and Japanese Semi-Supercentenarians Study (JSS) comprising 1554 individuals including 684 centenarians and (semi-)supercentenarians, 167 pairs of centenarian offspring and spouses, and 536 community-living very old (85 to 99years). We combined z scores from multiple biomarkers to describe haematopoiesis, inflammation, lipid and glucose metabolism, liver function, renal function, and cellular senescence domains. In Cox proportional hazard models, inflammation predicted all-cause mortality with hazard ratios (95% CI) 1.89 (1.21 to 2.95) and 1.36 (1.05 to 1.78) in the very old and (semi-)supercentenarians, respectively. In linear forward stepwise models, inflammation predicted capability (10.8% variance explained) and cognition (8.6% variance explained) in (semi-)supercentenarians better than chronologic age or gender. The inflammation score was also lower in centenarian offspring compared to age-matched controls with Δ (95% CI)=−0.795 (−1.436 to −0.154). Centenarians and their offspring were able to maintain long telomeres, but telomere length was not a predictor of successful ageing in centenarians and semi-supercentenarians. We conclude that inflammation is an important malleable driver of ageing up to extreme old age in humans.","container-title":"EBioMedicine","DOI":"10.1016/j.ebiom.2015.07.029","ISSN":"2352-3964","issue":"10","journalAbbreviation":"EBioMedicine","language":"en","page":"1549-1558","source":"ScienceDirect","title":"Inflammation, But Not Telomere Length, Predicts Successful Ageing at Extreme Old Age: A Longitudinal Study of Semi-supercentenarians","title-short":"Inflammation, But Not Telomere Length, Predicts Successful Ageing at Extreme Old Age","volume":"2","author":[{"family":"Arai","given":"Yasumichi"},{"family":"Martin-Ruiz","given":"Carmen M."},{"family":"Takayama","given":"Michiyo"},{"family":"Abe","given":"Yukiko"},{"family":"Takebayashi","given":"Toru"},{"family":"Koyasu","given":"Shigeo"},{"family":"Suematsu","given":"Makoto"},{"family":"Hirose","given":"Nobuyoshi"},{"family":"Zglinicki","given":"Thomas","non-dropping-particle":"von"}],"issued":{"date-parts":[["2015",10,1]]}}}],"schema":"https://github.com/citation-style-language/schema/raw/master/csl-citation.json"} </w:instrText>
      </w:r>
      <w:r w:rsidR="00AC0055" w:rsidRPr="001B1523">
        <w:rPr>
          <w:color w:val="000000"/>
          <w:sz w:val="24"/>
          <w:szCs w:val="24"/>
          <w:shd w:val="clear" w:color="auto" w:fill="FFFFFF"/>
        </w:rPr>
        <w:fldChar w:fldCharType="separate"/>
      </w:r>
      <w:r w:rsidR="00CE3D6F" w:rsidRPr="001B1523">
        <w:rPr>
          <w:rFonts w:cs="Arial"/>
          <w:sz w:val="24"/>
        </w:rPr>
        <w:t>[33]</w:t>
      </w:r>
      <w:r w:rsidR="00AC0055" w:rsidRPr="001B1523">
        <w:rPr>
          <w:color w:val="000000"/>
          <w:sz w:val="24"/>
          <w:szCs w:val="24"/>
          <w:shd w:val="clear" w:color="auto" w:fill="FFFFFF"/>
        </w:rPr>
        <w:fldChar w:fldCharType="end"/>
      </w:r>
      <w:r w:rsidR="00684741" w:rsidRPr="001B1523">
        <w:rPr>
          <w:color w:val="000000"/>
          <w:sz w:val="24"/>
          <w:szCs w:val="24"/>
          <w:shd w:val="clear" w:color="auto" w:fill="FFFFFF"/>
        </w:rPr>
        <w:t xml:space="preserve">. </w:t>
      </w:r>
      <w:r w:rsidR="0012231F" w:rsidRPr="001B1523">
        <w:rPr>
          <w:color w:val="000000"/>
          <w:sz w:val="24"/>
          <w:szCs w:val="24"/>
          <w:shd w:val="clear" w:color="auto" w:fill="FFFFFF"/>
        </w:rPr>
        <w:t xml:space="preserve">All samples were assessed in triplicate and all PCRs were carried out on a </w:t>
      </w:r>
      <w:proofErr w:type="spellStart"/>
      <w:r w:rsidR="0087024F" w:rsidRPr="001B1523">
        <w:rPr>
          <w:color w:val="000000"/>
          <w:sz w:val="24"/>
          <w:szCs w:val="24"/>
          <w:shd w:val="clear" w:color="auto" w:fill="FFFFFF"/>
        </w:rPr>
        <w:t>QuantStudio</w:t>
      </w:r>
      <w:proofErr w:type="spellEnd"/>
      <w:r w:rsidR="0087024F" w:rsidRPr="001B1523">
        <w:rPr>
          <w:color w:val="000000"/>
          <w:sz w:val="24"/>
          <w:szCs w:val="24"/>
          <w:shd w:val="clear" w:color="auto" w:fill="FFFFFF"/>
        </w:rPr>
        <w:t xml:space="preserve">™ 7 Flex Real-Time PCR System </w:t>
      </w:r>
      <w:r w:rsidR="0012231F" w:rsidRPr="001B1523">
        <w:rPr>
          <w:color w:val="000000"/>
          <w:sz w:val="24"/>
          <w:szCs w:val="24"/>
          <w:shd w:val="clear" w:color="auto" w:fill="FFFFFF"/>
        </w:rPr>
        <w:t>with 384-well plate capacity</w:t>
      </w:r>
      <w:r w:rsidR="00410D22" w:rsidRPr="001B1523">
        <w:rPr>
          <w:color w:val="000000"/>
          <w:sz w:val="24"/>
          <w:szCs w:val="24"/>
          <w:shd w:val="clear" w:color="auto" w:fill="FFFFFF"/>
        </w:rPr>
        <w:t xml:space="preserve"> (Applied Biosystems)</w:t>
      </w:r>
      <w:r w:rsidR="0012231F" w:rsidRPr="001B1523">
        <w:rPr>
          <w:color w:val="000000"/>
          <w:sz w:val="24"/>
          <w:szCs w:val="24"/>
          <w:shd w:val="clear" w:color="auto" w:fill="FFFFFF"/>
        </w:rPr>
        <w:t>.</w:t>
      </w:r>
      <w:r w:rsidR="00AC0055" w:rsidRPr="001B1523">
        <w:rPr>
          <w:color w:val="000000"/>
          <w:sz w:val="24"/>
          <w:szCs w:val="24"/>
          <w:shd w:val="clear" w:color="auto" w:fill="FFFFFF"/>
        </w:rPr>
        <w:t xml:space="preserve"> </w:t>
      </w:r>
      <w:r w:rsidR="0012231F" w:rsidRPr="001B1523">
        <w:rPr>
          <w:color w:val="000000"/>
          <w:sz w:val="24"/>
          <w:szCs w:val="24"/>
          <w:shd w:val="clear" w:color="auto" w:fill="FFFFFF"/>
        </w:rPr>
        <w:t xml:space="preserve">Telomere length measurements are expressed as </w:t>
      </w:r>
      <w:r w:rsidR="00F333C4" w:rsidRPr="001B1523">
        <w:rPr>
          <w:color w:val="000000"/>
          <w:sz w:val="24"/>
          <w:szCs w:val="24"/>
          <w:shd w:val="clear" w:color="auto" w:fill="FFFFFF"/>
        </w:rPr>
        <w:t>a ratio of telomere base pairs/single copy gene base pairs (T/S ratio)</w:t>
      </w:r>
      <w:r w:rsidR="0012231F" w:rsidRPr="001B1523">
        <w:rPr>
          <w:color w:val="000000"/>
          <w:sz w:val="24"/>
          <w:szCs w:val="24"/>
          <w:shd w:val="clear" w:color="auto" w:fill="FFFFFF"/>
        </w:rPr>
        <w:t>. Three internal control DNA samples of known telomere length (</w:t>
      </w:r>
      <w:r w:rsidR="00795747" w:rsidRPr="001B1523">
        <w:rPr>
          <w:color w:val="000000"/>
          <w:sz w:val="24"/>
          <w:szCs w:val="24"/>
          <w:shd w:val="clear" w:color="auto" w:fill="FFFFFF"/>
        </w:rPr>
        <w:t>10.4 kb</w:t>
      </w:r>
      <w:r w:rsidR="0012231F" w:rsidRPr="001B1523">
        <w:rPr>
          <w:color w:val="000000"/>
          <w:sz w:val="24"/>
          <w:szCs w:val="24"/>
          <w:shd w:val="clear" w:color="auto" w:fill="FFFFFF"/>
        </w:rPr>
        <w:t xml:space="preserve">, 3.9kb, and </w:t>
      </w:r>
      <w:r w:rsidR="005B74E7" w:rsidRPr="001B1523">
        <w:rPr>
          <w:color w:val="000000"/>
          <w:sz w:val="24"/>
          <w:szCs w:val="24"/>
          <w:shd w:val="clear" w:color="auto" w:fill="FFFFFF"/>
        </w:rPr>
        <w:t>2</w:t>
      </w:r>
      <w:r w:rsidR="0012231F" w:rsidRPr="001B1523">
        <w:rPr>
          <w:color w:val="000000"/>
          <w:sz w:val="24"/>
          <w:szCs w:val="24"/>
          <w:shd w:val="clear" w:color="auto" w:fill="FFFFFF"/>
        </w:rPr>
        <w:t xml:space="preserve">kb) were run within each plate to correct for plate-to-plate variation. As a further authentication of our telomere length measurements, we performed a revaluation of those samples that were in either the top or bottom 5% of the telomere length distribution as well as those samples that gave no valid data on the first run. The intra-assay coefficient of variation was </w:t>
      </w:r>
      <w:r w:rsidR="0087024F" w:rsidRPr="001B1523">
        <w:rPr>
          <w:color w:val="000000"/>
          <w:sz w:val="24"/>
          <w:szCs w:val="24"/>
          <w:shd w:val="clear" w:color="auto" w:fill="FFFFFF"/>
        </w:rPr>
        <w:t>4.04</w:t>
      </w:r>
      <w:r w:rsidR="0012231F" w:rsidRPr="001B1523">
        <w:rPr>
          <w:color w:val="000000"/>
          <w:sz w:val="24"/>
          <w:szCs w:val="24"/>
          <w:shd w:val="clear" w:color="auto" w:fill="FFFFFF"/>
        </w:rPr>
        <w:t xml:space="preserve">% while the inter-assay coefficient of variation was </w:t>
      </w:r>
      <w:r w:rsidR="0087024F" w:rsidRPr="001B1523">
        <w:rPr>
          <w:color w:val="000000"/>
          <w:sz w:val="24"/>
          <w:szCs w:val="24"/>
          <w:shd w:val="clear" w:color="auto" w:fill="FFFFFF"/>
        </w:rPr>
        <w:t>1.27</w:t>
      </w:r>
      <w:r w:rsidR="0012231F" w:rsidRPr="001B1523">
        <w:rPr>
          <w:color w:val="000000"/>
          <w:sz w:val="24"/>
          <w:szCs w:val="24"/>
          <w:shd w:val="clear" w:color="auto" w:fill="FFFFFF"/>
        </w:rPr>
        <w:t>%.</w:t>
      </w:r>
    </w:p>
    <w:p w14:paraId="5BE88F71" w14:textId="77777777" w:rsidR="009824E2" w:rsidRPr="001B1523" w:rsidRDefault="009824E2" w:rsidP="00AC4E9D">
      <w:pPr>
        <w:spacing w:line="480" w:lineRule="auto"/>
        <w:rPr>
          <w:rFonts w:eastAsiaTheme="majorEastAsia" w:cstheme="majorBidi"/>
          <w:b/>
          <w:color w:val="FF0000"/>
          <w:sz w:val="24"/>
          <w:szCs w:val="24"/>
        </w:rPr>
      </w:pPr>
    </w:p>
    <w:p w14:paraId="048F60CE" w14:textId="644C75DF" w:rsidR="00163B9D" w:rsidRPr="001B1523" w:rsidRDefault="00163B9D" w:rsidP="00AC4E9D">
      <w:pPr>
        <w:pStyle w:val="Heading2"/>
        <w:spacing w:line="480" w:lineRule="auto"/>
        <w:rPr>
          <w:sz w:val="24"/>
          <w:szCs w:val="24"/>
        </w:rPr>
      </w:pPr>
      <w:r w:rsidRPr="001B1523">
        <w:rPr>
          <w:sz w:val="24"/>
          <w:szCs w:val="24"/>
        </w:rPr>
        <w:t>Gene expression</w:t>
      </w:r>
      <w:r w:rsidR="007F5817" w:rsidRPr="001B1523">
        <w:rPr>
          <w:sz w:val="24"/>
          <w:szCs w:val="24"/>
        </w:rPr>
        <w:t xml:space="preserve"> of hTERT, p16 and p21</w:t>
      </w:r>
    </w:p>
    <w:p w14:paraId="6D6D4F20" w14:textId="77777777" w:rsidR="008E7DE9" w:rsidRPr="001B1523" w:rsidRDefault="008E7DE9" w:rsidP="00AC4E9D">
      <w:pPr>
        <w:spacing w:line="480" w:lineRule="auto"/>
        <w:rPr>
          <w:rFonts w:cs="Arial"/>
          <w:sz w:val="24"/>
          <w:szCs w:val="24"/>
        </w:rPr>
      </w:pPr>
    </w:p>
    <w:p w14:paraId="68891375" w14:textId="0A985662" w:rsidR="00D81F29" w:rsidRPr="001B1523" w:rsidRDefault="00D81F29" w:rsidP="00AC4E9D">
      <w:pPr>
        <w:spacing w:line="480" w:lineRule="auto"/>
        <w:rPr>
          <w:color w:val="000000"/>
          <w:sz w:val="24"/>
          <w:szCs w:val="24"/>
          <w:shd w:val="clear" w:color="auto" w:fill="FFFFFF"/>
        </w:rPr>
      </w:pPr>
      <w:r w:rsidRPr="001B1523">
        <w:rPr>
          <w:color w:val="000000"/>
          <w:sz w:val="24"/>
          <w:szCs w:val="24"/>
          <w:shd w:val="clear" w:color="auto" w:fill="FFFFFF"/>
        </w:rPr>
        <w:t xml:space="preserve">The quantification of expression levels of </w:t>
      </w:r>
      <w:r w:rsidR="007F07FD" w:rsidRPr="001B1523">
        <w:rPr>
          <w:color w:val="000000"/>
          <w:sz w:val="24"/>
          <w:szCs w:val="24"/>
          <w:shd w:val="clear" w:color="auto" w:fill="FFFFFF"/>
        </w:rPr>
        <w:t xml:space="preserve">hTERT, </w:t>
      </w:r>
      <w:r w:rsidRPr="001B1523">
        <w:rPr>
          <w:color w:val="000000"/>
          <w:sz w:val="24"/>
          <w:szCs w:val="24"/>
          <w:shd w:val="clear" w:color="auto" w:fill="FFFFFF"/>
        </w:rPr>
        <w:t>p1</w:t>
      </w:r>
      <w:r w:rsidR="007F07FD" w:rsidRPr="001B1523">
        <w:rPr>
          <w:color w:val="000000"/>
          <w:sz w:val="24"/>
          <w:szCs w:val="24"/>
          <w:shd w:val="clear" w:color="auto" w:fill="FFFFFF"/>
        </w:rPr>
        <w:t>6</w:t>
      </w:r>
      <w:r w:rsidRPr="001B1523">
        <w:rPr>
          <w:color w:val="000000"/>
          <w:sz w:val="24"/>
          <w:szCs w:val="24"/>
          <w:shd w:val="clear" w:color="auto" w:fill="FFFFFF"/>
        </w:rPr>
        <w:t xml:space="preserve"> and </w:t>
      </w:r>
      <w:r w:rsidR="007F07FD" w:rsidRPr="001B1523">
        <w:rPr>
          <w:color w:val="000000"/>
          <w:sz w:val="24"/>
          <w:szCs w:val="24"/>
          <w:shd w:val="clear" w:color="auto" w:fill="FFFFFF"/>
        </w:rPr>
        <w:t>p21</w:t>
      </w:r>
      <w:r w:rsidRPr="001B1523">
        <w:rPr>
          <w:color w:val="000000"/>
          <w:sz w:val="24"/>
          <w:szCs w:val="24"/>
          <w:shd w:val="clear" w:color="auto" w:fill="FFFFFF"/>
        </w:rPr>
        <w:t xml:space="preserve"> was performed by RT</w:t>
      </w:r>
      <w:r w:rsidR="00DC7AF3" w:rsidRPr="001B1523">
        <w:rPr>
          <w:color w:val="000000"/>
          <w:sz w:val="24"/>
          <w:szCs w:val="24"/>
          <w:shd w:val="clear" w:color="auto" w:fill="FFFFFF"/>
        </w:rPr>
        <w:noBreakHyphen/>
      </w:r>
      <w:r w:rsidRPr="001B1523">
        <w:rPr>
          <w:color w:val="000000"/>
          <w:sz w:val="24"/>
          <w:szCs w:val="24"/>
          <w:shd w:val="clear" w:color="auto" w:fill="FFFFFF"/>
        </w:rPr>
        <w:t>qPCR analysis</w:t>
      </w:r>
      <w:r w:rsidR="00CA5430" w:rsidRPr="001B1523">
        <w:rPr>
          <w:color w:val="000000"/>
          <w:sz w:val="24"/>
          <w:szCs w:val="24"/>
          <w:shd w:val="clear" w:color="auto" w:fill="FFFFFF"/>
        </w:rPr>
        <w:t xml:space="preserve"> on a </w:t>
      </w:r>
      <w:proofErr w:type="spellStart"/>
      <w:r w:rsidR="00CA5430" w:rsidRPr="001B1523">
        <w:rPr>
          <w:color w:val="000000"/>
          <w:sz w:val="24"/>
          <w:szCs w:val="24"/>
          <w:shd w:val="clear" w:color="auto" w:fill="FFFFFF"/>
        </w:rPr>
        <w:t>QuantStudio</w:t>
      </w:r>
      <w:proofErr w:type="spellEnd"/>
      <w:r w:rsidR="00CA5430" w:rsidRPr="001B1523">
        <w:rPr>
          <w:color w:val="000000"/>
          <w:sz w:val="24"/>
          <w:szCs w:val="24"/>
          <w:shd w:val="clear" w:color="auto" w:fill="FFFFFF"/>
        </w:rPr>
        <w:t>™ 7 Flex Real-Time PCR System with 384-well plate capacity</w:t>
      </w:r>
      <w:r w:rsidR="00FE0D0E" w:rsidRPr="001B1523">
        <w:rPr>
          <w:color w:val="000000"/>
          <w:sz w:val="24"/>
          <w:szCs w:val="24"/>
          <w:shd w:val="clear" w:color="auto" w:fill="FFFFFF"/>
        </w:rPr>
        <w:t xml:space="preserve"> (Applied Biosystems)</w:t>
      </w:r>
      <w:r w:rsidR="00CA5430" w:rsidRPr="001B1523">
        <w:rPr>
          <w:color w:val="000000"/>
          <w:sz w:val="24"/>
          <w:szCs w:val="24"/>
          <w:shd w:val="clear" w:color="auto" w:fill="FFFFFF"/>
        </w:rPr>
        <w:t>, using</w:t>
      </w:r>
      <w:r w:rsidRPr="001B1523">
        <w:rPr>
          <w:color w:val="000000"/>
          <w:sz w:val="24"/>
          <w:szCs w:val="24"/>
          <w:shd w:val="clear" w:color="auto" w:fill="FFFFFF"/>
        </w:rPr>
        <w:t xml:space="preserve"> PGK1 as reference gene</w:t>
      </w:r>
      <w:r w:rsidR="00B0084D" w:rsidRPr="001B1523">
        <w:rPr>
          <w:color w:val="000000"/>
          <w:sz w:val="24"/>
          <w:szCs w:val="24"/>
          <w:shd w:val="clear" w:color="auto" w:fill="FFFFFF"/>
        </w:rPr>
        <w:t xml:space="preserve"> and an internal RNA control sample.</w:t>
      </w:r>
      <w:r w:rsidR="007D619D" w:rsidRPr="001B1523">
        <w:rPr>
          <w:color w:val="000000"/>
          <w:sz w:val="24"/>
          <w:szCs w:val="24"/>
          <w:shd w:val="clear" w:color="auto" w:fill="FFFFFF"/>
        </w:rPr>
        <w:t xml:space="preserve"> </w:t>
      </w:r>
      <w:r w:rsidR="00CA5430" w:rsidRPr="001B1523">
        <w:rPr>
          <w:color w:val="000000"/>
          <w:sz w:val="24"/>
          <w:szCs w:val="24"/>
          <w:shd w:val="clear" w:color="auto" w:fill="FFFFFF"/>
        </w:rPr>
        <w:t>Briefly</w:t>
      </w:r>
      <w:r w:rsidR="00F40369" w:rsidRPr="001B1523">
        <w:rPr>
          <w:color w:val="000000"/>
          <w:sz w:val="24"/>
          <w:szCs w:val="24"/>
          <w:shd w:val="clear" w:color="auto" w:fill="FFFFFF"/>
        </w:rPr>
        <w:t>, 50</w:t>
      </w:r>
      <w:r w:rsidR="007D619D" w:rsidRPr="001B1523">
        <w:rPr>
          <w:color w:val="000000"/>
          <w:sz w:val="24"/>
          <w:szCs w:val="24"/>
          <w:shd w:val="clear" w:color="auto" w:fill="FFFFFF"/>
        </w:rPr>
        <w:t xml:space="preserve">0 </w:t>
      </w:r>
      <w:r w:rsidR="00F40369" w:rsidRPr="001B1523">
        <w:rPr>
          <w:color w:val="000000"/>
          <w:sz w:val="24"/>
          <w:szCs w:val="24"/>
          <w:shd w:val="clear" w:color="auto" w:fill="FFFFFF"/>
        </w:rPr>
        <w:t>ng of RNA</w:t>
      </w:r>
      <w:r w:rsidR="00B0084D" w:rsidRPr="001B1523">
        <w:rPr>
          <w:color w:val="000000"/>
          <w:sz w:val="24"/>
          <w:szCs w:val="24"/>
          <w:shd w:val="clear" w:color="auto" w:fill="FFFFFF"/>
        </w:rPr>
        <w:t xml:space="preserve"> were</w:t>
      </w:r>
      <w:r w:rsidR="00F40369" w:rsidRPr="001B1523">
        <w:rPr>
          <w:color w:val="000000"/>
          <w:sz w:val="24"/>
          <w:szCs w:val="24"/>
          <w:shd w:val="clear" w:color="auto" w:fill="FFFFFF"/>
        </w:rPr>
        <w:t xml:space="preserve"> converted into cDNA by means of </w:t>
      </w:r>
      <w:proofErr w:type="spellStart"/>
      <w:r w:rsidR="00F40369" w:rsidRPr="001B1523">
        <w:rPr>
          <w:color w:val="000000"/>
          <w:sz w:val="24"/>
          <w:szCs w:val="24"/>
          <w:shd w:val="clear" w:color="auto" w:fill="FFFFFF"/>
        </w:rPr>
        <w:lastRenderedPageBreak/>
        <w:t>qScript</w:t>
      </w:r>
      <w:proofErr w:type="spellEnd"/>
      <w:r w:rsidR="00F40369" w:rsidRPr="001B1523">
        <w:rPr>
          <w:color w:val="000000"/>
          <w:sz w:val="24"/>
          <w:szCs w:val="24"/>
          <w:shd w:val="clear" w:color="auto" w:fill="FFFFFF"/>
        </w:rPr>
        <w:t xml:space="preserve"> cDNA synthesis kit (Quanta Biosciences, Beverley, MA, USA) on a 20</w:t>
      </w:r>
      <w:r w:rsidR="007D619D" w:rsidRPr="001B1523">
        <w:rPr>
          <w:color w:val="000000"/>
          <w:sz w:val="24"/>
          <w:szCs w:val="24"/>
          <w:shd w:val="clear" w:color="auto" w:fill="FFFFFF"/>
        </w:rPr>
        <w:t xml:space="preserve"> </w:t>
      </w:r>
      <w:proofErr w:type="spellStart"/>
      <w:r w:rsidR="00F40369" w:rsidRPr="001B1523">
        <w:rPr>
          <w:color w:val="000000"/>
          <w:sz w:val="24"/>
          <w:szCs w:val="24"/>
          <w:shd w:val="clear" w:color="auto" w:fill="FFFFFF"/>
        </w:rPr>
        <w:t>μl</w:t>
      </w:r>
      <w:proofErr w:type="spellEnd"/>
      <w:r w:rsidR="00F40369" w:rsidRPr="001B1523">
        <w:rPr>
          <w:color w:val="000000"/>
          <w:sz w:val="24"/>
          <w:szCs w:val="24"/>
          <w:shd w:val="clear" w:color="auto" w:fill="FFFFFF"/>
        </w:rPr>
        <w:t xml:space="preserve"> reaction that included 1</w:t>
      </w:r>
      <w:r w:rsidR="007D619D" w:rsidRPr="001B1523">
        <w:rPr>
          <w:color w:val="000000"/>
          <w:sz w:val="24"/>
          <w:szCs w:val="24"/>
          <w:shd w:val="clear" w:color="auto" w:fill="FFFFFF"/>
        </w:rPr>
        <w:t xml:space="preserve"> </w:t>
      </w:r>
      <w:r w:rsidR="007D619D" w:rsidRPr="001B1523">
        <w:rPr>
          <w:color w:val="000000"/>
          <w:sz w:val="24"/>
          <w:szCs w:val="24"/>
          <w:shd w:val="clear" w:color="auto" w:fill="FFFFFF"/>
          <w:lang w:val="el-GR"/>
        </w:rPr>
        <w:t>μ</w:t>
      </w:r>
      <w:r w:rsidR="00F40369" w:rsidRPr="001B1523">
        <w:rPr>
          <w:color w:val="000000"/>
          <w:sz w:val="24"/>
          <w:szCs w:val="24"/>
          <w:shd w:val="clear" w:color="auto" w:fill="FFFFFF"/>
        </w:rPr>
        <w:t xml:space="preserve">l of </w:t>
      </w:r>
      <w:proofErr w:type="spellStart"/>
      <w:r w:rsidR="00F40369" w:rsidRPr="001B1523">
        <w:rPr>
          <w:color w:val="000000"/>
          <w:sz w:val="24"/>
          <w:szCs w:val="24"/>
          <w:shd w:val="clear" w:color="auto" w:fill="FFFFFF"/>
        </w:rPr>
        <w:t>qScript</w:t>
      </w:r>
      <w:proofErr w:type="spellEnd"/>
      <w:r w:rsidR="00F40369" w:rsidRPr="001B1523">
        <w:rPr>
          <w:color w:val="000000"/>
          <w:sz w:val="24"/>
          <w:szCs w:val="24"/>
          <w:shd w:val="clear" w:color="auto" w:fill="FFFFFF"/>
        </w:rPr>
        <w:t xml:space="preserve"> reverse transcriptase. The reaction comprised 5</w:t>
      </w:r>
      <w:r w:rsidR="007D619D" w:rsidRPr="001B1523">
        <w:rPr>
          <w:color w:val="000000"/>
          <w:sz w:val="24"/>
          <w:szCs w:val="24"/>
          <w:shd w:val="clear" w:color="auto" w:fill="FFFFFF"/>
        </w:rPr>
        <w:t xml:space="preserve"> </w:t>
      </w:r>
      <w:r w:rsidR="00F40369" w:rsidRPr="001B1523">
        <w:rPr>
          <w:color w:val="000000"/>
          <w:sz w:val="24"/>
          <w:szCs w:val="24"/>
          <w:shd w:val="clear" w:color="auto" w:fill="FFFFFF"/>
        </w:rPr>
        <w:t>min at 22°C, 30</w:t>
      </w:r>
      <w:r w:rsidR="007D619D" w:rsidRPr="001B1523">
        <w:rPr>
          <w:color w:val="000000"/>
          <w:sz w:val="24"/>
          <w:szCs w:val="24"/>
          <w:shd w:val="clear" w:color="auto" w:fill="FFFFFF"/>
        </w:rPr>
        <w:t xml:space="preserve"> </w:t>
      </w:r>
      <w:r w:rsidR="00F40369" w:rsidRPr="001B1523">
        <w:rPr>
          <w:color w:val="000000"/>
          <w:sz w:val="24"/>
          <w:szCs w:val="24"/>
          <w:shd w:val="clear" w:color="auto" w:fill="FFFFFF"/>
        </w:rPr>
        <w:t>min at 42°C and 5</w:t>
      </w:r>
      <w:r w:rsidR="007D619D" w:rsidRPr="001B1523">
        <w:rPr>
          <w:color w:val="000000"/>
          <w:sz w:val="24"/>
          <w:szCs w:val="24"/>
          <w:shd w:val="clear" w:color="auto" w:fill="FFFFFF"/>
        </w:rPr>
        <w:t xml:space="preserve"> </w:t>
      </w:r>
      <w:r w:rsidR="00F40369" w:rsidRPr="001B1523">
        <w:rPr>
          <w:color w:val="000000"/>
          <w:sz w:val="24"/>
          <w:szCs w:val="24"/>
          <w:shd w:val="clear" w:color="auto" w:fill="FFFFFF"/>
        </w:rPr>
        <w:t>min at 85°C. This was followed by</w:t>
      </w:r>
      <w:r w:rsidR="00B0084D" w:rsidRPr="001B1523">
        <w:rPr>
          <w:color w:val="000000"/>
          <w:sz w:val="24"/>
          <w:szCs w:val="24"/>
          <w:shd w:val="clear" w:color="auto" w:fill="FFFFFF"/>
        </w:rPr>
        <w:t xml:space="preserve"> a 15</w:t>
      </w:r>
      <w:r w:rsidR="007D619D" w:rsidRPr="001B1523">
        <w:rPr>
          <w:color w:val="000000"/>
          <w:sz w:val="24"/>
          <w:szCs w:val="24"/>
          <w:shd w:val="clear" w:color="auto" w:fill="FFFFFF"/>
        </w:rPr>
        <w:t xml:space="preserve"> </w:t>
      </w:r>
      <w:proofErr w:type="spellStart"/>
      <w:r w:rsidR="00B0084D" w:rsidRPr="001B1523">
        <w:rPr>
          <w:color w:val="000000"/>
          <w:sz w:val="24"/>
          <w:szCs w:val="24"/>
          <w:shd w:val="clear" w:color="auto" w:fill="FFFFFF"/>
        </w:rPr>
        <w:t>μl</w:t>
      </w:r>
      <w:proofErr w:type="spellEnd"/>
      <w:r w:rsidR="00B0084D" w:rsidRPr="001B1523">
        <w:rPr>
          <w:color w:val="000000"/>
          <w:sz w:val="24"/>
          <w:szCs w:val="24"/>
          <w:shd w:val="clear" w:color="auto" w:fill="FFFFFF"/>
        </w:rPr>
        <w:t xml:space="preserve"> pre</w:t>
      </w:r>
      <w:r w:rsidR="00DC7AF3" w:rsidRPr="001B1523">
        <w:rPr>
          <w:color w:val="000000"/>
          <w:sz w:val="24"/>
          <w:szCs w:val="24"/>
          <w:shd w:val="clear" w:color="auto" w:fill="FFFFFF"/>
        </w:rPr>
        <w:noBreakHyphen/>
      </w:r>
      <w:r w:rsidR="00B0084D" w:rsidRPr="001B1523">
        <w:rPr>
          <w:color w:val="000000"/>
          <w:sz w:val="24"/>
          <w:szCs w:val="24"/>
          <w:shd w:val="clear" w:color="auto" w:fill="FFFFFF"/>
        </w:rPr>
        <w:t xml:space="preserve">amplification reaction by means of </w:t>
      </w:r>
      <w:proofErr w:type="spellStart"/>
      <w:r w:rsidR="00B0084D" w:rsidRPr="001B1523">
        <w:rPr>
          <w:color w:val="000000"/>
          <w:sz w:val="24"/>
          <w:szCs w:val="24"/>
          <w:shd w:val="clear" w:color="auto" w:fill="FFFFFF"/>
        </w:rPr>
        <w:t>PrimePCR</w:t>
      </w:r>
      <w:r w:rsidR="00B0084D" w:rsidRPr="001B1523">
        <w:rPr>
          <w:color w:val="000000"/>
          <w:sz w:val="24"/>
          <w:szCs w:val="24"/>
          <w:shd w:val="clear" w:color="auto" w:fill="FFFFFF"/>
          <w:vertAlign w:val="superscript"/>
        </w:rPr>
        <w:t>TM</w:t>
      </w:r>
      <w:r w:rsidR="00B0084D" w:rsidRPr="001B1523">
        <w:rPr>
          <w:color w:val="000000"/>
          <w:sz w:val="24"/>
          <w:szCs w:val="24"/>
          <w:shd w:val="clear" w:color="auto" w:fill="FFFFFF"/>
        </w:rPr>
        <w:t>PreAmp</w:t>
      </w:r>
      <w:proofErr w:type="spellEnd"/>
      <w:r w:rsidR="00B0084D" w:rsidRPr="001B1523">
        <w:rPr>
          <w:color w:val="000000"/>
          <w:sz w:val="24"/>
          <w:szCs w:val="24"/>
          <w:shd w:val="clear" w:color="auto" w:fill="FFFFFF"/>
        </w:rPr>
        <w:t xml:space="preserve"> primers for </w:t>
      </w:r>
      <w:r w:rsidR="00374E74" w:rsidRPr="001B1523">
        <w:rPr>
          <w:color w:val="000000"/>
          <w:sz w:val="24"/>
          <w:szCs w:val="24"/>
          <w:shd w:val="clear" w:color="auto" w:fill="FFFFFF"/>
        </w:rPr>
        <w:t xml:space="preserve">hTERT, </w:t>
      </w:r>
      <w:r w:rsidR="00B0084D" w:rsidRPr="001B1523">
        <w:rPr>
          <w:color w:val="000000"/>
          <w:sz w:val="24"/>
          <w:szCs w:val="24"/>
          <w:shd w:val="clear" w:color="auto" w:fill="FFFFFF"/>
        </w:rPr>
        <w:t>p1</w:t>
      </w:r>
      <w:r w:rsidR="00374E74" w:rsidRPr="001B1523">
        <w:rPr>
          <w:color w:val="000000"/>
          <w:sz w:val="24"/>
          <w:szCs w:val="24"/>
          <w:shd w:val="clear" w:color="auto" w:fill="FFFFFF"/>
        </w:rPr>
        <w:t>6</w:t>
      </w:r>
      <w:r w:rsidR="00B0084D" w:rsidRPr="001B1523">
        <w:rPr>
          <w:color w:val="000000"/>
          <w:sz w:val="24"/>
          <w:szCs w:val="24"/>
          <w:shd w:val="clear" w:color="auto" w:fill="FFFFFF"/>
        </w:rPr>
        <w:t>, p</w:t>
      </w:r>
      <w:r w:rsidR="00374E74" w:rsidRPr="001B1523">
        <w:rPr>
          <w:color w:val="000000"/>
          <w:sz w:val="24"/>
          <w:szCs w:val="24"/>
          <w:shd w:val="clear" w:color="auto" w:fill="FFFFFF"/>
        </w:rPr>
        <w:t>21,</w:t>
      </w:r>
      <w:r w:rsidR="00B0084D" w:rsidRPr="001B1523">
        <w:rPr>
          <w:color w:val="000000"/>
          <w:sz w:val="24"/>
          <w:szCs w:val="24"/>
          <w:shd w:val="clear" w:color="auto" w:fill="FFFFFF"/>
        </w:rPr>
        <w:t xml:space="preserve"> and PGK1 (</w:t>
      </w:r>
      <w:proofErr w:type="spellStart"/>
      <w:r w:rsidR="00B0084D" w:rsidRPr="001B1523">
        <w:rPr>
          <w:color w:val="000000"/>
          <w:sz w:val="24"/>
          <w:szCs w:val="24"/>
          <w:shd w:val="clear" w:color="auto" w:fill="FFFFFF"/>
        </w:rPr>
        <w:t>BioRad</w:t>
      </w:r>
      <w:proofErr w:type="spellEnd"/>
      <w:r w:rsidR="00B0084D" w:rsidRPr="001B1523">
        <w:rPr>
          <w:color w:val="000000"/>
          <w:sz w:val="24"/>
          <w:szCs w:val="24"/>
          <w:shd w:val="clear" w:color="auto" w:fill="FFFFFF"/>
        </w:rPr>
        <w:t xml:space="preserve">, Watford, UK) with </w:t>
      </w:r>
      <w:proofErr w:type="spellStart"/>
      <w:r w:rsidR="00B0084D" w:rsidRPr="001B1523">
        <w:rPr>
          <w:color w:val="000000"/>
          <w:sz w:val="24"/>
          <w:szCs w:val="24"/>
          <w:shd w:val="clear" w:color="auto" w:fill="FFFFFF"/>
        </w:rPr>
        <w:t>SsoAdvanced</w:t>
      </w:r>
      <w:proofErr w:type="spellEnd"/>
      <w:r w:rsidR="00B0084D" w:rsidRPr="001B1523">
        <w:rPr>
          <w:color w:val="000000"/>
          <w:sz w:val="24"/>
          <w:szCs w:val="24"/>
          <w:shd w:val="clear" w:color="auto" w:fill="FFFFFF"/>
        </w:rPr>
        <w:t xml:space="preserve"> Preamp </w:t>
      </w:r>
      <w:proofErr w:type="spellStart"/>
      <w:r w:rsidR="00B0084D" w:rsidRPr="001B1523">
        <w:rPr>
          <w:color w:val="000000"/>
          <w:sz w:val="24"/>
          <w:szCs w:val="24"/>
          <w:shd w:val="clear" w:color="auto" w:fill="FFFFFF"/>
        </w:rPr>
        <w:t>Supermix</w:t>
      </w:r>
      <w:proofErr w:type="spellEnd"/>
      <w:r w:rsidR="00B0084D" w:rsidRPr="001B1523">
        <w:rPr>
          <w:color w:val="000000"/>
          <w:sz w:val="24"/>
          <w:szCs w:val="24"/>
          <w:shd w:val="clear" w:color="auto" w:fill="FFFFFF"/>
        </w:rPr>
        <w:t xml:space="preserve"> (</w:t>
      </w:r>
      <w:proofErr w:type="spellStart"/>
      <w:r w:rsidR="00B0084D" w:rsidRPr="001B1523">
        <w:rPr>
          <w:color w:val="000000"/>
          <w:sz w:val="24"/>
          <w:szCs w:val="24"/>
          <w:shd w:val="clear" w:color="auto" w:fill="FFFFFF"/>
        </w:rPr>
        <w:t>BioRad</w:t>
      </w:r>
      <w:proofErr w:type="spellEnd"/>
      <w:r w:rsidR="00B0084D" w:rsidRPr="001B1523">
        <w:rPr>
          <w:color w:val="000000"/>
          <w:sz w:val="24"/>
          <w:szCs w:val="24"/>
          <w:shd w:val="clear" w:color="auto" w:fill="FFFFFF"/>
        </w:rPr>
        <w:t>, Watford, UK) under the following conditions: 3</w:t>
      </w:r>
      <w:r w:rsidR="007D619D" w:rsidRPr="001B1523">
        <w:rPr>
          <w:color w:val="000000"/>
          <w:sz w:val="24"/>
          <w:szCs w:val="24"/>
          <w:shd w:val="clear" w:color="auto" w:fill="FFFFFF"/>
        </w:rPr>
        <w:t xml:space="preserve"> </w:t>
      </w:r>
      <w:r w:rsidR="00B0084D" w:rsidRPr="001B1523">
        <w:rPr>
          <w:color w:val="000000"/>
          <w:sz w:val="24"/>
          <w:szCs w:val="24"/>
          <w:shd w:val="clear" w:color="auto" w:fill="FFFFFF"/>
        </w:rPr>
        <w:t xml:space="preserve">min at </w:t>
      </w:r>
      <w:r w:rsidR="00664EB4" w:rsidRPr="001B1523">
        <w:rPr>
          <w:color w:val="000000"/>
          <w:sz w:val="24"/>
          <w:szCs w:val="24"/>
          <w:shd w:val="clear" w:color="auto" w:fill="FFFFFF"/>
        </w:rPr>
        <w:t>95</w:t>
      </w:r>
      <w:r w:rsidR="00B0084D" w:rsidRPr="001B1523">
        <w:rPr>
          <w:color w:val="000000"/>
          <w:sz w:val="24"/>
          <w:szCs w:val="24"/>
          <w:shd w:val="clear" w:color="auto" w:fill="FFFFFF"/>
        </w:rPr>
        <w:t>°C</w:t>
      </w:r>
      <w:r w:rsidR="00664EB4" w:rsidRPr="001B1523">
        <w:rPr>
          <w:color w:val="000000"/>
          <w:sz w:val="24"/>
          <w:szCs w:val="24"/>
          <w:shd w:val="clear" w:color="auto" w:fill="FFFFFF"/>
        </w:rPr>
        <w:t>;</w:t>
      </w:r>
      <w:r w:rsidR="00B0084D" w:rsidRPr="001B1523">
        <w:rPr>
          <w:color w:val="000000"/>
          <w:sz w:val="24"/>
          <w:szCs w:val="24"/>
          <w:shd w:val="clear" w:color="auto" w:fill="FFFFFF"/>
        </w:rPr>
        <w:t xml:space="preserve"> </w:t>
      </w:r>
      <w:r w:rsidR="00664EB4" w:rsidRPr="001B1523">
        <w:rPr>
          <w:color w:val="000000"/>
          <w:sz w:val="24"/>
          <w:szCs w:val="24"/>
          <w:shd w:val="clear" w:color="auto" w:fill="FFFFFF"/>
        </w:rPr>
        <w:t>12 cycles of 15</w:t>
      </w:r>
      <w:r w:rsidR="007D619D" w:rsidRPr="001B1523">
        <w:rPr>
          <w:color w:val="000000"/>
          <w:sz w:val="24"/>
          <w:szCs w:val="24"/>
          <w:shd w:val="clear" w:color="auto" w:fill="FFFFFF"/>
        </w:rPr>
        <w:t xml:space="preserve"> </w:t>
      </w:r>
      <w:r w:rsidR="00664EB4" w:rsidRPr="001B1523">
        <w:rPr>
          <w:color w:val="000000"/>
          <w:sz w:val="24"/>
          <w:szCs w:val="24"/>
          <w:shd w:val="clear" w:color="auto" w:fill="FFFFFF"/>
        </w:rPr>
        <w:t>sec at 95°C plus 4</w:t>
      </w:r>
      <w:r w:rsidR="007D619D" w:rsidRPr="001B1523">
        <w:rPr>
          <w:color w:val="000000"/>
          <w:sz w:val="24"/>
          <w:szCs w:val="24"/>
          <w:shd w:val="clear" w:color="auto" w:fill="FFFFFF"/>
        </w:rPr>
        <w:t xml:space="preserve"> </w:t>
      </w:r>
      <w:r w:rsidR="00664EB4" w:rsidRPr="001B1523">
        <w:rPr>
          <w:color w:val="000000"/>
          <w:sz w:val="24"/>
          <w:szCs w:val="24"/>
          <w:shd w:val="clear" w:color="auto" w:fill="FFFFFF"/>
        </w:rPr>
        <w:t>min a</w:t>
      </w:r>
      <w:r w:rsidR="00F333C4" w:rsidRPr="001B1523">
        <w:rPr>
          <w:color w:val="000000"/>
          <w:sz w:val="24"/>
          <w:szCs w:val="24"/>
          <w:shd w:val="clear" w:color="auto" w:fill="FFFFFF"/>
        </w:rPr>
        <w:t>t</w:t>
      </w:r>
      <w:r w:rsidR="00664EB4" w:rsidRPr="001B1523">
        <w:rPr>
          <w:color w:val="000000"/>
          <w:sz w:val="24"/>
          <w:szCs w:val="24"/>
          <w:shd w:val="clear" w:color="auto" w:fill="FFFFFF"/>
        </w:rPr>
        <w:t xml:space="preserve"> 58</w:t>
      </w:r>
      <w:r w:rsidR="00B0084D" w:rsidRPr="001B1523">
        <w:rPr>
          <w:color w:val="000000"/>
          <w:sz w:val="24"/>
          <w:szCs w:val="24"/>
          <w:shd w:val="clear" w:color="auto" w:fill="FFFFFF"/>
        </w:rPr>
        <w:t>°C</w:t>
      </w:r>
      <w:r w:rsidR="00664EB4" w:rsidRPr="001B1523">
        <w:rPr>
          <w:color w:val="000000"/>
          <w:sz w:val="24"/>
          <w:szCs w:val="24"/>
          <w:shd w:val="clear" w:color="auto" w:fill="FFFFFF"/>
        </w:rPr>
        <w:t xml:space="preserve">; </w:t>
      </w:r>
      <w:r w:rsidR="00B0084D" w:rsidRPr="001B1523">
        <w:rPr>
          <w:color w:val="000000"/>
          <w:sz w:val="24"/>
          <w:szCs w:val="24"/>
          <w:shd w:val="clear" w:color="auto" w:fill="FFFFFF"/>
        </w:rPr>
        <w:t>and 5</w:t>
      </w:r>
      <w:r w:rsidR="007D619D" w:rsidRPr="001B1523">
        <w:rPr>
          <w:color w:val="000000"/>
          <w:sz w:val="24"/>
          <w:szCs w:val="24"/>
          <w:shd w:val="clear" w:color="auto" w:fill="FFFFFF"/>
        </w:rPr>
        <w:t xml:space="preserve"> </w:t>
      </w:r>
      <w:r w:rsidR="00B0084D" w:rsidRPr="001B1523">
        <w:rPr>
          <w:color w:val="000000"/>
          <w:sz w:val="24"/>
          <w:szCs w:val="24"/>
          <w:shd w:val="clear" w:color="auto" w:fill="FFFFFF"/>
        </w:rPr>
        <w:t xml:space="preserve">min at </w:t>
      </w:r>
      <w:r w:rsidR="00664EB4" w:rsidRPr="001B1523">
        <w:rPr>
          <w:color w:val="000000"/>
          <w:sz w:val="24"/>
          <w:szCs w:val="24"/>
          <w:shd w:val="clear" w:color="auto" w:fill="FFFFFF"/>
        </w:rPr>
        <w:t>12ºC. The resulting pre-amplified samples where then diluted 1:5 and applied onto a 10</w:t>
      </w:r>
      <w:r w:rsidR="007D619D" w:rsidRPr="001B1523">
        <w:rPr>
          <w:color w:val="000000"/>
          <w:sz w:val="24"/>
          <w:szCs w:val="24"/>
          <w:shd w:val="clear" w:color="auto" w:fill="FFFFFF"/>
        </w:rPr>
        <w:t xml:space="preserve"> </w:t>
      </w:r>
      <w:proofErr w:type="spellStart"/>
      <w:r w:rsidR="00664EB4" w:rsidRPr="001B1523">
        <w:rPr>
          <w:color w:val="000000"/>
          <w:sz w:val="24"/>
          <w:szCs w:val="24"/>
          <w:shd w:val="clear" w:color="auto" w:fill="FFFFFF"/>
        </w:rPr>
        <w:t>μl</w:t>
      </w:r>
      <w:proofErr w:type="spellEnd"/>
      <w:r w:rsidR="00664EB4" w:rsidRPr="001B1523">
        <w:rPr>
          <w:color w:val="000000"/>
          <w:sz w:val="24"/>
          <w:szCs w:val="24"/>
          <w:shd w:val="clear" w:color="auto" w:fill="FFFFFF"/>
        </w:rPr>
        <w:t xml:space="preserve"> qP</w:t>
      </w:r>
      <w:r w:rsidR="00F40369" w:rsidRPr="001B1523">
        <w:rPr>
          <w:color w:val="000000"/>
          <w:sz w:val="24"/>
          <w:szCs w:val="24"/>
          <w:shd w:val="clear" w:color="auto" w:fill="FFFFFF"/>
        </w:rPr>
        <w:t>CR</w:t>
      </w:r>
      <w:r w:rsidR="00664EB4" w:rsidRPr="001B1523">
        <w:rPr>
          <w:color w:val="000000"/>
          <w:sz w:val="24"/>
          <w:szCs w:val="24"/>
          <w:shd w:val="clear" w:color="auto" w:fill="FFFFFF"/>
        </w:rPr>
        <w:t xml:space="preserve"> reaction. The following</w:t>
      </w:r>
      <w:r w:rsidR="00FE0D0E" w:rsidRPr="001B1523">
        <w:rPr>
          <w:color w:val="000000"/>
          <w:sz w:val="24"/>
          <w:szCs w:val="24"/>
          <w:shd w:val="clear" w:color="auto" w:fill="FFFFFF"/>
        </w:rPr>
        <w:t xml:space="preserve"> </w:t>
      </w:r>
      <w:proofErr w:type="spellStart"/>
      <w:r w:rsidR="00664EB4" w:rsidRPr="001B1523">
        <w:rPr>
          <w:color w:val="000000"/>
          <w:sz w:val="24"/>
          <w:szCs w:val="24"/>
          <w:shd w:val="clear" w:color="auto" w:fill="FFFFFF"/>
        </w:rPr>
        <w:t>PrimePCR</w:t>
      </w:r>
      <w:r w:rsidR="00664EB4" w:rsidRPr="001B1523">
        <w:rPr>
          <w:color w:val="000000"/>
          <w:sz w:val="24"/>
          <w:szCs w:val="24"/>
          <w:shd w:val="clear" w:color="auto" w:fill="FFFFFF"/>
          <w:vertAlign w:val="superscript"/>
        </w:rPr>
        <w:t>TM</w:t>
      </w:r>
      <w:proofErr w:type="spellEnd"/>
      <w:r w:rsidR="004B570A" w:rsidRPr="001B1523">
        <w:rPr>
          <w:color w:val="000000"/>
          <w:sz w:val="24"/>
          <w:szCs w:val="24"/>
          <w:shd w:val="clear" w:color="auto" w:fill="FFFFFF"/>
        </w:rPr>
        <w:t xml:space="preserve"> </w:t>
      </w:r>
      <w:r w:rsidR="00664EB4" w:rsidRPr="001B1523">
        <w:rPr>
          <w:color w:val="000000"/>
          <w:sz w:val="24"/>
          <w:szCs w:val="24"/>
          <w:shd w:val="clear" w:color="auto" w:fill="FFFFFF"/>
        </w:rPr>
        <w:t xml:space="preserve">SYBR® primer sets </w:t>
      </w:r>
      <w:r w:rsidR="00FE0D0E" w:rsidRPr="001B1523">
        <w:rPr>
          <w:color w:val="000000"/>
          <w:sz w:val="24"/>
          <w:szCs w:val="24"/>
          <w:shd w:val="clear" w:color="auto" w:fill="FFFFFF"/>
        </w:rPr>
        <w:t>(</w:t>
      </w:r>
      <w:proofErr w:type="spellStart"/>
      <w:r w:rsidR="00FE0D0E" w:rsidRPr="001B1523">
        <w:rPr>
          <w:color w:val="000000"/>
          <w:sz w:val="24"/>
          <w:szCs w:val="24"/>
          <w:shd w:val="clear" w:color="auto" w:fill="FFFFFF"/>
        </w:rPr>
        <w:t>BioRad</w:t>
      </w:r>
      <w:proofErr w:type="spellEnd"/>
      <w:r w:rsidR="00FE0D0E" w:rsidRPr="001B1523">
        <w:rPr>
          <w:color w:val="000000"/>
          <w:sz w:val="24"/>
          <w:szCs w:val="24"/>
          <w:shd w:val="clear" w:color="auto" w:fill="FFFFFF"/>
        </w:rPr>
        <w:t>, Watford, UK)</w:t>
      </w:r>
      <w:r w:rsidR="00603D6B" w:rsidRPr="001B1523">
        <w:rPr>
          <w:color w:val="000000"/>
          <w:sz w:val="24"/>
          <w:szCs w:val="24"/>
          <w:shd w:val="clear" w:color="auto" w:fill="FFFFFF"/>
        </w:rPr>
        <w:t xml:space="preserve"> </w:t>
      </w:r>
      <w:r w:rsidR="00664EB4" w:rsidRPr="001B1523">
        <w:rPr>
          <w:color w:val="000000"/>
          <w:sz w:val="24"/>
          <w:szCs w:val="24"/>
          <w:shd w:val="clear" w:color="auto" w:fill="FFFFFF"/>
        </w:rPr>
        <w:t>were used: qHsaCED0056722 (p16); qHsaCID0014498 (p21); qHsaCID0009247 (hTERT) and qHsaCED0042912 (PGK1); the</w:t>
      </w:r>
      <w:r w:rsidR="007D619D" w:rsidRPr="001B1523">
        <w:rPr>
          <w:color w:val="000000"/>
          <w:sz w:val="24"/>
          <w:szCs w:val="24"/>
          <w:shd w:val="clear" w:color="auto" w:fill="FFFFFF"/>
        </w:rPr>
        <w:t xml:space="preserve"> </w:t>
      </w:r>
      <w:r w:rsidR="00F40369" w:rsidRPr="001B1523">
        <w:rPr>
          <w:color w:val="000000"/>
          <w:sz w:val="24"/>
          <w:szCs w:val="24"/>
          <w:shd w:val="clear" w:color="auto" w:fill="FFFFFF"/>
        </w:rPr>
        <w:t xml:space="preserve">reactions included </w:t>
      </w:r>
      <w:r w:rsidR="00664EB4" w:rsidRPr="001B1523">
        <w:rPr>
          <w:color w:val="000000"/>
          <w:sz w:val="24"/>
          <w:szCs w:val="24"/>
          <w:shd w:val="clear" w:color="auto" w:fill="FFFFFF"/>
        </w:rPr>
        <w:t>1.5</w:t>
      </w:r>
      <w:r w:rsidR="007D619D" w:rsidRPr="001B1523">
        <w:rPr>
          <w:color w:val="000000"/>
          <w:sz w:val="24"/>
          <w:szCs w:val="24"/>
          <w:shd w:val="clear" w:color="auto" w:fill="FFFFFF"/>
        </w:rPr>
        <w:t xml:space="preserve"> </w:t>
      </w:r>
      <w:proofErr w:type="spellStart"/>
      <w:r w:rsidR="00F40369" w:rsidRPr="001B1523">
        <w:rPr>
          <w:color w:val="000000"/>
          <w:sz w:val="24"/>
          <w:szCs w:val="24"/>
          <w:shd w:val="clear" w:color="auto" w:fill="FFFFFF"/>
        </w:rPr>
        <w:t>μl</w:t>
      </w:r>
      <w:proofErr w:type="spellEnd"/>
      <w:r w:rsidR="00F40369" w:rsidRPr="001B1523">
        <w:rPr>
          <w:color w:val="000000"/>
          <w:sz w:val="24"/>
          <w:szCs w:val="24"/>
          <w:shd w:val="clear" w:color="auto" w:fill="FFFFFF"/>
        </w:rPr>
        <w:t xml:space="preserve"> of </w:t>
      </w:r>
      <w:r w:rsidR="00664EB4" w:rsidRPr="001B1523">
        <w:rPr>
          <w:color w:val="000000"/>
          <w:sz w:val="24"/>
          <w:szCs w:val="24"/>
          <w:shd w:val="clear" w:color="auto" w:fill="FFFFFF"/>
        </w:rPr>
        <w:t>pre-amplified cDNA and 5</w:t>
      </w:r>
      <w:r w:rsidR="007D619D" w:rsidRPr="001B1523">
        <w:rPr>
          <w:color w:val="000000"/>
          <w:sz w:val="24"/>
          <w:szCs w:val="24"/>
          <w:shd w:val="clear" w:color="auto" w:fill="FFFFFF"/>
        </w:rPr>
        <w:t xml:space="preserve"> </w:t>
      </w:r>
      <w:proofErr w:type="spellStart"/>
      <w:r w:rsidR="00F40369" w:rsidRPr="001B1523">
        <w:rPr>
          <w:color w:val="000000"/>
          <w:sz w:val="24"/>
          <w:szCs w:val="24"/>
          <w:shd w:val="clear" w:color="auto" w:fill="FFFFFF"/>
        </w:rPr>
        <w:t>μl</w:t>
      </w:r>
      <w:proofErr w:type="spellEnd"/>
      <w:r w:rsidR="00F40369" w:rsidRPr="001B1523">
        <w:rPr>
          <w:color w:val="000000"/>
          <w:sz w:val="24"/>
          <w:szCs w:val="24"/>
          <w:shd w:val="clear" w:color="auto" w:fill="FFFFFF"/>
        </w:rPr>
        <w:t xml:space="preserve"> of Applied Biosystems Power SYBR™ Green PCR Master Mix (</w:t>
      </w:r>
      <w:proofErr w:type="spellStart"/>
      <w:r w:rsidR="00F40369" w:rsidRPr="001B1523">
        <w:rPr>
          <w:color w:val="000000"/>
          <w:sz w:val="24"/>
          <w:szCs w:val="24"/>
          <w:shd w:val="clear" w:color="auto" w:fill="FFFFFF"/>
        </w:rPr>
        <w:t>ThermoFisher</w:t>
      </w:r>
      <w:proofErr w:type="spellEnd"/>
      <w:r w:rsidR="00F40369" w:rsidRPr="001B1523">
        <w:rPr>
          <w:color w:val="000000"/>
          <w:sz w:val="24"/>
          <w:szCs w:val="24"/>
          <w:shd w:val="clear" w:color="auto" w:fill="FFFFFF"/>
        </w:rPr>
        <w:t xml:space="preserve"> Scient</w:t>
      </w:r>
      <w:r w:rsidR="00EE505B" w:rsidRPr="001B1523">
        <w:rPr>
          <w:color w:val="000000"/>
          <w:sz w:val="24"/>
          <w:szCs w:val="24"/>
          <w:shd w:val="clear" w:color="auto" w:fill="FFFFFF"/>
        </w:rPr>
        <w:t>ific, Waltham, MA, USA). A</w:t>
      </w:r>
      <w:r w:rsidR="00F40369" w:rsidRPr="001B1523">
        <w:rPr>
          <w:rFonts w:hint="eastAsia"/>
          <w:color w:val="000000"/>
          <w:sz w:val="24"/>
          <w:szCs w:val="24"/>
          <w:shd w:val="clear" w:color="auto" w:fill="FFFFFF"/>
        </w:rPr>
        <w:t xml:space="preserve">ll </w:t>
      </w:r>
      <w:r w:rsidR="00EE505B" w:rsidRPr="001B1523">
        <w:rPr>
          <w:color w:val="000000"/>
          <w:sz w:val="24"/>
          <w:szCs w:val="24"/>
          <w:shd w:val="clear" w:color="auto" w:fill="FFFFFF"/>
        </w:rPr>
        <w:t>four</w:t>
      </w:r>
      <w:r w:rsidR="00F40369" w:rsidRPr="001B1523">
        <w:rPr>
          <w:rFonts w:hint="eastAsia"/>
          <w:color w:val="000000"/>
          <w:sz w:val="24"/>
          <w:szCs w:val="24"/>
          <w:shd w:val="clear" w:color="auto" w:fill="FFFFFF"/>
        </w:rPr>
        <w:t xml:space="preserve"> qPCR reactions (</w:t>
      </w:r>
      <w:r w:rsidR="00114CE9" w:rsidRPr="001B1523">
        <w:rPr>
          <w:color w:val="000000"/>
          <w:sz w:val="24"/>
          <w:szCs w:val="24"/>
          <w:shd w:val="clear" w:color="auto" w:fill="FFFFFF"/>
        </w:rPr>
        <w:t xml:space="preserve">hTERT, </w:t>
      </w:r>
      <w:r w:rsidR="00F40369" w:rsidRPr="001B1523">
        <w:rPr>
          <w:rFonts w:hint="eastAsia"/>
          <w:color w:val="000000"/>
          <w:sz w:val="24"/>
          <w:szCs w:val="24"/>
          <w:shd w:val="clear" w:color="auto" w:fill="FFFFFF"/>
        </w:rPr>
        <w:t>p</w:t>
      </w:r>
      <w:r w:rsidR="00114CE9" w:rsidRPr="001B1523">
        <w:rPr>
          <w:color w:val="000000"/>
          <w:sz w:val="24"/>
          <w:szCs w:val="24"/>
          <w:shd w:val="clear" w:color="auto" w:fill="FFFFFF"/>
        </w:rPr>
        <w:t>16</w:t>
      </w:r>
      <w:r w:rsidR="00F40369" w:rsidRPr="001B1523">
        <w:rPr>
          <w:rFonts w:hint="eastAsia"/>
          <w:color w:val="000000"/>
          <w:sz w:val="24"/>
          <w:szCs w:val="24"/>
          <w:shd w:val="clear" w:color="auto" w:fill="FFFFFF"/>
        </w:rPr>
        <w:t>, p</w:t>
      </w:r>
      <w:r w:rsidR="00114CE9" w:rsidRPr="001B1523">
        <w:rPr>
          <w:color w:val="000000"/>
          <w:sz w:val="24"/>
          <w:szCs w:val="24"/>
          <w:shd w:val="clear" w:color="auto" w:fill="FFFFFF"/>
        </w:rPr>
        <w:t>2</w:t>
      </w:r>
      <w:r w:rsidR="00F40369" w:rsidRPr="001B1523">
        <w:rPr>
          <w:rFonts w:hint="eastAsia"/>
          <w:color w:val="000000"/>
          <w:sz w:val="24"/>
          <w:szCs w:val="24"/>
          <w:shd w:val="clear" w:color="auto" w:fill="FFFFFF"/>
        </w:rPr>
        <w:t>1</w:t>
      </w:r>
      <w:r w:rsidR="00FE0D0E" w:rsidRPr="001B1523">
        <w:rPr>
          <w:color w:val="000000"/>
          <w:sz w:val="24"/>
          <w:szCs w:val="24"/>
          <w:shd w:val="clear" w:color="auto" w:fill="FFFFFF"/>
        </w:rPr>
        <w:t>,</w:t>
      </w:r>
      <w:r w:rsidR="00F40369" w:rsidRPr="001B1523">
        <w:rPr>
          <w:rFonts w:hint="eastAsia"/>
          <w:color w:val="000000"/>
          <w:sz w:val="24"/>
          <w:szCs w:val="24"/>
          <w:shd w:val="clear" w:color="auto" w:fill="FFFFFF"/>
        </w:rPr>
        <w:t xml:space="preserve"> and PGK</w:t>
      </w:r>
      <w:r w:rsidR="00F40369" w:rsidRPr="001B1523">
        <w:rPr>
          <w:color w:val="000000"/>
          <w:sz w:val="24"/>
          <w:szCs w:val="24"/>
          <w:shd w:val="clear" w:color="auto" w:fill="FFFFFF"/>
        </w:rPr>
        <w:t xml:space="preserve">1) were performed in </w:t>
      </w:r>
      <w:r w:rsidR="00EE505B" w:rsidRPr="001B1523">
        <w:rPr>
          <w:color w:val="000000"/>
          <w:sz w:val="24"/>
          <w:szCs w:val="24"/>
          <w:shd w:val="clear" w:color="auto" w:fill="FFFFFF"/>
        </w:rPr>
        <w:t>duplicate, with all samples run</w:t>
      </w:r>
      <w:r w:rsidR="00F40369" w:rsidRPr="001B1523">
        <w:rPr>
          <w:color w:val="000000"/>
          <w:sz w:val="24"/>
          <w:szCs w:val="24"/>
          <w:shd w:val="clear" w:color="auto" w:fill="FFFFFF"/>
        </w:rPr>
        <w:t xml:space="preserve"> on the same plate. The thermo-cycling programme included </w:t>
      </w:r>
      <w:r w:rsidR="00EE505B" w:rsidRPr="001B1523">
        <w:rPr>
          <w:color w:val="000000"/>
          <w:sz w:val="24"/>
          <w:szCs w:val="24"/>
          <w:shd w:val="clear" w:color="auto" w:fill="FFFFFF"/>
        </w:rPr>
        <w:t>2</w:t>
      </w:r>
      <w:r w:rsidR="007D619D" w:rsidRPr="001B1523">
        <w:rPr>
          <w:color w:val="000000"/>
          <w:sz w:val="24"/>
          <w:szCs w:val="24"/>
          <w:shd w:val="clear" w:color="auto" w:fill="FFFFFF"/>
        </w:rPr>
        <w:t xml:space="preserve"> </w:t>
      </w:r>
      <w:r w:rsidR="00EE505B" w:rsidRPr="001B1523">
        <w:rPr>
          <w:color w:val="000000"/>
          <w:sz w:val="24"/>
          <w:szCs w:val="24"/>
          <w:shd w:val="clear" w:color="auto" w:fill="FFFFFF"/>
        </w:rPr>
        <w:t>min</w:t>
      </w:r>
      <w:r w:rsidR="00FE0D0E" w:rsidRPr="001B1523">
        <w:rPr>
          <w:color w:val="000000"/>
          <w:sz w:val="24"/>
          <w:szCs w:val="24"/>
          <w:shd w:val="clear" w:color="auto" w:fill="FFFFFF"/>
        </w:rPr>
        <w:t xml:space="preserve"> </w:t>
      </w:r>
      <w:r w:rsidR="00EE505B" w:rsidRPr="001B1523">
        <w:rPr>
          <w:color w:val="000000"/>
          <w:sz w:val="24"/>
          <w:szCs w:val="24"/>
          <w:shd w:val="clear" w:color="auto" w:fill="FFFFFF"/>
        </w:rPr>
        <w:t>at 50ºC; 10</w:t>
      </w:r>
      <w:r w:rsidR="007D619D" w:rsidRPr="001B1523">
        <w:rPr>
          <w:color w:val="000000"/>
          <w:sz w:val="24"/>
          <w:szCs w:val="24"/>
          <w:shd w:val="clear" w:color="auto" w:fill="FFFFFF"/>
        </w:rPr>
        <w:t xml:space="preserve"> </w:t>
      </w:r>
      <w:r w:rsidR="00EE505B" w:rsidRPr="001B1523">
        <w:rPr>
          <w:color w:val="000000"/>
          <w:sz w:val="24"/>
          <w:szCs w:val="24"/>
          <w:shd w:val="clear" w:color="auto" w:fill="FFFFFF"/>
        </w:rPr>
        <w:t>min at 95°C and 40</w:t>
      </w:r>
      <w:r w:rsidR="00F40369" w:rsidRPr="001B1523">
        <w:rPr>
          <w:color w:val="000000"/>
          <w:sz w:val="24"/>
          <w:szCs w:val="24"/>
          <w:shd w:val="clear" w:color="auto" w:fill="FFFFFF"/>
        </w:rPr>
        <w:t xml:space="preserve"> cycles </w:t>
      </w:r>
      <w:r w:rsidR="00FE0D0E" w:rsidRPr="001B1523">
        <w:rPr>
          <w:color w:val="000000"/>
          <w:sz w:val="24"/>
          <w:szCs w:val="24"/>
          <w:shd w:val="clear" w:color="auto" w:fill="FFFFFF"/>
        </w:rPr>
        <w:t>of</w:t>
      </w:r>
      <w:r w:rsidR="00F40369" w:rsidRPr="001B1523">
        <w:rPr>
          <w:color w:val="000000"/>
          <w:sz w:val="24"/>
          <w:szCs w:val="24"/>
          <w:shd w:val="clear" w:color="auto" w:fill="FFFFFF"/>
        </w:rPr>
        <w:t xml:space="preserve"> 15</w:t>
      </w:r>
      <w:r w:rsidR="007D619D" w:rsidRPr="001B1523">
        <w:rPr>
          <w:color w:val="000000"/>
          <w:sz w:val="24"/>
          <w:szCs w:val="24"/>
          <w:shd w:val="clear" w:color="auto" w:fill="FFFFFF"/>
        </w:rPr>
        <w:t xml:space="preserve"> </w:t>
      </w:r>
      <w:r w:rsidR="00F40369" w:rsidRPr="001B1523">
        <w:rPr>
          <w:color w:val="000000"/>
          <w:sz w:val="24"/>
          <w:szCs w:val="24"/>
          <w:shd w:val="clear" w:color="auto" w:fill="FFFFFF"/>
        </w:rPr>
        <w:t>s</w:t>
      </w:r>
      <w:r w:rsidR="007D619D" w:rsidRPr="001B1523">
        <w:rPr>
          <w:color w:val="000000"/>
          <w:sz w:val="24"/>
          <w:szCs w:val="24"/>
          <w:shd w:val="clear" w:color="auto" w:fill="FFFFFF"/>
        </w:rPr>
        <w:t>ec</w:t>
      </w:r>
      <w:r w:rsidR="00F40369" w:rsidRPr="001B1523">
        <w:rPr>
          <w:color w:val="000000"/>
          <w:sz w:val="24"/>
          <w:szCs w:val="24"/>
          <w:shd w:val="clear" w:color="auto" w:fill="FFFFFF"/>
        </w:rPr>
        <w:t xml:space="preserve"> at 95°C and 30</w:t>
      </w:r>
      <w:r w:rsidR="007D619D" w:rsidRPr="001B1523">
        <w:rPr>
          <w:color w:val="000000"/>
          <w:sz w:val="24"/>
          <w:szCs w:val="24"/>
          <w:shd w:val="clear" w:color="auto" w:fill="FFFFFF"/>
        </w:rPr>
        <w:t xml:space="preserve"> </w:t>
      </w:r>
      <w:r w:rsidR="00F40369" w:rsidRPr="001B1523">
        <w:rPr>
          <w:color w:val="000000"/>
          <w:sz w:val="24"/>
          <w:szCs w:val="24"/>
          <w:shd w:val="clear" w:color="auto" w:fill="FFFFFF"/>
        </w:rPr>
        <w:t>s</w:t>
      </w:r>
      <w:r w:rsidR="007D619D" w:rsidRPr="001B1523">
        <w:rPr>
          <w:color w:val="000000"/>
          <w:sz w:val="24"/>
          <w:szCs w:val="24"/>
          <w:shd w:val="clear" w:color="auto" w:fill="FFFFFF"/>
        </w:rPr>
        <w:t>ec</w:t>
      </w:r>
      <w:r w:rsidR="00F40369" w:rsidRPr="001B1523">
        <w:rPr>
          <w:color w:val="000000"/>
          <w:sz w:val="24"/>
          <w:szCs w:val="24"/>
          <w:shd w:val="clear" w:color="auto" w:fill="FFFFFF"/>
        </w:rPr>
        <w:t xml:space="preserve"> at 60°C as well as a melting curve analysis. Values of expression levels for</w:t>
      </w:r>
      <w:r w:rsidR="00B0084D" w:rsidRPr="001B1523">
        <w:rPr>
          <w:color w:val="000000"/>
          <w:sz w:val="24"/>
          <w:szCs w:val="24"/>
          <w:shd w:val="clear" w:color="auto" w:fill="FFFFFF"/>
        </w:rPr>
        <w:t xml:space="preserve"> hTERT</w:t>
      </w:r>
      <w:r w:rsidR="006C1C5B" w:rsidRPr="001B1523">
        <w:rPr>
          <w:color w:val="000000"/>
          <w:sz w:val="24"/>
          <w:szCs w:val="24"/>
          <w:shd w:val="clear" w:color="auto" w:fill="FFFFFF"/>
        </w:rPr>
        <w:t>, p16 and p21</w:t>
      </w:r>
      <w:r w:rsidR="00F40369" w:rsidRPr="001B1523">
        <w:rPr>
          <w:color w:val="000000"/>
          <w:sz w:val="24"/>
          <w:szCs w:val="24"/>
          <w:shd w:val="clear" w:color="auto" w:fill="FFFFFF"/>
        </w:rPr>
        <w:t xml:space="preserve"> were calculated by </w:t>
      </w:r>
      <w:r w:rsidR="00EE505B" w:rsidRPr="001B1523">
        <w:rPr>
          <w:rFonts w:eastAsia="Times New Roman"/>
          <w:sz w:val="24"/>
          <w:szCs w:val="24"/>
        </w:rPr>
        <w:t xml:space="preserve">ΔCΤ </w:t>
      </w:r>
      <w:r w:rsidR="00EE505B" w:rsidRPr="001B1523">
        <w:rPr>
          <w:color w:val="000000"/>
          <w:sz w:val="24"/>
          <w:szCs w:val="24"/>
          <w:shd w:val="clear" w:color="auto" w:fill="FFFFFF"/>
        </w:rPr>
        <w:t xml:space="preserve">based on the differences on threshold cycle for </w:t>
      </w:r>
      <w:r w:rsidR="006C1C5B" w:rsidRPr="001B1523">
        <w:rPr>
          <w:color w:val="000000"/>
          <w:sz w:val="24"/>
          <w:szCs w:val="24"/>
          <w:shd w:val="clear" w:color="auto" w:fill="FFFFFF"/>
        </w:rPr>
        <w:t xml:space="preserve">hTERT, </w:t>
      </w:r>
      <w:r w:rsidR="00EE505B" w:rsidRPr="001B1523">
        <w:rPr>
          <w:color w:val="000000"/>
          <w:sz w:val="24"/>
          <w:szCs w:val="24"/>
          <w:shd w:val="clear" w:color="auto" w:fill="FFFFFF"/>
        </w:rPr>
        <w:t>p16</w:t>
      </w:r>
      <w:r w:rsidR="006C1C5B" w:rsidRPr="001B1523">
        <w:rPr>
          <w:color w:val="000000"/>
          <w:sz w:val="24"/>
          <w:szCs w:val="24"/>
          <w:shd w:val="clear" w:color="auto" w:fill="FFFFFF"/>
        </w:rPr>
        <w:t xml:space="preserve"> and</w:t>
      </w:r>
      <w:r w:rsidR="00EE505B" w:rsidRPr="001B1523">
        <w:rPr>
          <w:color w:val="000000"/>
          <w:sz w:val="24"/>
          <w:szCs w:val="24"/>
          <w:shd w:val="clear" w:color="auto" w:fill="FFFFFF"/>
        </w:rPr>
        <w:t xml:space="preserve"> p21</w:t>
      </w:r>
      <w:r w:rsidR="006C1C5B" w:rsidRPr="001B1523">
        <w:rPr>
          <w:color w:val="000000"/>
          <w:sz w:val="24"/>
          <w:szCs w:val="24"/>
          <w:shd w:val="clear" w:color="auto" w:fill="FFFFFF"/>
        </w:rPr>
        <w:t xml:space="preserve"> </w:t>
      </w:r>
      <w:r w:rsidR="00EE505B" w:rsidRPr="001B1523">
        <w:rPr>
          <w:color w:val="000000"/>
          <w:sz w:val="24"/>
          <w:szCs w:val="24"/>
          <w:shd w:val="clear" w:color="auto" w:fill="FFFFFF"/>
        </w:rPr>
        <w:t xml:space="preserve">against PGK1 and relative gene expression was calculated by </w:t>
      </w:r>
      <w:r w:rsidR="00F40369" w:rsidRPr="001B1523">
        <w:rPr>
          <w:color w:val="000000"/>
          <w:sz w:val="24"/>
          <w:szCs w:val="24"/>
          <w:shd w:val="clear" w:color="auto" w:fill="FFFFFF"/>
        </w:rPr>
        <w:t>the formula 2</w:t>
      </w:r>
      <w:r w:rsidR="00F40369" w:rsidRPr="001B1523">
        <w:rPr>
          <w:color w:val="000000"/>
          <w:sz w:val="24"/>
          <w:szCs w:val="24"/>
          <w:shd w:val="clear" w:color="auto" w:fill="FFFFFF"/>
          <w:vertAlign w:val="superscript"/>
        </w:rPr>
        <w:t>–ΔΔC</w:t>
      </w:r>
      <w:r w:rsidR="007D619D" w:rsidRPr="001B1523">
        <w:rPr>
          <w:color w:val="000000"/>
          <w:sz w:val="24"/>
          <w:szCs w:val="24"/>
          <w:shd w:val="clear" w:color="auto" w:fill="FFFFFF"/>
          <w:vertAlign w:val="superscript"/>
        </w:rPr>
        <w:t>T</w:t>
      </w:r>
      <w:r w:rsidR="00F40369" w:rsidRPr="001B1523">
        <w:rPr>
          <w:color w:val="000000"/>
          <w:sz w:val="24"/>
          <w:szCs w:val="24"/>
          <w:shd w:val="clear" w:color="auto" w:fill="FFFFFF"/>
        </w:rPr>
        <w:t xml:space="preserve"> </w:t>
      </w:r>
      <w:r w:rsidR="00EE505B" w:rsidRPr="001B1523">
        <w:rPr>
          <w:color w:val="000000"/>
          <w:sz w:val="24"/>
          <w:szCs w:val="24"/>
          <w:shd w:val="clear" w:color="auto" w:fill="FFFFFF"/>
        </w:rPr>
        <w:t>based on</w:t>
      </w:r>
      <w:r w:rsidR="00E41B7F" w:rsidRPr="001B1523">
        <w:rPr>
          <w:color w:val="000000"/>
          <w:sz w:val="24"/>
          <w:szCs w:val="24"/>
          <w:shd w:val="clear" w:color="auto" w:fill="FFFFFF"/>
        </w:rPr>
        <w:t xml:space="preserve"> </w:t>
      </w:r>
      <w:r w:rsidR="00EE505B" w:rsidRPr="001B1523">
        <w:rPr>
          <w:rFonts w:eastAsia="Times New Roman"/>
          <w:sz w:val="24"/>
          <w:szCs w:val="24"/>
        </w:rPr>
        <w:t>ΔCΤ</w:t>
      </w:r>
      <w:r w:rsidR="00EE505B" w:rsidRPr="001B1523">
        <w:rPr>
          <w:color w:val="000000"/>
          <w:sz w:val="24"/>
          <w:szCs w:val="24"/>
          <w:shd w:val="clear" w:color="auto" w:fill="FFFFFF"/>
        </w:rPr>
        <w:t xml:space="preserve"> values </w:t>
      </w:r>
      <w:r w:rsidR="00F40369" w:rsidRPr="001B1523">
        <w:rPr>
          <w:color w:val="000000"/>
          <w:sz w:val="24"/>
          <w:szCs w:val="24"/>
          <w:shd w:val="clear" w:color="auto" w:fill="FFFFFF"/>
        </w:rPr>
        <w:t xml:space="preserve">for the samples against those obtained for </w:t>
      </w:r>
      <w:r w:rsidR="00B0084D" w:rsidRPr="001B1523">
        <w:rPr>
          <w:color w:val="000000"/>
          <w:sz w:val="24"/>
          <w:szCs w:val="24"/>
          <w:shd w:val="clear" w:color="auto" w:fill="FFFFFF"/>
        </w:rPr>
        <w:t>the internal control</w:t>
      </w:r>
      <w:r w:rsidR="00F40369" w:rsidRPr="001B1523">
        <w:rPr>
          <w:color w:val="000000"/>
          <w:sz w:val="24"/>
          <w:szCs w:val="24"/>
          <w:shd w:val="clear" w:color="auto" w:fill="FFFFFF"/>
        </w:rPr>
        <w:t>.</w:t>
      </w:r>
      <w:r w:rsidR="00C9401C" w:rsidRPr="001B1523">
        <w:rPr>
          <w:color w:val="000000"/>
          <w:sz w:val="24"/>
          <w:szCs w:val="24"/>
          <w:shd w:val="clear" w:color="auto" w:fill="FFFFFF"/>
        </w:rPr>
        <w:t xml:space="preserve"> Additional information on the primers used </w:t>
      </w:r>
      <w:r w:rsidR="00285292" w:rsidRPr="001B1523">
        <w:rPr>
          <w:color w:val="000000"/>
          <w:sz w:val="24"/>
          <w:szCs w:val="24"/>
          <w:shd w:val="clear" w:color="auto" w:fill="FFFFFF"/>
        </w:rPr>
        <w:t xml:space="preserve">is </w:t>
      </w:r>
      <w:r w:rsidR="00C9401C" w:rsidRPr="001B1523">
        <w:rPr>
          <w:color w:val="000000"/>
          <w:sz w:val="24"/>
          <w:szCs w:val="24"/>
          <w:shd w:val="clear" w:color="auto" w:fill="FFFFFF"/>
        </w:rPr>
        <w:t>provided in Supplementary Table 1.</w:t>
      </w:r>
    </w:p>
    <w:p w14:paraId="2119DD27" w14:textId="21BD4652" w:rsidR="008E7DE9" w:rsidRPr="001B1523" w:rsidRDefault="008E7DE9" w:rsidP="00AC4E9D">
      <w:pPr>
        <w:spacing w:line="480" w:lineRule="auto"/>
        <w:rPr>
          <w:rFonts w:eastAsiaTheme="majorEastAsia" w:cstheme="majorBidi"/>
          <w:b/>
          <w:color w:val="FF0000"/>
          <w:sz w:val="24"/>
          <w:szCs w:val="24"/>
        </w:rPr>
      </w:pPr>
    </w:p>
    <w:p w14:paraId="753F6ABD" w14:textId="442451C2" w:rsidR="00A66C1C" w:rsidRPr="001B1523" w:rsidRDefault="00A66C1C" w:rsidP="00AC4E9D">
      <w:pPr>
        <w:spacing w:line="480" w:lineRule="auto"/>
        <w:rPr>
          <w:rFonts w:eastAsiaTheme="majorEastAsia" w:cstheme="majorBidi"/>
          <w:b/>
          <w:color w:val="FF0000"/>
          <w:sz w:val="24"/>
          <w:szCs w:val="24"/>
        </w:rPr>
      </w:pPr>
    </w:p>
    <w:p w14:paraId="40615A5D" w14:textId="77777777" w:rsidR="004A5163" w:rsidRPr="001B1523" w:rsidRDefault="004A5163" w:rsidP="00AC4E9D">
      <w:pPr>
        <w:spacing w:line="480" w:lineRule="auto"/>
        <w:rPr>
          <w:rFonts w:eastAsiaTheme="majorEastAsia" w:cstheme="majorBidi"/>
          <w:b/>
          <w:color w:val="FF0000"/>
          <w:sz w:val="24"/>
          <w:szCs w:val="24"/>
        </w:rPr>
      </w:pPr>
    </w:p>
    <w:p w14:paraId="2C50ED9C" w14:textId="77777777" w:rsidR="00A66C1C" w:rsidRPr="001B1523" w:rsidRDefault="00A66C1C" w:rsidP="00AC4E9D">
      <w:pPr>
        <w:spacing w:line="480" w:lineRule="auto"/>
        <w:rPr>
          <w:rFonts w:eastAsiaTheme="majorEastAsia" w:cstheme="majorBidi"/>
          <w:b/>
          <w:color w:val="FF0000"/>
          <w:sz w:val="24"/>
          <w:szCs w:val="24"/>
        </w:rPr>
      </w:pPr>
    </w:p>
    <w:p w14:paraId="27B9A8ED" w14:textId="58A32431" w:rsidR="0007258E" w:rsidRPr="001B1523" w:rsidRDefault="0007258E" w:rsidP="00AC4E9D">
      <w:pPr>
        <w:pStyle w:val="Heading2"/>
        <w:spacing w:line="480" w:lineRule="auto"/>
        <w:rPr>
          <w:sz w:val="24"/>
          <w:szCs w:val="24"/>
        </w:rPr>
      </w:pPr>
      <w:r w:rsidRPr="001B1523">
        <w:rPr>
          <w:sz w:val="24"/>
          <w:szCs w:val="24"/>
        </w:rPr>
        <w:lastRenderedPageBreak/>
        <w:t>Statistical Analysis</w:t>
      </w:r>
    </w:p>
    <w:p w14:paraId="29B3B2D9" w14:textId="77777777" w:rsidR="008E7DE9" w:rsidRPr="001B1523" w:rsidRDefault="008E7DE9" w:rsidP="00AC4E9D">
      <w:pPr>
        <w:spacing w:line="480" w:lineRule="auto"/>
        <w:rPr>
          <w:rFonts w:cs="Arial"/>
          <w:color w:val="000000"/>
          <w:sz w:val="24"/>
          <w:szCs w:val="24"/>
        </w:rPr>
      </w:pPr>
    </w:p>
    <w:p w14:paraId="3D25AC34" w14:textId="17924CCA" w:rsidR="0007258E" w:rsidRPr="001B1523" w:rsidRDefault="000A4E10" w:rsidP="00AC4E9D">
      <w:pPr>
        <w:spacing w:line="480" w:lineRule="auto"/>
        <w:rPr>
          <w:rFonts w:cs="Arial"/>
          <w:color w:val="000000"/>
          <w:sz w:val="24"/>
          <w:szCs w:val="24"/>
        </w:rPr>
      </w:pPr>
      <w:r w:rsidRPr="001B1523">
        <w:rPr>
          <w:rFonts w:cs="Arial"/>
          <w:color w:val="000000"/>
          <w:sz w:val="24"/>
          <w:szCs w:val="24"/>
        </w:rPr>
        <w:t>C</w:t>
      </w:r>
      <w:r w:rsidR="0007258E" w:rsidRPr="001B1523">
        <w:rPr>
          <w:rFonts w:cs="Arial"/>
          <w:color w:val="000000"/>
          <w:sz w:val="24"/>
          <w:szCs w:val="24"/>
        </w:rPr>
        <w:t xml:space="preserve">omparisons between PD </w:t>
      </w:r>
      <w:r w:rsidR="0079152F" w:rsidRPr="001B1523">
        <w:rPr>
          <w:rFonts w:cs="Arial"/>
          <w:color w:val="000000"/>
          <w:sz w:val="24"/>
          <w:szCs w:val="24"/>
        </w:rPr>
        <w:t xml:space="preserve">and </w:t>
      </w:r>
      <w:r w:rsidR="0007258E" w:rsidRPr="001B1523">
        <w:rPr>
          <w:rFonts w:cs="Arial"/>
          <w:color w:val="000000"/>
          <w:sz w:val="24"/>
          <w:szCs w:val="24"/>
        </w:rPr>
        <w:t>control</w:t>
      </w:r>
      <w:r w:rsidR="0079152F" w:rsidRPr="001B1523">
        <w:rPr>
          <w:rFonts w:cs="Arial"/>
          <w:color w:val="000000"/>
          <w:sz w:val="24"/>
          <w:szCs w:val="24"/>
        </w:rPr>
        <w:t>s</w:t>
      </w:r>
      <w:r w:rsidR="0007258E" w:rsidRPr="001B1523">
        <w:rPr>
          <w:rFonts w:cs="Arial"/>
          <w:color w:val="000000"/>
          <w:sz w:val="24"/>
          <w:szCs w:val="24"/>
        </w:rPr>
        <w:t xml:space="preserve"> were performed with</w:t>
      </w:r>
      <w:r w:rsidR="00B9116B" w:rsidRPr="001B1523">
        <w:rPr>
          <w:rFonts w:cs="Arial"/>
          <w:color w:val="000000"/>
          <w:sz w:val="24"/>
          <w:szCs w:val="24"/>
        </w:rPr>
        <w:t xml:space="preserve"> two-tailed</w:t>
      </w:r>
      <w:r w:rsidR="0007258E" w:rsidRPr="001B1523">
        <w:rPr>
          <w:rFonts w:cs="Arial"/>
          <w:color w:val="000000"/>
          <w:sz w:val="24"/>
          <w:szCs w:val="24"/>
        </w:rPr>
        <w:t xml:space="preserve"> </w:t>
      </w:r>
      <w:r w:rsidR="0079152F" w:rsidRPr="001B1523">
        <w:rPr>
          <w:rFonts w:cs="Arial"/>
          <w:color w:val="000000"/>
          <w:sz w:val="24"/>
          <w:szCs w:val="24"/>
        </w:rPr>
        <w:t>unpaired t-test</w:t>
      </w:r>
      <w:r w:rsidR="00D81F29" w:rsidRPr="001B1523">
        <w:rPr>
          <w:rFonts w:cs="Arial"/>
          <w:color w:val="000000"/>
          <w:sz w:val="24"/>
          <w:szCs w:val="24"/>
        </w:rPr>
        <w:t>s</w:t>
      </w:r>
      <w:r w:rsidRPr="001B1523">
        <w:rPr>
          <w:rFonts w:cs="Arial"/>
          <w:color w:val="000000"/>
          <w:sz w:val="24"/>
          <w:szCs w:val="24"/>
        </w:rPr>
        <w:t>, and c</w:t>
      </w:r>
      <w:r w:rsidR="00B75AAF" w:rsidRPr="001B1523">
        <w:rPr>
          <w:rFonts w:cs="Arial"/>
          <w:color w:val="000000"/>
          <w:sz w:val="24"/>
          <w:szCs w:val="24"/>
        </w:rPr>
        <w:t xml:space="preserve">omparisons between multiple groups were done using </w:t>
      </w:r>
      <w:r w:rsidR="00F97462" w:rsidRPr="001B1523">
        <w:rPr>
          <w:rFonts w:cs="Arial"/>
          <w:color w:val="000000"/>
          <w:sz w:val="24"/>
          <w:szCs w:val="24"/>
        </w:rPr>
        <w:t>two</w:t>
      </w:r>
      <w:r w:rsidR="00B75AAF" w:rsidRPr="001B1523">
        <w:rPr>
          <w:rFonts w:cs="Arial"/>
          <w:color w:val="000000"/>
          <w:sz w:val="24"/>
          <w:szCs w:val="24"/>
        </w:rPr>
        <w:t xml:space="preserve">-way ANOVA with </w:t>
      </w:r>
      <w:proofErr w:type="spellStart"/>
      <w:r w:rsidR="00F97462" w:rsidRPr="001B1523">
        <w:rPr>
          <w:rFonts w:cs="Arial"/>
          <w:color w:val="000000"/>
          <w:sz w:val="24"/>
          <w:szCs w:val="24"/>
        </w:rPr>
        <w:t>Sidak</w:t>
      </w:r>
      <w:r w:rsidR="00B75AAF" w:rsidRPr="001B1523">
        <w:rPr>
          <w:rFonts w:cs="Arial"/>
          <w:color w:val="000000"/>
          <w:sz w:val="24"/>
          <w:szCs w:val="24"/>
        </w:rPr>
        <w:t>’s</w:t>
      </w:r>
      <w:proofErr w:type="spellEnd"/>
      <w:r w:rsidR="00B75AAF" w:rsidRPr="001B1523">
        <w:rPr>
          <w:rFonts w:cs="Arial"/>
          <w:color w:val="000000"/>
          <w:sz w:val="24"/>
          <w:szCs w:val="24"/>
        </w:rPr>
        <w:t xml:space="preserve"> post</w:t>
      </w:r>
      <w:r w:rsidR="00ED2007" w:rsidRPr="001B1523">
        <w:rPr>
          <w:rFonts w:cs="Arial"/>
          <w:color w:val="000000"/>
          <w:sz w:val="24"/>
          <w:szCs w:val="24"/>
        </w:rPr>
        <w:noBreakHyphen/>
      </w:r>
      <w:r w:rsidR="00B75AAF" w:rsidRPr="001B1523">
        <w:rPr>
          <w:rFonts w:cs="Arial"/>
          <w:color w:val="000000"/>
          <w:sz w:val="24"/>
          <w:szCs w:val="24"/>
        </w:rPr>
        <w:t xml:space="preserve">hoc test </w:t>
      </w:r>
      <w:r w:rsidR="00B75AAF" w:rsidRPr="001B1523">
        <w:rPr>
          <w:rFonts w:cs="Arial"/>
          <w:sz w:val="24"/>
          <w:szCs w:val="24"/>
        </w:rPr>
        <w:t xml:space="preserve">correcting for multiple comparisons. </w:t>
      </w:r>
      <w:r w:rsidR="0007258E" w:rsidRPr="001B1523">
        <w:rPr>
          <w:rFonts w:cs="Arial"/>
          <w:sz w:val="24"/>
          <w:szCs w:val="24"/>
        </w:rPr>
        <w:t xml:space="preserve">Categorical variables were compared using </w:t>
      </w:r>
      <w:r w:rsidR="000551C6" w:rsidRPr="001B1523">
        <w:rPr>
          <w:rFonts w:cs="Arial"/>
          <w:sz w:val="24"/>
          <w:szCs w:val="24"/>
        </w:rPr>
        <w:t>Fisher’s exact test</w:t>
      </w:r>
      <w:r w:rsidR="0007258E" w:rsidRPr="001B1523">
        <w:rPr>
          <w:rFonts w:cs="Arial"/>
          <w:sz w:val="24"/>
          <w:szCs w:val="24"/>
        </w:rPr>
        <w:t xml:space="preserve">. </w:t>
      </w:r>
      <w:r w:rsidRPr="001B1523">
        <w:rPr>
          <w:rFonts w:cs="Arial"/>
          <w:sz w:val="24"/>
          <w:szCs w:val="24"/>
        </w:rPr>
        <w:t xml:space="preserve">Pearson product-moment correlation </w:t>
      </w:r>
      <w:r w:rsidR="002D459C" w:rsidRPr="001B1523">
        <w:rPr>
          <w:rFonts w:cs="Arial"/>
          <w:sz w:val="24"/>
          <w:szCs w:val="24"/>
        </w:rPr>
        <w:t xml:space="preserve">was used to assess correlations between </w:t>
      </w:r>
      <w:r w:rsidR="00C91082" w:rsidRPr="001B1523">
        <w:rPr>
          <w:rFonts w:cs="Arial"/>
          <w:sz w:val="24"/>
          <w:szCs w:val="24"/>
        </w:rPr>
        <w:t>cell markers and clinical</w:t>
      </w:r>
      <w:r w:rsidR="002D459C" w:rsidRPr="001B1523">
        <w:rPr>
          <w:rFonts w:cs="Arial"/>
          <w:sz w:val="24"/>
          <w:szCs w:val="24"/>
        </w:rPr>
        <w:t xml:space="preserve"> variables. </w:t>
      </w:r>
      <w:r w:rsidR="0007258E" w:rsidRPr="001B1523">
        <w:rPr>
          <w:rFonts w:cs="Arial"/>
          <w:sz w:val="24"/>
          <w:szCs w:val="24"/>
        </w:rPr>
        <w:t xml:space="preserve">The data is presented as the mean </w:t>
      </w:r>
      <w:r w:rsidR="00141EAE" w:rsidRPr="001B1523">
        <w:rPr>
          <w:rFonts w:cs="Arial"/>
          <w:sz w:val="24"/>
          <w:szCs w:val="24"/>
        </w:rPr>
        <w:t>(</w:t>
      </w:r>
      <w:r w:rsidR="0007258E" w:rsidRPr="001B1523">
        <w:rPr>
          <w:rFonts w:cs="Arial"/>
          <w:sz w:val="24"/>
          <w:szCs w:val="24"/>
        </w:rPr>
        <w:t>S</w:t>
      </w:r>
      <w:r w:rsidR="00B66B6D" w:rsidRPr="001B1523">
        <w:rPr>
          <w:rFonts w:cs="Arial"/>
          <w:sz w:val="24"/>
          <w:szCs w:val="24"/>
        </w:rPr>
        <w:t>D</w:t>
      </w:r>
      <w:r w:rsidR="0007258E" w:rsidRPr="001B1523">
        <w:rPr>
          <w:rFonts w:cs="Arial"/>
          <w:sz w:val="24"/>
          <w:szCs w:val="24"/>
        </w:rPr>
        <w:t xml:space="preserve">). A </w:t>
      </w:r>
      <w:r w:rsidR="0007258E" w:rsidRPr="001B1523">
        <w:rPr>
          <w:rFonts w:cs="Arial"/>
          <w:i/>
          <w:iCs/>
          <w:sz w:val="24"/>
          <w:szCs w:val="24"/>
        </w:rPr>
        <w:t>p</w:t>
      </w:r>
      <w:r w:rsidR="002C7A2E" w:rsidRPr="001B1523">
        <w:rPr>
          <w:rFonts w:cs="Arial"/>
          <w:sz w:val="24"/>
          <w:szCs w:val="24"/>
        </w:rPr>
        <w:noBreakHyphen/>
      </w:r>
      <w:r w:rsidR="0007258E" w:rsidRPr="001B1523">
        <w:rPr>
          <w:rFonts w:cs="Arial"/>
          <w:sz w:val="24"/>
          <w:szCs w:val="24"/>
        </w:rPr>
        <w:t xml:space="preserve">value &lt;0.05 was defined as statistically significant. SPSS (IBM SPSS Statistics for Windows, Version 22.0) and GraphPad Prism (GraphPad </w:t>
      </w:r>
      <w:r w:rsidR="0007258E" w:rsidRPr="001B1523">
        <w:rPr>
          <w:rFonts w:cs="Arial"/>
          <w:color w:val="000000"/>
          <w:sz w:val="24"/>
          <w:szCs w:val="24"/>
        </w:rPr>
        <w:t xml:space="preserve">Software, Version 6.04 for Windows) were used for statistical analyses. Graphs were generated using </w:t>
      </w:r>
      <w:r w:rsidR="00B66B6D" w:rsidRPr="001B1523">
        <w:rPr>
          <w:rFonts w:cs="Arial"/>
          <w:color w:val="000000"/>
          <w:sz w:val="24"/>
          <w:szCs w:val="24"/>
        </w:rPr>
        <w:t>R</w:t>
      </w:r>
      <w:r w:rsidR="0007258E" w:rsidRPr="001B1523">
        <w:rPr>
          <w:rFonts w:cs="Arial"/>
          <w:color w:val="000000"/>
          <w:sz w:val="24"/>
          <w:szCs w:val="24"/>
        </w:rPr>
        <w:t>.</w:t>
      </w:r>
    </w:p>
    <w:p w14:paraId="5184EF91" w14:textId="77777777" w:rsidR="00A66C1C" w:rsidRPr="001B1523" w:rsidRDefault="00A66C1C" w:rsidP="00AC4E9D">
      <w:pPr>
        <w:spacing w:line="480" w:lineRule="auto"/>
        <w:rPr>
          <w:rFonts w:cs="Arial"/>
          <w:color w:val="000000"/>
          <w:sz w:val="24"/>
          <w:szCs w:val="24"/>
        </w:rPr>
      </w:pPr>
    </w:p>
    <w:p w14:paraId="5C96D7C6" w14:textId="1442DD9F" w:rsidR="00AC30C2" w:rsidRPr="001B1523" w:rsidRDefault="00AC30C2" w:rsidP="006C5047">
      <w:pPr>
        <w:pStyle w:val="Heading1"/>
        <w:spacing w:line="480" w:lineRule="auto"/>
        <w:rPr>
          <w:szCs w:val="24"/>
        </w:rPr>
      </w:pPr>
      <w:r w:rsidRPr="001B1523">
        <w:rPr>
          <w:szCs w:val="24"/>
        </w:rPr>
        <w:t>Results</w:t>
      </w:r>
    </w:p>
    <w:p w14:paraId="01A16ECD" w14:textId="77777777" w:rsidR="00AC30C2" w:rsidRPr="001B1523" w:rsidRDefault="00AC30C2" w:rsidP="00AC4E9D">
      <w:pPr>
        <w:spacing w:line="480" w:lineRule="auto"/>
        <w:rPr>
          <w:rFonts w:cs="Arial"/>
          <w:color w:val="000000"/>
          <w:sz w:val="24"/>
          <w:szCs w:val="24"/>
        </w:rPr>
      </w:pPr>
    </w:p>
    <w:p w14:paraId="42DD96DA" w14:textId="13D55029" w:rsidR="00AC30C2" w:rsidRPr="001B1523" w:rsidRDefault="00AC30C2" w:rsidP="00AC4E9D">
      <w:pPr>
        <w:pStyle w:val="Heading2"/>
        <w:spacing w:line="480" w:lineRule="auto"/>
        <w:rPr>
          <w:sz w:val="24"/>
          <w:szCs w:val="24"/>
        </w:rPr>
      </w:pPr>
      <w:r w:rsidRPr="001B1523">
        <w:rPr>
          <w:sz w:val="24"/>
          <w:szCs w:val="24"/>
        </w:rPr>
        <w:t>Demographics</w:t>
      </w:r>
    </w:p>
    <w:p w14:paraId="72A0A687" w14:textId="77777777" w:rsidR="00AC30C2" w:rsidRPr="001B1523" w:rsidRDefault="00AC30C2" w:rsidP="00AC4E9D">
      <w:pPr>
        <w:spacing w:line="480" w:lineRule="auto"/>
        <w:rPr>
          <w:rFonts w:cs="Arial"/>
          <w:color w:val="000000"/>
          <w:sz w:val="24"/>
          <w:szCs w:val="24"/>
        </w:rPr>
      </w:pPr>
    </w:p>
    <w:p w14:paraId="077DF915" w14:textId="74486D90" w:rsidR="0004680C" w:rsidRPr="001B1523" w:rsidRDefault="00094BCF" w:rsidP="00AC4E9D">
      <w:pPr>
        <w:spacing w:line="480" w:lineRule="auto"/>
        <w:rPr>
          <w:rFonts w:cs="Arial"/>
          <w:color w:val="000000"/>
          <w:sz w:val="24"/>
          <w:szCs w:val="24"/>
        </w:rPr>
      </w:pPr>
      <w:r w:rsidRPr="001B1523">
        <w:rPr>
          <w:rFonts w:cs="Arial"/>
          <w:color w:val="000000"/>
          <w:sz w:val="24"/>
          <w:szCs w:val="24"/>
        </w:rPr>
        <w:t>61</w:t>
      </w:r>
      <w:r w:rsidR="00AC30C2" w:rsidRPr="001B1523">
        <w:rPr>
          <w:rFonts w:cs="Arial"/>
          <w:color w:val="000000"/>
          <w:sz w:val="24"/>
          <w:szCs w:val="24"/>
        </w:rPr>
        <w:t xml:space="preserve"> PD patients and </w:t>
      </w:r>
      <w:r w:rsidRPr="001B1523">
        <w:rPr>
          <w:rFonts w:cs="Arial"/>
          <w:color w:val="000000"/>
          <w:sz w:val="24"/>
          <w:szCs w:val="24"/>
        </w:rPr>
        <w:t xml:space="preserve">63 </w:t>
      </w:r>
      <w:r w:rsidR="00AC30C2" w:rsidRPr="001B1523">
        <w:rPr>
          <w:rFonts w:cs="Arial"/>
          <w:color w:val="000000"/>
          <w:sz w:val="24"/>
          <w:szCs w:val="24"/>
        </w:rPr>
        <w:t xml:space="preserve">controls </w:t>
      </w:r>
      <w:r w:rsidRPr="001B1523">
        <w:rPr>
          <w:rFonts w:cs="Arial"/>
          <w:color w:val="000000"/>
          <w:sz w:val="24"/>
          <w:szCs w:val="24"/>
        </w:rPr>
        <w:t>were</w:t>
      </w:r>
      <w:r w:rsidR="00AC30C2" w:rsidRPr="001B1523">
        <w:rPr>
          <w:rFonts w:cs="Arial"/>
          <w:color w:val="000000"/>
          <w:sz w:val="24"/>
          <w:szCs w:val="24"/>
        </w:rPr>
        <w:t xml:space="preserve"> </w:t>
      </w:r>
      <w:r w:rsidRPr="001B1523">
        <w:rPr>
          <w:rFonts w:cs="Arial"/>
          <w:color w:val="000000"/>
          <w:sz w:val="24"/>
          <w:szCs w:val="24"/>
        </w:rPr>
        <w:t>recruited</w:t>
      </w:r>
      <w:r w:rsidR="00AC30C2" w:rsidRPr="001B1523">
        <w:rPr>
          <w:rFonts w:cs="Arial"/>
          <w:color w:val="000000"/>
          <w:sz w:val="24"/>
          <w:szCs w:val="24"/>
        </w:rPr>
        <w:t>.</w:t>
      </w:r>
      <w:r w:rsidR="00D67634" w:rsidRPr="001B1523">
        <w:rPr>
          <w:rFonts w:cs="Arial"/>
          <w:color w:val="000000"/>
          <w:sz w:val="24"/>
          <w:szCs w:val="24"/>
        </w:rPr>
        <w:t xml:space="preserve"> </w:t>
      </w:r>
      <w:r w:rsidR="001149FB" w:rsidRPr="001B1523">
        <w:rPr>
          <w:rFonts w:cs="Arial"/>
          <w:color w:val="000000"/>
          <w:sz w:val="24"/>
          <w:szCs w:val="24"/>
        </w:rPr>
        <w:t xml:space="preserve">Their </w:t>
      </w:r>
      <w:r w:rsidR="00D67634" w:rsidRPr="001B1523">
        <w:rPr>
          <w:rFonts w:cs="Arial"/>
          <w:color w:val="000000"/>
          <w:sz w:val="24"/>
          <w:szCs w:val="24"/>
        </w:rPr>
        <w:t>demographics are summarised in Table 1.</w:t>
      </w:r>
      <w:r w:rsidR="00071406" w:rsidRPr="001B1523">
        <w:rPr>
          <w:rFonts w:cs="Arial"/>
          <w:color w:val="000000"/>
          <w:sz w:val="24"/>
          <w:szCs w:val="24"/>
        </w:rPr>
        <w:t xml:space="preserve"> The two groups were well</w:t>
      </w:r>
      <w:r w:rsidR="000927C5" w:rsidRPr="001B1523">
        <w:rPr>
          <w:rFonts w:cs="Arial"/>
          <w:color w:val="000000"/>
          <w:sz w:val="24"/>
          <w:szCs w:val="24"/>
        </w:rPr>
        <w:t>-</w:t>
      </w:r>
      <w:r w:rsidR="00071406" w:rsidRPr="001B1523">
        <w:rPr>
          <w:rFonts w:cs="Arial"/>
          <w:color w:val="000000"/>
          <w:sz w:val="24"/>
          <w:szCs w:val="24"/>
        </w:rPr>
        <w:t>matched for age (</w:t>
      </w:r>
      <w:r w:rsidR="00071406" w:rsidRPr="001B1523">
        <w:rPr>
          <w:rFonts w:cs="Arial"/>
          <w:i/>
          <w:iCs/>
          <w:color w:val="000000"/>
          <w:sz w:val="24"/>
          <w:szCs w:val="24"/>
        </w:rPr>
        <w:t>p</w:t>
      </w:r>
      <w:r w:rsidR="00071406" w:rsidRPr="001B1523">
        <w:rPr>
          <w:rFonts w:cs="Arial"/>
          <w:color w:val="000000"/>
          <w:sz w:val="24"/>
          <w:szCs w:val="24"/>
        </w:rPr>
        <w:t>=</w:t>
      </w:r>
      <w:r w:rsidR="00A876A1" w:rsidRPr="001B1523">
        <w:rPr>
          <w:rFonts w:cs="Arial"/>
          <w:color w:val="000000"/>
          <w:sz w:val="24"/>
          <w:szCs w:val="24"/>
        </w:rPr>
        <w:t>0.957</w:t>
      </w:r>
      <w:r w:rsidR="00071406" w:rsidRPr="001B1523">
        <w:rPr>
          <w:rFonts w:cs="Arial"/>
          <w:color w:val="000000"/>
          <w:sz w:val="24"/>
          <w:szCs w:val="24"/>
        </w:rPr>
        <w:t>) and sex (</w:t>
      </w:r>
      <w:r w:rsidR="00071406" w:rsidRPr="001B1523">
        <w:rPr>
          <w:rFonts w:cs="Arial"/>
          <w:i/>
          <w:iCs/>
          <w:color w:val="000000"/>
          <w:sz w:val="24"/>
          <w:szCs w:val="24"/>
        </w:rPr>
        <w:t>p</w:t>
      </w:r>
      <w:r w:rsidR="00071406" w:rsidRPr="001B1523">
        <w:rPr>
          <w:rFonts w:cs="Arial"/>
          <w:color w:val="000000"/>
          <w:sz w:val="24"/>
          <w:szCs w:val="24"/>
        </w:rPr>
        <w:t>=</w:t>
      </w:r>
      <w:r w:rsidR="00A876A1" w:rsidRPr="001B1523">
        <w:rPr>
          <w:rFonts w:cs="Arial"/>
          <w:color w:val="000000"/>
          <w:sz w:val="24"/>
          <w:szCs w:val="24"/>
        </w:rPr>
        <w:t>0.105</w:t>
      </w:r>
      <w:r w:rsidR="00071406" w:rsidRPr="001B1523">
        <w:rPr>
          <w:rFonts w:cs="Arial"/>
          <w:color w:val="000000"/>
          <w:sz w:val="24"/>
          <w:szCs w:val="24"/>
        </w:rPr>
        <w:t>)</w:t>
      </w:r>
      <w:r w:rsidR="000927C5" w:rsidRPr="001B1523">
        <w:rPr>
          <w:rFonts w:cs="Arial"/>
          <w:color w:val="000000"/>
          <w:sz w:val="24"/>
          <w:szCs w:val="24"/>
        </w:rPr>
        <w:t>,</w:t>
      </w:r>
      <w:r w:rsidR="006427E0" w:rsidRPr="001B1523">
        <w:rPr>
          <w:rFonts w:cs="Arial"/>
          <w:color w:val="000000"/>
          <w:sz w:val="24"/>
          <w:szCs w:val="24"/>
        </w:rPr>
        <w:t xml:space="preserve"> as well as CMV and EB</w:t>
      </w:r>
      <w:r w:rsidR="00592FC1" w:rsidRPr="001B1523">
        <w:rPr>
          <w:rFonts w:cs="Arial"/>
          <w:color w:val="000000"/>
          <w:sz w:val="24"/>
          <w:szCs w:val="24"/>
        </w:rPr>
        <w:t>V</w:t>
      </w:r>
      <w:r w:rsidR="006427E0" w:rsidRPr="001B1523">
        <w:rPr>
          <w:rFonts w:cs="Arial"/>
          <w:color w:val="000000"/>
          <w:sz w:val="24"/>
          <w:szCs w:val="24"/>
        </w:rPr>
        <w:t xml:space="preserve"> </w:t>
      </w:r>
      <w:r w:rsidR="00EE6E49" w:rsidRPr="001B1523">
        <w:rPr>
          <w:rFonts w:cs="Arial"/>
          <w:color w:val="000000"/>
          <w:sz w:val="24"/>
          <w:szCs w:val="24"/>
        </w:rPr>
        <w:t>sero</w:t>
      </w:r>
      <w:r w:rsidR="006427E0" w:rsidRPr="001B1523">
        <w:rPr>
          <w:rFonts w:cs="Arial"/>
          <w:color w:val="000000"/>
          <w:sz w:val="24"/>
          <w:szCs w:val="24"/>
        </w:rPr>
        <w:t>positivity (</w:t>
      </w:r>
      <w:r w:rsidR="006427E0" w:rsidRPr="001B1523">
        <w:rPr>
          <w:rFonts w:cs="Arial"/>
          <w:i/>
          <w:iCs/>
          <w:color w:val="000000"/>
          <w:sz w:val="24"/>
          <w:szCs w:val="24"/>
        </w:rPr>
        <w:t>p</w:t>
      </w:r>
      <w:r w:rsidR="006427E0" w:rsidRPr="001B1523">
        <w:rPr>
          <w:rFonts w:cs="Arial"/>
          <w:color w:val="000000"/>
          <w:sz w:val="24"/>
          <w:szCs w:val="24"/>
        </w:rPr>
        <w:t>=</w:t>
      </w:r>
      <w:r w:rsidR="00A876A1" w:rsidRPr="001B1523">
        <w:rPr>
          <w:rFonts w:cs="Arial"/>
          <w:color w:val="000000"/>
          <w:sz w:val="24"/>
          <w:szCs w:val="24"/>
        </w:rPr>
        <w:t>0.719</w:t>
      </w:r>
      <w:r w:rsidR="006427E0" w:rsidRPr="001B1523">
        <w:rPr>
          <w:rFonts w:cs="Arial"/>
          <w:color w:val="000000"/>
          <w:sz w:val="24"/>
          <w:szCs w:val="24"/>
        </w:rPr>
        <w:t xml:space="preserve"> and </w:t>
      </w:r>
      <w:r w:rsidR="006427E0" w:rsidRPr="001B1523">
        <w:rPr>
          <w:rFonts w:cs="Arial"/>
          <w:i/>
          <w:iCs/>
          <w:color w:val="000000"/>
          <w:sz w:val="24"/>
          <w:szCs w:val="24"/>
        </w:rPr>
        <w:t>p</w:t>
      </w:r>
      <w:r w:rsidR="006427E0" w:rsidRPr="001B1523">
        <w:rPr>
          <w:rFonts w:cs="Arial"/>
          <w:color w:val="000000"/>
          <w:sz w:val="24"/>
          <w:szCs w:val="24"/>
        </w:rPr>
        <w:t>=</w:t>
      </w:r>
      <w:r w:rsidR="00A876A1" w:rsidRPr="001B1523">
        <w:rPr>
          <w:rFonts w:cs="Arial"/>
          <w:color w:val="000000"/>
          <w:sz w:val="24"/>
          <w:szCs w:val="24"/>
        </w:rPr>
        <w:t>0.267</w:t>
      </w:r>
      <w:r w:rsidR="006427E0" w:rsidRPr="001B1523">
        <w:rPr>
          <w:rFonts w:cs="Arial"/>
          <w:color w:val="000000"/>
          <w:sz w:val="24"/>
          <w:szCs w:val="24"/>
        </w:rPr>
        <w:t xml:space="preserve">, respectively). All patients </w:t>
      </w:r>
      <w:r w:rsidR="00A876A1" w:rsidRPr="001B1523">
        <w:rPr>
          <w:rFonts w:cs="Arial"/>
          <w:color w:val="000000"/>
          <w:sz w:val="24"/>
          <w:szCs w:val="24"/>
        </w:rPr>
        <w:t>had early-stage PD</w:t>
      </w:r>
      <w:r w:rsidR="006427E0" w:rsidRPr="001B1523">
        <w:rPr>
          <w:rFonts w:cs="Arial"/>
          <w:color w:val="000000"/>
          <w:sz w:val="24"/>
          <w:szCs w:val="24"/>
        </w:rPr>
        <w:t xml:space="preserve"> </w:t>
      </w:r>
      <w:r w:rsidR="00A876A1" w:rsidRPr="001B1523">
        <w:rPr>
          <w:rFonts w:cs="Arial"/>
          <w:color w:val="000000"/>
          <w:sz w:val="24"/>
          <w:szCs w:val="24"/>
        </w:rPr>
        <w:t>(</w:t>
      </w:r>
      <w:r w:rsidR="006427E0" w:rsidRPr="001B1523">
        <w:rPr>
          <w:rFonts w:cs="Arial"/>
          <w:color w:val="000000"/>
          <w:sz w:val="24"/>
          <w:szCs w:val="24"/>
        </w:rPr>
        <w:t xml:space="preserve">0.97 </w:t>
      </w:r>
      <w:r w:rsidR="004322DF" w:rsidRPr="001B1523">
        <w:rPr>
          <w:rFonts w:cs="Arial"/>
          <w:color w:val="000000"/>
          <w:sz w:val="24"/>
          <w:szCs w:val="24"/>
        </w:rPr>
        <w:t>±</w:t>
      </w:r>
      <w:r w:rsidR="00A876A1" w:rsidRPr="001B1523">
        <w:rPr>
          <w:rFonts w:cs="Arial"/>
          <w:color w:val="000000"/>
          <w:sz w:val="24"/>
          <w:szCs w:val="24"/>
        </w:rPr>
        <w:t xml:space="preserve"> </w:t>
      </w:r>
      <w:r w:rsidR="000927C5" w:rsidRPr="001B1523">
        <w:rPr>
          <w:rFonts w:cs="Arial"/>
          <w:color w:val="000000"/>
          <w:sz w:val="24"/>
          <w:szCs w:val="24"/>
        </w:rPr>
        <w:t>0.54</w:t>
      </w:r>
      <w:r w:rsidR="00A876A1" w:rsidRPr="001B1523">
        <w:rPr>
          <w:rFonts w:cs="Arial"/>
          <w:color w:val="000000"/>
          <w:sz w:val="24"/>
          <w:szCs w:val="24"/>
        </w:rPr>
        <w:t xml:space="preserve"> years</w:t>
      </w:r>
      <w:r w:rsidR="006427E0" w:rsidRPr="001B1523">
        <w:rPr>
          <w:rFonts w:cs="Arial"/>
          <w:color w:val="000000"/>
          <w:sz w:val="24"/>
          <w:szCs w:val="24"/>
        </w:rPr>
        <w:t xml:space="preserve"> disease duration</w:t>
      </w:r>
      <w:r w:rsidR="00A876A1" w:rsidRPr="001B1523">
        <w:rPr>
          <w:rFonts w:cs="Arial"/>
          <w:color w:val="000000"/>
          <w:sz w:val="24"/>
          <w:szCs w:val="24"/>
        </w:rPr>
        <w:t>)</w:t>
      </w:r>
      <w:r w:rsidR="006427E0" w:rsidRPr="001B1523">
        <w:rPr>
          <w:rFonts w:cs="Arial"/>
          <w:color w:val="000000"/>
          <w:sz w:val="24"/>
          <w:szCs w:val="24"/>
        </w:rPr>
        <w:t xml:space="preserve">. </w:t>
      </w:r>
      <w:r w:rsidR="00A876A1" w:rsidRPr="001B1523">
        <w:rPr>
          <w:rFonts w:cs="Arial"/>
          <w:color w:val="000000"/>
          <w:sz w:val="24"/>
          <w:szCs w:val="24"/>
        </w:rPr>
        <w:t>PD patients had lower cognitive scores compared to the controls</w:t>
      </w:r>
      <w:r w:rsidR="006427E0" w:rsidRPr="001B1523">
        <w:rPr>
          <w:rFonts w:cs="Arial"/>
          <w:color w:val="000000"/>
          <w:sz w:val="24"/>
          <w:szCs w:val="24"/>
        </w:rPr>
        <w:t xml:space="preserve"> as measured by ACE-III (</w:t>
      </w:r>
      <w:r w:rsidR="006427E0" w:rsidRPr="001B1523">
        <w:rPr>
          <w:rFonts w:cs="Arial"/>
          <w:i/>
          <w:iCs/>
          <w:color w:val="000000"/>
          <w:sz w:val="24"/>
          <w:szCs w:val="24"/>
        </w:rPr>
        <w:t>p</w:t>
      </w:r>
      <w:r w:rsidR="006427E0" w:rsidRPr="001B1523">
        <w:rPr>
          <w:rFonts w:cs="Arial"/>
          <w:color w:val="000000"/>
          <w:sz w:val="24"/>
          <w:szCs w:val="24"/>
        </w:rPr>
        <w:t>=</w:t>
      </w:r>
      <w:r w:rsidR="00C273EA" w:rsidRPr="001B1523">
        <w:rPr>
          <w:rFonts w:cs="Arial"/>
          <w:color w:val="000000"/>
          <w:sz w:val="24"/>
          <w:szCs w:val="24"/>
        </w:rPr>
        <w:t>0.011</w:t>
      </w:r>
      <w:r w:rsidR="006427E0" w:rsidRPr="001B1523">
        <w:rPr>
          <w:rFonts w:cs="Arial"/>
          <w:color w:val="000000"/>
          <w:sz w:val="24"/>
          <w:szCs w:val="24"/>
        </w:rPr>
        <w:t>). C-reactive protein (CRP) was within the normal range (&lt;4</w:t>
      </w:r>
      <w:r w:rsidR="005E07BE" w:rsidRPr="001B1523">
        <w:rPr>
          <w:rFonts w:cs="Arial"/>
          <w:color w:val="000000"/>
          <w:sz w:val="24"/>
          <w:szCs w:val="24"/>
        </w:rPr>
        <w:t xml:space="preserve"> mg/L</w:t>
      </w:r>
      <w:r w:rsidR="006427E0" w:rsidRPr="001B1523">
        <w:rPr>
          <w:rFonts w:cs="Arial"/>
          <w:color w:val="000000"/>
          <w:sz w:val="24"/>
          <w:szCs w:val="24"/>
        </w:rPr>
        <w:t xml:space="preserve">) in all participants, thus excluding concurrent infections at the time of blood </w:t>
      </w:r>
      <w:r w:rsidR="000927C5" w:rsidRPr="001B1523">
        <w:rPr>
          <w:rFonts w:cs="Arial"/>
          <w:color w:val="000000"/>
          <w:sz w:val="24"/>
          <w:szCs w:val="24"/>
        </w:rPr>
        <w:t>s</w:t>
      </w:r>
      <w:r w:rsidR="006427E0" w:rsidRPr="001B1523">
        <w:rPr>
          <w:rFonts w:cs="Arial"/>
          <w:color w:val="000000"/>
          <w:sz w:val="24"/>
          <w:szCs w:val="24"/>
        </w:rPr>
        <w:t>ampling.</w:t>
      </w:r>
    </w:p>
    <w:p w14:paraId="3A079EFC" w14:textId="77777777" w:rsidR="00A66C1C" w:rsidRPr="001B1523" w:rsidRDefault="00A66C1C" w:rsidP="00AC4E9D">
      <w:pPr>
        <w:spacing w:line="480" w:lineRule="auto"/>
        <w:rPr>
          <w:rFonts w:cs="Arial"/>
          <w:color w:val="000000"/>
          <w:sz w:val="24"/>
          <w:szCs w:val="24"/>
        </w:rPr>
      </w:pPr>
    </w:p>
    <w:p w14:paraId="2CFC4522" w14:textId="77777777" w:rsidR="00516A52" w:rsidRPr="001B1523" w:rsidRDefault="00516A52" w:rsidP="00923196">
      <w:pPr>
        <w:rPr>
          <w:rFonts w:cs="Arial"/>
          <w:color w:val="00000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6"/>
        <w:gridCol w:w="1619"/>
        <w:gridCol w:w="1619"/>
        <w:gridCol w:w="1179"/>
      </w:tblGrid>
      <w:tr w:rsidR="00F93C08" w:rsidRPr="001B1523" w14:paraId="771314B5" w14:textId="77777777" w:rsidTr="00254830">
        <w:trPr>
          <w:trHeight w:val="311"/>
        </w:trPr>
        <w:tc>
          <w:tcPr>
            <w:tcW w:w="8393" w:type="dxa"/>
            <w:gridSpan w:val="4"/>
            <w:tcBorders>
              <w:top w:val="nil"/>
              <w:left w:val="nil"/>
              <w:bottom w:val="single" w:sz="12" w:space="0" w:color="auto"/>
              <w:right w:val="nil"/>
            </w:tcBorders>
            <w:noWrap/>
            <w:vAlign w:val="center"/>
            <w:hideMark/>
          </w:tcPr>
          <w:p w14:paraId="12D7ACF6" w14:textId="48BF5AC7" w:rsidR="00F93C08" w:rsidRPr="001B1523" w:rsidRDefault="00F93C08" w:rsidP="00C97C5B">
            <w:pPr>
              <w:spacing w:line="276" w:lineRule="auto"/>
              <w:rPr>
                <w:rFonts w:eastAsia="Yu Mincho" w:cs="Arial"/>
                <w:sz w:val="20"/>
                <w:szCs w:val="20"/>
              </w:rPr>
            </w:pPr>
            <w:bookmarkStart w:id="2" w:name="_Toc13509296"/>
            <w:r w:rsidRPr="001B1523">
              <w:rPr>
                <w:rFonts w:eastAsia="Yu Mincho" w:cs="Arial"/>
                <w:b/>
                <w:sz w:val="20"/>
                <w:szCs w:val="20"/>
              </w:rPr>
              <w:lastRenderedPageBreak/>
              <w:t xml:space="preserve">Table 1. </w:t>
            </w:r>
            <w:r w:rsidR="00D67634" w:rsidRPr="001B1523">
              <w:rPr>
                <w:rFonts w:eastAsia="Yu Mincho" w:cs="Arial"/>
                <w:b/>
                <w:sz w:val="20"/>
                <w:szCs w:val="20"/>
              </w:rPr>
              <w:t>PD patient and control</w:t>
            </w:r>
            <w:r w:rsidRPr="001B1523">
              <w:rPr>
                <w:rFonts w:eastAsia="Yu Mincho" w:cs="Arial"/>
                <w:b/>
                <w:sz w:val="20"/>
                <w:szCs w:val="20"/>
              </w:rPr>
              <w:t xml:space="preserve"> demographics.</w:t>
            </w:r>
            <w:bookmarkEnd w:id="2"/>
          </w:p>
        </w:tc>
      </w:tr>
      <w:tr w:rsidR="00F93C08" w:rsidRPr="001B1523" w14:paraId="5F80FA18" w14:textId="77777777" w:rsidTr="00516A52">
        <w:trPr>
          <w:trHeight w:val="332"/>
        </w:trPr>
        <w:tc>
          <w:tcPr>
            <w:tcW w:w="3976" w:type="dxa"/>
            <w:tcBorders>
              <w:top w:val="single" w:sz="8" w:space="0" w:color="000000" w:themeColor="text1"/>
              <w:left w:val="nil"/>
              <w:bottom w:val="single" w:sz="4" w:space="0" w:color="auto"/>
              <w:right w:val="nil"/>
            </w:tcBorders>
            <w:noWrap/>
            <w:vAlign w:val="center"/>
            <w:hideMark/>
          </w:tcPr>
          <w:p w14:paraId="320E5E90" w14:textId="77777777" w:rsidR="00F93C08" w:rsidRPr="001B1523" w:rsidRDefault="00F93C08" w:rsidP="00C97C5B">
            <w:pPr>
              <w:spacing w:line="276" w:lineRule="auto"/>
              <w:rPr>
                <w:rFonts w:eastAsia="Yu Mincho" w:cs="Arial"/>
                <w:sz w:val="20"/>
                <w:szCs w:val="20"/>
              </w:rPr>
            </w:pPr>
            <w:r w:rsidRPr="001B1523">
              <w:rPr>
                <w:rFonts w:eastAsia="Yu Mincho" w:cs="Arial"/>
                <w:sz w:val="20"/>
                <w:szCs w:val="20"/>
              </w:rPr>
              <w:t> </w:t>
            </w:r>
          </w:p>
        </w:tc>
        <w:tc>
          <w:tcPr>
            <w:tcW w:w="1619" w:type="dxa"/>
            <w:tcBorders>
              <w:top w:val="single" w:sz="8" w:space="0" w:color="000000" w:themeColor="text1"/>
              <w:left w:val="nil"/>
              <w:bottom w:val="single" w:sz="4" w:space="0" w:color="auto"/>
              <w:right w:val="nil"/>
            </w:tcBorders>
            <w:noWrap/>
            <w:vAlign w:val="center"/>
            <w:hideMark/>
          </w:tcPr>
          <w:p w14:paraId="6C4E890F" w14:textId="77777777" w:rsidR="00F93C08" w:rsidRPr="001B1523" w:rsidRDefault="00F93C08" w:rsidP="00C97C5B">
            <w:pPr>
              <w:spacing w:line="276" w:lineRule="auto"/>
              <w:rPr>
                <w:rFonts w:eastAsia="Yu Mincho" w:cs="Arial"/>
                <w:sz w:val="20"/>
                <w:szCs w:val="20"/>
              </w:rPr>
            </w:pPr>
            <w:r w:rsidRPr="001B1523">
              <w:rPr>
                <w:rFonts w:eastAsia="Yu Mincho" w:cs="Arial"/>
                <w:sz w:val="20"/>
                <w:szCs w:val="20"/>
              </w:rPr>
              <w:t>Control</w:t>
            </w:r>
          </w:p>
        </w:tc>
        <w:tc>
          <w:tcPr>
            <w:tcW w:w="1619" w:type="dxa"/>
            <w:tcBorders>
              <w:top w:val="single" w:sz="8" w:space="0" w:color="000000" w:themeColor="text1"/>
              <w:left w:val="nil"/>
              <w:bottom w:val="single" w:sz="4" w:space="0" w:color="auto"/>
              <w:right w:val="nil"/>
            </w:tcBorders>
            <w:noWrap/>
            <w:vAlign w:val="center"/>
            <w:hideMark/>
          </w:tcPr>
          <w:p w14:paraId="1BED00FC" w14:textId="77777777" w:rsidR="00F93C08" w:rsidRPr="001B1523" w:rsidRDefault="00F93C08" w:rsidP="00C97C5B">
            <w:pPr>
              <w:spacing w:line="276" w:lineRule="auto"/>
              <w:rPr>
                <w:rFonts w:eastAsia="Yu Mincho" w:cs="Arial"/>
                <w:sz w:val="20"/>
                <w:szCs w:val="20"/>
              </w:rPr>
            </w:pPr>
            <w:r w:rsidRPr="001B1523">
              <w:rPr>
                <w:rFonts w:eastAsia="Yu Mincho" w:cs="Arial"/>
                <w:sz w:val="20"/>
                <w:szCs w:val="20"/>
              </w:rPr>
              <w:t>PD</w:t>
            </w:r>
          </w:p>
        </w:tc>
        <w:tc>
          <w:tcPr>
            <w:tcW w:w="1179" w:type="dxa"/>
            <w:tcBorders>
              <w:top w:val="single" w:sz="12" w:space="0" w:color="auto"/>
              <w:left w:val="nil"/>
              <w:bottom w:val="single" w:sz="4" w:space="0" w:color="auto"/>
              <w:right w:val="nil"/>
            </w:tcBorders>
            <w:vAlign w:val="center"/>
            <w:hideMark/>
          </w:tcPr>
          <w:p w14:paraId="6E4B72D3" w14:textId="77777777" w:rsidR="00F93C08" w:rsidRPr="001B1523" w:rsidRDefault="00F93C08" w:rsidP="00C97C5B">
            <w:pPr>
              <w:spacing w:line="276" w:lineRule="auto"/>
              <w:rPr>
                <w:rFonts w:eastAsia="Yu Mincho" w:cs="Arial"/>
                <w:i/>
                <w:iCs/>
                <w:sz w:val="20"/>
                <w:szCs w:val="20"/>
              </w:rPr>
            </w:pPr>
            <w:r w:rsidRPr="001B1523">
              <w:rPr>
                <w:rFonts w:eastAsia="Yu Mincho" w:cs="Arial"/>
                <w:i/>
                <w:iCs/>
                <w:sz w:val="20"/>
                <w:szCs w:val="20"/>
              </w:rPr>
              <w:t>p</w:t>
            </w:r>
          </w:p>
        </w:tc>
      </w:tr>
      <w:tr w:rsidR="00F93C08" w:rsidRPr="001B1523" w14:paraId="5D4901B3" w14:textId="77777777" w:rsidTr="00516A52">
        <w:trPr>
          <w:trHeight w:val="301"/>
        </w:trPr>
        <w:tc>
          <w:tcPr>
            <w:tcW w:w="3976" w:type="dxa"/>
            <w:noWrap/>
            <w:vAlign w:val="center"/>
            <w:hideMark/>
          </w:tcPr>
          <w:p w14:paraId="720744DB" w14:textId="77777777" w:rsidR="00F93C08" w:rsidRPr="001B1523" w:rsidRDefault="00F93C08" w:rsidP="00C97C5B">
            <w:pPr>
              <w:spacing w:line="276" w:lineRule="auto"/>
              <w:rPr>
                <w:rFonts w:eastAsia="Yu Mincho" w:cs="Arial"/>
                <w:sz w:val="20"/>
                <w:szCs w:val="20"/>
              </w:rPr>
            </w:pPr>
            <w:r w:rsidRPr="001B1523">
              <w:rPr>
                <w:rFonts w:eastAsia="Yu Mincho" w:cs="Arial"/>
                <w:sz w:val="20"/>
                <w:szCs w:val="20"/>
              </w:rPr>
              <w:t>Sample size</w:t>
            </w:r>
          </w:p>
        </w:tc>
        <w:tc>
          <w:tcPr>
            <w:tcW w:w="1619" w:type="dxa"/>
            <w:noWrap/>
            <w:vAlign w:val="bottom"/>
          </w:tcPr>
          <w:p w14:paraId="1BE9731B" w14:textId="77777777" w:rsidR="00F93C08" w:rsidRPr="001B1523" w:rsidRDefault="00F93C08" w:rsidP="00C97C5B">
            <w:pPr>
              <w:spacing w:line="276" w:lineRule="auto"/>
              <w:rPr>
                <w:rFonts w:eastAsia="Yu Mincho" w:cs="Arial"/>
                <w:sz w:val="20"/>
                <w:szCs w:val="20"/>
              </w:rPr>
            </w:pPr>
            <w:r w:rsidRPr="001B1523">
              <w:rPr>
                <w:rFonts w:cs="Arial"/>
                <w:color w:val="000000"/>
                <w:sz w:val="20"/>
                <w:szCs w:val="20"/>
              </w:rPr>
              <w:t>63</w:t>
            </w:r>
          </w:p>
        </w:tc>
        <w:tc>
          <w:tcPr>
            <w:tcW w:w="1619" w:type="dxa"/>
            <w:noWrap/>
            <w:vAlign w:val="bottom"/>
          </w:tcPr>
          <w:p w14:paraId="65F19BDD" w14:textId="77777777" w:rsidR="00F93C08" w:rsidRPr="001B1523" w:rsidRDefault="00F93C08" w:rsidP="00C97C5B">
            <w:pPr>
              <w:spacing w:line="276" w:lineRule="auto"/>
              <w:rPr>
                <w:rFonts w:eastAsia="Yu Mincho" w:cs="Arial"/>
                <w:sz w:val="20"/>
                <w:szCs w:val="20"/>
              </w:rPr>
            </w:pPr>
            <w:r w:rsidRPr="001B1523">
              <w:rPr>
                <w:rFonts w:cs="Arial"/>
                <w:color w:val="000000"/>
                <w:sz w:val="20"/>
                <w:szCs w:val="20"/>
              </w:rPr>
              <w:t>61</w:t>
            </w:r>
          </w:p>
        </w:tc>
        <w:tc>
          <w:tcPr>
            <w:tcW w:w="1179" w:type="dxa"/>
            <w:vAlign w:val="bottom"/>
          </w:tcPr>
          <w:p w14:paraId="00F54AF3" w14:textId="77777777" w:rsidR="00F93C08" w:rsidRPr="001B1523" w:rsidRDefault="00F93C08" w:rsidP="00C97C5B">
            <w:pPr>
              <w:spacing w:line="276" w:lineRule="auto"/>
              <w:rPr>
                <w:rFonts w:eastAsia="Yu Mincho" w:cs="Arial"/>
                <w:sz w:val="20"/>
                <w:szCs w:val="20"/>
              </w:rPr>
            </w:pPr>
            <w:r w:rsidRPr="001B1523">
              <w:rPr>
                <w:rFonts w:cs="Arial"/>
                <w:color w:val="000000"/>
                <w:sz w:val="20"/>
                <w:szCs w:val="20"/>
              </w:rPr>
              <w:t>-</w:t>
            </w:r>
          </w:p>
        </w:tc>
      </w:tr>
      <w:tr w:rsidR="00F93C08" w:rsidRPr="001B1523" w14:paraId="7EEF3145" w14:textId="77777777" w:rsidTr="00516A52">
        <w:trPr>
          <w:trHeight w:val="301"/>
        </w:trPr>
        <w:tc>
          <w:tcPr>
            <w:tcW w:w="3976" w:type="dxa"/>
            <w:noWrap/>
            <w:vAlign w:val="center"/>
          </w:tcPr>
          <w:p w14:paraId="54D31D6C" w14:textId="77777777" w:rsidR="00F93C08" w:rsidRPr="001B1523" w:rsidRDefault="00F93C08" w:rsidP="00C97C5B">
            <w:pPr>
              <w:spacing w:line="276" w:lineRule="auto"/>
              <w:rPr>
                <w:rFonts w:eastAsia="Yu Mincho" w:cs="Arial"/>
                <w:sz w:val="20"/>
                <w:szCs w:val="20"/>
              </w:rPr>
            </w:pPr>
            <w:r w:rsidRPr="001B1523">
              <w:rPr>
                <w:rFonts w:eastAsia="Yu Mincho" w:cs="Arial"/>
                <w:sz w:val="20"/>
                <w:szCs w:val="20"/>
              </w:rPr>
              <w:t>Sex (% male)</w:t>
            </w:r>
          </w:p>
        </w:tc>
        <w:tc>
          <w:tcPr>
            <w:tcW w:w="1619" w:type="dxa"/>
            <w:noWrap/>
            <w:vAlign w:val="bottom"/>
          </w:tcPr>
          <w:p w14:paraId="421CA508" w14:textId="77777777" w:rsidR="00F93C08" w:rsidRPr="001B1523" w:rsidRDefault="00F93C08" w:rsidP="00C97C5B">
            <w:pPr>
              <w:spacing w:line="276" w:lineRule="auto"/>
              <w:rPr>
                <w:rFonts w:eastAsia="Yu Mincho" w:cs="Arial"/>
                <w:sz w:val="20"/>
                <w:szCs w:val="20"/>
              </w:rPr>
            </w:pPr>
            <w:r w:rsidRPr="001B1523">
              <w:rPr>
                <w:rFonts w:cs="Arial"/>
                <w:color w:val="000000"/>
                <w:sz w:val="20"/>
                <w:szCs w:val="20"/>
              </w:rPr>
              <w:t>51%</w:t>
            </w:r>
          </w:p>
        </w:tc>
        <w:tc>
          <w:tcPr>
            <w:tcW w:w="1619" w:type="dxa"/>
            <w:noWrap/>
            <w:vAlign w:val="bottom"/>
          </w:tcPr>
          <w:p w14:paraId="5FF3F3DA" w14:textId="77777777" w:rsidR="00F93C08" w:rsidRPr="001B1523" w:rsidRDefault="00F93C08" w:rsidP="00C97C5B">
            <w:pPr>
              <w:spacing w:line="276" w:lineRule="auto"/>
              <w:rPr>
                <w:rFonts w:eastAsia="Yu Mincho" w:cs="Arial"/>
                <w:sz w:val="20"/>
                <w:szCs w:val="20"/>
              </w:rPr>
            </w:pPr>
            <w:r w:rsidRPr="001B1523">
              <w:rPr>
                <w:rFonts w:cs="Arial"/>
                <w:color w:val="000000"/>
                <w:sz w:val="20"/>
                <w:szCs w:val="20"/>
              </w:rPr>
              <w:t>66%</w:t>
            </w:r>
          </w:p>
        </w:tc>
        <w:tc>
          <w:tcPr>
            <w:tcW w:w="1179" w:type="dxa"/>
            <w:vAlign w:val="bottom"/>
          </w:tcPr>
          <w:p w14:paraId="2CDEEB22" w14:textId="77777777" w:rsidR="00F93C08" w:rsidRPr="001B1523" w:rsidRDefault="00F93C08" w:rsidP="00C97C5B">
            <w:pPr>
              <w:spacing w:line="276" w:lineRule="auto"/>
              <w:rPr>
                <w:rFonts w:eastAsia="Yu Mincho" w:cs="Arial"/>
                <w:sz w:val="20"/>
                <w:szCs w:val="20"/>
              </w:rPr>
            </w:pPr>
            <w:r w:rsidRPr="001B1523">
              <w:rPr>
                <w:rFonts w:cs="Arial"/>
                <w:color w:val="000000"/>
                <w:sz w:val="20"/>
                <w:szCs w:val="20"/>
              </w:rPr>
              <w:t>0.105</w:t>
            </w:r>
          </w:p>
        </w:tc>
      </w:tr>
      <w:tr w:rsidR="00F93C08" w:rsidRPr="001B1523" w14:paraId="46ACC53A" w14:textId="77777777" w:rsidTr="00516A52">
        <w:trPr>
          <w:trHeight w:val="301"/>
        </w:trPr>
        <w:tc>
          <w:tcPr>
            <w:tcW w:w="3976" w:type="dxa"/>
            <w:noWrap/>
            <w:vAlign w:val="center"/>
            <w:hideMark/>
          </w:tcPr>
          <w:p w14:paraId="39420D91" w14:textId="77777777" w:rsidR="00F93C08" w:rsidRPr="001B1523" w:rsidRDefault="00F93C08" w:rsidP="00C97C5B">
            <w:pPr>
              <w:spacing w:line="276" w:lineRule="auto"/>
              <w:rPr>
                <w:rFonts w:eastAsia="Yu Mincho" w:cs="Arial"/>
                <w:sz w:val="20"/>
                <w:szCs w:val="20"/>
              </w:rPr>
            </w:pPr>
            <w:r w:rsidRPr="001B1523">
              <w:rPr>
                <w:rFonts w:eastAsia="Yu Mincho" w:cs="Arial"/>
                <w:sz w:val="20"/>
                <w:szCs w:val="20"/>
              </w:rPr>
              <w:t>Age at visit</w:t>
            </w:r>
          </w:p>
        </w:tc>
        <w:tc>
          <w:tcPr>
            <w:tcW w:w="1619" w:type="dxa"/>
            <w:noWrap/>
            <w:vAlign w:val="bottom"/>
          </w:tcPr>
          <w:p w14:paraId="360F43ED" w14:textId="275912F8" w:rsidR="00F93C08" w:rsidRPr="001B1523" w:rsidRDefault="00F93C08" w:rsidP="00C97C5B">
            <w:pPr>
              <w:spacing w:line="276" w:lineRule="auto"/>
              <w:rPr>
                <w:rFonts w:eastAsia="Yu Mincho" w:cs="Arial"/>
                <w:sz w:val="20"/>
                <w:szCs w:val="20"/>
              </w:rPr>
            </w:pPr>
            <w:r w:rsidRPr="001B1523">
              <w:rPr>
                <w:rFonts w:cs="Arial"/>
                <w:color w:val="000000"/>
                <w:sz w:val="20"/>
                <w:szCs w:val="20"/>
              </w:rPr>
              <w:t xml:space="preserve">67.5 </w:t>
            </w:r>
            <w:r w:rsidR="001A781C" w:rsidRPr="001B1523">
              <w:rPr>
                <w:rFonts w:cs="Arial"/>
                <w:color w:val="000000"/>
                <w:sz w:val="20"/>
                <w:szCs w:val="20"/>
              </w:rPr>
              <w:t>(</w:t>
            </w:r>
            <w:r w:rsidRPr="001B1523">
              <w:rPr>
                <w:rFonts w:cs="Arial"/>
                <w:color w:val="000000"/>
                <w:sz w:val="20"/>
                <w:szCs w:val="20"/>
              </w:rPr>
              <w:t>7.2</w:t>
            </w:r>
            <w:r w:rsidR="001A781C" w:rsidRPr="001B1523">
              <w:rPr>
                <w:rFonts w:cs="Arial"/>
                <w:color w:val="000000"/>
                <w:sz w:val="20"/>
                <w:szCs w:val="20"/>
              </w:rPr>
              <w:t>)</w:t>
            </w:r>
          </w:p>
        </w:tc>
        <w:tc>
          <w:tcPr>
            <w:tcW w:w="1619" w:type="dxa"/>
            <w:noWrap/>
            <w:vAlign w:val="bottom"/>
          </w:tcPr>
          <w:p w14:paraId="02ADA32F" w14:textId="4134F0FA" w:rsidR="00F93C08" w:rsidRPr="001B1523" w:rsidRDefault="00F93C08" w:rsidP="00C97C5B">
            <w:pPr>
              <w:spacing w:line="276" w:lineRule="auto"/>
              <w:rPr>
                <w:rFonts w:eastAsia="Yu Mincho" w:cs="Arial"/>
                <w:sz w:val="20"/>
                <w:szCs w:val="20"/>
              </w:rPr>
            </w:pPr>
            <w:r w:rsidRPr="001B1523">
              <w:rPr>
                <w:rFonts w:cs="Arial"/>
                <w:color w:val="000000"/>
                <w:sz w:val="20"/>
                <w:szCs w:val="20"/>
              </w:rPr>
              <w:t xml:space="preserve">67.4 </w:t>
            </w:r>
            <w:r w:rsidR="001A781C" w:rsidRPr="001B1523">
              <w:rPr>
                <w:rFonts w:cs="Arial"/>
                <w:color w:val="000000"/>
                <w:sz w:val="20"/>
                <w:szCs w:val="20"/>
              </w:rPr>
              <w:t>(</w:t>
            </w:r>
            <w:r w:rsidRPr="001B1523">
              <w:rPr>
                <w:rFonts w:cs="Arial"/>
                <w:color w:val="000000"/>
                <w:sz w:val="20"/>
                <w:szCs w:val="20"/>
              </w:rPr>
              <w:t>7.1</w:t>
            </w:r>
            <w:r w:rsidR="001A781C" w:rsidRPr="001B1523">
              <w:rPr>
                <w:rFonts w:cs="Arial"/>
                <w:color w:val="000000"/>
                <w:sz w:val="20"/>
                <w:szCs w:val="20"/>
              </w:rPr>
              <w:t>)</w:t>
            </w:r>
          </w:p>
        </w:tc>
        <w:tc>
          <w:tcPr>
            <w:tcW w:w="1179" w:type="dxa"/>
            <w:vAlign w:val="bottom"/>
          </w:tcPr>
          <w:p w14:paraId="5A59EB82" w14:textId="77777777" w:rsidR="00F93C08" w:rsidRPr="001B1523" w:rsidRDefault="00F93C08" w:rsidP="00C97C5B">
            <w:pPr>
              <w:spacing w:line="276" w:lineRule="auto"/>
              <w:rPr>
                <w:rFonts w:eastAsia="Yu Mincho" w:cs="Arial"/>
                <w:sz w:val="20"/>
                <w:szCs w:val="20"/>
              </w:rPr>
            </w:pPr>
            <w:r w:rsidRPr="001B1523">
              <w:rPr>
                <w:rFonts w:cs="Arial"/>
                <w:color w:val="000000"/>
                <w:sz w:val="20"/>
                <w:szCs w:val="20"/>
              </w:rPr>
              <w:t>0.957</w:t>
            </w:r>
          </w:p>
        </w:tc>
      </w:tr>
      <w:tr w:rsidR="00F93C08" w:rsidRPr="001B1523" w14:paraId="78ABAE7D" w14:textId="77777777" w:rsidTr="00516A52">
        <w:trPr>
          <w:trHeight w:val="301"/>
        </w:trPr>
        <w:tc>
          <w:tcPr>
            <w:tcW w:w="3976" w:type="dxa"/>
            <w:noWrap/>
            <w:vAlign w:val="center"/>
            <w:hideMark/>
          </w:tcPr>
          <w:p w14:paraId="6D171B3C" w14:textId="77777777" w:rsidR="00F93C08" w:rsidRPr="001B1523" w:rsidRDefault="00F93C08" w:rsidP="00C97C5B">
            <w:pPr>
              <w:spacing w:line="276" w:lineRule="auto"/>
              <w:rPr>
                <w:rFonts w:eastAsia="Yu Mincho" w:cs="Arial"/>
                <w:sz w:val="20"/>
                <w:szCs w:val="20"/>
              </w:rPr>
            </w:pPr>
            <w:r w:rsidRPr="001B1523">
              <w:rPr>
                <w:rFonts w:eastAsia="Yu Mincho" w:cs="Arial"/>
                <w:sz w:val="20"/>
                <w:szCs w:val="20"/>
              </w:rPr>
              <w:t>CMV (% positive)</w:t>
            </w:r>
          </w:p>
        </w:tc>
        <w:tc>
          <w:tcPr>
            <w:tcW w:w="1619" w:type="dxa"/>
            <w:noWrap/>
            <w:vAlign w:val="bottom"/>
          </w:tcPr>
          <w:p w14:paraId="2A7CAC7B" w14:textId="77777777" w:rsidR="00F93C08" w:rsidRPr="001B1523" w:rsidRDefault="00F93C08" w:rsidP="00C97C5B">
            <w:pPr>
              <w:spacing w:line="276" w:lineRule="auto"/>
              <w:rPr>
                <w:rFonts w:eastAsia="Yu Mincho" w:cs="Arial"/>
                <w:sz w:val="20"/>
                <w:szCs w:val="20"/>
              </w:rPr>
            </w:pPr>
            <w:r w:rsidRPr="001B1523">
              <w:rPr>
                <w:rFonts w:cs="Arial"/>
                <w:color w:val="000000"/>
                <w:sz w:val="20"/>
                <w:szCs w:val="20"/>
              </w:rPr>
              <w:t>44%</w:t>
            </w:r>
          </w:p>
        </w:tc>
        <w:tc>
          <w:tcPr>
            <w:tcW w:w="1619" w:type="dxa"/>
            <w:noWrap/>
            <w:vAlign w:val="bottom"/>
          </w:tcPr>
          <w:p w14:paraId="0BF1C2E1" w14:textId="77777777" w:rsidR="00F93C08" w:rsidRPr="001B1523" w:rsidRDefault="00F93C08" w:rsidP="00C97C5B">
            <w:pPr>
              <w:spacing w:line="276" w:lineRule="auto"/>
              <w:rPr>
                <w:rFonts w:eastAsia="Yu Mincho" w:cs="Arial"/>
                <w:sz w:val="20"/>
                <w:szCs w:val="20"/>
              </w:rPr>
            </w:pPr>
            <w:r w:rsidRPr="001B1523">
              <w:rPr>
                <w:rFonts w:cs="Arial"/>
                <w:color w:val="000000"/>
                <w:sz w:val="20"/>
                <w:szCs w:val="20"/>
              </w:rPr>
              <w:t>48%</w:t>
            </w:r>
          </w:p>
        </w:tc>
        <w:tc>
          <w:tcPr>
            <w:tcW w:w="1179" w:type="dxa"/>
            <w:vAlign w:val="bottom"/>
          </w:tcPr>
          <w:p w14:paraId="54CDDD32" w14:textId="77777777" w:rsidR="00F93C08" w:rsidRPr="001B1523" w:rsidRDefault="00F93C08" w:rsidP="00C97C5B">
            <w:pPr>
              <w:spacing w:line="276" w:lineRule="auto"/>
              <w:rPr>
                <w:rFonts w:eastAsia="Yu Mincho" w:cs="Arial"/>
                <w:sz w:val="20"/>
                <w:szCs w:val="20"/>
              </w:rPr>
            </w:pPr>
            <w:r w:rsidRPr="001B1523">
              <w:rPr>
                <w:rFonts w:cs="Arial"/>
                <w:color w:val="000000"/>
                <w:sz w:val="20"/>
                <w:szCs w:val="20"/>
              </w:rPr>
              <w:t>0.719</w:t>
            </w:r>
          </w:p>
        </w:tc>
      </w:tr>
      <w:tr w:rsidR="00F93C08" w:rsidRPr="001B1523" w14:paraId="2AF3B442" w14:textId="77777777" w:rsidTr="00516A52">
        <w:trPr>
          <w:trHeight w:val="301"/>
        </w:trPr>
        <w:tc>
          <w:tcPr>
            <w:tcW w:w="3976" w:type="dxa"/>
            <w:noWrap/>
            <w:vAlign w:val="center"/>
          </w:tcPr>
          <w:p w14:paraId="6D51DDC1" w14:textId="77777777" w:rsidR="00F93C08" w:rsidRPr="001B1523" w:rsidRDefault="00F93C08" w:rsidP="00C97C5B">
            <w:pPr>
              <w:spacing w:line="276" w:lineRule="auto"/>
              <w:rPr>
                <w:rFonts w:eastAsia="Yu Mincho" w:cs="Arial"/>
                <w:sz w:val="20"/>
                <w:szCs w:val="20"/>
              </w:rPr>
            </w:pPr>
            <w:r w:rsidRPr="001B1523">
              <w:rPr>
                <w:rFonts w:eastAsia="Yu Mincho" w:cs="Arial"/>
                <w:sz w:val="20"/>
                <w:szCs w:val="20"/>
              </w:rPr>
              <w:t>EBV (% positive)</w:t>
            </w:r>
          </w:p>
        </w:tc>
        <w:tc>
          <w:tcPr>
            <w:tcW w:w="1619" w:type="dxa"/>
            <w:noWrap/>
            <w:vAlign w:val="bottom"/>
          </w:tcPr>
          <w:p w14:paraId="78B52820" w14:textId="77777777" w:rsidR="00F93C08" w:rsidRPr="001B1523" w:rsidRDefault="00F93C08" w:rsidP="00C97C5B">
            <w:pPr>
              <w:spacing w:line="276" w:lineRule="auto"/>
              <w:rPr>
                <w:rFonts w:eastAsia="Yu Mincho" w:cs="Arial"/>
                <w:sz w:val="20"/>
                <w:szCs w:val="20"/>
              </w:rPr>
            </w:pPr>
            <w:r w:rsidRPr="001B1523">
              <w:rPr>
                <w:rFonts w:cs="Arial"/>
                <w:color w:val="000000"/>
                <w:sz w:val="20"/>
                <w:szCs w:val="20"/>
              </w:rPr>
              <w:t>92%</w:t>
            </w:r>
          </w:p>
        </w:tc>
        <w:tc>
          <w:tcPr>
            <w:tcW w:w="1619" w:type="dxa"/>
            <w:noWrap/>
            <w:vAlign w:val="bottom"/>
          </w:tcPr>
          <w:p w14:paraId="58D14CEF" w14:textId="77777777" w:rsidR="00F93C08" w:rsidRPr="001B1523" w:rsidRDefault="00F93C08" w:rsidP="00C97C5B">
            <w:pPr>
              <w:spacing w:line="276" w:lineRule="auto"/>
              <w:rPr>
                <w:rFonts w:eastAsia="Yu Mincho" w:cs="Arial"/>
                <w:sz w:val="20"/>
                <w:szCs w:val="20"/>
              </w:rPr>
            </w:pPr>
            <w:r w:rsidRPr="001B1523">
              <w:rPr>
                <w:rFonts w:cs="Arial"/>
                <w:color w:val="000000"/>
                <w:sz w:val="20"/>
                <w:szCs w:val="20"/>
              </w:rPr>
              <w:t>85%</w:t>
            </w:r>
          </w:p>
        </w:tc>
        <w:tc>
          <w:tcPr>
            <w:tcW w:w="1179" w:type="dxa"/>
            <w:vAlign w:val="bottom"/>
          </w:tcPr>
          <w:p w14:paraId="708149A8" w14:textId="77777777" w:rsidR="00F93C08" w:rsidRPr="001B1523" w:rsidRDefault="00F93C08" w:rsidP="00C97C5B">
            <w:pPr>
              <w:spacing w:line="276" w:lineRule="auto"/>
              <w:rPr>
                <w:rFonts w:eastAsia="Yu Mincho" w:cs="Arial"/>
                <w:sz w:val="20"/>
                <w:szCs w:val="20"/>
              </w:rPr>
            </w:pPr>
            <w:r w:rsidRPr="001B1523">
              <w:rPr>
                <w:rFonts w:cs="Arial"/>
                <w:color w:val="000000"/>
                <w:sz w:val="20"/>
                <w:szCs w:val="20"/>
              </w:rPr>
              <w:t>0.267</w:t>
            </w:r>
          </w:p>
        </w:tc>
      </w:tr>
      <w:tr w:rsidR="00F93C08" w:rsidRPr="001B1523" w14:paraId="28AEC3C4" w14:textId="77777777" w:rsidTr="00516A52">
        <w:trPr>
          <w:trHeight w:val="301"/>
        </w:trPr>
        <w:tc>
          <w:tcPr>
            <w:tcW w:w="3976" w:type="dxa"/>
            <w:noWrap/>
            <w:vAlign w:val="center"/>
          </w:tcPr>
          <w:p w14:paraId="62571620" w14:textId="21574902" w:rsidR="00F93C08" w:rsidRPr="001B1523" w:rsidRDefault="00F93C08" w:rsidP="00C97C5B">
            <w:pPr>
              <w:spacing w:line="276" w:lineRule="auto"/>
              <w:rPr>
                <w:rFonts w:eastAsia="Yu Mincho" w:cs="Arial"/>
                <w:sz w:val="20"/>
                <w:szCs w:val="20"/>
              </w:rPr>
            </w:pPr>
            <w:r w:rsidRPr="001B1523">
              <w:rPr>
                <w:rFonts w:eastAsia="Yu Mincho" w:cs="Arial"/>
                <w:sz w:val="20"/>
                <w:szCs w:val="20"/>
              </w:rPr>
              <w:t>ACE-III</w:t>
            </w:r>
          </w:p>
        </w:tc>
        <w:tc>
          <w:tcPr>
            <w:tcW w:w="1619" w:type="dxa"/>
            <w:noWrap/>
            <w:vAlign w:val="bottom"/>
          </w:tcPr>
          <w:p w14:paraId="41F8B4C6" w14:textId="7A3291C1" w:rsidR="00F93C08" w:rsidRPr="001B1523" w:rsidRDefault="00F93C08" w:rsidP="00C97C5B">
            <w:pPr>
              <w:spacing w:line="276" w:lineRule="auto"/>
              <w:rPr>
                <w:rFonts w:eastAsia="Yu Mincho" w:cs="Arial"/>
                <w:sz w:val="20"/>
                <w:szCs w:val="20"/>
              </w:rPr>
            </w:pPr>
            <w:r w:rsidRPr="001B1523">
              <w:rPr>
                <w:rFonts w:eastAsia="Yu Mincho" w:cs="Arial"/>
                <w:sz w:val="20"/>
                <w:szCs w:val="20"/>
              </w:rPr>
              <w:t xml:space="preserve">94.1 </w:t>
            </w:r>
            <w:bookmarkStart w:id="3" w:name="OLE_LINK1"/>
            <w:r w:rsidR="001A781C" w:rsidRPr="001B1523">
              <w:rPr>
                <w:rFonts w:cs="Arial"/>
                <w:color w:val="000000"/>
                <w:sz w:val="20"/>
                <w:szCs w:val="20"/>
              </w:rPr>
              <w:t>(</w:t>
            </w:r>
            <w:r w:rsidRPr="001B1523">
              <w:rPr>
                <w:rFonts w:cs="Arial"/>
                <w:color w:val="000000"/>
                <w:sz w:val="20"/>
                <w:szCs w:val="20"/>
              </w:rPr>
              <w:t>7.4</w:t>
            </w:r>
            <w:bookmarkEnd w:id="3"/>
            <w:r w:rsidR="001A781C" w:rsidRPr="001B1523">
              <w:rPr>
                <w:rFonts w:cs="Arial"/>
                <w:color w:val="000000"/>
                <w:sz w:val="20"/>
                <w:szCs w:val="20"/>
              </w:rPr>
              <w:t>)</w:t>
            </w:r>
          </w:p>
        </w:tc>
        <w:tc>
          <w:tcPr>
            <w:tcW w:w="1619" w:type="dxa"/>
            <w:noWrap/>
            <w:vAlign w:val="bottom"/>
          </w:tcPr>
          <w:p w14:paraId="7D3BE006" w14:textId="7C93F4A3" w:rsidR="00F93C08" w:rsidRPr="001B1523" w:rsidRDefault="00F93C08" w:rsidP="00C97C5B">
            <w:pPr>
              <w:spacing w:line="276" w:lineRule="auto"/>
              <w:rPr>
                <w:rFonts w:eastAsia="Yu Mincho" w:cs="Arial"/>
                <w:sz w:val="20"/>
                <w:szCs w:val="20"/>
              </w:rPr>
            </w:pPr>
            <w:r w:rsidRPr="001B1523">
              <w:rPr>
                <w:rFonts w:eastAsia="Yu Mincho" w:cs="Arial"/>
                <w:sz w:val="20"/>
                <w:szCs w:val="20"/>
              </w:rPr>
              <w:t xml:space="preserve">93.0 </w:t>
            </w:r>
            <w:r w:rsidR="001A781C" w:rsidRPr="001B1523">
              <w:rPr>
                <w:rFonts w:cs="Arial"/>
                <w:color w:val="000000"/>
                <w:sz w:val="20"/>
                <w:szCs w:val="20"/>
              </w:rPr>
              <w:t>(</w:t>
            </w:r>
            <w:r w:rsidRPr="001B1523">
              <w:rPr>
                <w:rFonts w:cs="Arial"/>
                <w:color w:val="000000"/>
                <w:sz w:val="20"/>
                <w:szCs w:val="20"/>
              </w:rPr>
              <w:t>4.5</w:t>
            </w:r>
            <w:r w:rsidR="001A781C" w:rsidRPr="001B1523">
              <w:rPr>
                <w:rFonts w:cs="Arial"/>
                <w:color w:val="000000"/>
                <w:sz w:val="20"/>
                <w:szCs w:val="20"/>
              </w:rPr>
              <w:t>)</w:t>
            </w:r>
          </w:p>
        </w:tc>
        <w:tc>
          <w:tcPr>
            <w:tcW w:w="1179" w:type="dxa"/>
            <w:vAlign w:val="bottom"/>
          </w:tcPr>
          <w:p w14:paraId="7D0E4D0C" w14:textId="77777777" w:rsidR="00F93C08" w:rsidRPr="001B1523" w:rsidRDefault="00F93C08" w:rsidP="00C97C5B">
            <w:pPr>
              <w:spacing w:line="276" w:lineRule="auto"/>
              <w:rPr>
                <w:rFonts w:eastAsia="Yu Mincho" w:cs="Arial"/>
                <w:sz w:val="20"/>
                <w:szCs w:val="20"/>
              </w:rPr>
            </w:pPr>
            <w:r w:rsidRPr="001B1523">
              <w:rPr>
                <w:rFonts w:eastAsia="Yu Mincho" w:cs="Arial"/>
                <w:sz w:val="20"/>
                <w:szCs w:val="20"/>
              </w:rPr>
              <w:t>0.011*</w:t>
            </w:r>
          </w:p>
        </w:tc>
      </w:tr>
      <w:tr w:rsidR="00F93C08" w:rsidRPr="001B1523" w14:paraId="75292CEE" w14:textId="77777777" w:rsidTr="00516A52">
        <w:trPr>
          <w:trHeight w:val="301"/>
        </w:trPr>
        <w:tc>
          <w:tcPr>
            <w:tcW w:w="3976" w:type="dxa"/>
            <w:noWrap/>
            <w:vAlign w:val="center"/>
          </w:tcPr>
          <w:p w14:paraId="5398FA2A" w14:textId="77777777" w:rsidR="00F93C08" w:rsidRPr="001B1523" w:rsidRDefault="00F93C08" w:rsidP="00C97C5B">
            <w:pPr>
              <w:spacing w:line="276" w:lineRule="auto"/>
              <w:rPr>
                <w:rFonts w:eastAsia="Yu Mincho" w:cs="Arial"/>
                <w:sz w:val="20"/>
                <w:szCs w:val="20"/>
              </w:rPr>
            </w:pPr>
            <w:r w:rsidRPr="001B1523">
              <w:rPr>
                <w:rFonts w:eastAsia="Yu Mincho" w:cs="Arial"/>
                <w:sz w:val="20"/>
                <w:szCs w:val="20"/>
              </w:rPr>
              <w:t>Disease duration (years)</w:t>
            </w:r>
          </w:p>
        </w:tc>
        <w:tc>
          <w:tcPr>
            <w:tcW w:w="1619" w:type="dxa"/>
            <w:noWrap/>
            <w:vAlign w:val="bottom"/>
          </w:tcPr>
          <w:p w14:paraId="2EC1ED6F" w14:textId="77777777" w:rsidR="00F93C08" w:rsidRPr="001B1523" w:rsidRDefault="00F93C08" w:rsidP="00C97C5B">
            <w:pPr>
              <w:spacing w:line="276" w:lineRule="auto"/>
              <w:rPr>
                <w:rFonts w:eastAsia="Yu Mincho" w:cs="Arial"/>
                <w:sz w:val="20"/>
                <w:szCs w:val="20"/>
              </w:rPr>
            </w:pPr>
            <w:r w:rsidRPr="001B1523">
              <w:rPr>
                <w:rFonts w:cs="Arial"/>
                <w:color w:val="000000"/>
                <w:sz w:val="20"/>
                <w:szCs w:val="20"/>
              </w:rPr>
              <w:t>-</w:t>
            </w:r>
          </w:p>
        </w:tc>
        <w:tc>
          <w:tcPr>
            <w:tcW w:w="1619" w:type="dxa"/>
            <w:noWrap/>
            <w:vAlign w:val="bottom"/>
          </w:tcPr>
          <w:p w14:paraId="60BE7C6F" w14:textId="2F62261E" w:rsidR="00F93C08" w:rsidRPr="001B1523" w:rsidRDefault="00F93C08" w:rsidP="00C97C5B">
            <w:pPr>
              <w:spacing w:line="276" w:lineRule="auto"/>
              <w:rPr>
                <w:rFonts w:eastAsia="Yu Mincho" w:cs="Arial"/>
                <w:sz w:val="20"/>
                <w:szCs w:val="20"/>
              </w:rPr>
            </w:pPr>
            <w:r w:rsidRPr="001B1523">
              <w:rPr>
                <w:rFonts w:cs="Arial"/>
                <w:color w:val="000000"/>
                <w:sz w:val="20"/>
                <w:szCs w:val="20"/>
              </w:rPr>
              <w:t xml:space="preserve">0.97 </w:t>
            </w:r>
            <w:r w:rsidR="001A781C" w:rsidRPr="001B1523">
              <w:rPr>
                <w:rFonts w:cs="Arial"/>
                <w:color w:val="000000"/>
                <w:sz w:val="20"/>
                <w:szCs w:val="20"/>
              </w:rPr>
              <w:t>(</w:t>
            </w:r>
            <w:r w:rsidRPr="001B1523">
              <w:rPr>
                <w:rFonts w:cs="Arial"/>
                <w:color w:val="000000"/>
                <w:sz w:val="20"/>
                <w:szCs w:val="20"/>
              </w:rPr>
              <w:t>0.54</w:t>
            </w:r>
            <w:r w:rsidR="001A781C" w:rsidRPr="001B1523">
              <w:rPr>
                <w:rFonts w:cs="Arial"/>
                <w:color w:val="000000"/>
                <w:sz w:val="20"/>
                <w:szCs w:val="20"/>
              </w:rPr>
              <w:t>)</w:t>
            </w:r>
          </w:p>
        </w:tc>
        <w:tc>
          <w:tcPr>
            <w:tcW w:w="1179" w:type="dxa"/>
            <w:vAlign w:val="bottom"/>
          </w:tcPr>
          <w:p w14:paraId="06B8A89C" w14:textId="77777777" w:rsidR="00F93C08" w:rsidRPr="001B1523" w:rsidRDefault="00F93C08" w:rsidP="00C97C5B">
            <w:pPr>
              <w:spacing w:line="276" w:lineRule="auto"/>
              <w:rPr>
                <w:rFonts w:eastAsia="Yu Mincho" w:cs="Arial"/>
                <w:sz w:val="20"/>
                <w:szCs w:val="20"/>
              </w:rPr>
            </w:pPr>
            <w:r w:rsidRPr="001B1523">
              <w:rPr>
                <w:rFonts w:cs="Arial"/>
                <w:color w:val="000000"/>
                <w:sz w:val="20"/>
                <w:szCs w:val="20"/>
              </w:rPr>
              <w:t>-</w:t>
            </w:r>
          </w:p>
        </w:tc>
      </w:tr>
      <w:tr w:rsidR="00F93C08" w:rsidRPr="001B1523" w14:paraId="2CFE17A2" w14:textId="77777777" w:rsidTr="00516A52">
        <w:trPr>
          <w:trHeight w:val="301"/>
        </w:trPr>
        <w:tc>
          <w:tcPr>
            <w:tcW w:w="3976" w:type="dxa"/>
            <w:noWrap/>
            <w:vAlign w:val="center"/>
          </w:tcPr>
          <w:p w14:paraId="47AD9282" w14:textId="761A399C" w:rsidR="00F93C08" w:rsidRPr="001B1523" w:rsidRDefault="00F93C08" w:rsidP="002A5371">
            <w:pPr>
              <w:spacing w:line="276" w:lineRule="auto"/>
              <w:rPr>
                <w:rFonts w:eastAsia="Yu Mincho" w:cs="Arial"/>
                <w:sz w:val="20"/>
                <w:szCs w:val="20"/>
              </w:rPr>
            </w:pPr>
            <w:r w:rsidRPr="001B1523">
              <w:rPr>
                <w:rFonts w:eastAsia="Yu Mincho" w:cs="Arial"/>
                <w:sz w:val="20"/>
                <w:szCs w:val="20"/>
              </w:rPr>
              <w:t>MDS-UPDRS</w:t>
            </w:r>
            <w:r w:rsidR="002A5371" w:rsidRPr="001B1523">
              <w:rPr>
                <w:rFonts w:eastAsia="Yu Mincho" w:cs="Arial"/>
                <w:sz w:val="20"/>
                <w:szCs w:val="20"/>
              </w:rPr>
              <w:t>-</w:t>
            </w:r>
            <w:r w:rsidR="00144E68" w:rsidRPr="001B1523">
              <w:rPr>
                <w:rFonts w:eastAsia="Yu Mincho" w:cs="Arial"/>
                <w:sz w:val="20"/>
                <w:szCs w:val="20"/>
              </w:rPr>
              <w:t>III (</w:t>
            </w:r>
            <w:r w:rsidR="002A5371" w:rsidRPr="001B1523">
              <w:rPr>
                <w:rFonts w:eastAsia="Yu Mincho" w:cs="Arial"/>
                <w:sz w:val="20"/>
                <w:szCs w:val="20"/>
              </w:rPr>
              <w:t>motor score)</w:t>
            </w:r>
          </w:p>
        </w:tc>
        <w:tc>
          <w:tcPr>
            <w:tcW w:w="1619" w:type="dxa"/>
            <w:noWrap/>
            <w:vAlign w:val="bottom"/>
          </w:tcPr>
          <w:p w14:paraId="68DA5C5E" w14:textId="77777777" w:rsidR="00F93C08" w:rsidRPr="001B1523" w:rsidRDefault="00F93C08" w:rsidP="00C97C5B">
            <w:pPr>
              <w:spacing w:line="276" w:lineRule="auto"/>
              <w:rPr>
                <w:rFonts w:eastAsia="Yu Mincho" w:cs="Arial"/>
                <w:sz w:val="20"/>
                <w:szCs w:val="20"/>
              </w:rPr>
            </w:pPr>
            <w:r w:rsidRPr="001B1523">
              <w:rPr>
                <w:rFonts w:cs="Arial"/>
                <w:color w:val="000000"/>
                <w:sz w:val="20"/>
                <w:szCs w:val="20"/>
              </w:rPr>
              <w:t>-</w:t>
            </w:r>
          </w:p>
        </w:tc>
        <w:tc>
          <w:tcPr>
            <w:tcW w:w="1619" w:type="dxa"/>
            <w:noWrap/>
            <w:vAlign w:val="bottom"/>
          </w:tcPr>
          <w:p w14:paraId="1C166582" w14:textId="3C1BDE97" w:rsidR="00F93C08" w:rsidRPr="001B1523" w:rsidRDefault="00F93C08" w:rsidP="00C97C5B">
            <w:pPr>
              <w:spacing w:line="276" w:lineRule="auto"/>
              <w:rPr>
                <w:rFonts w:eastAsia="Yu Mincho" w:cs="Arial"/>
                <w:sz w:val="20"/>
                <w:szCs w:val="20"/>
              </w:rPr>
            </w:pPr>
            <w:r w:rsidRPr="001B1523">
              <w:rPr>
                <w:rFonts w:cs="Arial"/>
                <w:color w:val="000000"/>
                <w:sz w:val="20"/>
                <w:szCs w:val="20"/>
              </w:rPr>
              <w:t xml:space="preserve">27.8 </w:t>
            </w:r>
            <w:r w:rsidR="001A781C" w:rsidRPr="001B1523">
              <w:rPr>
                <w:rFonts w:cs="Arial"/>
                <w:color w:val="000000"/>
                <w:sz w:val="20"/>
                <w:szCs w:val="20"/>
              </w:rPr>
              <w:t>(</w:t>
            </w:r>
            <w:r w:rsidRPr="001B1523">
              <w:rPr>
                <w:rFonts w:cs="Arial"/>
                <w:color w:val="000000"/>
                <w:sz w:val="20"/>
                <w:szCs w:val="20"/>
              </w:rPr>
              <w:t>10.3</w:t>
            </w:r>
            <w:r w:rsidR="001A781C" w:rsidRPr="001B1523">
              <w:rPr>
                <w:rFonts w:cs="Arial"/>
                <w:color w:val="000000"/>
                <w:sz w:val="20"/>
                <w:szCs w:val="20"/>
              </w:rPr>
              <w:t>)</w:t>
            </w:r>
          </w:p>
        </w:tc>
        <w:tc>
          <w:tcPr>
            <w:tcW w:w="1179" w:type="dxa"/>
            <w:vAlign w:val="bottom"/>
          </w:tcPr>
          <w:p w14:paraId="2240DA29" w14:textId="77777777" w:rsidR="00F93C08" w:rsidRPr="001B1523" w:rsidRDefault="00F93C08" w:rsidP="00C97C5B">
            <w:pPr>
              <w:spacing w:line="276" w:lineRule="auto"/>
              <w:rPr>
                <w:rFonts w:eastAsia="Yu Mincho" w:cs="Arial"/>
                <w:sz w:val="20"/>
                <w:szCs w:val="20"/>
              </w:rPr>
            </w:pPr>
            <w:r w:rsidRPr="001B1523">
              <w:rPr>
                <w:rFonts w:cs="Arial"/>
                <w:color w:val="000000"/>
                <w:sz w:val="20"/>
                <w:szCs w:val="20"/>
              </w:rPr>
              <w:t>-</w:t>
            </w:r>
          </w:p>
        </w:tc>
      </w:tr>
      <w:tr w:rsidR="00F93C08" w:rsidRPr="001B1523" w14:paraId="4E6F9565" w14:textId="77777777" w:rsidTr="00516A52">
        <w:trPr>
          <w:trHeight w:val="301"/>
        </w:trPr>
        <w:tc>
          <w:tcPr>
            <w:tcW w:w="3976" w:type="dxa"/>
            <w:tcBorders>
              <w:top w:val="nil"/>
              <w:left w:val="nil"/>
              <w:right w:val="nil"/>
            </w:tcBorders>
            <w:noWrap/>
            <w:vAlign w:val="center"/>
            <w:hideMark/>
          </w:tcPr>
          <w:p w14:paraId="2ADD794B" w14:textId="712ABAC6" w:rsidR="00F93C08" w:rsidRPr="001B1523" w:rsidRDefault="00F93C08" w:rsidP="002A5371">
            <w:pPr>
              <w:spacing w:line="276" w:lineRule="auto"/>
              <w:rPr>
                <w:rFonts w:eastAsia="Yu Mincho" w:cs="Arial"/>
                <w:sz w:val="20"/>
                <w:szCs w:val="20"/>
              </w:rPr>
            </w:pPr>
            <w:r w:rsidRPr="001B1523">
              <w:rPr>
                <w:rFonts w:eastAsia="Yu Mincho" w:cs="Arial"/>
                <w:sz w:val="20"/>
                <w:szCs w:val="20"/>
              </w:rPr>
              <w:t>MDS-UPDRS total</w:t>
            </w:r>
          </w:p>
        </w:tc>
        <w:tc>
          <w:tcPr>
            <w:tcW w:w="1619" w:type="dxa"/>
            <w:tcBorders>
              <w:top w:val="nil"/>
              <w:left w:val="nil"/>
              <w:right w:val="nil"/>
            </w:tcBorders>
            <w:noWrap/>
            <w:vAlign w:val="bottom"/>
          </w:tcPr>
          <w:p w14:paraId="0D830B1D" w14:textId="77777777" w:rsidR="00F93C08" w:rsidRPr="001B1523" w:rsidRDefault="00F93C08" w:rsidP="00C97C5B">
            <w:pPr>
              <w:spacing w:line="276" w:lineRule="auto"/>
              <w:rPr>
                <w:rFonts w:eastAsia="Yu Mincho" w:cs="Arial"/>
                <w:sz w:val="20"/>
                <w:szCs w:val="20"/>
              </w:rPr>
            </w:pPr>
            <w:r w:rsidRPr="001B1523">
              <w:rPr>
                <w:rFonts w:cs="Arial"/>
                <w:color w:val="000000"/>
                <w:sz w:val="20"/>
                <w:szCs w:val="20"/>
              </w:rPr>
              <w:t>-</w:t>
            </w:r>
          </w:p>
        </w:tc>
        <w:tc>
          <w:tcPr>
            <w:tcW w:w="1619" w:type="dxa"/>
            <w:tcBorders>
              <w:top w:val="nil"/>
              <w:left w:val="nil"/>
              <w:right w:val="nil"/>
            </w:tcBorders>
            <w:noWrap/>
            <w:vAlign w:val="bottom"/>
          </w:tcPr>
          <w:p w14:paraId="774E1B58" w14:textId="5600C5BD" w:rsidR="00F93C08" w:rsidRPr="001B1523" w:rsidRDefault="00F93C08" w:rsidP="00C97C5B">
            <w:pPr>
              <w:spacing w:line="276" w:lineRule="auto"/>
              <w:rPr>
                <w:rFonts w:eastAsia="Yu Mincho" w:cs="Arial"/>
                <w:sz w:val="20"/>
                <w:szCs w:val="20"/>
              </w:rPr>
            </w:pPr>
            <w:r w:rsidRPr="001B1523">
              <w:rPr>
                <w:rFonts w:cs="Arial"/>
                <w:color w:val="000000"/>
                <w:sz w:val="20"/>
                <w:szCs w:val="20"/>
              </w:rPr>
              <w:t xml:space="preserve">47.4 </w:t>
            </w:r>
            <w:r w:rsidR="001A781C" w:rsidRPr="001B1523">
              <w:rPr>
                <w:rFonts w:cs="Arial"/>
                <w:color w:val="000000"/>
                <w:sz w:val="20"/>
                <w:szCs w:val="20"/>
              </w:rPr>
              <w:t>(</w:t>
            </w:r>
            <w:r w:rsidRPr="001B1523">
              <w:rPr>
                <w:rFonts w:cs="Arial"/>
                <w:color w:val="000000"/>
                <w:sz w:val="20"/>
                <w:szCs w:val="20"/>
              </w:rPr>
              <w:t>15.1</w:t>
            </w:r>
            <w:r w:rsidR="001A781C" w:rsidRPr="001B1523">
              <w:rPr>
                <w:rFonts w:cs="Arial"/>
                <w:color w:val="000000"/>
                <w:sz w:val="20"/>
                <w:szCs w:val="20"/>
              </w:rPr>
              <w:t>)</w:t>
            </w:r>
          </w:p>
        </w:tc>
        <w:tc>
          <w:tcPr>
            <w:tcW w:w="1179" w:type="dxa"/>
            <w:tcBorders>
              <w:top w:val="nil"/>
              <w:left w:val="nil"/>
              <w:right w:val="nil"/>
            </w:tcBorders>
            <w:vAlign w:val="bottom"/>
          </w:tcPr>
          <w:p w14:paraId="0A7BE792" w14:textId="77777777" w:rsidR="00F93C08" w:rsidRPr="001B1523" w:rsidRDefault="00F93C08" w:rsidP="00C97C5B">
            <w:pPr>
              <w:spacing w:line="276" w:lineRule="auto"/>
              <w:rPr>
                <w:rFonts w:eastAsia="Yu Mincho" w:cs="Arial"/>
                <w:sz w:val="20"/>
                <w:szCs w:val="20"/>
              </w:rPr>
            </w:pPr>
            <w:r w:rsidRPr="001B1523">
              <w:rPr>
                <w:rFonts w:cs="Arial"/>
                <w:color w:val="000000"/>
                <w:sz w:val="20"/>
                <w:szCs w:val="20"/>
              </w:rPr>
              <w:t>-</w:t>
            </w:r>
          </w:p>
        </w:tc>
      </w:tr>
      <w:tr w:rsidR="00F93C08" w:rsidRPr="001B1523" w14:paraId="209642E4" w14:textId="77777777" w:rsidTr="00516A52">
        <w:trPr>
          <w:trHeight w:val="301"/>
        </w:trPr>
        <w:tc>
          <w:tcPr>
            <w:tcW w:w="3976" w:type="dxa"/>
            <w:tcBorders>
              <w:left w:val="nil"/>
              <w:bottom w:val="single" w:sz="12" w:space="0" w:color="auto"/>
              <w:right w:val="nil"/>
            </w:tcBorders>
            <w:noWrap/>
            <w:vAlign w:val="center"/>
          </w:tcPr>
          <w:p w14:paraId="29C316DD" w14:textId="77777777" w:rsidR="00F93C08" w:rsidRPr="001B1523" w:rsidRDefault="00F93C08" w:rsidP="00C97C5B">
            <w:pPr>
              <w:spacing w:line="276" w:lineRule="auto"/>
              <w:rPr>
                <w:rFonts w:eastAsia="Yu Mincho" w:cs="Arial"/>
                <w:sz w:val="20"/>
                <w:szCs w:val="20"/>
              </w:rPr>
            </w:pPr>
            <w:r w:rsidRPr="001B1523">
              <w:rPr>
                <w:rFonts w:eastAsia="Yu Mincho" w:cs="Arial"/>
                <w:sz w:val="20"/>
                <w:szCs w:val="20"/>
              </w:rPr>
              <w:t>Levodopa equivalent daily dose (LEDD)</w:t>
            </w:r>
          </w:p>
        </w:tc>
        <w:tc>
          <w:tcPr>
            <w:tcW w:w="1619" w:type="dxa"/>
            <w:tcBorders>
              <w:left w:val="nil"/>
              <w:bottom w:val="single" w:sz="12" w:space="0" w:color="auto"/>
              <w:right w:val="nil"/>
            </w:tcBorders>
            <w:noWrap/>
            <w:vAlign w:val="bottom"/>
          </w:tcPr>
          <w:p w14:paraId="3C50E797" w14:textId="77777777" w:rsidR="00F93C08" w:rsidRPr="001B1523" w:rsidRDefault="00F93C08" w:rsidP="00C97C5B">
            <w:pPr>
              <w:spacing w:line="276" w:lineRule="auto"/>
              <w:rPr>
                <w:rFonts w:cs="Arial"/>
                <w:color w:val="000000"/>
                <w:sz w:val="20"/>
                <w:szCs w:val="20"/>
              </w:rPr>
            </w:pPr>
            <w:r w:rsidRPr="001B1523">
              <w:rPr>
                <w:rFonts w:cs="Arial"/>
                <w:color w:val="000000"/>
                <w:sz w:val="20"/>
                <w:szCs w:val="20"/>
              </w:rPr>
              <w:t>-</w:t>
            </w:r>
          </w:p>
        </w:tc>
        <w:tc>
          <w:tcPr>
            <w:tcW w:w="1619" w:type="dxa"/>
            <w:tcBorders>
              <w:left w:val="nil"/>
              <w:bottom w:val="single" w:sz="12" w:space="0" w:color="auto"/>
              <w:right w:val="nil"/>
            </w:tcBorders>
            <w:noWrap/>
            <w:vAlign w:val="bottom"/>
          </w:tcPr>
          <w:p w14:paraId="06D15464" w14:textId="50BBBF53" w:rsidR="00F93C08" w:rsidRPr="001B1523" w:rsidRDefault="00F93C08" w:rsidP="00C97C5B">
            <w:pPr>
              <w:spacing w:line="276" w:lineRule="auto"/>
              <w:rPr>
                <w:rFonts w:cs="Arial"/>
                <w:color w:val="000000"/>
                <w:sz w:val="20"/>
                <w:szCs w:val="20"/>
              </w:rPr>
            </w:pPr>
            <w:r w:rsidRPr="001B1523">
              <w:rPr>
                <w:rFonts w:cs="Arial"/>
                <w:color w:val="000000"/>
                <w:sz w:val="20"/>
                <w:szCs w:val="20"/>
              </w:rPr>
              <w:t xml:space="preserve">290 </w:t>
            </w:r>
            <w:r w:rsidR="001A781C" w:rsidRPr="001B1523">
              <w:rPr>
                <w:rFonts w:cs="Arial"/>
                <w:color w:val="000000"/>
                <w:sz w:val="20"/>
                <w:szCs w:val="20"/>
              </w:rPr>
              <w:t>(</w:t>
            </w:r>
            <w:r w:rsidRPr="001B1523">
              <w:rPr>
                <w:rFonts w:cs="Arial"/>
                <w:color w:val="000000"/>
                <w:sz w:val="20"/>
                <w:szCs w:val="20"/>
              </w:rPr>
              <w:t>16</w:t>
            </w:r>
            <w:r w:rsidR="00B85A25" w:rsidRPr="001B1523">
              <w:rPr>
                <w:rFonts w:cs="Arial"/>
                <w:color w:val="000000"/>
                <w:sz w:val="20"/>
                <w:szCs w:val="20"/>
              </w:rPr>
              <w:t>3.5</w:t>
            </w:r>
            <w:r w:rsidR="001A781C" w:rsidRPr="001B1523">
              <w:rPr>
                <w:rFonts w:cs="Arial"/>
                <w:color w:val="000000"/>
                <w:sz w:val="20"/>
                <w:szCs w:val="20"/>
              </w:rPr>
              <w:t>)</w:t>
            </w:r>
          </w:p>
        </w:tc>
        <w:tc>
          <w:tcPr>
            <w:tcW w:w="1179" w:type="dxa"/>
            <w:tcBorders>
              <w:left w:val="nil"/>
              <w:bottom w:val="single" w:sz="12" w:space="0" w:color="auto"/>
              <w:right w:val="nil"/>
            </w:tcBorders>
            <w:vAlign w:val="bottom"/>
          </w:tcPr>
          <w:p w14:paraId="279F2D36" w14:textId="77777777" w:rsidR="00F93C08" w:rsidRPr="001B1523" w:rsidRDefault="00F93C08" w:rsidP="00C97C5B">
            <w:pPr>
              <w:spacing w:line="276" w:lineRule="auto"/>
              <w:rPr>
                <w:rFonts w:cs="Arial"/>
                <w:color w:val="000000"/>
                <w:sz w:val="20"/>
                <w:szCs w:val="20"/>
              </w:rPr>
            </w:pPr>
            <w:r w:rsidRPr="001B1523">
              <w:rPr>
                <w:rFonts w:cs="Arial"/>
                <w:color w:val="000000"/>
                <w:sz w:val="20"/>
                <w:szCs w:val="20"/>
              </w:rPr>
              <w:t>-</w:t>
            </w:r>
          </w:p>
        </w:tc>
      </w:tr>
      <w:tr w:rsidR="00F93C08" w:rsidRPr="001B1523" w14:paraId="35509CC8" w14:textId="77777777" w:rsidTr="00254830">
        <w:trPr>
          <w:trHeight w:val="217"/>
        </w:trPr>
        <w:tc>
          <w:tcPr>
            <w:tcW w:w="8393" w:type="dxa"/>
            <w:gridSpan w:val="4"/>
            <w:tcBorders>
              <w:top w:val="single" w:sz="12" w:space="0" w:color="auto"/>
              <w:left w:val="nil"/>
              <w:bottom w:val="nil"/>
              <w:right w:val="nil"/>
            </w:tcBorders>
          </w:tcPr>
          <w:p w14:paraId="3F90E93D" w14:textId="6B5B27A2" w:rsidR="00F93C08" w:rsidRPr="001B1523" w:rsidRDefault="00CF38D6" w:rsidP="002A5371">
            <w:pPr>
              <w:spacing w:line="276" w:lineRule="auto"/>
              <w:rPr>
                <w:rFonts w:eastAsia="Yu Mincho" w:cs="Arial"/>
                <w:sz w:val="20"/>
                <w:szCs w:val="20"/>
              </w:rPr>
            </w:pPr>
            <w:r w:rsidRPr="001B1523">
              <w:rPr>
                <w:rFonts w:eastAsia="Yu Mincho" w:cs="Arial"/>
                <w:sz w:val="18"/>
                <w:szCs w:val="18"/>
              </w:rPr>
              <w:t>CMV:</w:t>
            </w:r>
            <w:r w:rsidR="00B86081" w:rsidRPr="001B1523">
              <w:rPr>
                <w:rFonts w:eastAsia="Yu Mincho" w:cs="Arial"/>
                <w:sz w:val="18"/>
                <w:szCs w:val="18"/>
              </w:rPr>
              <w:t xml:space="preserve"> </w:t>
            </w:r>
            <w:r w:rsidRPr="001B1523">
              <w:rPr>
                <w:rFonts w:eastAsia="Yu Mincho" w:cs="Arial"/>
                <w:sz w:val="18"/>
                <w:szCs w:val="18"/>
              </w:rPr>
              <w:t>Cytomegalovirus, EBV: Epstein–Barr virus, ACE-I</w:t>
            </w:r>
            <w:r w:rsidR="00453C5D" w:rsidRPr="001B1523">
              <w:rPr>
                <w:rFonts w:eastAsia="Yu Mincho" w:cs="Arial"/>
                <w:sz w:val="18"/>
                <w:szCs w:val="18"/>
              </w:rPr>
              <w:t>I</w:t>
            </w:r>
            <w:r w:rsidRPr="001B1523">
              <w:rPr>
                <w:rFonts w:eastAsia="Yu Mincho" w:cs="Arial"/>
                <w:sz w:val="18"/>
                <w:szCs w:val="18"/>
              </w:rPr>
              <w:t xml:space="preserve">I: Addenbrooke’s cognitive examination III, MDS-UPDRS: Movement </w:t>
            </w:r>
            <w:r w:rsidR="002A5371" w:rsidRPr="001B1523">
              <w:rPr>
                <w:rFonts w:eastAsia="Yu Mincho" w:cs="Arial"/>
                <w:sz w:val="18"/>
                <w:szCs w:val="18"/>
              </w:rPr>
              <w:t>D</w:t>
            </w:r>
            <w:r w:rsidRPr="001B1523">
              <w:rPr>
                <w:rFonts w:eastAsia="Yu Mincho" w:cs="Arial"/>
                <w:sz w:val="18"/>
                <w:szCs w:val="18"/>
              </w:rPr>
              <w:t xml:space="preserve">isorder </w:t>
            </w:r>
            <w:r w:rsidR="002A5371" w:rsidRPr="001B1523">
              <w:rPr>
                <w:rFonts w:eastAsia="Yu Mincho" w:cs="Arial"/>
                <w:sz w:val="18"/>
                <w:szCs w:val="18"/>
              </w:rPr>
              <w:t>S</w:t>
            </w:r>
            <w:r w:rsidRPr="001B1523">
              <w:rPr>
                <w:rFonts w:eastAsia="Yu Mincho" w:cs="Arial"/>
                <w:sz w:val="18"/>
                <w:szCs w:val="18"/>
              </w:rPr>
              <w:t>ociety - Unified Parkinson’s Disease Rating Scale</w:t>
            </w:r>
            <w:r w:rsidR="002A5371" w:rsidRPr="001B1523">
              <w:rPr>
                <w:rFonts w:eastAsia="Yu Mincho" w:cs="Arial"/>
                <w:sz w:val="18"/>
                <w:szCs w:val="18"/>
              </w:rPr>
              <w:t xml:space="preserve"> (measured on medication)</w:t>
            </w:r>
            <w:r w:rsidRPr="001B1523">
              <w:rPr>
                <w:rFonts w:eastAsia="Yu Mincho" w:cs="Arial"/>
                <w:sz w:val="18"/>
                <w:szCs w:val="18"/>
              </w:rPr>
              <w:t xml:space="preserve">. </w:t>
            </w:r>
            <w:r w:rsidR="00F93C08" w:rsidRPr="001B1523">
              <w:rPr>
                <w:rFonts w:eastAsia="Yu Mincho" w:cs="Arial"/>
                <w:sz w:val="18"/>
                <w:szCs w:val="18"/>
              </w:rPr>
              <w:t>ACE-III was done in</w:t>
            </w:r>
            <w:r w:rsidR="00954B58" w:rsidRPr="001B1523">
              <w:rPr>
                <w:rFonts w:eastAsia="Yu Mincho" w:cs="Arial"/>
                <w:sz w:val="18"/>
                <w:szCs w:val="18"/>
              </w:rPr>
              <w:t xml:space="preserve"> all PD patients and</w:t>
            </w:r>
            <w:r w:rsidR="00F93C08" w:rsidRPr="001B1523">
              <w:rPr>
                <w:rFonts w:eastAsia="Yu Mincho" w:cs="Arial"/>
                <w:sz w:val="18"/>
                <w:szCs w:val="18"/>
              </w:rPr>
              <w:t xml:space="preserve"> a subset of 41 controls. The values represent the mean </w:t>
            </w:r>
            <w:r w:rsidR="00F83902" w:rsidRPr="001B1523">
              <w:rPr>
                <w:rFonts w:eastAsia="Yu Mincho" w:cs="Arial"/>
                <w:sz w:val="18"/>
                <w:szCs w:val="18"/>
              </w:rPr>
              <w:t>(</w:t>
            </w:r>
            <w:r w:rsidR="00F93C08" w:rsidRPr="001B1523">
              <w:rPr>
                <w:rFonts w:eastAsia="Yu Mincho" w:cs="Arial"/>
                <w:sz w:val="18"/>
                <w:szCs w:val="18"/>
              </w:rPr>
              <w:t>SD</w:t>
            </w:r>
            <w:r w:rsidR="00F83902" w:rsidRPr="001B1523">
              <w:rPr>
                <w:rFonts w:eastAsia="Yu Mincho" w:cs="Arial"/>
                <w:sz w:val="18"/>
                <w:szCs w:val="18"/>
              </w:rPr>
              <w:t>)</w:t>
            </w:r>
            <w:r w:rsidR="00F93C08" w:rsidRPr="001B1523">
              <w:rPr>
                <w:rFonts w:eastAsia="Yu Mincho" w:cs="Arial"/>
                <w:sz w:val="18"/>
                <w:szCs w:val="18"/>
              </w:rPr>
              <w:t xml:space="preserve">; </w:t>
            </w:r>
            <w:r w:rsidR="001A781C" w:rsidRPr="001B1523">
              <w:rPr>
                <w:rFonts w:eastAsia="Yu Mincho" w:cs="Arial"/>
                <w:sz w:val="18"/>
                <w:szCs w:val="18"/>
              </w:rPr>
              <w:t>*</w:t>
            </w:r>
            <w:r w:rsidR="00F93C08" w:rsidRPr="001B1523">
              <w:rPr>
                <w:rFonts w:eastAsia="Yu Mincho" w:cs="Arial"/>
                <w:i/>
                <w:iCs/>
                <w:sz w:val="18"/>
                <w:szCs w:val="18"/>
              </w:rPr>
              <w:t>p</w:t>
            </w:r>
            <w:r w:rsidR="00F93C08" w:rsidRPr="001B1523">
              <w:rPr>
                <w:rFonts w:eastAsia="Yu Mincho" w:cs="Arial"/>
                <w:sz w:val="18"/>
                <w:szCs w:val="18"/>
              </w:rPr>
              <w:t>&lt;0.05</w:t>
            </w:r>
            <w:r w:rsidR="00F93C08" w:rsidRPr="001B1523">
              <w:rPr>
                <w:rFonts w:eastAsia="Yu Mincho" w:cs="Arial"/>
                <w:sz w:val="20"/>
                <w:szCs w:val="20"/>
              </w:rPr>
              <w:t>.</w:t>
            </w:r>
          </w:p>
        </w:tc>
      </w:tr>
    </w:tbl>
    <w:p w14:paraId="7866BF8D" w14:textId="1B1D88A2" w:rsidR="002741B7" w:rsidRPr="001B1523" w:rsidRDefault="002741B7" w:rsidP="004A0FA8">
      <w:pPr>
        <w:rPr>
          <w:rFonts w:cs="Arial"/>
          <w:color w:val="000000"/>
        </w:rPr>
      </w:pPr>
    </w:p>
    <w:p w14:paraId="3D8434A8" w14:textId="77777777" w:rsidR="00C75265" w:rsidRPr="001B1523" w:rsidRDefault="00C75265" w:rsidP="004A0FA8">
      <w:pPr>
        <w:rPr>
          <w:rFonts w:cs="Arial"/>
          <w:color w:val="000000"/>
        </w:rPr>
      </w:pPr>
    </w:p>
    <w:p w14:paraId="74AD085F" w14:textId="0764EAA8" w:rsidR="0004680C" w:rsidRPr="001B1523" w:rsidRDefault="0004680C" w:rsidP="00AC4E9D">
      <w:pPr>
        <w:pStyle w:val="Heading2"/>
        <w:spacing w:line="480" w:lineRule="auto"/>
      </w:pPr>
      <w:r w:rsidRPr="001B1523">
        <w:t>Reduction in total lymphocytes</w:t>
      </w:r>
      <w:r w:rsidR="00B2528B" w:rsidRPr="001B1523">
        <w:t xml:space="preserve">, cytotoxic </w:t>
      </w:r>
      <w:r w:rsidRPr="001B1523">
        <w:t>CD8</w:t>
      </w:r>
      <w:r w:rsidR="00D47B4A" w:rsidRPr="001B1523">
        <w:rPr>
          <w:vertAlign w:val="superscript"/>
        </w:rPr>
        <w:t>+</w:t>
      </w:r>
      <w:r w:rsidRPr="001B1523">
        <w:t xml:space="preserve"> T cell</w:t>
      </w:r>
      <w:r w:rsidR="00B2528B" w:rsidRPr="001B1523">
        <w:t>s and CD8</w:t>
      </w:r>
      <w:r w:rsidR="00C75265" w:rsidRPr="001B1523">
        <w:rPr>
          <w:vertAlign w:val="superscript"/>
        </w:rPr>
        <w:t>+</w:t>
      </w:r>
      <w:r w:rsidR="00B2528B" w:rsidRPr="001B1523">
        <w:t xml:space="preserve"> TEMRA cells </w:t>
      </w:r>
      <w:r w:rsidRPr="001B1523">
        <w:t xml:space="preserve">in PD patients compared to </w:t>
      </w:r>
      <w:r w:rsidR="00071406" w:rsidRPr="001B1523">
        <w:t>controls</w:t>
      </w:r>
    </w:p>
    <w:p w14:paraId="0C628A24" w14:textId="77777777" w:rsidR="006427E0" w:rsidRPr="001B1523" w:rsidRDefault="006427E0" w:rsidP="00AC4E9D">
      <w:pPr>
        <w:spacing w:line="480" w:lineRule="auto"/>
        <w:rPr>
          <w:sz w:val="24"/>
          <w:szCs w:val="24"/>
        </w:rPr>
      </w:pPr>
    </w:p>
    <w:p w14:paraId="2CE47431" w14:textId="1122FCAB" w:rsidR="00516A52" w:rsidRPr="001B1523" w:rsidRDefault="00582D74" w:rsidP="00AC4E9D">
      <w:pPr>
        <w:spacing w:line="480" w:lineRule="auto"/>
        <w:rPr>
          <w:sz w:val="24"/>
          <w:szCs w:val="24"/>
        </w:rPr>
      </w:pPr>
      <w:r w:rsidRPr="001B1523">
        <w:rPr>
          <w:sz w:val="24"/>
          <w:szCs w:val="24"/>
        </w:rPr>
        <w:t>Full</w:t>
      </w:r>
      <w:r w:rsidR="009F1967" w:rsidRPr="001B1523">
        <w:rPr>
          <w:sz w:val="24"/>
          <w:szCs w:val="24"/>
        </w:rPr>
        <w:t xml:space="preserve"> blood count</w:t>
      </w:r>
      <w:r w:rsidRPr="001B1523">
        <w:rPr>
          <w:sz w:val="24"/>
          <w:szCs w:val="24"/>
        </w:rPr>
        <w:t xml:space="preserve"> analysis </w:t>
      </w:r>
      <w:r w:rsidR="009F1967" w:rsidRPr="001B1523">
        <w:rPr>
          <w:sz w:val="24"/>
          <w:szCs w:val="24"/>
        </w:rPr>
        <w:t>revealed a significant reduction in the total number of</w:t>
      </w:r>
      <w:r w:rsidR="006427E0" w:rsidRPr="001B1523">
        <w:rPr>
          <w:sz w:val="24"/>
          <w:szCs w:val="24"/>
        </w:rPr>
        <w:t xml:space="preserve"> lymphocytes</w:t>
      </w:r>
      <w:r w:rsidR="009F1967" w:rsidRPr="001B1523">
        <w:rPr>
          <w:sz w:val="24"/>
          <w:szCs w:val="24"/>
        </w:rPr>
        <w:t xml:space="preserve"> in</w:t>
      </w:r>
      <w:r w:rsidR="006427E0" w:rsidRPr="001B1523">
        <w:rPr>
          <w:sz w:val="24"/>
          <w:szCs w:val="24"/>
        </w:rPr>
        <w:t xml:space="preserve"> PD patients compared to healthy controls (</w:t>
      </w:r>
      <w:r w:rsidR="006427E0" w:rsidRPr="001B1523">
        <w:rPr>
          <w:i/>
          <w:iCs/>
          <w:sz w:val="24"/>
          <w:szCs w:val="24"/>
        </w:rPr>
        <w:t>p</w:t>
      </w:r>
      <w:r w:rsidR="006427E0" w:rsidRPr="001B1523">
        <w:rPr>
          <w:sz w:val="24"/>
          <w:szCs w:val="24"/>
        </w:rPr>
        <w:t>=0.</w:t>
      </w:r>
      <w:r w:rsidR="009F1967" w:rsidRPr="001B1523">
        <w:rPr>
          <w:sz w:val="24"/>
          <w:szCs w:val="24"/>
        </w:rPr>
        <w:t>043</w:t>
      </w:r>
      <w:r w:rsidR="006427E0" w:rsidRPr="001B1523">
        <w:rPr>
          <w:sz w:val="24"/>
          <w:szCs w:val="24"/>
        </w:rPr>
        <w:t>), as has been previously reported</w:t>
      </w:r>
      <w:r w:rsidR="004B1123" w:rsidRPr="001B1523">
        <w:rPr>
          <w:sz w:val="24"/>
          <w:szCs w:val="24"/>
        </w:rPr>
        <w:t xml:space="preserve"> </w:t>
      </w:r>
      <w:r w:rsidR="004B1123" w:rsidRPr="001B1523">
        <w:rPr>
          <w:sz w:val="24"/>
          <w:szCs w:val="24"/>
        </w:rPr>
        <w:fldChar w:fldCharType="begin"/>
      </w:r>
      <w:r w:rsidR="00CE3D6F" w:rsidRPr="001B1523">
        <w:rPr>
          <w:sz w:val="24"/>
          <w:szCs w:val="24"/>
        </w:rPr>
        <w:instrText xml:space="preserve"> ADDIN ZOTERO_ITEM CSL_CITATION {"citationID":"t4iaoXf5","properties":{"formattedCitation":"[34]","plainCitation":"[34]","noteIndex":0},"citationItems":[{"id":10977,"uris":["http://zotero.org/users/2272275/items/MGBA5TF8"],"uri":["http://zotero.org/users/2272275/items/MGBA5TF8"],"itemData":{"id":10977,"type":"article-journal","abstract":"Objectives Patients with established Parkinson's disease (PD) display differences in peripheral blood markers of immune function, including leukocyte differential counts, compared with controls. These differences may be useful biomarkers to predict PD and may shed light on pathogenesis. We sought to identify whether peripheral immune dysregulation was associated with increased risk of subsequent PD diagnosis. Methods We examined the relationship between incident PD, baseline differential leukocyte count and other blood markers of acute inflammation in UK Biobank (UKB), a longitudinal cohort with 500,000 participants. We used a range of sensitivity analyses and Mendelian randomization (MR) to further explore the nature of associations. Results After excluding individuals with comorbidities which could influence biomarkers of inflammation, 465 incident PD cases and 312,125 controls remained. Lower lymphocyte count was associated with increased risk of subsequent PD diagnosis (per 1-SD decrease in lymphocyte count odds ratio [OR] = 1.18, 95% confidence interval [CI] = 1.07–1.32, padjusted = 0.01). There was some evidence that reductions in eosinophil counts, monocyte counts and C-reactive protein (CRP) were associated with increased PD risk, and that higher neutrophil count was also associated. Only the association between lower lymphocyte count and increased PD risk remained robust to sensitivity analyses. MR suggested that the effect of lower lymphocyte count on PD risk may be causal (per 1-SD decrease in lymphocyte count; ORMR = 1.09, 95% CI = 1.01–1.18, p = 0.02). Interpretation We provide converging evidence from observational analyses in UKB and MR that lower lymphocyte count is associated with an increased risk of subsequent PD. ANN NEUROL 2021;89:803–812","container-title":"Annals of Neurology","DOI":"https://doi.org/10.1002/ana.26034","ISSN":"1531-8249","issue":"4","language":"en","note":"_eprint: https://onlinelibrary.wiley.com/doi/pdf/10.1002/ana.26034","page":"803-812","source":"Wiley Online Library","title":"Lower Lymphocyte Count is Associated With Increased Risk of Parkinson's Disease","volume":"89","author":[{"family":"Jensen","given":"Melanie P."},{"family":</w:instrText>
      </w:r>
      <w:r w:rsidR="00CE3D6F" w:rsidRPr="001B1523">
        <w:rPr>
          <w:rFonts w:hint="eastAsia"/>
          <w:sz w:val="24"/>
          <w:szCs w:val="24"/>
        </w:rPr>
        <w:instrText>"Jacobs","given":"Benjamin Meir"},{"family":"Dobson","given":"Ruth"},{"family":"Bandres</w:instrText>
      </w:r>
      <w:r w:rsidR="00CE3D6F" w:rsidRPr="001B1523">
        <w:rPr>
          <w:rFonts w:hint="eastAsia"/>
          <w:sz w:val="24"/>
          <w:szCs w:val="24"/>
        </w:rPr>
        <w:instrText>‐</w:instrText>
      </w:r>
      <w:r w:rsidR="00CE3D6F" w:rsidRPr="001B1523">
        <w:rPr>
          <w:rFonts w:hint="eastAsia"/>
          <w:sz w:val="24"/>
          <w:szCs w:val="24"/>
        </w:rPr>
        <w:instrText>Ciga","given":"Sara"},{"family":"Blauwendraat","given":"Cornelis"},{"family":"Schrag","given":"Anette"},{"family":"Noyce","given":"Alastair J."}],"issued":{"date-parts</w:instrText>
      </w:r>
      <w:r w:rsidR="00CE3D6F" w:rsidRPr="001B1523">
        <w:rPr>
          <w:sz w:val="24"/>
          <w:szCs w:val="24"/>
        </w:rPr>
        <w:instrText xml:space="preserve">":[["2021"]]}}}],"schema":"https://github.com/citation-style-language/schema/raw/master/csl-citation.json"} </w:instrText>
      </w:r>
      <w:r w:rsidR="004B1123" w:rsidRPr="001B1523">
        <w:rPr>
          <w:sz w:val="24"/>
          <w:szCs w:val="24"/>
        </w:rPr>
        <w:fldChar w:fldCharType="separate"/>
      </w:r>
      <w:r w:rsidR="00CE3D6F" w:rsidRPr="001B1523">
        <w:rPr>
          <w:rFonts w:cs="Arial"/>
          <w:sz w:val="24"/>
        </w:rPr>
        <w:t>[34]</w:t>
      </w:r>
      <w:r w:rsidR="004B1123" w:rsidRPr="001B1523">
        <w:rPr>
          <w:sz w:val="24"/>
          <w:szCs w:val="24"/>
        </w:rPr>
        <w:fldChar w:fldCharType="end"/>
      </w:r>
      <w:r w:rsidR="006427E0" w:rsidRPr="001B1523">
        <w:rPr>
          <w:sz w:val="24"/>
          <w:szCs w:val="24"/>
        </w:rPr>
        <w:t xml:space="preserve">. </w:t>
      </w:r>
      <w:r w:rsidR="004722D3" w:rsidRPr="001B1523">
        <w:rPr>
          <w:sz w:val="24"/>
          <w:szCs w:val="24"/>
        </w:rPr>
        <w:t>The absolute count of cytotoxic CD8</w:t>
      </w:r>
      <w:r w:rsidR="004722D3" w:rsidRPr="001B1523">
        <w:rPr>
          <w:sz w:val="24"/>
          <w:szCs w:val="24"/>
          <w:vertAlign w:val="superscript"/>
        </w:rPr>
        <w:t>+</w:t>
      </w:r>
      <w:r w:rsidR="004722D3" w:rsidRPr="001B1523">
        <w:rPr>
          <w:sz w:val="24"/>
          <w:szCs w:val="24"/>
        </w:rPr>
        <w:t xml:space="preserve"> T lymphocytes was also reduced in patients versus controls (</w:t>
      </w:r>
      <w:r w:rsidR="004722D3" w:rsidRPr="001B1523">
        <w:rPr>
          <w:i/>
          <w:iCs/>
          <w:sz w:val="24"/>
          <w:szCs w:val="24"/>
        </w:rPr>
        <w:t>p</w:t>
      </w:r>
      <w:r w:rsidR="004722D3" w:rsidRPr="001B1523">
        <w:rPr>
          <w:sz w:val="24"/>
          <w:szCs w:val="24"/>
        </w:rPr>
        <w:t>=</w:t>
      </w:r>
      <w:r w:rsidR="009F1967" w:rsidRPr="001B1523">
        <w:rPr>
          <w:sz w:val="24"/>
          <w:szCs w:val="24"/>
        </w:rPr>
        <w:t>0.018</w:t>
      </w:r>
      <w:r w:rsidR="004722D3" w:rsidRPr="001B1523">
        <w:rPr>
          <w:sz w:val="24"/>
          <w:szCs w:val="24"/>
        </w:rPr>
        <w:t>)</w:t>
      </w:r>
      <w:r w:rsidR="009F1967" w:rsidRPr="001B1523">
        <w:rPr>
          <w:sz w:val="24"/>
          <w:szCs w:val="24"/>
        </w:rPr>
        <w:t xml:space="preserve"> (Table 2)</w:t>
      </w:r>
      <w:r w:rsidR="004722D3" w:rsidRPr="001B1523">
        <w:rPr>
          <w:sz w:val="24"/>
          <w:szCs w:val="24"/>
        </w:rPr>
        <w:t>.</w:t>
      </w:r>
    </w:p>
    <w:p w14:paraId="0643DAF5" w14:textId="77777777" w:rsidR="00A66C1C" w:rsidRPr="001B1523" w:rsidRDefault="00A66C1C" w:rsidP="00AC4E9D">
      <w:pPr>
        <w:spacing w:line="480" w:lineRule="auto"/>
        <w:rPr>
          <w:sz w:val="24"/>
          <w:szCs w:val="24"/>
        </w:rPr>
      </w:pPr>
    </w:p>
    <w:tbl>
      <w:tblPr>
        <w:tblStyle w:val="TableGrid"/>
        <w:tblW w:w="8931" w:type="dxa"/>
        <w:tblLook w:val="04A0" w:firstRow="1" w:lastRow="0" w:firstColumn="1" w:lastColumn="0" w:noHBand="0" w:noVBand="1"/>
      </w:tblPr>
      <w:tblGrid>
        <w:gridCol w:w="993"/>
        <w:gridCol w:w="1417"/>
        <w:gridCol w:w="1418"/>
        <w:gridCol w:w="1134"/>
        <w:gridCol w:w="1417"/>
        <w:gridCol w:w="1417"/>
        <w:gridCol w:w="1135"/>
      </w:tblGrid>
      <w:tr w:rsidR="004322DF" w:rsidRPr="001B1523" w14:paraId="3CC7328D" w14:textId="77777777" w:rsidTr="00EF084C">
        <w:tc>
          <w:tcPr>
            <w:tcW w:w="8931" w:type="dxa"/>
            <w:gridSpan w:val="7"/>
            <w:tcBorders>
              <w:top w:val="nil"/>
              <w:left w:val="nil"/>
              <w:bottom w:val="single" w:sz="12" w:space="0" w:color="000000" w:themeColor="text1"/>
              <w:right w:val="nil"/>
            </w:tcBorders>
            <w:vAlign w:val="bottom"/>
          </w:tcPr>
          <w:p w14:paraId="1779F560" w14:textId="4480F650" w:rsidR="004322DF" w:rsidRPr="001B1523" w:rsidRDefault="004322DF" w:rsidP="004322DF">
            <w:pPr>
              <w:spacing w:line="240" w:lineRule="auto"/>
              <w:rPr>
                <w:b/>
                <w:bCs/>
                <w:sz w:val="20"/>
                <w:szCs w:val="20"/>
              </w:rPr>
            </w:pPr>
            <w:bookmarkStart w:id="4" w:name="_Hlk63331157"/>
            <w:r w:rsidRPr="001B1523">
              <w:rPr>
                <w:b/>
                <w:bCs/>
                <w:sz w:val="20"/>
                <w:szCs w:val="20"/>
              </w:rPr>
              <w:t>Table 2: Total lymphocytes and main T cell subsets</w:t>
            </w:r>
          </w:p>
        </w:tc>
      </w:tr>
      <w:tr w:rsidR="004322DF" w:rsidRPr="001B1523" w14:paraId="4625B6E6" w14:textId="77777777" w:rsidTr="00EF084C">
        <w:tc>
          <w:tcPr>
            <w:tcW w:w="993" w:type="dxa"/>
            <w:tcBorders>
              <w:top w:val="nil"/>
              <w:left w:val="nil"/>
              <w:bottom w:val="nil"/>
              <w:right w:val="single" w:sz="4" w:space="0" w:color="auto"/>
            </w:tcBorders>
            <w:vAlign w:val="bottom"/>
          </w:tcPr>
          <w:p w14:paraId="1E49B4E5" w14:textId="77777777" w:rsidR="004322DF" w:rsidRPr="001B1523" w:rsidRDefault="004322DF" w:rsidP="004322DF">
            <w:pPr>
              <w:spacing w:line="240" w:lineRule="auto"/>
              <w:jc w:val="center"/>
              <w:rPr>
                <w:sz w:val="20"/>
                <w:szCs w:val="20"/>
              </w:rPr>
            </w:pPr>
          </w:p>
        </w:tc>
        <w:tc>
          <w:tcPr>
            <w:tcW w:w="3969" w:type="dxa"/>
            <w:gridSpan w:val="3"/>
            <w:tcBorders>
              <w:top w:val="nil"/>
              <w:left w:val="single" w:sz="4" w:space="0" w:color="auto"/>
              <w:bottom w:val="single" w:sz="4" w:space="0" w:color="auto"/>
              <w:right w:val="single" w:sz="4" w:space="0" w:color="auto"/>
            </w:tcBorders>
            <w:vAlign w:val="bottom"/>
          </w:tcPr>
          <w:p w14:paraId="268EEC17" w14:textId="43E03AEA" w:rsidR="004322DF" w:rsidRPr="001B1523" w:rsidRDefault="004322DF" w:rsidP="004322DF">
            <w:pPr>
              <w:spacing w:line="240" w:lineRule="auto"/>
              <w:jc w:val="center"/>
              <w:rPr>
                <w:sz w:val="20"/>
                <w:szCs w:val="20"/>
              </w:rPr>
            </w:pPr>
            <w:r w:rsidRPr="001B1523">
              <w:rPr>
                <w:sz w:val="20"/>
                <w:szCs w:val="20"/>
              </w:rPr>
              <w:t>% of total lymphocytes</w:t>
            </w:r>
          </w:p>
        </w:tc>
        <w:tc>
          <w:tcPr>
            <w:tcW w:w="3969" w:type="dxa"/>
            <w:gridSpan w:val="3"/>
            <w:tcBorders>
              <w:top w:val="single" w:sz="12" w:space="0" w:color="000000" w:themeColor="text1"/>
              <w:left w:val="single" w:sz="4" w:space="0" w:color="auto"/>
              <w:bottom w:val="single" w:sz="4" w:space="0" w:color="000000" w:themeColor="text1"/>
              <w:right w:val="single" w:sz="8" w:space="0" w:color="FFFFFF" w:themeColor="background1"/>
            </w:tcBorders>
            <w:vAlign w:val="bottom"/>
          </w:tcPr>
          <w:p w14:paraId="5B46CCA5" w14:textId="2E538DEA" w:rsidR="004322DF" w:rsidRPr="001B1523" w:rsidRDefault="004322DF" w:rsidP="004322DF">
            <w:pPr>
              <w:spacing w:line="240" w:lineRule="auto"/>
              <w:jc w:val="center"/>
              <w:rPr>
                <w:sz w:val="20"/>
                <w:szCs w:val="20"/>
              </w:rPr>
            </w:pPr>
            <w:r w:rsidRPr="001B1523">
              <w:rPr>
                <w:sz w:val="20"/>
                <w:szCs w:val="20"/>
              </w:rPr>
              <w:t xml:space="preserve">Absolute </w:t>
            </w:r>
            <w:r w:rsidR="00E84FA1" w:rsidRPr="001B1523">
              <w:rPr>
                <w:sz w:val="20"/>
                <w:szCs w:val="20"/>
              </w:rPr>
              <w:t xml:space="preserve">cell </w:t>
            </w:r>
            <w:r w:rsidRPr="001B1523">
              <w:rPr>
                <w:sz w:val="20"/>
                <w:szCs w:val="20"/>
              </w:rPr>
              <w:t>count (</w:t>
            </w:r>
            <w:r w:rsidR="00E84FA1" w:rsidRPr="001B1523">
              <w:rPr>
                <w:sz w:val="20"/>
                <w:szCs w:val="20"/>
              </w:rPr>
              <w:t xml:space="preserve">cells x </w:t>
            </w:r>
            <w:r w:rsidR="0060341D" w:rsidRPr="001B1523">
              <w:rPr>
                <w:sz w:val="20"/>
                <w:szCs w:val="20"/>
              </w:rPr>
              <w:t>10</w:t>
            </w:r>
            <w:r w:rsidR="0060341D" w:rsidRPr="001B1523">
              <w:rPr>
                <w:sz w:val="20"/>
                <w:szCs w:val="20"/>
                <w:vertAlign w:val="superscript"/>
              </w:rPr>
              <w:t>9</w:t>
            </w:r>
            <w:r w:rsidR="0060341D" w:rsidRPr="001B1523">
              <w:rPr>
                <w:sz w:val="20"/>
                <w:szCs w:val="20"/>
              </w:rPr>
              <w:t>/L</w:t>
            </w:r>
            <w:r w:rsidRPr="001B1523">
              <w:rPr>
                <w:sz w:val="20"/>
                <w:szCs w:val="20"/>
              </w:rPr>
              <w:t>)</w:t>
            </w:r>
          </w:p>
        </w:tc>
      </w:tr>
      <w:tr w:rsidR="00EF084C" w:rsidRPr="001B1523" w14:paraId="37105800" w14:textId="77777777" w:rsidTr="00A14F02">
        <w:tc>
          <w:tcPr>
            <w:tcW w:w="993" w:type="dxa"/>
            <w:tcBorders>
              <w:top w:val="nil"/>
              <w:left w:val="nil"/>
              <w:bottom w:val="nil"/>
              <w:right w:val="single" w:sz="4" w:space="0" w:color="auto"/>
            </w:tcBorders>
            <w:vAlign w:val="bottom"/>
          </w:tcPr>
          <w:p w14:paraId="2FE6710B" w14:textId="77777777" w:rsidR="00A91772" w:rsidRPr="001B1523" w:rsidRDefault="00A91772" w:rsidP="00A91772">
            <w:pPr>
              <w:spacing w:line="240" w:lineRule="auto"/>
              <w:jc w:val="center"/>
              <w:rPr>
                <w:sz w:val="20"/>
                <w:szCs w:val="20"/>
              </w:rPr>
            </w:pPr>
          </w:p>
        </w:tc>
        <w:tc>
          <w:tcPr>
            <w:tcW w:w="1417" w:type="dxa"/>
            <w:tcBorders>
              <w:top w:val="single" w:sz="4" w:space="0" w:color="auto"/>
              <w:left w:val="single" w:sz="4" w:space="0" w:color="auto"/>
              <w:bottom w:val="single" w:sz="4" w:space="0" w:color="auto"/>
              <w:right w:val="single" w:sz="4" w:space="0" w:color="FFFFFF" w:themeColor="background1"/>
            </w:tcBorders>
            <w:vAlign w:val="bottom"/>
          </w:tcPr>
          <w:p w14:paraId="6AE237C0" w14:textId="0042FC70" w:rsidR="00A91772" w:rsidRPr="001B1523" w:rsidRDefault="00A91772" w:rsidP="00646118">
            <w:pPr>
              <w:spacing w:line="240" w:lineRule="auto"/>
              <w:jc w:val="left"/>
              <w:rPr>
                <w:sz w:val="20"/>
                <w:szCs w:val="20"/>
              </w:rPr>
            </w:pPr>
            <w:r w:rsidRPr="001B1523">
              <w:rPr>
                <w:sz w:val="20"/>
                <w:szCs w:val="20"/>
              </w:rPr>
              <w:t xml:space="preserve">Control                    </w:t>
            </w:r>
          </w:p>
        </w:tc>
        <w:tc>
          <w:tcPr>
            <w:tcW w:w="1418" w:type="dxa"/>
            <w:tcBorders>
              <w:top w:val="single" w:sz="4" w:space="0" w:color="auto"/>
              <w:left w:val="single" w:sz="4" w:space="0" w:color="FFFFFF" w:themeColor="background1"/>
              <w:bottom w:val="single" w:sz="4" w:space="0" w:color="auto"/>
              <w:right w:val="nil"/>
            </w:tcBorders>
            <w:vAlign w:val="bottom"/>
          </w:tcPr>
          <w:p w14:paraId="0381A0D0" w14:textId="448D18EC" w:rsidR="00A91772" w:rsidRPr="001B1523" w:rsidRDefault="00A91772" w:rsidP="00646118">
            <w:pPr>
              <w:spacing w:line="240" w:lineRule="auto"/>
              <w:jc w:val="left"/>
              <w:rPr>
                <w:sz w:val="20"/>
                <w:szCs w:val="20"/>
              </w:rPr>
            </w:pPr>
            <w:r w:rsidRPr="001B1523">
              <w:rPr>
                <w:sz w:val="20"/>
                <w:szCs w:val="20"/>
              </w:rPr>
              <w:t xml:space="preserve">PD                     </w:t>
            </w:r>
          </w:p>
        </w:tc>
        <w:tc>
          <w:tcPr>
            <w:tcW w:w="1134" w:type="dxa"/>
            <w:tcBorders>
              <w:top w:val="single" w:sz="4" w:space="0" w:color="auto"/>
              <w:left w:val="nil"/>
              <w:bottom w:val="single" w:sz="4" w:space="0" w:color="auto"/>
              <w:right w:val="single" w:sz="4" w:space="0" w:color="auto"/>
            </w:tcBorders>
            <w:vAlign w:val="bottom"/>
          </w:tcPr>
          <w:p w14:paraId="21823509" w14:textId="2C1F6F61" w:rsidR="00A91772" w:rsidRPr="001B1523" w:rsidRDefault="00A91772" w:rsidP="00646118">
            <w:pPr>
              <w:spacing w:line="240" w:lineRule="auto"/>
              <w:jc w:val="left"/>
              <w:rPr>
                <w:sz w:val="20"/>
                <w:szCs w:val="20"/>
              </w:rPr>
            </w:pPr>
            <w:r w:rsidRPr="001B1523">
              <w:rPr>
                <w:i/>
                <w:iCs/>
                <w:sz w:val="20"/>
                <w:szCs w:val="20"/>
              </w:rPr>
              <w:t>p</w:t>
            </w:r>
          </w:p>
        </w:tc>
        <w:tc>
          <w:tcPr>
            <w:tcW w:w="1417" w:type="dxa"/>
            <w:tcBorders>
              <w:top w:val="single" w:sz="4" w:space="0" w:color="000000" w:themeColor="text1"/>
              <w:left w:val="single" w:sz="4" w:space="0" w:color="auto"/>
              <w:bottom w:val="single" w:sz="4" w:space="0" w:color="auto"/>
              <w:right w:val="single" w:sz="4" w:space="0" w:color="FFFFFF" w:themeColor="background1"/>
            </w:tcBorders>
            <w:vAlign w:val="bottom"/>
          </w:tcPr>
          <w:p w14:paraId="2DCF7711" w14:textId="42F58E59" w:rsidR="00A91772" w:rsidRPr="001B1523" w:rsidRDefault="00A91772" w:rsidP="00646118">
            <w:pPr>
              <w:spacing w:line="240" w:lineRule="auto"/>
              <w:jc w:val="left"/>
              <w:rPr>
                <w:sz w:val="20"/>
                <w:szCs w:val="20"/>
              </w:rPr>
            </w:pPr>
            <w:r w:rsidRPr="001B1523">
              <w:rPr>
                <w:sz w:val="20"/>
                <w:szCs w:val="20"/>
              </w:rPr>
              <w:t xml:space="preserve">Control                    </w:t>
            </w:r>
          </w:p>
        </w:tc>
        <w:tc>
          <w:tcPr>
            <w:tcW w:w="1417" w:type="dxa"/>
            <w:tcBorders>
              <w:top w:val="single" w:sz="4" w:space="0" w:color="000000" w:themeColor="text1"/>
              <w:left w:val="single" w:sz="4" w:space="0" w:color="FFFFFF" w:themeColor="background1"/>
              <w:bottom w:val="single" w:sz="4" w:space="0" w:color="auto"/>
              <w:right w:val="single" w:sz="4" w:space="0" w:color="FFFFFF" w:themeColor="background1"/>
            </w:tcBorders>
            <w:vAlign w:val="bottom"/>
          </w:tcPr>
          <w:p w14:paraId="0B17A238" w14:textId="7C672FB8" w:rsidR="00A91772" w:rsidRPr="001B1523" w:rsidRDefault="00A91772" w:rsidP="00646118">
            <w:pPr>
              <w:spacing w:line="240" w:lineRule="auto"/>
              <w:jc w:val="left"/>
              <w:rPr>
                <w:sz w:val="20"/>
                <w:szCs w:val="20"/>
              </w:rPr>
            </w:pPr>
            <w:r w:rsidRPr="001B1523">
              <w:rPr>
                <w:sz w:val="20"/>
                <w:szCs w:val="20"/>
              </w:rPr>
              <w:t xml:space="preserve">PD                     </w:t>
            </w:r>
          </w:p>
        </w:tc>
        <w:tc>
          <w:tcPr>
            <w:tcW w:w="1135" w:type="dxa"/>
            <w:tcBorders>
              <w:top w:val="single" w:sz="4" w:space="0" w:color="000000" w:themeColor="text1"/>
              <w:left w:val="single" w:sz="4" w:space="0" w:color="FFFFFF" w:themeColor="background1"/>
              <w:bottom w:val="single" w:sz="4" w:space="0" w:color="auto"/>
              <w:right w:val="single" w:sz="8" w:space="0" w:color="FFFFFF" w:themeColor="background1"/>
            </w:tcBorders>
            <w:vAlign w:val="bottom"/>
          </w:tcPr>
          <w:p w14:paraId="03177C83" w14:textId="1D9EA8F8" w:rsidR="00A91772" w:rsidRPr="001B1523" w:rsidRDefault="00A91772" w:rsidP="00646118">
            <w:pPr>
              <w:spacing w:line="240" w:lineRule="auto"/>
              <w:jc w:val="left"/>
              <w:rPr>
                <w:sz w:val="20"/>
                <w:szCs w:val="20"/>
              </w:rPr>
            </w:pPr>
            <w:r w:rsidRPr="001B1523">
              <w:rPr>
                <w:i/>
                <w:iCs/>
                <w:sz w:val="20"/>
                <w:szCs w:val="20"/>
              </w:rPr>
              <w:t>p</w:t>
            </w:r>
          </w:p>
        </w:tc>
      </w:tr>
      <w:tr w:rsidR="00EF084C" w:rsidRPr="001B1523" w14:paraId="486D4A33" w14:textId="77777777" w:rsidTr="00A14F02">
        <w:tc>
          <w:tcPr>
            <w:tcW w:w="993" w:type="dxa"/>
            <w:tcBorders>
              <w:top w:val="nil"/>
              <w:left w:val="nil"/>
              <w:bottom w:val="nil"/>
              <w:right w:val="single" w:sz="4" w:space="0" w:color="auto"/>
            </w:tcBorders>
            <w:vAlign w:val="bottom"/>
          </w:tcPr>
          <w:p w14:paraId="090CCA81" w14:textId="2B5DEF44" w:rsidR="000F1084" w:rsidRPr="001B1523" w:rsidRDefault="000F1084" w:rsidP="000F1084">
            <w:pPr>
              <w:spacing w:line="240" w:lineRule="auto"/>
              <w:jc w:val="center"/>
              <w:rPr>
                <w:sz w:val="20"/>
                <w:szCs w:val="20"/>
              </w:rPr>
            </w:pPr>
            <w:r w:rsidRPr="001B1523">
              <w:rPr>
                <w:sz w:val="20"/>
                <w:szCs w:val="20"/>
              </w:rPr>
              <w:t>Total</w:t>
            </w:r>
          </w:p>
        </w:tc>
        <w:tc>
          <w:tcPr>
            <w:tcW w:w="1417" w:type="dxa"/>
            <w:tcBorders>
              <w:top w:val="single" w:sz="4" w:space="0" w:color="auto"/>
              <w:left w:val="single" w:sz="4" w:space="0" w:color="auto"/>
              <w:bottom w:val="single" w:sz="4" w:space="0" w:color="FFFFFF" w:themeColor="background1"/>
              <w:right w:val="single" w:sz="12" w:space="0" w:color="FFFFFF" w:themeColor="background1"/>
            </w:tcBorders>
            <w:vAlign w:val="bottom"/>
          </w:tcPr>
          <w:p w14:paraId="4AC15A74" w14:textId="76A79BDC" w:rsidR="000F1084" w:rsidRPr="001B1523" w:rsidRDefault="000F1084" w:rsidP="00646118">
            <w:pPr>
              <w:spacing w:line="240" w:lineRule="auto"/>
              <w:jc w:val="left"/>
              <w:rPr>
                <w:sz w:val="20"/>
                <w:szCs w:val="20"/>
              </w:rPr>
            </w:pPr>
            <w:r w:rsidRPr="001B1523">
              <w:rPr>
                <w:sz w:val="20"/>
                <w:szCs w:val="20"/>
              </w:rPr>
              <w:t>-</w:t>
            </w:r>
          </w:p>
        </w:tc>
        <w:tc>
          <w:tcPr>
            <w:tcW w:w="1418" w:type="dxa"/>
            <w:tcBorders>
              <w:top w:val="single" w:sz="4" w:space="0" w:color="auto"/>
              <w:left w:val="single" w:sz="12" w:space="0" w:color="FFFFFF" w:themeColor="background1"/>
              <w:bottom w:val="single" w:sz="4" w:space="0" w:color="FFFFFF" w:themeColor="background1"/>
              <w:right w:val="nil"/>
            </w:tcBorders>
            <w:vAlign w:val="bottom"/>
          </w:tcPr>
          <w:p w14:paraId="76B7F8B1" w14:textId="17133A8A" w:rsidR="000F1084" w:rsidRPr="001B1523" w:rsidRDefault="000F1084" w:rsidP="00646118">
            <w:pPr>
              <w:spacing w:line="240" w:lineRule="auto"/>
              <w:jc w:val="left"/>
              <w:rPr>
                <w:sz w:val="20"/>
                <w:szCs w:val="20"/>
              </w:rPr>
            </w:pPr>
            <w:r w:rsidRPr="001B1523">
              <w:rPr>
                <w:sz w:val="20"/>
                <w:szCs w:val="20"/>
              </w:rPr>
              <w:t>-</w:t>
            </w:r>
          </w:p>
        </w:tc>
        <w:tc>
          <w:tcPr>
            <w:tcW w:w="1134" w:type="dxa"/>
            <w:tcBorders>
              <w:top w:val="single" w:sz="4" w:space="0" w:color="auto"/>
              <w:left w:val="nil"/>
              <w:bottom w:val="nil"/>
              <w:right w:val="single" w:sz="4" w:space="0" w:color="auto"/>
            </w:tcBorders>
            <w:vAlign w:val="bottom"/>
          </w:tcPr>
          <w:p w14:paraId="0ACC955E" w14:textId="566E3A09" w:rsidR="000F1084" w:rsidRPr="001B1523" w:rsidRDefault="000F1084" w:rsidP="00646118">
            <w:pPr>
              <w:spacing w:line="240" w:lineRule="auto"/>
              <w:jc w:val="left"/>
              <w:rPr>
                <w:sz w:val="20"/>
                <w:szCs w:val="20"/>
              </w:rPr>
            </w:pPr>
            <w:r w:rsidRPr="001B1523">
              <w:rPr>
                <w:sz w:val="20"/>
                <w:szCs w:val="20"/>
              </w:rPr>
              <w:t>-</w:t>
            </w:r>
          </w:p>
        </w:tc>
        <w:tc>
          <w:tcPr>
            <w:tcW w:w="1417" w:type="dxa"/>
            <w:tcBorders>
              <w:top w:val="single" w:sz="4" w:space="0" w:color="auto"/>
              <w:left w:val="single" w:sz="4" w:space="0" w:color="auto"/>
              <w:bottom w:val="single" w:sz="4" w:space="0" w:color="FFFFFF" w:themeColor="background1"/>
              <w:right w:val="single" w:sz="12" w:space="0" w:color="FFFFFF" w:themeColor="background1"/>
            </w:tcBorders>
            <w:vAlign w:val="bottom"/>
          </w:tcPr>
          <w:p w14:paraId="658ADC63" w14:textId="57181E78" w:rsidR="000F1084" w:rsidRPr="001B1523" w:rsidRDefault="000F1084" w:rsidP="00646118">
            <w:pPr>
              <w:spacing w:line="240" w:lineRule="auto"/>
              <w:jc w:val="left"/>
              <w:rPr>
                <w:sz w:val="20"/>
                <w:szCs w:val="20"/>
              </w:rPr>
            </w:pPr>
            <w:r w:rsidRPr="001B1523">
              <w:rPr>
                <w:sz w:val="20"/>
                <w:szCs w:val="20"/>
              </w:rPr>
              <w:t xml:space="preserve">1.553 </w:t>
            </w:r>
            <w:r w:rsidR="00A91772" w:rsidRPr="001B1523">
              <w:rPr>
                <w:rFonts w:cs="Arial"/>
                <w:sz w:val="20"/>
                <w:szCs w:val="20"/>
              </w:rPr>
              <w:t>(</w:t>
            </w:r>
            <w:r w:rsidRPr="001B1523">
              <w:rPr>
                <w:rFonts w:cs="Arial"/>
                <w:sz w:val="20"/>
                <w:szCs w:val="20"/>
              </w:rPr>
              <w:t>0.47</w:t>
            </w:r>
            <w:r w:rsidR="00A91772" w:rsidRPr="001B1523">
              <w:rPr>
                <w:rFonts w:cs="Arial"/>
                <w:sz w:val="20"/>
                <w:szCs w:val="20"/>
              </w:rPr>
              <w:t>)</w:t>
            </w:r>
          </w:p>
        </w:tc>
        <w:tc>
          <w:tcPr>
            <w:tcW w:w="1417" w:type="dxa"/>
            <w:tcBorders>
              <w:top w:val="single" w:sz="4" w:space="0" w:color="auto"/>
              <w:left w:val="single" w:sz="12" w:space="0" w:color="FFFFFF" w:themeColor="background1"/>
              <w:bottom w:val="single" w:sz="4" w:space="0" w:color="FFFFFF" w:themeColor="background1"/>
              <w:right w:val="single" w:sz="12" w:space="0" w:color="FFFFFF" w:themeColor="background1"/>
            </w:tcBorders>
            <w:vAlign w:val="bottom"/>
          </w:tcPr>
          <w:p w14:paraId="1B35A65F" w14:textId="16A64272" w:rsidR="000F1084" w:rsidRPr="001B1523" w:rsidRDefault="000F1084" w:rsidP="00646118">
            <w:pPr>
              <w:spacing w:line="240" w:lineRule="auto"/>
              <w:jc w:val="left"/>
              <w:rPr>
                <w:sz w:val="20"/>
                <w:szCs w:val="20"/>
              </w:rPr>
            </w:pPr>
            <w:r w:rsidRPr="001B1523">
              <w:rPr>
                <w:sz w:val="20"/>
                <w:szCs w:val="20"/>
              </w:rPr>
              <w:t xml:space="preserve">1.397 </w:t>
            </w:r>
            <w:r w:rsidR="00A91772" w:rsidRPr="001B1523">
              <w:rPr>
                <w:sz w:val="20"/>
                <w:szCs w:val="20"/>
              </w:rPr>
              <w:t>(</w:t>
            </w:r>
            <w:r w:rsidRPr="001B1523">
              <w:rPr>
                <w:rFonts w:cs="Arial"/>
                <w:sz w:val="20"/>
                <w:szCs w:val="20"/>
              </w:rPr>
              <w:t>0.37</w:t>
            </w:r>
            <w:r w:rsidR="00A91772" w:rsidRPr="001B1523">
              <w:rPr>
                <w:rFonts w:cs="Arial"/>
                <w:sz w:val="20"/>
                <w:szCs w:val="20"/>
              </w:rPr>
              <w:t>)</w:t>
            </w:r>
          </w:p>
        </w:tc>
        <w:tc>
          <w:tcPr>
            <w:tcW w:w="1135" w:type="dxa"/>
            <w:tcBorders>
              <w:top w:val="single" w:sz="4" w:space="0" w:color="auto"/>
              <w:left w:val="single" w:sz="12" w:space="0" w:color="FFFFFF" w:themeColor="background1"/>
              <w:bottom w:val="single" w:sz="4" w:space="0" w:color="FFFFFF" w:themeColor="background1"/>
              <w:right w:val="single" w:sz="4" w:space="0" w:color="FFFFFF"/>
            </w:tcBorders>
            <w:vAlign w:val="bottom"/>
          </w:tcPr>
          <w:p w14:paraId="743C4D45" w14:textId="45F7257F" w:rsidR="000F1084" w:rsidRPr="001B1523" w:rsidRDefault="000F1084" w:rsidP="00646118">
            <w:pPr>
              <w:spacing w:line="240" w:lineRule="auto"/>
              <w:jc w:val="left"/>
              <w:rPr>
                <w:b/>
                <w:bCs/>
                <w:i/>
                <w:iCs/>
                <w:sz w:val="20"/>
                <w:szCs w:val="20"/>
              </w:rPr>
            </w:pPr>
            <w:r w:rsidRPr="001B1523">
              <w:rPr>
                <w:b/>
                <w:bCs/>
                <w:i/>
                <w:iCs/>
                <w:sz w:val="20"/>
                <w:szCs w:val="20"/>
              </w:rPr>
              <w:t>0.043</w:t>
            </w:r>
            <w:r w:rsidR="00B0165B" w:rsidRPr="001B1523">
              <w:rPr>
                <w:b/>
                <w:bCs/>
                <w:i/>
                <w:iCs/>
                <w:sz w:val="20"/>
                <w:szCs w:val="20"/>
              </w:rPr>
              <w:t>*</w:t>
            </w:r>
          </w:p>
        </w:tc>
      </w:tr>
      <w:tr w:rsidR="00EF084C" w:rsidRPr="001B1523" w14:paraId="5A3C1C0A" w14:textId="77777777" w:rsidTr="00A14F02">
        <w:trPr>
          <w:trHeight w:val="54"/>
        </w:trPr>
        <w:tc>
          <w:tcPr>
            <w:tcW w:w="993" w:type="dxa"/>
            <w:tcBorders>
              <w:top w:val="nil"/>
              <w:left w:val="nil"/>
              <w:bottom w:val="nil"/>
              <w:right w:val="single" w:sz="4" w:space="0" w:color="auto"/>
            </w:tcBorders>
            <w:vAlign w:val="bottom"/>
          </w:tcPr>
          <w:p w14:paraId="23C4635E" w14:textId="3678F8CB" w:rsidR="000F1084" w:rsidRPr="001B1523" w:rsidRDefault="000F1084" w:rsidP="000F1084">
            <w:pPr>
              <w:spacing w:line="240" w:lineRule="auto"/>
              <w:jc w:val="center"/>
              <w:rPr>
                <w:sz w:val="20"/>
                <w:szCs w:val="20"/>
              </w:rPr>
            </w:pPr>
            <w:r w:rsidRPr="001B1523">
              <w:rPr>
                <w:sz w:val="20"/>
                <w:szCs w:val="20"/>
              </w:rPr>
              <w:t>CD4</w:t>
            </w:r>
            <w:r w:rsidR="00D47B4A" w:rsidRPr="001B1523">
              <w:rPr>
                <w:sz w:val="20"/>
                <w:szCs w:val="20"/>
                <w:vertAlign w:val="superscript"/>
              </w:rPr>
              <w:t>+</w:t>
            </w:r>
          </w:p>
        </w:tc>
        <w:tc>
          <w:tcPr>
            <w:tcW w:w="1417" w:type="dxa"/>
            <w:tcBorders>
              <w:top w:val="single" w:sz="4" w:space="0" w:color="FFFFFF" w:themeColor="background1"/>
              <w:left w:val="single" w:sz="4" w:space="0" w:color="auto"/>
              <w:bottom w:val="single" w:sz="4" w:space="0" w:color="FFFFFF" w:themeColor="background1"/>
              <w:right w:val="single" w:sz="12" w:space="0" w:color="FFFFFF" w:themeColor="background1"/>
            </w:tcBorders>
            <w:vAlign w:val="bottom"/>
          </w:tcPr>
          <w:p w14:paraId="4024C2A6" w14:textId="22937626" w:rsidR="000F1084" w:rsidRPr="001B1523" w:rsidRDefault="000F1084" w:rsidP="00646118">
            <w:pPr>
              <w:spacing w:line="240" w:lineRule="auto"/>
              <w:jc w:val="left"/>
              <w:rPr>
                <w:sz w:val="20"/>
                <w:szCs w:val="20"/>
              </w:rPr>
            </w:pPr>
            <w:r w:rsidRPr="001B1523">
              <w:rPr>
                <w:sz w:val="20"/>
                <w:szCs w:val="20"/>
              </w:rPr>
              <w:t>47.4</w:t>
            </w:r>
            <w:r w:rsidR="00073DAB" w:rsidRPr="001B1523">
              <w:rPr>
                <w:sz w:val="20"/>
                <w:szCs w:val="20"/>
              </w:rPr>
              <w:t>1</w:t>
            </w:r>
            <w:r w:rsidRPr="001B1523">
              <w:rPr>
                <w:sz w:val="20"/>
                <w:szCs w:val="20"/>
              </w:rPr>
              <w:t xml:space="preserve"> </w:t>
            </w:r>
            <w:r w:rsidR="00A91772" w:rsidRPr="001B1523">
              <w:rPr>
                <w:rFonts w:cs="Arial"/>
                <w:sz w:val="20"/>
                <w:szCs w:val="20"/>
              </w:rPr>
              <w:t>(</w:t>
            </w:r>
            <w:r w:rsidRPr="001B1523">
              <w:rPr>
                <w:rFonts w:cs="Arial"/>
                <w:sz w:val="20"/>
                <w:szCs w:val="20"/>
              </w:rPr>
              <w:t>12.</w:t>
            </w:r>
            <w:r w:rsidR="00073DAB" w:rsidRPr="001B1523">
              <w:rPr>
                <w:rFonts w:cs="Arial"/>
                <w:sz w:val="20"/>
                <w:szCs w:val="20"/>
              </w:rPr>
              <w:t>0</w:t>
            </w:r>
            <w:r w:rsidRPr="001B1523">
              <w:rPr>
                <w:rFonts w:cs="Arial"/>
                <w:sz w:val="20"/>
                <w:szCs w:val="20"/>
              </w:rPr>
              <w:t>2</w:t>
            </w:r>
            <w:r w:rsidR="00A91772" w:rsidRPr="001B1523">
              <w:rPr>
                <w:rFonts w:cs="Arial"/>
                <w:sz w:val="20"/>
                <w:szCs w:val="20"/>
              </w:rPr>
              <w:t>)</w:t>
            </w:r>
          </w:p>
        </w:tc>
        <w:tc>
          <w:tcPr>
            <w:tcW w:w="1418" w:type="dxa"/>
            <w:tcBorders>
              <w:top w:val="single" w:sz="4" w:space="0" w:color="FFFFFF" w:themeColor="background1"/>
              <w:left w:val="single" w:sz="12" w:space="0" w:color="FFFFFF" w:themeColor="background1"/>
              <w:bottom w:val="single" w:sz="4" w:space="0" w:color="FFFFFF" w:themeColor="background1"/>
              <w:right w:val="nil"/>
            </w:tcBorders>
            <w:vAlign w:val="bottom"/>
          </w:tcPr>
          <w:p w14:paraId="5D4C284E" w14:textId="58482125" w:rsidR="000F1084" w:rsidRPr="001B1523" w:rsidRDefault="000F1084" w:rsidP="00646118">
            <w:pPr>
              <w:spacing w:line="240" w:lineRule="auto"/>
              <w:jc w:val="left"/>
              <w:rPr>
                <w:sz w:val="20"/>
                <w:szCs w:val="20"/>
              </w:rPr>
            </w:pPr>
            <w:r w:rsidRPr="001B1523">
              <w:rPr>
                <w:sz w:val="20"/>
                <w:szCs w:val="20"/>
              </w:rPr>
              <w:t>50.88</w:t>
            </w:r>
            <w:r w:rsidRPr="001B1523">
              <w:rPr>
                <w:rFonts w:cs="Arial"/>
                <w:sz w:val="20"/>
                <w:szCs w:val="20"/>
              </w:rPr>
              <w:t xml:space="preserve"> </w:t>
            </w:r>
            <w:r w:rsidR="00A91772" w:rsidRPr="001B1523">
              <w:rPr>
                <w:rFonts w:cs="Arial"/>
                <w:sz w:val="20"/>
                <w:szCs w:val="20"/>
              </w:rPr>
              <w:t>(</w:t>
            </w:r>
            <w:r w:rsidRPr="001B1523">
              <w:rPr>
                <w:rFonts w:cs="Arial"/>
                <w:sz w:val="20"/>
                <w:szCs w:val="20"/>
              </w:rPr>
              <w:t>11.95</w:t>
            </w:r>
            <w:r w:rsidR="00A91772" w:rsidRPr="001B1523">
              <w:rPr>
                <w:rFonts w:cs="Arial"/>
                <w:sz w:val="20"/>
                <w:szCs w:val="20"/>
              </w:rPr>
              <w:t>)</w:t>
            </w:r>
          </w:p>
        </w:tc>
        <w:tc>
          <w:tcPr>
            <w:tcW w:w="1134" w:type="dxa"/>
            <w:tcBorders>
              <w:top w:val="nil"/>
              <w:left w:val="nil"/>
              <w:bottom w:val="nil"/>
              <w:right w:val="single" w:sz="4" w:space="0" w:color="auto"/>
            </w:tcBorders>
            <w:vAlign w:val="bottom"/>
          </w:tcPr>
          <w:p w14:paraId="4DB3158C" w14:textId="02F66D8E" w:rsidR="000F1084" w:rsidRPr="001B1523" w:rsidRDefault="000F1084" w:rsidP="00646118">
            <w:pPr>
              <w:spacing w:line="240" w:lineRule="auto"/>
              <w:jc w:val="left"/>
              <w:rPr>
                <w:sz w:val="20"/>
                <w:szCs w:val="20"/>
              </w:rPr>
            </w:pPr>
            <w:r w:rsidRPr="001B1523">
              <w:rPr>
                <w:sz w:val="20"/>
                <w:szCs w:val="20"/>
              </w:rPr>
              <w:t>0.11</w:t>
            </w:r>
            <w:r w:rsidR="00073DAB" w:rsidRPr="001B1523">
              <w:rPr>
                <w:sz w:val="20"/>
                <w:szCs w:val="20"/>
              </w:rPr>
              <w:t>3</w:t>
            </w:r>
          </w:p>
        </w:tc>
        <w:tc>
          <w:tcPr>
            <w:tcW w:w="1417" w:type="dxa"/>
            <w:tcBorders>
              <w:top w:val="single" w:sz="4" w:space="0" w:color="FFFFFF" w:themeColor="background1"/>
              <w:left w:val="single" w:sz="4" w:space="0" w:color="auto"/>
              <w:bottom w:val="single" w:sz="4" w:space="0" w:color="FFFFFF" w:themeColor="background1"/>
              <w:right w:val="single" w:sz="12" w:space="0" w:color="FFFFFF" w:themeColor="background1"/>
            </w:tcBorders>
            <w:vAlign w:val="bottom"/>
          </w:tcPr>
          <w:p w14:paraId="6A4E7433" w14:textId="1DD914A9" w:rsidR="000F1084" w:rsidRPr="001B1523" w:rsidRDefault="000F1084" w:rsidP="00646118">
            <w:pPr>
              <w:spacing w:line="240" w:lineRule="auto"/>
              <w:jc w:val="left"/>
              <w:rPr>
                <w:sz w:val="20"/>
                <w:szCs w:val="20"/>
              </w:rPr>
            </w:pPr>
            <w:r w:rsidRPr="001B1523">
              <w:rPr>
                <w:sz w:val="20"/>
                <w:szCs w:val="20"/>
              </w:rPr>
              <w:t xml:space="preserve">0.736 </w:t>
            </w:r>
            <w:r w:rsidR="00A91772" w:rsidRPr="001B1523">
              <w:rPr>
                <w:sz w:val="20"/>
                <w:szCs w:val="20"/>
              </w:rPr>
              <w:t>(</w:t>
            </w:r>
            <w:r w:rsidRPr="001B1523">
              <w:rPr>
                <w:sz w:val="20"/>
                <w:szCs w:val="20"/>
              </w:rPr>
              <w:t>0.31</w:t>
            </w:r>
            <w:r w:rsidR="00A91772" w:rsidRPr="001B1523">
              <w:rPr>
                <w:sz w:val="20"/>
                <w:szCs w:val="20"/>
              </w:rPr>
              <w:t>)</w:t>
            </w:r>
          </w:p>
        </w:tc>
        <w:tc>
          <w:tcPr>
            <w:tcW w:w="1417" w:type="dxa"/>
            <w:tcBorders>
              <w:top w:val="single" w:sz="4" w:space="0" w:color="FFFFFF" w:themeColor="background1"/>
              <w:left w:val="single" w:sz="12" w:space="0" w:color="FFFFFF" w:themeColor="background1"/>
              <w:bottom w:val="single" w:sz="4" w:space="0" w:color="FFFFFF" w:themeColor="background1"/>
              <w:right w:val="single" w:sz="12" w:space="0" w:color="FFFFFF" w:themeColor="background1"/>
            </w:tcBorders>
            <w:vAlign w:val="bottom"/>
          </w:tcPr>
          <w:p w14:paraId="5ECCA849" w14:textId="7868B8D5" w:rsidR="000F1084" w:rsidRPr="001B1523" w:rsidRDefault="000F1084" w:rsidP="00646118">
            <w:pPr>
              <w:spacing w:line="240" w:lineRule="auto"/>
              <w:jc w:val="left"/>
              <w:rPr>
                <w:sz w:val="20"/>
                <w:szCs w:val="20"/>
              </w:rPr>
            </w:pPr>
            <w:r w:rsidRPr="001B1523">
              <w:rPr>
                <w:sz w:val="20"/>
                <w:szCs w:val="20"/>
              </w:rPr>
              <w:t>0.696</w:t>
            </w:r>
            <w:r w:rsidR="00A91772" w:rsidRPr="001B1523">
              <w:rPr>
                <w:sz w:val="20"/>
                <w:szCs w:val="20"/>
              </w:rPr>
              <w:t xml:space="preserve"> </w:t>
            </w:r>
            <w:r w:rsidR="00A91772" w:rsidRPr="001B1523">
              <w:rPr>
                <w:rFonts w:cs="Arial"/>
                <w:sz w:val="20"/>
                <w:szCs w:val="20"/>
              </w:rPr>
              <w:t>(</w:t>
            </w:r>
            <w:r w:rsidRPr="001B1523">
              <w:rPr>
                <w:rFonts w:cs="Arial"/>
                <w:sz w:val="20"/>
                <w:szCs w:val="20"/>
              </w:rPr>
              <w:t>0.22</w:t>
            </w:r>
            <w:r w:rsidR="00A91772" w:rsidRPr="001B1523">
              <w:rPr>
                <w:rFonts w:cs="Arial"/>
                <w:sz w:val="20"/>
                <w:szCs w:val="20"/>
              </w:rPr>
              <w:t>)</w:t>
            </w:r>
          </w:p>
        </w:tc>
        <w:tc>
          <w:tcPr>
            <w:tcW w:w="1135" w:type="dxa"/>
            <w:tcBorders>
              <w:top w:val="single" w:sz="4" w:space="0" w:color="FFFFFF" w:themeColor="background1"/>
              <w:left w:val="single" w:sz="12" w:space="0" w:color="FFFFFF" w:themeColor="background1"/>
              <w:bottom w:val="single" w:sz="4" w:space="0" w:color="FFFFFF" w:themeColor="background1"/>
              <w:right w:val="single" w:sz="4" w:space="0" w:color="FFFFFF"/>
            </w:tcBorders>
            <w:vAlign w:val="bottom"/>
          </w:tcPr>
          <w:p w14:paraId="6C60D79A" w14:textId="28B3FFC0" w:rsidR="000F1084" w:rsidRPr="001B1523" w:rsidRDefault="000F1084" w:rsidP="00646118">
            <w:pPr>
              <w:spacing w:line="240" w:lineRule="auto"/>
              <w:jc w:val="left"/>
              <w:rPr>
                <w:sz w:val="20"/>
                <w:szCs w:val="20"/>
              </w:rPr>
            </w:pPr>
            <w:r w:rsidRPr="001B1523">
              <w:rPr>
                <w:sz w:val="20"/>
                <w:szCs w:val="20"/>
              </w:rPr>
              <w:t>0.410</w:t>
            </w:r>
          </w:p>
        </w:tc>
      </w:tr>
      <w:tr w:rsidR="00EF084C" w:rsidRPr="001B1523" w14:paraId="1D9FFEC5" w14:textId="77777777" w:rsidTr="00A14F02">
        <w:tc>
          <w:tcPr>
            <w:tcW w:w="993" w:type="dxa"/>
            <w:tcBorders>
              <w:top w:val="nil"/>
              <w:left w:val="nil"/>
              <w:bottom w:val="single" w:sz="12" w:space="0" w:color="000000" w:themeColor="text1"/>
              <w:right w:val="single" w:sz="4" w:space="0" w:color="auto"/>
            </w:tcBorders>
            <w:vAlign w:val="bottom"/>
          </w:tcPr>
          <w:p w14:paraId="4F0C9774" w14:textId="59ED4708" w:rsidR="000F1084" w:rsidRPr="001B1523" w:rsidRDefault="000F1084" w:rsidP="000F1084">
            <w:pPr>
              <w:spacing w:line="240" w:lineRule="auto"/>
              <w:jc w:val="center"/>
              <w:rPr>
                <w:sz w:val="20"/>
                <w:szCs w:val="20"/>
              </w:rPr>
            </w:pPr>
            <w:r w:rsidRPr="001B1523">
              <w:rPr>
                <w:sz w:val="20"/>
                <w:szCs w:val="20"/>
              </w:rPr>
              <w:t>CD8</w:t>
            </w:r>
            <w:r w:rsidR="00D47B4A" w:rsidRPr="001B1523">
              <w:rPr>
                <w:sz w:val="20"/>
                <w:szCs w:val="20"/>
                <w:vertAlign w:val="superscript"/>
              </w:rPr>
              <w:t>+</w:t>
            </w:r>
          </w:p>
        </w:tc>
        <w:tc>
          <w:tcPr>
            <w:tcW w:w="1417" w:type="dxa"/>
            <w:tcBorders>
              <w:top w:val="single" w:sz="4" w:space="0" w:color="FFFFFF" w:themeColor="background1"/>
              <w:left w:val="single" w:sz="4" w:space="0" w:color="auto"/>
              <w:bottom w:val="single" w:sz="12" w:space="0" w:color="000000" w:themeColor="text1"/>
              <w:right w:val="single" w:sz="12" w:space="0" w:color="FFFFFF" w:themeColor="background1"/>
            </w:tcBorders>
            <w:vAlign w:val="bottom"/>
          </w:tcPr>
          <w:p w14:paraId="311B2598" w14:textId="46ACBD39" w:rsidR="000F1084" w:rsidRPr="001B1523" w:rsidRDefault="000F1084" w:rsidP="00646118">
            <w:pPr>
              <w:spacing w:line="240" w:lineRule="auto"/>
              <w:jc w:val="left"/>
              <w:rPr>
                <w:sz w:val="20"/>
                <w:szCs w:val="20"/>
              </w:rPr>
            </w:pPr>
            <w:r w:rsidRPr="001B1523">
              <w:rPr>
                <w:sz w:val="20"/>
                <w:szCs w:val="20"/>
              </w:rPr>
              <w:t xml:space="preserve">23.72 </w:t>
            </w:r>
            <w:r w:rsidR="00A91772" w:rsidRPr="001B1523">
              <w:rPr>
                <w:sz w:val="20"/>
                <w:szCs w:val="20"/>
              </w:rPr>
              <w:t>(</w:t>
            </w:r>
            <w:r w:rsidRPr="001B1523">
              <w:rPr>
                <w:rFonts w:cs="Arial"/>
                <w:sz w:val="20"/>
                <w:szCs w:val="20"/>
              </w:rPr>
              <w:t>11.48</w:t>
            </w:r>
            <w:r w:rsidR="00A91772" w:rsidRPr="001B1523">
              <w:rPr>
                <w:rFonts w:cs="Arial"/>
                <w:sz w:val="20"/>
                <w:szCs w:val="20"/>
              </w:rPr>
              <w:t>)</w:t>
            </w:r>
          </w:p>
        </w:tc>
        <w:tc>
          <w:tcPr>
            <w:tcW w:w="1418" w:type="dxa"/>
            <w:tcBorders>
              <w:top w:val="single" w:sz="4" w:space="0" w:color="FFFFFF" w:themeColor="background1"/>
              <w:left w:val="single" w:sz="12" w:space="0" w:color="FFFFFF" w:themeColor="background1"/>
              <w:bottom w:val="single" w:sz="12" w:space="0" w:color="000000" w:themeColor="text1"/>
              <w:right w:val="nil"/>
            </w:tcBorders>
            <w:vAlign w:val="bottom"/>
          </w:tcPr>
          <w:p w14:paraId="797DF3A2" w14:textId="1925F3F3" w:rsidR="000F1084" w:rsidRPr="001B1523" w:rsidRDefault="000F1084" w:rsidP="00646118">
            <w:pPr>
              <w:spacing w:line="240" w:lineRule="auto"/>
              <w:jc w:val="left"/>
              <w:rPr>
                <w:sz w:val="20"/>
                <w:szCs w:val="20"/>
              </w:rPr>
            </w:pPr>
            <w:r w:rsidRPr="001B1523">
              <w:rPr>
                <w:sz w:val="20"/>
                <w:szCs w:val="20"/>
              </w:rPr>
              <w:t xml:space="preserve">20.88 </w:t>
            </w:r>
            <w:r w:rsidR="00A91772" w:rsidRPr="001B1523">
              <w:rPr>
                <w:sz w:val="20"/>
                <w:szCs w:val="20"/>
              </w:rPr>
              <w:t>(</w:t>
            </w:r>
            <w:r w:rsidRPr="001B1523">
              <w:rPr>
                <w:rFonts w:cs="Arial"/>
                <w:sz w:val="20"/>
                <w:szCs w:val="20"/>
              </w:rPr>
              <w:t>8.86</w:t>
            </w:r>
            <w:r w:rsidR="00A91772" w:rsidRPr="001B1523">
              <w:rPr>
                <w:rFonts w:cs="Arial"/>
                <w:sz w:val="20"/>
                <w:szCs w:val="20"/>
              </w:rPr>
              <w:t>)</w:t>
            </w:r>
          </w:p>
        </w:tc>
        <w:tc>
          <w:tcPr>
            <w:tcW w:w="1134" w:type="dxa"/>
            <w:tcBorders>
              <w:top w:val="nil"/>
              <w:left w:val="nil"/>
              <w:bottom w:val="single" w:sz="12" w:space="0" w:color="000000" w:themeColor="text1"/>
              <w:right w:val="single" w:sz="4" w:space="0" w:color="auto"/>
            </w:tcBorders>
            <w:vAlign w:val="bottom"/>
          </w:tcPr>
          <w:p w14:paraId="6FF88FA0" w14:textId="49B1D553" w:rsidR="000F1084" w:rsidRPr="001B1523" w:rsidRDefault="000F1084" w:rsidP="00646118">
            <w:pPr>
              <w:spacing w:line="240" w:lineRule="auto"/>
              <w:jc w:val="left"/>
              <w:rPr>
                <w:sz w:val="20"/>
                <w:szCs w:val="20"/>
              </w:rPr>
            </w:pPr>
            <w:r w:rsidRPr="001B1523">
              <w:rPr>
                <w:sz w:val="20"/>
                <w:szCs w:val="20"/>
              </w:rPr>
              <w:t>0.126</w:t>
            </w:r>
          </w:p>
        </w:tc>
        <w:tc>
          <w:tcPr>
            <w:tcW w:w="1417" w:type="dxa"/>
            <w:tcBorders>
              <w:top w:val="single" w:sz="4" w:space="0" w:color="FFFFFF" w:themeColor="background1"/>
              <w:left w:val="single" w:sz="4" w:space="0" w:color="auto"/>
              <w:bottom w:val="single" w:sz="12" w:space="0" w:color="000000" w:themeColor="text1"/>
              <w:right w:val="single" w:sz="12" w:space="0" w:color="FFFFFF" w:themeColor="background1"/>
            </w:tcBorders>
            <w:vAlign w:val="bottom"/>
          </w:tcPr>
          <w:p w14:paraId="2DAADE0B" w14:textId="68DCC996" w:rsidR="000F1084" w:rsidRPr="001B1523" w:rsidRDefault="000F1084" w:rsidP="00646118">
            <w:pPr>
              <w:spacing w:line="240" w:lineRule="auto"/>
              <w:jc w:val="left"/>
              <w:rPr>
                <w:sz w:val="20"/>
                <w:szCs w:val="20"/>
              </w:rPr>
            </w:pPr>
            <w:r w:rsidRPr="001B1523">
              <w:rPr>
                <w:sz w:val="20"/>
                <w:szCs w:val="20"/>
              </w:rPr>
              <w:t>0.380</w:t>
            </w:r>
            <w:r w:rsidRPr="001B1523">
              <w:rPr>
                <w:rFonts w:cs="Arial"/>
                <w:sz w:val="20"/>
                <w:szCs w:val="20"/>
              </w:rPr>
              <w:t xml:space="preserve"> </w:t>
            </w:r>
            <w:r w:rsidR="00A91772" w:rsidRPr="001B1523">
              <w:rPr>
                <w:rFonts w:cs="Arial"/>
                <w:sz w:val="20"/>
                <w:szCs w:val="20"/>
              </w:rPr>
              <w:t>(</w:t>
            </w:r>
            <w:r w:rsidRPr="001B1523">
              <w:rPr>
                <w:rFonts w:cs="Arial"/>
                <w:sz w:val="20"/>
                <w:szCs w:val="20"/>
              </w:rPr>
              <w:t>0.26</w:t>
            </w:r>
            <w:r w:rsidR="00A91772" w:rsidRPr="001B1523">
              <w:rPr>
                <w:rFonts w:cs="Arial"/>
                <w:sz w:val="20"/>
                <w:szCs w:val="20"/>
              </w:rPr>
              <w:t>)</w:t>
            </w:r>
          </w:p>
        </w:tc>
        <w:tc>
          <w:tcPr>
            <w:tcW w:w="1417" w:type="dxa"/>
            <w:tcBorders>
              <w:top w:val="single" w:sz="4" w:space="0" w:color="FFFFFF" w:themeColor="background1"/>
              <w:left w:val="single" w:sz="12" w:space="0" w:color="FFFFFF" w:themeColor="background1"/>
              <w:bottom w:val="single" w:sz="12" w:space="0" w:color="000000" w:themeColor="text1"/>
              <w:right w:val="single" w:sz="12" w:space="0" w:color="FFFFFF" w:themeColor="background1"/>
            </w:tcBorders>
            <w:vAlign w:val="bottom"/>
          </w:tcPr>
          <w:p w14:paraId="0F151BA6" w14:textId="3B4D800C" w:rsidR="000F1084" w:rsidRPr="001B1523" w:rsidRDefault="000F1084" w:rsidP="00646118">
            <w:pPr>
              <w:spacing w:line="240" w:lineRule="auto"/>
              <w:jc w:val="left"/>
              <w:rPr>
                <w:sz w:val="20"/>
                <w:szCs w:val="20"/>
              </w:rPr>
            </w:pPr>
            <w:r w:rsidRPr="001B1523">
              <w:rPr>
                <w:sz w:val="20"/>
                <w:szCs w:val="20"/>
              </w:rPr>
              <w:t>0.292</w:t>
            </w:r>
            <w:r w:rsidRPr="001B1523">
              <w:rPr>
                <w:rFonts w:cs="Arial"/>
                <w:sz w:val="20"/>
                <w:szCs w:val="20"/>
              </w:rPr>
              <w:t xml:space="preserve"> </w:t>
            </w:r>
            <w:r w:rsidR="00A91772" w:rsidRPr="001B1523">
              <w:rPr>
                <w:rFonts w:cs="Arial"/>
                <w:sz w:val="20"/>
                <w:szCs w:val="20"/>
              </w:rPr>
              <w:t>(</w:t>
            </w:r>
            <w:r w:rsidRPr="001B1523">
              <w:rPr>
                <w:rFonts w:cs="Arial"/>
                <w:sz w:val="20"/>
                <w:szCs w:val="20"/>
              </w:rPr>
              <w:t>0.14</w:t>
            </w:r>
            <w:r w:rsidR="00A91772" w:rsidRPr="001B1523">
              <w:rPr>
                <w:rFonts w:cs="Arial"/>
                <w:sz w:val="20"/>
                <w:szCs w:val="20"/>
              </w:rPr>
              <w:t>)</w:t>
            </w:r>
          </w:p>
        </w:tc>
        <w:tc>
          <w:tcPr>
            <w:tcW w:w="1135" w:type="dxa"/>
            <w:tcBorders>
              <w:top w:val="single" w:sz="4" w:space="0" w:color="FFFFFF" w:themeColor="background1"/>
              <w:left w:val="single" w:sz="12" w:space="0" w:color="FFFFFF" w:themeColor="background1"/>
              <w:bottom w:val="single" w:sz="12" w:space="0" w:color="000000" w:themeColor="text1"/>
              <w:right w:val="single" w:sz="4" w:space="0" w:color="FFFFFF"/>
            </w:tcBorders>
            <w:vAlign w:val="bottom"/>
          </w:tcPr>
          <w:p w14:paraId="37D26601" w14:textId="4651AA18" w:rsidR="000F1084" w:rsidRPr="001B1523" w:rsidRDefault="000F1084" w:rsidP="00646118">
            <w:pPr>
              <w:spacing w:line="240" w:lineRule="auto"/>
              <w:jc w:val="left"/>
              <w:rPr>
                <w:b/>
                <w:bCs/>
                <w:i/>
                <w:iCs/>
                <w:sz w:val="20"/>
                <w:szCs w:val="20"/>
              </w:rPr>
            </w:pPr>
            <w:r w:rsidRPr="001B1523">
              <w:rPr>
                <w:b/>
                <w:bCs/>
                <w:i/>
                <w:iCs/>
                <w:sz w:val="20"/>
                <w:szCs w:val="20"/>
              </w:rPr>
              <w:t>0.018</w:t>
            </w:r>
            <w:r w:rsidR="00B0165B" w:rsidRPr="001B1523">
              <w:rPr>
                <w:b/>
                <w:bCs/>
                <w:i/>
                <w:iCs/>
                <w:sz w:val="20"/>
                <w:szCs w:val="20"/>
              </w:rPr>
              <w:t>*</w:t>
            </w:r>
          </w:p>
        </w:tc>
      </w:tr>
      <w:tr w:rsidR="00A14F02" w:rsidRPr="001B1523" w14:paraId="71214081" w14:textId="77777777" w:rsidTr="00692358">
        <w:tc>
          <w:tcPr>
            <w:tcW w:w="8931" w:type="dxa"/>
            <w:gridSpan w:val="7"/>
            <w:tcBorders>
              <w:top w:val="single" w:sz="12" w:space="0" w:color="000000" w:themeColor="text1"/>
              <w:left w:val="nil"/>
              <w:bottom w:val="single" w:sz="12" w:space="0" w:color="FFFFFF"/>
              <w:right w:val="single" w:sz="4" w:space="0" w:color="FFFFFF"/>
            </w:tcBorders>
            <w:vAlign w:val="bottom"/>
          </w:tcPr>
          <w:p w14:paraId="7A5D876C" w14:textId="4F83CC7A" w:rsidR="00A14F02" w:rsidRPr="001B1523" w:rsidRDefault="004462EE" w:rsidP="0073517A">
            <w:pPr>
              <w:spacing w:line="240" w:lineRule="auto"/>
              <w:rPr>
                <w:sz w:val="20"/>
                <w:szCs w:val="20"/>
              </w:rPr>
            </w:pPr>
            <w:r w:rsidRPr="001B1523">
              <w:rPr>
                <w:rFonts w:eastAsia="Yu Mincho" w:cs="Arial"/>
                <w:sz w:val="20"/>
                <w:szCs w:val="20"/>
              </w:rPr>
              <w:t>Comparisons were done using</w:t>
            </w:r>
            <w:r w:rsidRPr="001B1523">
              <w:rPr>
                <w:sz w:val="20"/>
                <w:szCs w:val="20"/>
              </w:rPr>
              <w:t xml:space="preserve"> two-tailed</w:t>
            </w:r>
            <w:r w:rsidRPr="001B1523">
              <w:rPr>
                <w:rFonts w:eastAsia="Yu Mincho" w:cs="Arial"/>
                <w:sz w:val="20"/>
                <w:szCs w:val="20"/>
              </w:rPr>
              <w:t xml:space="preserve"> unpaired t-tests. </w:t>
            </w:r>
            <w:r w:rsidR="00A14F02" w:rsidRPr="001B1523">
              <w:rPr>
                <w:rFonts w:eastAsia="Yu Mincho" w:cs="Arial"/>
                <w:sz w:val="20"/>
                <w:szCs w:val="20"/>
              </w:rPr>
              <w:t>The values represent the mean (SD); *</w:t>
            </w:r>
            <w:r w:rsidR="00A14F02" w:rsidRPr="001B1523">
              <w:rPr>
                <w:rFonts w:eastAsia="Yu Mincho" w:cs="Arial"/>
                <w:i/>
                <w:iCs/>
                <w:sz w:val="20"/>
                <w:szCs w:val="20"/>
              </w:rPr>
              <w:t>p</w:t>
            </w:r>
            <w:r w:rsidR="00A14F02" w:rsidRPr="001B1523">
              <w:rPr>
                <w:rFonts w:eastAsia="Yu Mincho" w:cs="Arial"/>
                <w:sz w:val="20"/>
                <w:szCs w:val="20"/>
              </w:rPr>
              <w:t>&lt;0.05</w:t>
            </w:r>
          </w:p>
        </w:tc>
      </w:tr>
      <w:bookmarkEnd w:id="4"/>
    </w:tbl>
    <w:p w14:paraId="2425E7FE" w14:textId="77777777" w:rsidR="00A14F02" w:rsidRPr="001B1523" w:rsidRDefault="00A14F02" w:rsidP="00AC4E9D">
      <w:pPr>
        <w:spacing w:line="480" w:lineRule="auto"/>
      </w:pPr>
    </w:p>
    <w:p w14:paraId="1EB05EC9" w14:textId="026030FD" w:rsidR="00154DD0" w:rsidRPr="001B1523" w:rsidRDefault="00582D74" w:rsidP="00AC4E9D">
      <w:pPr>
        <w:spacing w:line="480" w:lineRule="auto"/>
        <w:rPr>
          <w:sz w:val="24"/>
          <w:szCs w:val="24"/>
        </w:rPr>
      </w:pPr>
      <w:r w:rsidRPr="001B1523">
        <w:rPr>
          <w:sz w:val="24"/>
          <w:szCs w:val="24"/>
        </w:rPr>
        <w:t xml:space="preserve">Flow cytometry was used to </w:t>
      </w:r>
      <w:r w:rsidR="00204B0E" w:rsidRPr="001B1523">
        <w:rPr>
          <w:sz w:val="24"/>
          <w:szCs w:val="24"/>
        </w:rPr>
        <w:t>measure</w:t>
      </w:r>
      <w:r w:rsidRPr="001B1523">
        <w:rPr>
          <w:sz w:val="24"/>
          <w:szCs w:val="24"/>
        </w:rPr>
        <w:t xml:space="preserve"> </w:t>
      </w:r>
      <w:r w:rsidR="00204B0E" w:rsidRPr="001B1523">
        <w:rPr>
          <w:sz w:val="24"/>
          <w:szCs w:val="24"/>
        </w:rPr>
        <w:t xml:space="preserve">the </w:t>
      </w:r>
      <w:r w:rsidRPr="001B1523">
        <w:rPr>
          <w:sz w:val="24"/>
          <w:szCs w:val="24"/>
        </w:rPr>
        <w:t>p</w:t>
      </w:r>
      <w:r w:rsidR="00204B0E" w:rsidRPr="001B1523">
        <w:rPr>
          <w:sz w:val="24"/>
          <w:szCs w:val="24"/>
        </w:rPr>
        <w:t xml:space="preserve">roportions </w:t>
      </w:r>
      <w:r w:rsidR="001C285D" w:rsidRPr="001B1523">
        <w:rPr>
          <w:sz w:val="24"/>
          <w:szCs w:val="24"/>
        </w:rPr>
        <w:t xml:space="preserve">of </w:t>
      </w:r>
      <w:r w:rsidR="00204B0E" w:rsidRPr="001B1523">
        <w:rPr>
          <w:sz w:val="24"/>
          <w:szCs w:val="24"/>
        </w:rPr>
        <w:t>relevant T cell</w:t>
      </w:r>
      <w:r w:rsidR="001C285D" w:rsidRPr="001B1523">
        <w:rPr>
          <w:sz w:val="24"/>
          <w:szCs w:val="24"/>
        </w:rPr>
        <w:t xml:space="preserve"> subsets</w:t>
      </w:r>
      <w:r w:rsidR="00204B0E" w:rsidRPr="001B1523">
        <w:rPr>
          <w:sz w:val="24"/>
          <w:szCs w:val="24"/>
        </w:rPr>
        <w:t xml:space="preserve"> within the lymphocyte population</w:t>
      </w:r>
      <w:r w:rsidR="001C285D" w:rsidRPr="001B1523">
        <w:rPr>
          <w:sz w:val="24"/>
          <w:szCs w:val="24"/>
        </w:rPr>
        <w:t xml:space="preserve">. Based on these percentages and the </w:t>
      </w:r>
      <w:r w:rsidR="00204B0E" w:rsidRPr="001B1523">
        <w:rPr>
          <w:sz w:val="24"/>
          <w:szCs w:val="24"/>
        </w:rPr>
        <w:t xml:space="preserve">total lymphocyte </w:t>
      </w:r>
      <w:r w:rsidR="001C285D" w:rsidRPr="001B1523">
        <w:rPr>
          <w:sz w:val="24"/>
          <w:szCs w:val="24"/>
        </w:rPr>
        <w:t>counts for each sample,</w:t>
      </w:r>
      <w:r w:rsidR="00365A6C" w:rsidRPr="001B1523">
        <w:rPr>
          <w:sz w:val="24"/>
          <w:szCs w:val="24"/>
        </w:rPr>
        <w:t xml:space="preserve"> the</w:t>
      </w:r>
      <w:r w:rsidR="001C285D" w:rsidRPr="001B1523">
        <w:rPr>
          <w:sz w:val="24"/>
          <w:szCs w:val="24"/>
        </w:rPr>
        <w:t xml:space="preserve"> </w:t>
      </w:r>
      <w:r w:rsidRPr="001B1523">
        <w:rPr>
          <w:sz w:val="24"/>
          <w:szCs w:val="24"/>
        </w:rPr>
        <w:t>absolute</w:t>
      </w:r>
      <w:r w:rsidR="001C285D" w:rsidRPr="001B1523">
        <w:rPr>
          <w:sz w:val="24"/>
          <w:szCs w:val="24"/>
        </w:rPr>
        <w:t xml:space="preserve"> number</w:t>
      </w:r>
      <w:r w:rsidR="00204B0E" w:rsidRPr="001B1523">
        <w:rPr>
          <w:sz w:val="24"/>
          <w:szCs w:val="24"/>
        </w:rPr>
        <w:t xml:space="preserve"> of cell </w:t>
      </w:r>
      <w:r w:rsidR="001C285D" w:rsidRPr="001B1523">
        <w:rPr>
          <w:sz w:val="24"/>
          <w:szCs w:val="24"/>
        </w:rPr>
        <w:t>subsets</w:t>
      </w:r>
      <w:r w:rsidRPr="001B1523">
        <w:rPr>
          <w:sz w:val="24"/>
          <w:szCs w:val="24"/>
        </w:rPr>
        <w:t xml:space="preserve"> </w:t>
      </w:r>
      <w:r w:rsidR="001C285D" w:rsidRPr="001B1523">
        <w:rPr>
          <w:sz w:val="24"/>
          <w:szCs w:val="24"/>
        </w:rPr>
        <w:t>w</w:t>
      </w:r>
      <w:r w:rsidR="00CE1ABC" w:rsidRPr="001B1523">
        <w:rPr>
          <w:sz w:val="24"/>
          <w:szCs w:val="24"/>
        </w:rPr>
        <w:t>as</w:t>
      </w:r>
      <w:r w:rsidR="001C285D" w:rsidRPr="001B1523">
        <w:rPr>
          <w:sz w:val="24"/>
          <w:szCs w:val="24"/>
        </w:rPr>
        <w:t xml:space="preserve"> calculated </w:t>
      </w:r>
      <w:r w:rsidR="00AA2E24" w:rsidRPr="001B1523">
        <w:rPr>
          <w:sz w:val="24"/>
          <w:szCs w:val="24"/>
        </w:rPr>
        <w:t>(Table 3</w:t>
      </w:r>
      <w:r w:rsidR="00E5211A" w:rsidRPr="001B1523">
        <w:rPr>
          <w:sz w:val="24"/>
          <w:szCs w:val="24"/>
        </w:rPr>
        <w:t xml:space="preserve">, </w:t>
      </w:r>
      <w:r w:rsidR="00E5211A" w:rsidRPr="001B1523">
        <w:rPr>
          <w:sz w:val="24"/>
          <w:szCs w:val="24"/>
        </w:rPr>
        <w:lastRenderedPageBreak/>
        <w:t>Fig. 1</w:t>
      </w:r>
      <w:r w:rsidR="00AA2E24" w:rsidRPr="001B1523">
        <w:rPr>
          <w:sz w:val="24"/>
          <w:szCs w:val="24"/>
        </w:rPr>
        <w:t>)</w:t>
      </w:r>
      <w:r w:rsidRPr="001B1523">
        <w:rPr>
          <w:sz w:val="24"/>
          <w:szCs w:val="24"/>
        </w:rPr>
        <w:t>.</w:t>
      </w:r>
      <w:r w:rsidR="00365A6C" w:rsidRPr="001B1523">
        <w:rPr>
          <w:sz w:val="24"/>
          <w:szCs w:val="24"/>
        </w:rPr>
        <w:t xml:space="preserve"> All subsequent </w:t>
      </w:r>
      <w:r w:rsidR="008108CA" w:rsidRPr="001B1523">
        <w:rPr>
          <w:sz w:val="24"/>
          <w:szCs w:val="24"/>
        </w:rPr>
        <w:t>results refer to absolute counts only.</w:t>
      </w:r>
      <w:r w:rsidRPr="001B1523">
        <w:rPr>
          <w:sz w:val="24"/>
          <w:szCs w:val="24"/>
        </w:rPr>
        <w:t xml:space="preserve"> </w:t>
      </w:r>
      <w:r w:rsidR="00204B0E" w:rsidRPr="001B1523">
        <w:rPr>
          <w:sz w:val="24"/>
          <w:szCs w:val="24"/>
        </w:rPr>
        <w:t xml:space="preserve">There was </w:t>
      </w:r>
      <w:r w:rsidR="00AF49C7" w:rsidRPr="001B1523">
        <w:rPr>
          <w:sz w:val="24"/>
          <w:szCs w:val="24"/>
        </w:rPr>
        <w:t>a significant reduction in the absolute number of CD8</w:t>
      </w:r>
      <w:r w:rsidR="00AF49C7" w:rsidRPr="001B1523">
        <w:rPr>
          <w:sz w:val="24"/>
          <w:szCs w:val="24"/>
          <w:vertAlign w:val="superscript"/>
        </w:rPr>
        <w:t>+</w:t>
      </w:r>
      <w:r w:rsidR="00AF49C7" w:rsidRPr="001B1523">
        <w:rPr>
          <w:sz w:val="24"/>
          <w:szCs w:val="24"/>
        </w:rPr>
        <w:t xml:space="preserve"> TEMRA cells in patients compared to controls (</w:t>
      </w:r>
      <w:r w:rsidR="00AF49C7" w:rsidRPr="001B1523">
        <w:rPr>
          <w:i/>
          <w:iCs/>
          <w:sz w:val="24"/>
          <w:szCs w:val="24"/>
        </w:rPr>
        <w:t>p</w:t>
      </w:r>
      <w:r w:rsidR="00AF49C7" w:rsidRPr="001B1523">
        <w:rPr>
          <w:sz w:val="24"/>
          <w:szCs w:val="24"/>
        </w:rPr>
        <w:t>=0.0</w:t>
      </w:r>
      <w:r w:rsidR="00F24849" w:rsidRPr="001B1523">
        <w:rPr>
          <w:sz w:val="24"/>
          <w:szCs w:val="24"/>
        </w:rPr>
        <w:t>19</w:t>
      </w:r>
      <w:r w:rsidR="0069742E" w:rsidRPr="001B1523">
        <w:rPr>
          <w:sz w:val="24"/>
          <w:szCs w:val="24"/>
        </w:rPr>
        <w:t xml:space="preserve">). </w:t>
      </w:r>
      <w:r w:rsidR="00AF49C7" w:rsidRPr="001B1523">
        <w:rPr>
          <w:sz w:val="24"/>
          <w:szCs w:val="24"/>
        </w:rPr>
        <w:t>A similar trend was observed in</w:t>
      </w:r>
      <w:r w:rsidR="005668F9" w:rsidRPr="001B1523">
        <w:rPr>
          <w:sz w:val="24"/>
          <w:szCs w:val="24"/>
        </w:rPr>
        <w:t xml:space="preserve"> the number of</w:t>
      </w:r>
      <w:r w:rsidR="00AF49C7" w:rsidRPr="001B1523">
        <w:rPr>
          <w:sz w:val="24"/>
          <w:szCs w:val="24"/>
        </w:rPr>
        <w:t xml:space="preserve"> </w:t>
      </w:r>
      <w:r w:rsidR="005668F9" w:rsidRPr="001B1523">
        <w:rPr>
          <w:sz w:val="24"/>
          <w:szCs w:val="24"/>
        </w:rPr>
        <w:t xml:space="preserve">senescent </w:t>
      </w:r>
      <w:r w:rsidR="00AF49C7" w:rsidRPr="001B1523">
        <w:rPr>
          <w:sz w:val="24"/>
          <w:szCs w:val="24"/>
        </w:rPr>
        <w:t>CD8</w:t>
      </w:r>
      <w:r w:rsidR="00AF49C7" w:rsidRPr="001B1523">
        <w:rPr>
          <w:sz w:val="24"/>
          <w:szCs w:val="24"/>
          <w:vertAlign w:val="superscript"/>
        </w:rPr>
        <w:t>+</w:t>
      </w:r>
      <w:r w:rsidR="00FF7366" w:rsidRPr="001B1523">
        <w:rPr>
          <w:sz w:val="24"/>
          <w:szCs w:val="24"/>
        </w:rPr>
        <w:t xml:space="preserve"> </w:t>
      </w:r>
      <w:r w:rsidR="005668F9" w:rsidRPr="001B1523">
        <w:rPr>
          <w:sz w:val="24"/>
          <w:szCs w:val="24"/>
        </w:rPr>
        <w:t>CD28</w:t>
      </w:r>
      <w:r w:rsidR="005668F9" w:rsidRPr="001B1523">
        <w:rPr>
          <w:sz w:val="24"/>
          <w:szCs w:val="24"/>
          <w:vertAlign w:val="superscript"/>
        </w:rPr>
        <w:t>lo</w:t>
      </w:r>
      <w:r w:rsidR="005668F9" w:rsidRPr="001B1523">
        <w:rPr>
          <w:sz w:val="24"/>
          <w:szCs w:val="24"/>
        </w:rPr>
        <w:t>CD57</w:t>
      </w:r>
      <w:r w:rsidR="005668F9" w:rsidRPr="001B1523">
        <w:rPr>
          <w:sz w:val="24"/>
          <w:szCs w:val="24"/>
          <w:vertAlign w:val="superscript"/>
        </w:rPr>
        <w:t>hi</w:t>
      </w:r>
      <w:r w:rsidR="005668F9" w:rsidRPr="001B1523">
        <w:rPr>
          <w:sz w:val="24"/>
          <w:szCs w:val="24"/>
        </w:rPr>
        <w:t xml:space="preserve"> </w:t>
      </w:r>
      <w:r w:rsidR="00AF49C7" w:rsidRPr="001B1523">
        <w:rPr>
          <w:sz w:val="24"/>
          <w:szCs w:val="24"/>
        </w:rPr>
        <w:t>cells</w:t>
      </w:r>
      <w:r w:rsidR="005668F9" w:rsidRPr="001B1523">
        <w:rPr>
          <w:sz w:val="24"/>
          <w:szCs w:val="24"/>
        </w:rPr>
        <w:t>,</w:t>
      </w:r>
      <w:r w:rsidR="00AF49C7" w:rsidRPr="001B1523">
        <w:rPr>
          <w:sz w:val="24"/>
          <w:szCs w:val="24"/>
        </w:rPr>
        <w:t xml:space="preserve"> though this</w:t>
      </w:r>
      <w:r w:rsidR="005668F9" w:rsidRPr="001B1523">
        <w:rPr>
          <w:sz w:val="24"/>
          <w:szCs w:val="24"/>
        </w:rPr>
        <w:t xml:space="preserve"> did</w:t>
      </w:r>
      <w:r w:rsidR="00AF49C7" w:rsidRPr="001B1523">
        <w:rPr>
          <w:sz w:val="24"/>
          <w:szCs w:val="24"/>
        </w:rPr>
        <w:t xml:space="preserve"> not</w:t>
      </w:r>
      <w:r w:rsidR="001C285D" w:rsidRPr="001B1523">
        <w:rPr>
          <w:sz w:val="24"/>
          <w:szCs w:val="24"/>
        </w:rPr>
        <w:t xml:space="preserve"> reach</w:t>
      </w:r>
      <w:r w:rsidR="00AF49C7" w:rsidRPr="001B1523">
        <w:rPr>
          <w:sz w:val="24"/>
          <w:szCs w:val="24"/>
        </w:rPr>
        <w:t xml:space="preserve"> significan</w:t>
      </w:r>
      <w:r w:rsidR="005668F9" w:rsidRPr="001B1523">
        <w:rPr>
          <w:sz w:val="24"/>
          <w:szCs w:val="24"/>
        </w:rPr>
        <w:t xml:space="preserve">ce </w:t>
      </w:r>
      <w:r w:rsidR="00AF49C7" w:rsidRPr="001B1523">
        <w:rPr>
          <w:sz w:val="24"/>
          <w:szCs w:val="24"/>
        </w:rPr>
        <w:t>(</w:t>
      </w:r>
      <w:r w:rsidR="00AF49C7" w:rsidRPr="001B1523">
        <w:rPr>
          <w:i/>
          <w:iCs/>
          <w:sz w:val="24"/>
          <w:szCs w:val="24"/>
        </w:rPr>
        <w:t>p</w:t>
      </w:r>
      <w:r w:rsidR="00AF49C7" w:rsidRPr="001B1523">
        <w:rPr>
          <w:sz w:val="24"/>
          <w:szCs w:val="24"/>
        </w:rPr>
        <w:t>=0.08</w:t>
      </w:r>
      <w:r w:rsidR="005668F9" w:rsidRPr="001B1523">
        <w:rPr>
          <w:sz w:val="24"/>
          <w:szCs w:val="24"/>
        </w:rPr>
        <w:t>7</w:t>
      </w:r>
      <w:r w:rsidR="00AF49C7" w:rsidRPr="001B1523">
        <w:rPr>
          <w:sz w:val="24"/>
          <w:szCs w:val="24"/>
        </w:rPr>
        <w:t>)</w:t>
      </w:r>
      <w:r w:rsidR="004C0843" w:rsidRPr="001B1523">
        <w:rPr>
          <w:sz w:val="24"/>
          <w:szCs w:val="24"/>
        </w:rPr>
        <w:t xml:space="preserve"> (Fig</w:t>
      </w:r>
      <w:r w:rsidR="00E5211A" w:rsidRPr="001B1523">
        <w:rPr>
          <w:sz w:val="24"/>
          <w:szCs w:val="24"/>
        </w:rPr>
        <w:t>.</w:t>
      </w:r>
      <w:r w:rsidR="004C0843" w:rsidRPr="001B1523">
        <w:rPr>
          <w:sz w:val="24"/>
          <w:szCs w:val="24"/>
        </w:rPr>
        <w:t xml:space="preserve"> 1</w:t>
      </w:r>
      <w:r w:rsidR="00E5211A" w:rsidRPr="001B1523">
        <w:rPr>
          <w:sz w:val="24"/>
          <w:szCs w:val="24"/>
        </w:rPr>
        <w:t>B</w:t>
      </w:r>
      <w:r w:rsidR="004C0843" w:rsidRPr="001B1523">
        <w:rPr>
          <w:sz w:val="24"/>
          <w:szCs w:val="24"/>
        </w:rPr>
        <w:t>)</w:t>
      </w:r>
      <w:r w:rsidR="00592FC1" w:rsidRPr="001B1523">
        <w:rPr>
          <w:sz w:val="24"/>
          <w:szCs w:val="24"/>
        </w:rPr>
        <w:t>.</w:t>
      </w:r>
      <w:r w:rsidR="00B8788B" w:rsidRPr="001B1523">
        <w:rPr>
          <w:sz w:val="24"/>
          <w:szCs w:val="24"/>
        </w:rPr>
        <w:t xml:space="preserve"> </w:t>
      </w:r>
      <w:r w:rsidR="00A860D5" w:rsidRPr="001B1523">
        <w:rPr>
          <w:sz w:val="24"/>
          <w:szCs w:val="24"/>
        </w:rPr>
        <w:t>CD8</w:t>
      </w:r>
      <w:r w:rsidR="00A860D5" w:rsidRPr="001B1523">
        <w:rPr>
          <w:sz w:val="24"/>
          <w:szCs w:val="24"/>
          <w:vertAlign w:val="superscript"/>
        </w:rPr>
        <w:t>+</w:t>
      </w:r>
      <w:r w:rsidR="00A860D5" w:rsidRPr="001B1523">
        <w:rPr>
          <w:sz w:val="24"/>
          <w:szCs w:val="24"/>
        </w:rPr>
        <w:t xml:space="preserve"> TEMRA and CD8</w:t>
      </w:r>
      <w:r w:rsidR="00A860D5" w:rsidRPr="001B1523">
        <w:rPr>
          <w:sz w:val="24"/>
          <w:szCs w:val="24"/>
          <w:vertAlign w:val="superscript"/>
        </w:rPr>
        <w:t>+</w:t>
      </w:r>
      <w:r w:rsidR="00A860D5" w:rsidRPr="001B1523">
        <w:rPr>
          <w:sz w:val="24"/>
          <w:szCs w:val="24"/>
        </w:rPr>
        <w:t xml:space="preserve"> </w:t>
      </w:r>
      <w:r w:rsidR="00F61B74" w:rsidRPr="001B1523">
        <w:rPr>
          <w:sz w:val="24"/>
          <w:szCs w:val="24"/>
        </w:rPr>
        <w:t>CD28</w:t>
      </w:r>
      <w:r w:rsidR="00F61B74" w:rsidRPr="001B1523">
        <w:rPr>
          <w:sz w:val="24"/>
          <w:szCs w:val="24"/>
          <w:vertAlign w:val="superscript"/>
        </w:rPr>
        <w:t>lo</w:t>
      </w:r>
      <w:r w:rsidR="00A860D5" w:rsidRPr="001B1523">
        <w:rPr>
          <w:sz w:val="24"/>
          <w:szCs w:val="24"/>
        </w:rPr>
        <w:t>57</w:t>
      </w:r>
      <w:r w:rsidR="00A860D5" w:rsidRPr="001B1523">
        <w:rPr>
          <w:sz w:val="24"/>
          <w:szCs w:val="24"/>
          <w:vertAlign w:val="superscript"/>
        </w:rPr>
        <w:t>hi</w:t>
      </w:r>
      <w:r w:rsidR="00A860D5" w:rsidRPr="001B1523">
        <w:rPr>
          <w:sz w:val="24"/>
          <w:szCs w:val="24"/>
        </w:rPr>
        <w:t xml:space="preserve"> cell counts were closely correlated</w:t>
      </w:r>
      <w:r w:rsidR="00BC14C0" w:rsidRPr="001B1523">
        <w:rPr>
          <w:sz w:val="24"/>
          <w:szCs w:val="24"/>
        </w:rPr>
        <w:t xml:space="preserve"> in PD</w:t>
      </w:r>
      <w:r w:rsidR="00F333C4" w:rsidRPr="001B1523">
        <w:rPr>
          <w:sz w:val="24"/>
          <w:szCs w:val="24"/>
        </w:rPr>
        <w:t xml:space="preserve"> patients</w:t>
      </w:r>
      <w:r w:rsidR="00A860D5" w:rsidRPr="001B1523">
        <w:rPr>
          <w:sz w:val="24"/>
          <w:szCs w:val="24"/>
        </w:rPr>
        <w:t xml:space="preserve"> (</w:t>
      </w:r>
      <w:r w:rsidR="00555674" w:rsidRPr="001B1523">
        <w:rPr>
          <w:sz w:val="24"/>
          <w:szCs w:val="24"/>
        </w:rPr>
        <w:t>Pearson r=0.</w:t>
      </w:r>
      <w:r w:rsidR="00114862" w:rsidRPr="001B1523">
        <w:rPr>
          <w:sz w:val="24"/>
          <w:szCs w:val="24"/>
        </w:rPr>
        <w:t>766</w:t>
      </w:r>
      <w:r w:rsidR="00555674" w:rsidRPr="001B1523">
        <w:rPr>
          <w:sz w:val="24"/>
          <w:szCs w:val="24"/>
        </w:rPr>
        <w:t xml:space="preserve">, </w:t>
      </w:r>
      <w:r w:rsidR="00555674" w:rsidRPr="001B1523">
        <w:rPr>
          <w:i/>
          <w:iCs/>
          <w:sz w:val="24"/>
          <w:szCs w:val="24"/>
        </w:rPr>
        <w:t>p</w:t>
      </w:r>
      <w:r w:rsidR="00555674" w:rsidRPr="001B1523">
        <w:rPr>
          <w:sz w:val="24"/>
          <w:szCs w:val="24"/>
        </w:rPr>
        <w:t>&lt;0.0</w:t>
      </w:r>
      <w:r w:rsidR="00AF0739" w:rsidRPr="001B1523">
        <w:rPr>
          <w:sz w:val="24"/>
          <w:szCs w:val="24"/>
        </w:rPr>
        <w:t>0</w:t>
      </w:r>
      <w:r w:rsidR="00555674" w:rsidRPr="001B1523">
        <w:rPr>
          <w:sz w:val="24"/>
          <w:szCs w:val="24"/>
        </w:rPr>
        <w:t>1</w:t>
      </w:r>
      <w:r w:rsidR="00A860D5" w:rsidRPr="001B1523">
        <w:rPr>
          <w:sz w:val="24"/>
          <w:szCs w:val="24"/>
        </w:rPr>
        <w:t>)</w:t>
      </w:r>
      <w:r w:rsidR="00BC14C0" w:rsidRPr="001B1523">
        <w:rPr>
          <w:sz w:val="24"/>
          <w:szCs w:val="24"/>
        </w:rPr>
        <w:t xml:space="preserve"> as well as in controls (Pearson r=0.</w:t>
      </w:r>
      <w:r w:rsidR="00114862" w:rsidRPr="001B1523">
        <w:rPr>
          <w:sz w:val="24"/>
          <w:szCs w:val="24"/>
        </w:rPr>
        <w:t>769</w:t>
      </w:r>
      <w:r w:rsidR="00BC14C0" w:rsidRPr="001B1523">
        <w:rPr>
          <w:sz w:val="24"/>
          <w:szCs w:val="24"/>
        </w:rPr>
        <w:t xml:space="preserve">, </w:t>
      </w:r>
      <w:r w:rsidR="00114862" w:rsidRPr="001B1523">
        <w:rPr>
          <w:i/>
          <w:iCs/>
          <w:sz w:val="24"/>
          <w:szCs w:val="24"/>
        </w:rPr>
        <w:t>p</w:t>
      </w:r>
      <w:r w:rsidR="00114862" w:rsidRPr="001B1523">
        <w:rPr>
          <w:sz w:val="24"/>
          <w:szCs w:val="24"/>
        </w:rPr>
        <w:t>&lt;0.001</w:t>
      </w:r>
      <w:r w:rsidR="00BC14C0" w:rsidRPr="001B1523">
        <w:rPr>
          <w:sz w:val="24"/>
          <w:szCs w:val="24"/>
        </w:rPr>
        <w:t>)</w:t>
      </w:r>
      <w:r w:rsidR="00A860D5" w:rsidRPr="001B1523">
        <w:rPr>
          <w:sz w:val="24"/>
          <w:szCs w:val="24"/>
        </w:rPr>
        <w:t xml:space="preserve">. </w:t>
      </w:r>
      <w:r w:rsidR="00215C5E" w:rsidRPr="001B1523">
        <w:rPr>
          <w:sz w:val="24"/>
          <w:szCs w:val="24"/>
        </w:rPr>
        <w:t>There were no differences in CD4</w:t>
      </w:r>
      <w:r w:rsidR="00215C5E" w:rsidRPr="001B1523">
        <w:rPr>
          <w:sz w:val="24"/>
          <w:szCs w:val="24"/>
          <w:vertAlign w:val="superscript"/>
        </w:rPr>
        <w:t>+</w:t>
      </w:r>
      <w:r w:rsidR="00215C5E" w:rsidRPr="001B1523">
        <w:rPr>
          <w:sz w:val="24"/>
          <w:szCs w:val="24"/>
        </w:rPr>
        <w:t xml:space="preserve"> subsets between PD patients and controls.</w:t>
      </w:r>
    </w:p>
    <w:p w14:paraId="292B2725" w14:textId="77777777" w:rsidR="00AC4E9D" w:rsidRPr="001B1523" w:rsidRDefault="00AC4E9D" w:rsidP="00AC4E9D">
      <w:pPr>
        <w:spacing w:line="480" w:lineRule="auto"/>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11"/>
        <w:gridCol w:w="1275"/>
        <w:gridCol w:w="1275"/>
        <w:gridCol w:w="772"/>
        <w:gridCol w:w="1513"/>
        <w:gridCol w:w="1434"/>
        <w:gridCol w:w="936"/>
      </w:tblGrid>
      <w:tr w:rsidR="00C67946" w:rsidRPr="001B1523" w14:paraId="49BDFA60" w14:textId="77777777" w:rsidTr="00C67946">
        <w:trPr>
          <w:trHeight w:val="57"/>
        </w:trPr>
        <w:tc>
          <w:tcPr>
            <w:tcW w:w="9016" w:type="dxa"/>
            <w:gridSpan w:val="7"/>
            <w:vAlign w:val="center"/>
          </w:tcPr>
          <w:p w14:paraId="409FB3B5" w14:textId="3455533A" w:rsidR="00C67946" w:rsidRPr="001B1523" w:rsidRDefault="00C67946" w:rsidP="00C67946">
            <w:pPr>
              <w:spacing w:line="240" w:lineRule="auto"/>
              <w:jc w:val="left"/>
              <w:rPr>
                <w:rFonts w:cs="Arial"/>
                <w:sz w:val="20"/>
                <w:szCs w:val="20"/>
              </w:rPr>
            </w:pPr>
            <w:r w:rsidRPr="001B1523">
              <w:rPr>
                <w:rFonts w:cs="Arial"/>
                <w:b/>
                <w:bCs/>
                <w:sz w:val="20"/>
                <w:szCs w:val="20"/>
              </w:rPr>
              <w:t xml:space="preserve">Table 3. </w:t>
            </w:r>
            <w:r w:rsidR="008505BE" w:rsidRPr="001B1523">
              <w:rPr>
                <w:rFonts w:cs="Arial"/>
                <w:b/>
                <w:bCs/>
                <w:sz w:val="20"/>
                <w:szCs w:val="20"/>
              </w:rPr>
              <w:t>CD4</w:t>
            </w:r>
            <w:r w:rsidR="008505BE" w:rsidRPr="001B1523">
              <w:rPr>
                <w:rFonts w:cs="Arial"/>
                <w:b/>
                <w:bCs/>
                <w:sz w:val="20"/>
                <w:szCs w:val="20"/>
                <w:vertAlign w:val="superscript"/>
              </w:rPr>
              <w:t>+</w:t>
            </w:r>
            <w:r w:rsidR="008505BE" w:rsidRPr="001B1523">
              <w:rPr>
                <w:rFonts w:cs="Arial"/>
                <w:b/>
                <w:bCs/>
                <w:sz w:val="20"/>
                <w:szCs w:val="20"/>
              </w:rPr>
              <w:t xml:space="preserve"> and CD8</w:t>
            </w:r>
            <w:r w:rsidR="008505BE" w:rsidRPr="001B1523">
              <w:rPr>
                <w:rFonts w:cs="Arial"/>
                <w:b/>
                <w:bCs/>
                <w:sz w:val="20"/>
                <w:szCs w:val="20"/>
                <w:vertAlign w:val="superscript"/>
              </w:rPr>
              <w:t>+</w:t>
            </w:r>
            <w:r w:rsidR="008505BE" w:rsidRPr="001B1523">
              <w:rPr>
                <w:rFonts w:cs="Arial"/>
                <w:b/>
                <w:bCs/>
                <w:sz w:val="20"/>
                <w:szCs w:val="20"/>
              </w:rPr>
              <w:t xml:space="preserve"> T</w:t>
            </w:r>
            <w:r w:rsidRPr="001B1523">
              <w:rPr>
                <w:rFonts w:cs="Arial"/>
                <w:b/>
                <w:bCs/>
                <w:sz w:val="20"/>
                <w:szCs w:val="20"/>
              </w:rPr>
              <w:t xml:space="preserve"> lymphocyte subsets</w:t>
            </w:r>
          </w:p>
        </w:tc>
      </w:tr>
      <w:tr w:rsidR="00C67946" w:rsidRPr="001B1523" w14:paraId="3F8A1F2A" w14:textId="77777777" w:rsidTr="00C67946">
        <w:trPr>
          <w:trHeight w:val="57"/>
        </w:trPr>
        <w:tc>
          <w:tcPr>
            <w:tcW w:w="1811" w:type="dxa"/>
            <w:tcBorders>
              <w:top w:val="single" w:sz="12" w:space="0" w:color="auto"/>
              <w:bottom w:val="single" w:sz="4" w:space="0" w:color="auto"/>
              <w:right w:val="single" w:sz="4" w:space="0" w:color="auto"/>
            </w:tcBorders>
            <w:vAlign w:val="center"/>
          </w:tcPr>
          <w:p w14:paraId="183B03A1" w14:textId="77777777" w:rsidR="00C67946" w:rsidRPr="001B1523" w:rsidRDefault="00C67946" w:rsidP="00C67946">
            <w:pPr>
              <w:spacing w:line="240" w:lineRule="auto"/>
              <w:jc w:val="left"/>
              <w:rPr>
                <w:rFonts w:cs="Arial"/>
                <w:sz w:val="20"/>
                <w:szCs w:val="20"/>
              </w:rPr>
            </w:pPr>
          </w:p>
        </w:tc>
        <w:tc>
          <w:tcPr>
            <w:tcW w:w="3322" w:type="dxa"/>
            <w:gridSpan w:val="3"/>
            <w:tcBorders>
              <w:top w:val="single" w:sz="12" w:space="0" w:color="auto"/>
              <w:left w:val="single" w:sz="4" w:space="0" w:color="auto"/>
              <w:bottom w:val="single" w:sz="4" w:space="0" w:color="auto"/>
              <w:right w:val="single" w:sz="4" w:space="0" w:color="auto"/>
            </w:tcBorders>
            <w:vAlign w:val="center"/>
          </w:tcPr>
          <w:p w14:paraId="2B06E74B" w14:textId="77777777" w:rsidR="00C67946" w:rsidRPr="001B1523" w:rsidRDefault="00C67946" w:rsidP="00991684">
            <w:pPr>
              <w:spacing w:line="240" w:lineRule="auto"/>
              <w:jc w:val="center"/>
              <w:rPr>
                <w:rFonts w:cs="Arial"/>
                <w:sz w:val="20"/>
                <w:szCs w:val="20"/>
              </w:rPr>
            </w:pPr>
            <w:r w:rsidRPr="001B1523">
              <w:rPr>
                <w:rFonts w:cs="Arial"/>
                <w:sz w:val="20"/>
                <w:szCs w:val="20"/>
              </w:rPr>
              <w:t>% of total lymphocytes</w:t>
            </w:r>
          </w:p>
        </w:tc>
        <w:tc>
          <w:tcPr>
            <w:tcW w:w="3883" w:type="dxa"/>
            <w:gridSpan w:val="3"/>
            <w:tcBorders>
              <w:top w:val="single" w:sz="12" w:space="0" w:color="auto"/>
              <w:left w:val="single" w:sz="4" w:space="0" w:color="auto"/>
            </w:tcBorders>
            <w:vAlign w:val="center"/>
          </w:tcPr>
          <w:p w14:paraId="42E3FDBD" w14:textId="77777777" w:rsidR="00C67946" w:rsidRPr="001B1523" w:rsidRDefault="00C67946" w:rsidP="00991684">
            <w:pPr>
              <w:spacing w:line="240" w:lineRule="auto"/>
              <w:jc w:val="center"/>
              <w:rPr>
                <w:rFonts w:cs="Arial"/>
                <w:sz w:val="20"/>
                <w:szCs w:val="20"/>
              </w:rPr>
            </w:pPr>
            <w:r w:rsidRPr="001B1523">
              <w:rPr>
                <w:rFonts w:cs="Arial"/>
                <w:sz w:val="20"/>
                <w:szCs w:val="20"/>
              </w:rPr>
              <w:t>Absolute cell count - cells x 10</w:t>
            </w:r>
            <w:r w:rsidRPr="001B1523">
              <w:rPr>
                <w:rFonts w:cs="Arial"/>
                <w:sz w:val="20"/>
                <w:szCs w:val="20"/>
                <w:vertAlign w:val="superscript"/>
              </w:rPr>
              <w:t>9</w:t>
            </w:r>
            <w:r w:rsidRPr="001B1523">
              <w:rPr>
                <w:rFonts w:cs="Arial"/>
                <w:sz w:val="20"/>
                <w:szCs w:val="20"/>
              </w:rPr>
              <w:t>/L</w:t>
            </w:r>
          </w:p>
        </w:tc>
      </w:tr>
      <w:tr w:rsidR="00C67946" w:rsidRPr="001B1523" w14:paraId="265615D9" w14:textId="77777777" w:rsidTr="009F39D7">
        <w:trPr>
          <w:trHeight w:val="57"/>
        </w:trPr>
        <w:tc>
          <w:tcPr>
            <w:tcW w:w="1811" w:type="dxa"/>
            <w:tcBorders>
              <w:top w:val="single" w:sz="4" w:space="0" w:color="auto"/>
              <w:right w:val="single" w:sz="4" w:space="0" w:color="auto"/>
            </w:tcBorders>
            <w:vAlign w:val="center"/>
          </w:tcPr>
          <w:p w14:paraId="30DA707D" w14:textId="77777777" w:rsidR="00C67946" w:rsidRPr="001B1523" w:rsidRDefault="00C67946" w:rsidP="00C67946">
            <w:pPr>
              <w:spacing w:line="240" w:lineRule="auto"/>
              <w:jc w:val="left"/>
              <w:rPr>
                <w:rFonts w:cs="Arial"/>
                <w:sz w:val="20"/>
                <w:szCs w:val="20"/>
              </w:rPr>
            </w:pPr>
          </w:p>
        </w:tc>
        <w:tc>
          <w:tcPr>
            <w:tcW w:w="1275" w:type="dxa"/>
            <w:tcBorders>
              <w:top w:val="single" w:sz="4" w:space="0" w:color="auto"/>
              <w:left w:val="single" w:sz="4" w:space="0" w:color="auto"/>
            </w:tcBorders>
            <w:vAlign w:val="center"/>
          </w:tcPr>
          <w:p w14:paraId="471A4A45" w14:textId="77777777" w:rsidR="00C67946" w:rsidRPr="001B1523" w:rsidRDefault="00C67946" w:rsidP="00C67946">
            <w:pPr>
              <w:spacing w:line="240" w:lineRule="auto"/>
              <w:jc w:val="left"/>
              <w:rPr>
                <w:rFonts w:cs="Arial"/>
                <w:sz w:val="20"/>
                <w:szCs w:val="20"/>
              </w:rPr>
            </w:pPr>
            <w:r w:rsidRPr="001B1523">
              <w:rPr>
                <w:rFonts w:cs="Arial"/>
                <w:sz w:val="20"/>
                <w:szCs w:val="20"/>
              </w:rPr>
              <w:t>Control</w:t>
            </w:r>
          </w:p>
        </w:tc>
        <w:tc>
          <w:tcPr>
            <w:tcW w:w="1275" w:type="dxa"/>
            <w:tcBorders>
              <w:top w:val="single" w:sz="4" w:space="0" w:color="auto"/>
            </w:tcBorders>
            <w:vAlign w:val="center"/>
          </w:tcPr>
          <w:p w14:paraId="56A01142" w14:textId="77777777" w:rsidR="00C67946" w:rsidRPr="001B1523" w:rsidRDefault="00C67946" w:rsidP="00C67946">
            <w:pPr>
              <w:spacing w:line="240" w:lineRule="auto"/>
              <w:jc w:val="left"/>
              <w:rPr>
                <w:rFonts w:cs="Arial"/>
                <w:sz w:val="20"/>
                <w:szCs w:val="20"/>
              </w:rPr>
            </w:pPr>
            <w:r w:rsidRPr="001B1523">
              <w:rPr>
                <w:rFonts w:cs="Arial"/>
                <w:sz w:val="20"/>
                <w:szCs w:val="20"/>
              </w:rPr>
              <w:t>PD</w:t>
            </w:r>
          </w:p>
        </w:tc>
        <w:tc>
          <w:tcPr>
            <w:tcW w:w="772" w:type="dxa"/>
            <w:tcBorders>
              <w:top w:val="single" w:sz="4" w:space="0" w:color="auto"/>
              <w:right w:val="single" w:sz="4" w:space="0" w:color="auto"/>
            </w:tcBorders>
            <w:vAlign w:val="center"/>
          </w:tcPr>
          <w:p w14:paraId="55C2E2CC" w14:textId="77777777" w:rsidR="00C67946" w:rsidRPr="001B1523" w:rsidRDefault="00C67946" w:rsidP="00C67946">
            <w:pPr>
              <w:spacing w:line="240" w:lineRule="auto"/>
              <w:jc w:val="left"/>
              <w:rPr>
                <w:rFonts w:cs="Arial"/>
                <w:sz w:val="20"/>
                <w:szCs w:val="20"/>
              </w:rPr>
            </w:pPr>
            <w:r w:rsidRPr="001B1523">
              <w:rPr>
                <w:rFonts w:cs="Arial"/>
                <w:i/>
                <w:iCs/>
                <w:sz w:val="20"/>
                <w:szCs w:val="20"/>
              </w:rPr>
              <w:t>p</w:t>
            </w:r>
          </w:p>
        </w:tc>
        <w:tc>
          <w:tcPr>
            <w:tcW w:w="1513" w:type="dxa"/>
            <w:tcBorders>
              <w:top w:val="single" w:sz="4" w:space="0" w:color="auto"/>
              <w:left w:val="single" w:sz="4" w:space="0" w:color="auto"/>
            </w:tcBorders>
            <w:vAlign w:val="center"/>
          </w:tcPr>
          <w:p w14:paraId="30839370" w14:textId="77777777" w:rsidR="00C67946" w:rsidRPr="001B1523" w:rsidRDefault="00C67946" w:rsidP="00C67946">
            <w:pPr>
              <w:spacing w:line="240" w:lineRule="auto"/>
              <w:jc w:val="left"/>
              <w:rPr>
                <w:rFonts w:cs="Arial"/>
                <w:sz w:val="20"/>
                <w:szCs w:val="20"/>
              </w:rPr>
            </w:pPr>
            <w:r w:rsidRPr="001B1523">
              <w:rPr>
                <w:rFonts w:cs="Arial"/>
                <w:sz w:val="20"/>
                <w:szCs w:val="20"/>
              </w:rPr>
              <w:t>Control</w:t>
            </w:r>
          </w:p>
        </w:tc>
        <w:tc>
          <w:tcPr>
            <w:tcW w:w="1434" w:type="dxa"/>
            <w:tcBorders>
              <w:top w:val="single" w:sz="4" w:space="0" w:color="auto"/>
            </w:tcBorders>
            <w:vAlign w:val="center"/>
          </w:tcPr>
          <w:p w14:paraId="42BBF5AC" w14:textId="77777777" w:rsidR="00C67946" w:rsidRPr="001B1523" w:rsidRDefault="00C67946" w:rsidP="00C67946">
            <w:pPr>
              <w:spacing w:line="240" w:lineRule="auto"/>
              <w:jc w:val="left"/>
              <w:rPr>
                <w:rFonts w:cs="Arial"/>
                <w:sz w:val="20"/>
                <w:szCs w:val="20"/>
              </w:rPr>
            </w:pPr>
            <w:r w:rsidRPr="001B1523">
              <w:rPr>
                <w:rFonts w:cs="Arial"/>
                <w:sz w:val="20"/>
                <w:szCs w:val="20"/>
              </w:rPr>
              <w:t>PD</w:t>
            </w:r>
          </w:p>
        </w:tc>
        <w:tc>
          <w:tcPr>
            <w:tcW w:w="936" w:type="dxa"/>
            <w:tcBorders>
              <w:top w:val="single" w:sz="4" w:space="0" w:color="auto"/>
            </w:tcBorders>
            <w:vAlign w:val="center"/>
          </w:tcPr>
          <w:p w14:paraId="3FCC93FD" w14:textId="77777777" w:rsidR="00C67946" w:rsidRPr="001B1523" w:rsidRDefault="00C67946" w:rsidP="00C67946">
            <w:pPr>
              <w:spacing w:line="240" w:lineRule="auto"/>
              <w:jc w:val="left"/>
              <w:rPr>
                <w:rFonts w:cs="Arial"/>
                <w:sz w:val="20"/>
                <w:szCs w:val="20"/>
              </w:rPr>
            </w:pPr>
            <w:r w:rsidRPr="001B1523">
              <w:rPr>
                <w:rFonts w:cs="Arial"/>
                <w:i/>
                <w:iCs/>
                <w:sz w:val="20"/>
                <w:szCs w:val="20"/>
              </w:rPr>
              <w:t>p</w:t>
            </w:r>
          </w:p>
        </w:tc>
      </w:tr>
      <w:tr w:rsidR="00C67946" w:rsidRPr="001B1523" w14:paraId="4DCF35A8" w14:textId="77777777" w:rsidTr="009F39D7">
        <w:trPr>
          <w:trHeight w:val="285"/>
        </w:trPr>
        <w:tc>
          <w:tcPr>
            <w:tcW w:w="1811" w:type="dxa"/>
            <w:tcBorders>
              <w:bottom w:val="single" w:sz="4" w:space="0" w:color="auto"/>
              <w:right w:val="single" w:sz="4" w:space="0" w:color="auto"/>
            </w:tcBorders>
            <w:shd w:val="clear" w:color="auto" w:fill="F2F2F2" w:themeFill="background1" w:themeFillShade="F2"/>
            <w:vAlign w:val="center"/>
          </w:tcPr>
          <w:p w14:paraId="4F90DD81" w14:textId="77777777" w:rsidR="00C67946" w:rsidRPr="001B1523" w:rsidRDefault="00C67946" w:rsidP="00C67946">
            <w:pPr>
              <w:spacing w:line="240" w:lineRule="auto"/>
              <w:jc w:val="left"/>
              <w:rPr>
                <w:rFonts w:cs="Arial"/>
                <w:sz w:val="20"/>
                <w:szCs w:val="20"/>
              </w:rPr>
            </w:pPr>
            <w:r w:rsidRPr="001B1523">
              <w:rPr>
                <w:rFonts w:cs="Arial"/>
                <w:i/>
                <w:iCs/>
                <w:sz w:val="20"/>
                <w:szCs w:val="20"/>
              </w:rPr>
              <w:t>CD4</w:t>
            </w:r>
            <w:r w:rsidRPr="001B1523">
              <w:rPr>
                <w:rFonts w:cs="Arial"/>
                <w:i/>
                <w:iCs/>
                <w:sz w:val="20"/>
                <w:szCs w:val="20"/>
                <w:vertAlign w:val="superscript"/>
              </w:rPr>
              <w:t>+</w:t>
            </w:r>
          </w:p>
        </w:tc>
        <w:tc>
          <w:tcPr>
            <w:tcW w:w="1275" w:type="dxa"/>
            <w:tcBorders>
              <w:left w:val="single" w:sz="4" w:space="0" w:color="auto"/>
              <w:bottom w:val="single" w:sz="4" w:space="0" w:color="auto"/>
            </w:tcBorders>
            <w:shd w:val="clear" w:color="auto" w:fill="F2F2F2" w:themeFill="background1" w:themeFillShade="F2"/>
            <w:vAlign w:val="center"/>
          </w:tcPr>
          <w:p w14:paraId="038E7622" w14:textId="77777777" w:rsidR="00C67946" w:rsidRPr="001B1523" w:rsidRDefault="00C67946" w:rsidP="00C67946">
            <w:pPr>
              <w:spacing w:line="240" w:lineRule="auto"/>
              <w:jc w:val="left"/>
              <w:rPr>
                <w:rFonts w:cs="Arial"/>
                <w:sz w:val="20"/>
                <w:szCs w:val="20"/>
              </w:rPr>
            </w:pPr>
          </w:p>
        </w:tc>
        <w:tc>
          <w:tcPr>
            <w:tcW w:w="1275" w:type="dxa"/>
            <w:tcBorders>
              <w:bottom w:val="single" w:sz="4" w:space="0" w:color="auto"/>
            </w:tcBorders>
            <w:shd w:val="clear" w:color="auto" w:fill="F2F2F2" w:themeFill="background1" w:themeFillShade="F2"/>
            <w:vAlign w:val="center"/>
          </w:tcPr>
          <w:p w14:paraId="0B56A8C8" w14:textId="77777777" w:rsidR="00C67946" w:rsidRPr="001B1523" w:rsidRDefault="00C67946" w:rsidP="00C67946">
            <w:pPr>
              <w:spacing w:line="240" w:lineRule="auto"/>
              <w:jc w:val="left"/>
              <w:rPr>
                <w:rFonts w:cs="Arial"/>
                <w:sz w:val="20"/>
                <w:szCs w:val="20"/>
              </w:rPr>
            </w:pPr>
          </w:p>
        </w:tc>
        <w:tc>
          <w:tcPr>
            <w:tcW w:w="772" w:type="dxa"/>
            <w:tcBorders>
              <w:bottom w:val="single" w:sz="4" w:space="0" w:color="auto"/>
              <w:right w:val="single" w:sz="4" w:space="0" w:color="auto"/>
            </w:tcBorders>
            <w:shd w:val="clear" w:color="auto" w:fill="F2F2F2" w:themeFill="background1" w:themeFillShade="F2"/>
            <w:vAlign w:val="center"/>
          </w:tcPr>
          <w:p w14:paraId="1695BD80" w14:textId="77777777" w:rsidR="00C67946" w:rsidRPr="001B1523" w:rsidRDefault="00C67946" w:rsidP="00C67946">
            <w:pPr>
              <w:spacing w:line="240" w:lineRule="auto"/>
              <w:jc w:val="left"/>
              <w:rPr>
                <w:rFonts w:cs="Arial"/>
                <w:sz w:val="20"/>
                <w:szCs w:val="20"/>
              </w:rPr>
            </w:pPr>
          </w:p>
        </w:tc>
        <w:tc>
          <w:tcPr>
            <w:tcW w:w="1513" w:type="dxa"/>
            <w:tcBorders>
              <w:left w:val="single" w:sz="4" w:space="0" w:color="auto"/>
              <w:bottom w:val="single" w:sz="4" w:space="0" w:color="auto"/>
            </w:tcBorders>
            <w:shd w:val="clear" w:color="auto" w:fill="F2F2F2" w:themeFill="background1" w:themeFillShade="F2"/>
            <w:vAlign w:val="center"/>
          </w:tcPr>
          <w:p w14:paraId="09939DDC" w14:textId="77777777" w:rsidR="00C67946" w:rsidRPr="001B1523" w:rsidRDefault="00C67946" w:rsidP="00C67946">
            <w:pPr>
              <w:spacing w:line="240" w:lineRule="auto"/>
              <w:jc w:val="left"/>
              <w:rPr>
                <w:rFonts w:cs="Arial"/>
                <w:sz w:val="20"/>
                <w:szCs w:val="20"/>
              </w:rPr>
            </w:pPr>
          </w:p>
        </w:tc>
        <w:tc>
          <w:tcPr>
            <w:tcW w:w="1434" w:type="dxa"/>
            <w:tcBorders>
              <w:bottom w:val="single" w:sz="4" w:space="0" w:color="auto"/>
            </w:tcBorders>
            <w:shd w:val="clear" w:color="auto" w:fill="F2F2F2" w:themeFill="background1" w:themeFillShade="F2"/>
            <w:vAlign w:val="center"/>
          </w:tcPr>
          <w:p w14:paraId="7F1BC9E6" w14:textId="77777777" w:rsidR="00C67946" w:rsidRPr="001B1523" w:rsidRDefault="00C67946" w:rsidP="00C67946">
            <w:pPr>
              <w:spacing w:line="240" w:lineRule="auto"/>
              <w:jc w:val="left"/>
              <w:rPr>
                <w:rFonts w:cs="Arial"/>
                <w:sz w:val="20"/>
                <w:szCs w:val="20"/>
              </w:rPr>
            </w:pPr>
          </w:p>
        </w:tc>
        <w:tc>
          <w:tcPr>
            <w:tcW w:w="936" w:type="dxa"/>
            <w:tcBorders>
              <w:bottom w:val="single" w:sz="4" w:space="0" w:color="auto"/>
            </w:tcBorders>
            <w:shd w:val="clear" w:color="auto" w:fill="F2F2F2" w:themeFill="background1" w:themeFillShade="F2"/>
            <w:vAlign w:val="center"/>
          </w:tcPr>
          <w:p w14:paraId="681D799C" w14:textId="77777777" w:rsidR="00C67946" w:rsidRPr="001B1523" w:rsidRDefault="00C67946" w:rsidP="00C67946">
            <w:pPr>
              <w:spacing w:line="240" w:lineRule="auto"/>
              <w:jc w:val="left"/>
              <w:rPr>
                <w:rFonts w:cs="Arial"/>
                <w:sz w:val="20"/>
                <w:szCs w:val="20"/>
              </w:rPr>
            </w:pPr>
          </w:p>
        </w:tc>
      </w:tr>
      <w:tr w:rsidR="00B35FE1" w:rsidRPr="001B1523" w14:paraId="5CBAC93B" w14:textId="77777777" w:rsidTr="00112BC1">
        <w:trPr>
          <w:trHeight w:val="57"/>
        </w:trPr>
        <w:tc>
          <w:tcPr>
            <w:tcW w:w="1811" w:type="dxa"/>
            <w:tcBorders>
              <w:top w:val="single" w:sz="4" w:space="0" w:color="auto"/>
              <w:right w:val="single" w:sz="4" w:space="0" w:color="auto"/>
            </w:tcBorders>
            <w:vAlign w:val="center"/>
          </w:tcPr>
          <w:p w14:paraId="214A3BA9" w14:textId="77777777" w:rsidR="00B35FE1" w:rsidRPr="001B1523" w:rsidRDefault="00B35FE1" w:rsidP="00B35FE1">
            <w:pPr>
              <w:spacing w:line="240" w:lineRule="auto"/>
              <w:jc w:val="left"/>
              <w:rPr>
                <w:rFonts w:cs="Arial"/>
                <w:sz w:val="20"/>
                <w:szCs w:val="20"/>
              </w:rPr>
            </w:pPr>
            <w:r w:rsidRPr="001B1523">
              <w:rPr>
                <w:rFonts w:cs="Arial"/>
                <w:sz w:val="20"/>
                <w:szCs w:val="20"/>
              </w:rPr>
              <w:t>Naïve</w:t>
            </w:r>
          </w:p>
        </w:tc>
        <w:tc>
          <w:tcPr>
            <w:tcW w:w="1275" w:type="dxa"/>
            <w:tcBorders>
              <w:top w:val="single" w:sz="4" w:space="0" w:color="auto"/>
              <w:left w:val="single" w:sz="4" w:space="0" w:color="auto"/>
            </w:tcBorders>
          </w:tcPr>
          <w:p w14:paraId="37DF7CC4" w14:textId="770F65E9" w:rsidR="00B35FE1" w:rsidRPr="001B1523" w:rsidRDefault="00B35FE1" w:rsidP="00B35FE1">
            <w:pPr>
              <w:spacing w:line="240" w:lineRule="auto"/>
              <w:jc w:val="left"/>
              <w:rPr>
                <w:rFonts w:cs="Arial"/>
                <w:sz w:val="20"/>
                <w:szCs w:val="20"/>
              </w:rPr>
            </w:pPr>
            <w:r w:rsidRPr="001B1523">
              <w:rPr>
                <w:sz w:val="20"/>
                <w:szCs w:val="20"/>
              </w:rPr>
              <w:t>24.9 (14.4)</w:t>
            </w:r>
          </w:p>
        </w:tc>
        <w:tc>
          <w:tcPr>
            <w:tcW w:w="1275" w:type="dxa"/>
            <w:tcBorders>
              <w:top w:val="single" w:sz="4" w:space="0" w:color="auto"/>
            </w:tcBorders>
          </w:tcPr>
          <w:p w14:paraId="13C231CA" w14:textId="4988E1B8" w:rsidR="00B35FE1" w:rsidRPr="001B1523" w:rsidRDefault="00B35FE1" w:rsidP="00B35FE1">
            <w:pPr>
              <w:spacing w:line="240" w:lineRule="auto"/>
              <w:jc w:val="left"/>
              <w:rPr>
                <w:rFonts w:cs="Arial"/>
                <w:sz w:val="20"/>
                <w:szCs w:val="20"/>
              </w:rPr>
            </w:pPr>
            <w:r w:rsidRPr="001B1523">
              <w:rPr>
                <w:sz w:val="20"/>
                <w:szCs w:val="20"/>
              </w:rPr>
              <w:t>28.2 (14.6)</w:t>
            </w:r>
          </w:p>
        </w:tc>
        <w:tc>
          <w:tcPr>
            <w:tcW w:w="772" w:type="dxa"/>
            <w:tcBorders>
              <w:top w:val="single" w:sz="4" w:space="0" w:color="auto"/>
              <w:right w:val="single" w:sz="4" w:space="0" w:color="auto"/>
            </w:tcBorders>
          </w:tcPr>
          <w:p w14:paraId="1BFCC9E8" w14:textId="2082A69F" w:rsidR="00B35FE1" w:rsidRPr="001B1523" w:rsidRDefault="00B35FE1" w:rsidP="00B35FE1">
            <w:pPr>
              <w:spacing w:line="240" w:lineRule="auto"/>
              <w:jc w:val="left"/>
              <w:rPr>
                <w:rFonts w:cs="Arial"/>
                <w:sz w:val="20"/>
                <w:szCs w:val="20"/>
              </w:rPr>
            </w:pPr>
            <w:r w:rsidRPr="001B1523">
              <w:rPr>
                <w:sz w:val="20"/>
                <w:szCs w:val="20"/>
              </w:rPr>
              <w:t>0.210</w:t>
            </w:r>
          </w:p>
        </w:tc>
        <w:tc>
          <w:tcPr>
            <w:tcW w:w="1513" w:type="dxa"/>
            <w:tcBorders>
              <w:top w:val="single" w:sz="4" w:space="0" w:color="auto"/>
              <w:left w:val="single" w:sz="4" w:space="0" w:color="auto"/>
            </w:tcBorders>
          </w:tcPr>
          <w:p w14:paraId="4BDA939C" w14:textId="25E5AFD9" w:rsidR="00B35FE1" w:rsidRPr="001B1523" w:rsidRDefault="00B35FE1" w:rsidP="00B35FE1">
            <w:pPr>
              <w:spacing w:line="240" w:lineRule="auto"/>
              <w:jc w:val="left"/>
              <w:rPr>
                <w:rFonts w:cs="Arial"/>
                <w:sz w:val="20"/>
                <w:szCs w:val="20"/>
              </w:rPr>
            </w:pPr>
            <w:r w:rsidRPr="001B1523">
              <w:rPr>
                <w:sz w:val="20"/>
                <w:szCs w:val="20"/>
              </w:rPr>
              <w:t>0.388 (0.282)</w:t>
            </w:r>
          </w:p>
        </w:tc>
        <w:tc>
          <w:tcPr>
            <w:tcW w:w="1434" w:type="dxa"/>
            <w:tcBorders>
              <w:top w:val="single" w:sz="4" w:space="0" w:color="auto"/>
            </w:tcBorders>
          </w:tcPr>
          <w:p w14:paraId="1B5DA8B5" w14:textId="19AC55D8" w:rsidR="00B35FE1" w:rsidRPr="001B1523" w:rsidRDefault="00B35FE1" w:rsidP="00B35FE1">
            <w:pPr>
              <w:spacing w:line="240" w:lineRule="auto"/>
              <w:jc w:val="left"/>
              <w:rPr>
                <w:rFonts w:cs="Arial"/>
                <w:sz w:val="20"/>
                <w:szCs w:val="20"/>
              </w:rPr>
            </w:pPr>
            <w:r w:rsidRPr="001B1523">
              <w:rPr>
                <w:sz w:val="20"/>
                <w:szCs w:val="20"/>
              </w:rPr>
              <w:t>0.374 (0.183)</w:t>
            </w:r>
          </w:p>
        </w:tc>
        <w:tc>
          <w:tcPr>
            <w:tcW w:w="936" w:type="dxa"/>
            <w:tcBorders>
              <w:top w:val="single" w:sz="4" w:space="0" w:color="auto"/>
            </w:tcBorders>
          </w:tcPr>
          <w:p w14:paraId="731DE3D8" w14:textId="7845C9AC" w:rsidR="00B35FE1" w:rsidRPr="001B1523" w:rsidRDefault="00B35FE1" w:rsidP="00B35FE1">
            <w:pPr>
              <w:spacing w:line="240" w:lineRule="auto"/>
              <w:rPr>
                <w:rFonts w:cs="Arial"/>
                <w:sz w:val="20"/>
                <w:szCs w:val="20"/>
              </w:rPr>
            </w:pPr>
            <w:r w:rsidRPr="001B1523">
              <w:rPr>
                <w:sz w:val="20"/>
                <w:szCs w:val="20"/>
              </w:rPr>
              <w:t>0.761</w:t>
            </w:r>
          </w:p>
        </w:tc>
      </w:tr>
      <w:tr w:rsidR="00B35FE1" w:rsidRPr="001B1523" w14:paraId="7F72F013" w14:textId="77777777" w:rsidTr="00112BC1">
        <w:trPr>
          <w:trHeight w:val="57"/>
        </w:trPr>
        <w:tc>
          <w:tcPr>
            <w:tcW w:w="1811" w:type="dxa"/>
            <w:tcBorders>
              <w:right w:val="single" w:sz="4" w:space="0" w:color="auto"/>
            </w:tcBorders>
            <w:vAlign w:val="center"/>
          </w:tcPr>
          <w:p w14:paraId="04C6CEB4" w14:textId="77777777" w:rsidR="00B35FE1" w:rsidRPr="001B1523" w:rsidRDefault="00B35FE1" w:rsidP="00B35FE1">
            <w:pPr>
              <w:spacing w:line="240" w:lineRule="auto"/>
              <w:jc w:val="left"/>
              <w:rPr>
                <w:rFonts w:cs="Arial"/>
                <w:sz w:val="20"/>
                <w:szCs w:val="20"/>
              </w:rPr>
            </w:pPr>
            <w:r w:rsidRPr="001B1523">
              <w:rPr>
                <w:rFonts w:cs="Arial"/>
                <w:sz w:val="20"/>
                <w:szCs w:val="20"/>
              </w:rPr>
              <w:t>Central memory</w:t>
            </w:r>
          </w:p>
        </w:tc>
        <w:tc>
          <w:tcPr>
            <w:tcW w:w="1275" w:type="dxa"/>
            <w:tcBorders>
              <w:left w:val="single" w:sz="4" w:space="0" w:color="auto"/>
            </w:tcBorders>
          </w:tcPr>
          <w:p w14:paraId="59F482F1" w14:textId="3BD190F1" w:rsidR="00B35FE1" w:rsidRPr="001B1523" w:rsidRDefault="00B35FE1" w:rsidP="00B35FE1">
            <w:pPr>
              <w:spacing w:line="240" w:lineRule="auto"/>
              <w:jc w:val="left"/>
              <w:rPr>
                <w:rFonts w:cs="Arial"/>
                <w:sz w:val="20"/>
                <w:szCs w:val="20"/>
              </w:rPr>
            </w:pPr>
            <w:r w:rsidRPr="001B1523">
              <w:rPr>
                <w:sz w:val="20"/>
                <w:szCs w:val="20"/>
              </w:rPr>
              <w:t>14.4 (7.3)</w:t>
            </w:r>
          </w:p>
        </w:tc>
        <w:tc>
          <w:tcPr>
            <w:tcW w:w="1275" w:type="dxa"/>
          </w:tcPr>
          <w:p w14:paraId="14503032" w14:textId="5C9DD933" w:rsidR="00B35FE1" w:rsidRPr="001B1523" w:rsidRDefault="00B35FE1" w:rsidP="00B35FE1">
            <w:pPr>
              <w:spacing w:line="240" w:lineRule="auto"/>
              <w:jc w:val="left"/>
              <w:rPr>
                <w:rFonts w:cs="Arial"/>
                <w:sz w:val="20"/>
                <w:szCs w:val="20"/>
              </w:rPr>
            </w:pPr>
            <w:r w:rsidRPr="001B1523">
              <w:rPr>
                <w:sz w:val="20"/>
                <w:szCs w:val="20"/>
              </w:rPr>
              <w:t>15.1 (7.5)</w:t>
            </w:r>
          </w:p>
        </w:tc>
        <w:tc>
          <w:tcPr>
            <w:tcW w:w="772" w:type="dxa"/>
            <w:tcBorders>
              <w:right w:val="single" w:sz="4" w:space="0" w:color="auto"/>
            </w:tcBorders>
          </w:tcPr>
          <w:p w14:paraId="63559D11" w14:textId="28A39DF0" w:rsidR="00B35FE1" w:rsidRPr="001B1523" w:rsidRDefault="00B35FE1" w:rsidP="00B35FE1">
            <w:pPr>
              <w:spacing w:line="240" w:lineRule="auto"/>
              <w:jc w:val="left"/>
              <w:rPr>
                <w:rFonts w:cs="Arial"/>
                <w:sz w:val="20"/>
                <w:szCs w:val="20"/>
              </w:rPr>
            </w:pPr>
            <w:r w:rsidRPr="001B1523">
              <w:rPr>
                <w:sz w:val="20"/>
                <w:szCs w:val="20"/>
              </w:rPr>
              <w:t>0.624</w:t>
            </w:r>
          </w:p>
        </w:tc>
        <w:tc>
          <w:tcPr>
            <w:tcW w:w="1513" w:type="dxa"/>
            <w:tcBorders>
              <w:left w:val="single" w:sz="4" w:space="0" w:color="auto"/>
            </w:tcBorders>
          </w:tcPr>
          <w:p w14:paraId="66778A23" w14:textId="212D9A97" w:rsidR="00B35FE1" w:rsidRPr="001B1523" w:rsidRDefault="00B35FE1" w:rsidP="00B35FE1">
            <w:pPr>
              <w:spacing w:line="240" w:lineRule="auto"/>
              <w:jc w:val="left"/>
              <w:rPr>
                <w:rFonts w:cs="Arial"/>
                <w:sz w:val="20"/>
                <w:szCs w:val="20"/>
              </w:rPr>
            </w:pPr>
            <w:r w:rsidRPr="001B1523">
              <w:rPr>
                <w:sz w:val="20"/>
                <w:szCs w:val="20"/>
              </w:rPr>
              <w:t>0.217 (0.115)</w:t>
            </w:r>
          </w:p>
        </w:tc>
        <w:tc>
          <w:tcPr>
            <w:tcW w:w="1434" w:type="dxa"/>
          </w:tcPr>
          <w:p w14:paraId="12FB4F50" w14:textId="52C19E3B" w:rsidR="00B35FE1" w:rsidRPr="001B1523" w:rsidRDefault="00B35FE1" w:rsidP="00B35FE1">
            <w:pPr>
              <w:spacing w:line="240" w:lineRule="auto"/>
              <w:jc w:val="left"/>
              <w:rPr>
                <w:rFonts w:cs="Arial"/>
                <w:sz w:val="20"/>
                <w:szCs w:val="20"/>
              </w:rPr>
            </w:pPr>
            <w:r w:rsidRPr="001B1523">
              <w:rPr>
                <w:sz w:val="20"/>
                <w:szCs w:val="20"/>
              </w:rPr>
              <w:t>0.214 (0.125)</w:t>
            </w:r>
          </w:p>
        </w:tc>
        <w:tc>
          <w:tcPr>
            <w:tcW w:w="936" w:type="dxa"/>
          </w:tcPr>
          <w:p w14:paraId="4E1E676F" w14:textId="7A22D07E" w:rsidR="00B35FE1" w:rsidRPr="001B1523" w:rsidRDefault="00B35FE1" w:rsidP="00B35FE1">
            <w:pPr>
              <w:spacing w:line="240" w:lineRule="auto"/>
              <w:rPr>
                <w:rFonts w:cs="Arial"/>
                <w:sz w:val="20"/>
                <w:szCs w:val="20"/>
              </w:rPr>
            </w:pPr>
            <w:r w:rsidRPr="001B1523">
              <w:rPr>
                <w:sz w:val="20"/>
                <w:szCs w:val="20"/>
              </w:rPr>
              <w:t>0.899</w:t>
            </w:r>
          </w:p>
        </w:tc>
      </w:tr>
      <w:tr w:rsidR="00B35FE1" w:rsidRPr="001B1523" w14:paraId="129D6AD8" w14:textId="77777777" w:rsidTr="00112BC1">
        <w:trPr>
          <w:trHeight w:val="57"/>
        </w:trPr>
        <w:tc>
          <w:tcPr>
            <w:tcW w:w="1811" w:type="dxa"/>
            <w:tcBorders>
              <w:right w:val="single" w:sz="4" w:space="0" w:color="auto"/>
            </w:tcBorders>
            <w:vAlign w:val="center"/>
          </w:tcPr>
          <w:p w14:paraId="77711889" w14:textId="77777777" w:rsidR="00B35FE1" w:rsidRPr="001B1523" w:rsidRDefault="00B35FE1" w:rsidP="00B35FE1">
            <w:pPr>
              <w:spacing w:line="240" w:lineRule="auto"/>
              <w:jc w:val="left"/>
              <w:rPr>
                <w:rFonts w:cs="Arial"/>
                <w:sz w:val="20"/>
                <w:szCs w:val="20"/>
              </w:rPr>
            </w:pPr>
            <w:r w:rsidRPr="001B1523">
              <w:rPr>
                <w:rFonts w:cs="Arial"/>
                <w:sz w:val="20"/>
                <w:szCs w:val="20"/>
              </w:rPr>
              <w:t>Effector memory</w:t>
            </w:r>
          </w:p>
        </w:tc>
        <w:tc>
          <w:tcPr>
            <w:tcW w:w="1275" w:type="dxa"/>
            <w:tcBorders>
              <w:left w:val="single" w:sz="4" w:space="0" w:color="auto"/>
            </w:tcBorders>
          </w:tcPr>
          <w:p w14:paraId="48C747EA" w14:textId="0DA2B916" w:rsidR="00B35FE1" w:rsidRPr="001B1523" w:rsidRDefault="00B35FE1" w:rsidP="00B35FE1">
            <w:pPr>
              <w:spacing w:line="240" w:lineRule="auto"/>
              <w:jc w:val="left"/>
              <w:rPr>
                <w:rFonts w:cs="Arial"/>
                <w:sz w:val="20"/>
                <w:szCs w:val="20"/>
              </w:rPr>
            </w:pPr>
            <w:r w:rsidRPr="001B1523">
              <w:rPr>
                <w:sz w:val="20"/>
                <w:szCs w:val="20"/>
              </w:rPr>
              <w:t>6.0 (4.0)</w:t>
            </w:r>
          </w:p>
        </w:tc>
        <w:tc>
          <w:tcPr>
            <w:tcW w:w="1275" w:type="dxa"/>
          </w:tcPr>
          <w:p w14:paraId="201EB77F" w14:textId="2DBEF5AA" w:rsidR="00B35FE1" w:rsidRPr="001B1523" w:rsidRDefault="00B35FE1" w:rsidP="00B35FE1">
            <w:pPr>
              <w:spacing w:line="240" w:lineRule="auto"/>
              <w:jc w:val="left"/>
              <w:rPr>
                <w:rFonts w:cs="Arial"/>
                <w:sz w:val="20"/>
                <w:szCs w:val="20"/>
              </w:rPr>
            </w:pPr>
            <w:r w:rsidRPr="001B1523">
              <w:rPr>
                <w:sz w:val="20"/>
                <w:szCs w:val="20"/>
              </w:rPr>
              <w:t>5.7 (3.7)</w:t>
            </w:r>
          </w:p>
        </w:tc>
        <w:tc>
          <w:tcPr>
            <w:tcW w:w="772" w:type="dxa"/>
            <w:tcBorders>
              <w:right w:val="single" w:sz="4" w:space="0" w:color="auto"/>
            </w:tcBorders>
          </w:tcPr>
          <w:p w14:paraId="557254A8" w14:textId="57205B0C" w:rsidR="00B35FE1" w:rsidRPr="001B1523" w:rsidRDefault="00B35FE1" w:rsidP="00B35FE1">
            <w:pPr>
              <w:spacing w:line="240" w:lineRule="auto"/>
              <w:jc w:val="left"/>
              <w:rPr>
                <w:rFonts w:cs="Arial"/>
                <w:sz w:val="20"/>
                <w:szCs w:val="20"/>
              </w:rPr>
            </w:pPr>
            <w:r w:rsidRPr="001B1523">
              <w:rPr>
                <w:sz w:val="20"/>
                <w:szCs w:val="20"/>
              </w:rPr>
              <w:t>0.656</w:t>
            </w:r>
          </w:p>
        </w:tc>
        <w:tc>
          <w:tcPr>
            <w:tcW w:w="1513" w:type="dxa"/>
            <w:tcBorders>
              <w:left w:val="single" w:sz="4" w:space="0" w:color="auto"/>
            </w:tcBorders>
          </w:tcPr>
          <w:p w14:paraId="1E26A2DA" w14:textId="78746830" w:rsidR="00B35FE1" w:rsidRPr="001B1523" w:rsidRDefault="00B35FE1" w:rsidP="00B35FE1">
            <w:pPr>
              <w:spacing w:line="240" w:lineRule="auto"/>
              <w:jc w:val="left"/>
              <w:rPr>
                <w:rFonts w:cs="Arial"/>
                <w:sz w:val="20"/>
                <w:szCs w:val="20"/>
              </w:rPr>
            </w:pPr>
            <w:r w:rsidRPr="001B1523">
              <w:rPr>
                <w:sz w:val="20"/>
                <w:szCs w:val="20"/>
              </w:rPr>
              <w:t>0.095 (0.069)</w:t>
            </w:r>
          </w:p>
        </w:tc>
        <w:tc>
          <w:tcPr>
            <w:tcW w:w="1434" w:type="dxa"/>
          </w:tcPr>
          <w:p w14:paraId="4B42354D" w14:textId="0ADB1254" w:rsidR="00B35FE1" w:rsidRPr="001B1523" w:rsidRDefault="00B35FE1" w:rsidP="00B35FE1">
            <w:pPr>
              <w:spacing w:line="240" w:lineRule="auto"/>
              <w:jc w:val="left"/>
              <w:rPr>
                <w:rFonts w:cs="Arial"/>
                <w:sz w:val="20"/>
                <w:szCs w:val="20"/>
              </w:rPr>
            </w:pPr>
            <w:r w:rsidRPr="001B1523">
              <w:rPr>
                <w:sz w:val="20"/>
                <w:szCs w:val="20"/>
              </w:rPr>
              <w:t>0.082 (0.069)</w:t>
            </w:r>
          </w:p>
        </w:tc>
        <w:tc>
          <w:tcPr>
            <w:tcW w:w="936" w:type="dxa"/>
          </w:tcPr>
          <w:p w14:paraId="460395FA" w14:textId="65CE1A12" w:rsidR="00B35FE1" w:rsidRPr="001B1523" w:rsidRDefault="00B35FE1" w:rsidP="00B35FE1">
            <w:pPr>
              <w:spacing w:line="240" w:lineRule="auto"/>
              <w:rPr>
                <w:rFonts w:cs="Arial"/>
                <w:sz w:val="20"/>
                <w:szCs w:val="20"/>
              </w:rPr>
            </w:pPr>
            <w:r w:rsidRPr="001B1523">
              <w:rPr>
                <w:sz w:val="20"/>
                <w:szCs w:val="20"/>
              </w:rPr>
              <w:t>0.332</w:t>
            </w:r>
          </w:p>
        </w:tc>
      </w:tr>
      <w:tr w:rsidR="00B35FE1" w:rsidRPr="001B1523" w14:paraId="61A993E2" w14:textId="77777777" w:rsidTr="00112BC1">
        <w:trPr>
          <w:trHeight w:val="57"/>
        </w:trPr>
        <w:tc>
          <w:tcPr>
            <w:tcW w:w="1811" w:type="dxa"/>
            <w:tcBorders>
              <w:right w:val="single" w:sz="4" w:space="0" w:color="auto"/>
            </w:tcBorders>
            <w:vAlign w:val="center"/>
          </w:tcPr>
          <w:p w14:paraId="2789825E" w14:textId="0762AD58" w:rsidR="00B35FE1" w:rsidRPr="001B1523" w:rsidRDefault="00B35FE1" w:rsidP="00B35FE1">
            <w:pPr>
              <w:spacing w:line="240" w:lineRule="auto"/>
              <w:jc w:val="left"/>
              <w:rPr>
                <w:rFonts w:cs="Arial"/>
                <w:sz w:val="20"/>
                <w:szCs w:val="20"/>
              </w:rPr>
            </w:pPr>
            <w:r w:rsidRPr="001B1523">
              <w:rPr>
                <w:rFonts w:cs="Arial"/>
                <w:sz w:val="20"/>
                <w:szCs w:val="20"/>
              </w:rPr>
              <w:t>TEMRA</w:t>
            </w:r>
          </w:p>
        </w:tc>
        <w:tc>
          <w:tcPr>
            <w:tcW w:w="1275" w:type="dxa"/>
            <w:tcBorders>
              <w:left w:val="single" w:sz="4" w:space="0" w:color="auto"/>
            </w:tcBorders>
          </w:tcPr>
          <w:p w14:paraId="615B1B86" w14:textId="50F6C547" w:rsidR="00B35FE1" w:rsidRPr="001B1523" w:rsidRDefault="00B35FE1" w:rsidP="00B35FE1">
            <w:pPr>
              <w:spacing w:line="240" w:lineRule="auto"/>
              <w:jc w:val="left"/>
              <w:rPr>
                <w:rFonts w:cs="Arial"/>
                <w:sz w:val="20"/>
                <w:szCs w:val="20"/>
              </w:rPr>
            </w:pPr>
            <w:r w:rsidRPr="001B1523">
              <w:rPr>
                <w:sz w:val="20"/>
                <w:szCs w:val="20"/>
              </w:rPr>
              <w:t>2.1 (3.5)</w:t>
            </w:r>
          </w:p>
        </w:tc>
        <w:tc>
          <w:tcPr>
            <w:tcW w:w="1275" w:type="dxa"/>
          </w:tcPr>
          <w:p w14:paraId="7F3BD98A" w14:textId="2E6F8BDE" w:rsidR="00B35FE1" w:rsidRPr="001B1523" w:rsidRDefault="00B35FE1" w:rsidP="00B35FE1">
            <w:pPr>
              <w:spacing w:line="240" w:lineRule="auto"/>
              <w:jc w:val="left"/>
              <w:rPr>
                <w:rFonts w:cs="Arial"/>
                <w:sz w:val="20"/>
                <w:szCs w:val="20"/>
              </w:rPr>
            </w:pPr>
            <w:r w:rsidRPr="001B1523">
              <w:rPr>
                <w:sz w:val="20"/>
                <w:szCs w:val="20"/>
              </w:rPr>
              <w:t>1.9 (2.4)</w:t>
            </w:r>
          </w:p>
        </w:tc>
        <w:tc>
          <w:tcPr>
            <w:tcW w:w="772" w:type="dxa"/>
            <w:tcBorders>
              <w:right w:val="single" w:sz="4" w:space="0" w:color="auto"/>
            </w:tcBorders>
          </w:tcPr>
          <w:p w14:paraId="3615789F" w14:textId="52ED0B1B" w:rsidR="00B35FE1" w:rsidRPr="001B1523" w:rsidRDefault="00B35FE1" w:rsidP="00B35FE1">
            <w:pPr>
              <w:spacing w:line="240" w:lineRule="auto"/>
              <w:jc w:val="left"/>
              <w:rPr>
                <w:rFonts w:cs="Arial"/>
                <w:sz w:val="20"/>
                <w:szCs w:val="20"/>
              </w:rPr>
            </w:pPr>
            <w:r w:rsidRPr="001B1523">
              <w:rPr>
                <w:sz w:val="20"/>
                <w:szCs w:val="20"/>
              </w:rPr>
              <w:t>0.734</w:t>
            </w:r>
          </w:p>
        </w:tc>
        <w:tc>
          <w:tcPr>
            <w:tcW w:w="1513" w:type="dxa"/>
            <w:tcBorders>
              <w:left w:val="single" w:sz="4" w:space="0" w:color="auto"/>
            </w:tcBorders>
          </w:tcPr>
          <w:p w14:paraId="70C13E68" w14:textId="4033D6E1" w:rsidR="00B35FE1" w:rsidRPr="001B1523" w:rsidRDefault="00B35FE1" w:rsidP="00B35FE1">
            <w:pPr>
              <w:spacing w:line="240" w:lineRule="auto"/>
              <w:jc w:val="left"/>
              <w:rPr>
                <w:rFonts w:cs="Arial"/>
                <w:sz w:val="20"/>
                <w:szCs w:val="20"/>
              </w:rPr>
            </w:pPr>
            <w:r w:rsidRPr="001B1523">
              <w:rPr>
                <w:sz w:val="20"/>
                <w:szCs w:val="20"/>
              </w:rPr>
              <w:t>0.037 (0.072)</w:t>
            </w:r>
          </w:p>
        </w:tc>
        <w:tc>
          <w:tcPr>
            <w:tcW w:w="1434" w:type="dxa"/>
          </w:tcPr>
          <w:p w14:paraId="40840308" w14:textId="3CB4CD65" w:rsidR="00B35FE1" w:rsidRPr="001B1523" w:rsidRDefault="00B35FE1" w:rsidP="00B35FE1">
            <w:pPr>
              <w:spacing w:line="240" w:lineRule="auto"/>
              <w:jc w:val="left"/>
              <w:rPr>
                <w:rFonts w:cs="Arial"/>
                <w:sz w:val="20"/>
                <w:szCs w:val="20"/>
              </w:rPr>
            </w:pPr>
            <w:r w:rsidRPr="001B1523">
              <w:rPr>
                <w:sz w:val="20"/>
                <w:szCs w:val="20"/>
              </w:rPr>
              <w:t>0.025 (0.032)</w:t>
            </w:r>
          </w:p>
        </w:tc>
        <w:tc>
          <w:tcPr>
            <w:tcW w:w="936" w:type="dxa"/>
          </w:tcPr>
          <w:p w14:paraId="23752F70" w14:textId="32D9A166" w:rsidR="00B35FE1" w:rsidRPr="001B1523" w:rsidRDefault="00B35FE1" w:rsidP="00B35FE1">
            <w:pPr>
              <w:spacing w:line="240" w:lineRule="auto"/>
              <w:rPr>
                <w:rFonts w:cs="Arial"/>
                <w:sz w:val="20"/>
                <w:szCs w:val="20"/>
              </w:rPr>
            </w:pPr>
            <w:r w:rsidRPr="001B1523">
              <w:rPr>
                <w:sz w:val="20"/>
                <w:szCs w:val="20"/>
              </w:rPr>
              <w:t>0.246</w:t>
            </w:r>
          </w:p>
        </w:tc>
      </w:tr>
      <w:tr w:rsidR="00C67946" w:rsidRPr="001B1523" w14:paraId="4CB1281B" w14:textId="77777777" w:rsidTr="009F39D7">
        <w:trPr>
          <w:trHeight w:val="57"/>
        </w:trPr>
        <w:tc>
          <w:tcPr>
            <w:tcW w:w="1811" w:type="dxa"/>
            <w:tcBorders>
              <w:bottom w:val="single" w:sz="4" w:space="0" w:color="auto"/>
              <w:right w:val="single" w:sz="4" w:space="0" w:color="auto"/>
            </w:tcBorders>
            <w:shd w:val="clear" w:color="auto" w:fill="F2F2F2" w:themeFill="background1" w:themeFillShade="F2"/>
            <w:vAlign w:val="center"/>
          </w:tcPr>
          <w:p w14:paraId="3C189DD6" w14:textId="77777777" w:rsidR="00C67946" w:rsidRPr="001B1523" w:rsidRDefault="00C67946" w:rsidP="00C67946">
            <w:pPr>
              <w:spacing w:line="240" w:lineRule="auto"/>
              <w:jc w:val="left"/>
              <w:rPr>
                <w:rFonts w:cs="Arial"/>
                <w:sz w:val="20"/>
                <w:szCs w:val="20"/>
              </w:rPr>
            </w:pPr>
            <w:r w:rsidRPr="001B1523">
              <w:rPr>
                <w:rFonts w:cs="Arial"/>
                <w:i/>
                <w:iCs/>
                <w:sz w:val="20"/>
                <w:szCs w:val="20"/>
              </w:rPr>
              <w:t>CD8</w:t>
            </w:r>
            <w:r w:rsidRPr="001B1523">
              <w:rPr>
                <w:rFonts w:cs="Arial"/>
                <w:i/>
                <w:iCs/>
                <w:sz w:val="20"/>
                <w:szCs w:val="20"/>
                <w:vertAlign w:val="superscript"/>
              </w:rPr>
              <w:t>+</w:t>
            </w:r>
          </w:p>
        </w:tc>
        <w:tc>
          <w:tcPr>
            <w:tcW w:w="1275" w:type="dxa"/>
            <w:tcBorders>
              <w:left w:val="single" w:sz="4" w:space="0" w:color="auto"/>
              <w:bottom w:val="single" w:sz="4" w:space="0" w:color="auto"/>
            </w:tcBorders>
            <w:shd w:val="clear" w:color="auto" w:fill="F2F2F2" w:themeFill="background1" w:themeFillShade="F2"/>
            <w:vAlign w:val="center"/>
          </w:tcPr>
          <w:p w14:paraId="176BEB85" w14:textId="77777777" w:rsidR="00C67946" w:rsidRPr="001B1523" w:rsidRDefault="00C67946" w:rsidP="00C67946">
            <w:pPr>
              <w:spacing w:line="240" w:lineRule="auto"/>
              <w:jc w:val="left"/>
              <w:rPr>
                <w:rFonts w:cs="Arial"/>
                <w:sz w:val="20"/>
                <w:szCs w:val="20"/>
              </w:rPr>
            </w:pPr>
          </w:p>
        </w:tc>
        <w:tc>
          <w:tcPr>
            <w:tcW w:w="1275" w:type="dxa"/>
            <w:tcBorders>
              <w:bottom w:val="single" w:sz="4" w:space="0" w:color="auto"/>
            </w:tcBorders>
            <w:shd w:val="clear" w:color="auto" w:fill="F2F2F2" w:themeFill="background1" w:themeFillShade="F2"/>
            <w:vAlign w:val="center"/>
          </w:tcPr>
          <w:p w14:paraId="2236F974" w14:textId="77777777" w:rsidR="00C67946" w:rsidRPr="001B1523" w:rsidRDefault="00C67946" w:rsidP="00C67946">
            <w:pPr>
              <w:spacing w:line="240" w:lineRule="auto"/>
              <w:jc w:val="left"/>
              <w:rPr>
                <w:rFonts w:cs="Arial"/>
                <w:sz w:val="20"/>
                <w:szCs w:val="20"/>
              </w:rPr>
            </w:pPr>
          </w:p>
        </w:tc>
        <w:tc>
          <w:tcPr>
            <w:tcW w:w="772" w:type="dxa"/>
            <w:tcBorders>
              <w:bottom w:val="single" w:sz="4" w:space="0" w:color="auto"/>
              <w:right w:val="single" w:sz="4" w:space="0" w:color="auto"/>
            </w:tcBorders>
            <w:shd w:val="clear" w:color="auto" w:fill="F2F2F2" w:themeFill="background1" w:themeFillShade="F2"/>
            <w:vAlign w:val="center"/>
          </w:tcPr>
          <w:p w14:paraId="320C8A18" w14:textId="77777777" w:rsidR="00C67946" w:rsidRPr="001B1523" w:rsidRDefault="00C67946" w:rsidP="00C67946">
            <w:pPr>
              <w:spacing w:line="240" w:lineRule="auto"/>
              <w:jc w:val="left"/>
              <w:rPr>
                <w:rFonts w:cs="Arial"/>
                <w:sz w:val="20"/>
                <w:szCs w:val="20"/>
              </w:rPr>
            </w:pPr>
          </w:p>
        </w:tc>
        <w:tc>
          <w:tcPr>
            <w:tcW w:w="1513" w:type="dxa"/>
            <w:tcBorders>
              <w:left w:val="single" w:sz="4" w:space="0" w:color="auto"/>
              <w:bottom w:val="single" w:sz="4" w:space="0" w:color="auto"/>
            </w:tcBorders>
            <w:shd w:val="clear" w:color="auto" w:fill="F2F2F2" w:themeFill="background1" w:themeFillShade="F2"/>
            <w:vAlign w:val="center"/>
          </w:tcPr>
          <w:p w14:paraId="261A81FA" w14:textId="77777777" w:rsidR="00C67946" w:rsidRPr="001B1523" w:rsidRDefault="00C67946" w:rsidP="00C67946">
            <w:pPr>
              <w:spacing w:line="240" w:lineRule="auto"/>
              <w:jc w:val="left"/>
              <w:rPr>
                <w:rFonts w:cs="Arial"/>
                <w:sz w:val="20"/>
                <w:szCs w:val="20"/>
              </w:rPr>
            </w:pPr>
          </w:p>
        </w:tc>
        <w:tc>
          <w:tcPr>
            <w:tcW w:w="1434" w:type="dxa"/>
            <w:tcBorders>
              <w:bottom w:val="single" w:sz="4" w:space="0" w:color="auto"/>
            </w:tcBorders>
            <w:shd w:val="clear" w:color="auto" w:fill="F2F2F2" w:themeFill="background1" w:themeFillShade="F2"/>
            <w:vAlign w:val="center"/>
          </w:tcPr>
          <w:p w14:paraId="61F923B1" w14:textId="77777777" w:rsidR="00C67946" w:rsidRPr="001B1523" w:rsidRDefault="00C67946" w:rsidP="00C67946">
            <w:pPr>
              <w:spacing w:line="240" w:lineRule="auto"/>
              <w:jc w:val="left"/>
              <w:rPr>
                <w:rFonts w:cs="Arial"/>
                <w:sz w:val="20"/>
                <w:szCs w:val="20"/>
              </w:rPr>
            </w:pPr>
          </w:p>
        </w:tc>
        <w:tc>
          <w:tcPr>
            <w:tcW w:w="936" w:type="dxa"/>
            <w:tcBorders>
              <w:bottom w:val="single" w:sz="4" w:space="0" w:color="auto"/>
            </w:tcBorders>
            <w:shd w:val="clear" w:color="auto" w:fill="F2F2F2" w:themeFill="background1" w:themeFillShade="F2"/>
            <w:vAlign w:val="center"/>
          </w:tcPr>
          <w:p w14:paraId="2DDB2F45" w14:textId="77777777" w:rsidR="00C67946" w:rsidRPr="001B1523" w:rsidRDefault="00C67946" w:rsidP="00646118">
            <w:pPr>
              <w:spacing w:line="240" w:lineRule="auto"/>
              <w:rPr>
                <w:rFonts w:cs="Arial"/>
                <w:sz w:val="20"/>
                <w:szCs w:val="20"/>
              </w:rPr>
            </w:pPr>
          </w:p>
        </w:tc>
      </w:tr>
      <w:tr w:rsidR="00B35FE1" w:rsidRPr="001B1523" w14:paraId="1FD9326A" w14:textId="77777777" w:rsidTr="00112BC1">
        <w:trPr>
          <w:trHeight w:val="57"/>
        </w:trPr>
        <w:tc>
          <w:tcPr>
            <w:tcW w:w="1811" w:type="dxa"/>
            <w:tcBorders>
              <w:top w:val="single" w:sz="4" w:space="0" w:color="auto"/>
              <w:right w:val="single" w:sz="4" w:space="0" w:color="auto"/>
            </w:tcBorders>
            <w:vAlign w:val="center"/>
          </w:tcPr>
          <w:p w14:paraId="435C7CEF" w14:textId="77777777" w:rsidR="00B35FE1" w:rsidRPr="001B1523" w:rsidRDefault="00B35FE1" w:rsidP="00B35FE1">
            <w:pPr>
              <w:spacing w:line="240" w:lineRule="auto"/>
              <w:jc w:val="left"/>
              <w:rPr>
                <w:rFonts w:cs="Arial"/>
                <w:sz w:val="20"/>
                <w:szCs w:val="20"/>
              </w:rPr>
            </w:pPr>
            <w:r w:rsidRPr="001B1523">
              <w:rPr>
                <w:rFonts w:cs="Arial"/>
                <w:sz w:val="20"/>
                <w:szCs w:val="20"/>
              </w:rPr>
              <w:t>Naïve</w:t>
            </w:r>
          </w:p>
        </w:tc>
        <w:tc>
          <w:tcPr>
            <w:tcW w:w="1275" w:type="dxa"/>
            <w:tcBorders>
              <w:top w:val="single" w:sz="4" w:space="0" w:color="auto"/>
              <w:left w:val="single" w:sz="4" w:space="0" w:color="auto"/>
            </w:tcBorders>
          </w:tcPr>
          <w:p w14:paraId="4E31B098" w14:textId="4C2C151D" w:rsidR="00B35FE1" w:rsidRPr="001B1523" w:rsidRDefault="00B35FE1" w:rsidP="00B35FE1">
            <w:pPr>
              <w:spacing w:line="240" w:lineRule="auto"/>
              <w:jc w:val="left"/>
              <w:rPr>
                <w:rFonts w:cs="Arial"/>
                <w:sz w:val="20"/>
                <w:szCs w:val="20"/>
              </w:rPr>
            </w:pPr>
            <w:r w:rsidRPr="001B1523">
              <w:rPr>
                <w:sz w:val="20"/>
                <w:szCs w:val="20"/>
              </w:rPr>
              <w:t>5.3 (2.7)</w:t>
            </w:r>
          </w:p>
        </w:tc>
        <w:tc>
          <w:tcPr>
            <w:tcW w:w="1275" w:type="dxa"/>
            <w:tcBorders>
              <w:top w:val="single" w:sz="4" w:space="0" w:color="auto"/>
            </w:tcBorders>
          </w:tcPr>
          <w:p w14:paraId="635093E7" w14:textId="024E6247" w:rsidR="00B35FE1" w:rsidRPr="001B1523" w:rsidRDefault="00B35FE1" w:rsidP="00B35FE1">
            <w:pPr>
              <w:spacing w:line="240" w:lineRule="auto"/>
              <w:jc w:val="left"/>
              <w:rPr>
                <w:rFonts w:cs="Arial"/>
                <w:sz w:val="20"/>
                <w:szCs w:val="20"/>
              </w:rPr>
            </w:pPr>
            <w:r w:rsidRPr="001B1523">
              <w:rPr>
                <w:sz w:val="20"/>
                <w:szCs w:val="20"/>
              </w:rPr>
              <w:t>5.9 (3.2)</w:t>
            </w:r>
          </w:p>
        </w:tc>
        <w:tc>
          <w:tcPr>
            <w:tcW w:w="772" w:type="dxa"/>
            <w:tcBorders>
              <w:top w:val="single" w:sz="4" w:space="0" w:color="auto"/>
              <w:right w:val="single" w:sz="4" w:space="0" w:color="auto"/>
            </w:tcBorders>
          </w:tcPr>
          <w:p w14:paraId="2546F935" w14:textId="32EE11EF" w:rsidR="00B35FE1" w:rsidRPr="001B1523" w:rsidRDefault="00B35FE1" w:rsidP="00B35FE1">
            <w:pPr>
              <w:spacing w:line="240" w:lineRule="auto"/>
              <w:jc w:val="left"/>
              <w:rPr>
                <w:rFonts w:cs="Arial"/>
                <w:sz w:val="20"/>
                <w:szCs w:val="20"/>
              </w:rPr>
            </w:pPr>
            <w:r w:rsidRPr="001B1523">
              <w:rPr>
                <w:sz w:val="20"/>
                <w:szCs w:val="20"/>
              </w:rPr>
              <w:t xml:space="preserve">0.313 </w:t>
            </w:r>
          </w:p>
        </w:tc>
        <w:tc>
          <w:tcPr>
            <w:tcW w:w="1513" w:type="dxa"/>
            <w:tcBorders>
              <w:top w:val="single" w:sz="4" w:space="0" w:color="auto"/>
              <w:left w:val="single" w:sz="4" w:space="0" w:color="auto"/>
            </w:tcBorders>
          </w:tcPr>
          <w:p w14:paraId="2ED33C7F" w14:textId="7F0B8DC1" w:rsidR="00B35FE1" w:rsidRPr="001B1523" w:rsidRDefault="00B35FE1" w:rsidP="00B35FE1">
            <w:pPr>
              <w:spacing w:line="240" w:lineRule="auto"/>
              <w:jc w:val="left"/>
              <w:rPr>
                <w:rFonts w:cs="Arial"/>
                <w:sz w:val="20"/>
                <w:szCs w:val="20"/>
              </w:rPr>
            </w:pPr>
            <w:r w:rsidRPr="001B1523">
              <w:rPr>
                <w:sz w:val="20"/>
                <w:szCs w:val="20"/>
              </w:rPr>
              <w:t>0.080 (0.040)</w:t>
            </w:r>
          </w:p>
        </w:tc>
        <w:tc>
          <w:tcPr>
            <w:tcW w:w="1434" w:type="dxa"/>
            <w:tcBorders>
              <w:top w:val="single" w:sz="4" w:space="0" w:color="auto"/>
            </w:tcBorders>
          </w:tcPr>
          <w:p w14:paraId="78C4B098" w14:textId="2D74FB84" w:rsidR="00B35FE1" w:rsidRPr="001B1523" w:rsidRDefault="00B35FE1" w:rsidP="00B35FE1">
            <w:pPr>
              <w:spacing w:line="240" w:lineRule="auto"/>
              <w:jc w:val="left"/>
              <w:rPr>
                <w:rFonts w:cs="Arial"/>
                <w:sz w:val="20"/>
                <w:szCs w:val="20"/>
              </w:rPr>
            </w:pPr>
            <w:r w:rsidRPr="001B1523">
              <w:rPr>
                <w:sz w:val="20"/>
                <w:szCs w:val="20"/>
              </w:rPr>
              <w:t>0.081 (0.050)</w:t>
            </w:r>
          </w:p>
        </w:tc>
        <w:tc>
          <w:tcPr>
            <w:tcW w:w="936" w:type="dxa"/>
            <w:tcBorders>
              <w:top w:val="single" w:sz="4" w:space="0" w:color="auto"/>
            </w:tcBorders>
          </w:tcPr>
          <w:p w14:paraId="2CB7BCF8" w14:textId="1DD7F2AB" w:rsidR="00B35FE1" w:rsidRPr="001B1523" w:rsidRDefault="00B35FE1" w:rsidP="00B35FE1">
            <w:pPr>
              <w:spacing w:line="240" w:lineRule="auto"/>
              <w:jc w:val="left"/>
              <w:rPr>
                <w:rFonts w:cs="Arial"/>
                <w:sz w:val="20"/>
                <w:szCs w:val="20"/>
              </w:rPr>
            </w:pPr>
            <w:r w:rsidRPr="001B1523">
              <w:rPr>
                <w:sz w:val="20"/>
                <w:szCs w:val="20"/>
              </w:rPr>
              <w:t>0.967</w:t>
            </w:r>
          </w:p>
        </w:tc>
      </w:tr>
      <w:tr w:rsidR="00B35FE1" w:rsidRPr="001B1523" w14:paraId="0D450564" w14:textId="77777777" w:rsidTr="00112BC1">
        <w:trPr>
          <w:trHeight w:val="57"/>
        </w:trPr>
        <w:tc>
          <w:tcPr>
            <w:tcW w:w="1811" w:type="dxa"/>
            <w:tcBorders>
              <w:right w:val="single" w:sz="4" w:space="0" w:color="auto"/>
            </w:tcBorders>
            <w:vAlign w:val="center"/>
          </w:tcPr>
          <w:p w14:paraId="6A6FC873" w14:textId="77777777" w:rsidR="00B35FE1" w:rsidRPr="001B1523" w:rsidRDefault="00B35FE1" w:rsidP="00B35FE1">
            <w:pPr>
              <w:spacing w:line="240" w:lineRule="auto"/>
              <w:jc w:val="left"/>
              <w:rPr>
                <w:rFonts w:cs="Arial"/>
                <w:sz w:val="20"/>
                <w:szCs w:val="20"/>
              </w:rPr>
            </w:pPr>
            <w:r w:rsidRPr="001B1523">
              <w:rPr>
                <w:rFonts w:cs="Arial"/>
                <w:sz w:val="20"/>
                <w:szCs w:val="20"/>
              </w:rPr>
              <w:t>Central memory</w:t>
            </w:r>
          </w:p>
        </w:tc>
        <w:tc>
          <w:tcPr>
            <w:tcW w:w="1275" w:type="dxa"/>
            <w:tcBorders>
              <w:left w:val="single" w:sz="4" w:space="0" w:color="auto"/>
            </w:tcBorders>
          </w:tcPr>
          <w:p w14:paraId="5D69C99A" w14:textId="2391060B" w:rsidR="00B35FE1" w:rsidRPr="001B1523" w:rsidRDefault="00B35FE1" w:rsidP="00B35FE1">
            <w:pPr>
              <w:spacing w:line="240" w:lineRule="auto"/>
              <w:jc w:val="left"/>
              <w:rPr>
                <w:rFonts w:cs="Arial"/>
                <w:sz w:val="20"/>
                <w:szCs w:val="20"/>
              </w:rPr>
            </w:pPr>
            <w:r w:rsidRPr="001B1523">
              <w:rPr>
                <w:sz w:val="20"/>
                <w:szCs w:val="20"/>
              </w:rPr>
              <w:t>2.2 (2.1)</w:t>
            </w:r>
          </w:p>
        </w:tc>
        <w:tc>
          <w:tcPr>
            <w:tcW w:w="1275" w:type="dxa"/>
          </w:tcPr>
          <w:p w14:paraId="3E681361" w14:textId="0CAE1267" w:rsidR="00B35FE1" w:rsidRPr="001B1523" w:rsidRDefault="00B35FE1" w:rsidP="00B35FE1">
            <w:pPr>
              <w:spacing w:line="240" w:lineRule="auto"/>
              <w:jc w:val="left"/>
              <w:rPr>
                <w:rFonts w:cs="Arial"/>
                <w:sz w:val="20"/>
                <w:szCs w:val="20"/>
              </w:rPr>
            </w:pPr>
            <w:r w:rsidRPr="001B1523">
              <w:rPr>
                <w:sz w:val="20"/>
                <w:szCs w:val="20"/>
              </w:rPr>
              <w:t>1.9 (1.3)</w:t>
            </w:r>
          </w:p>
        </w:tc>
        <w:tc>
          <w:tcPr>
            <w:tcW w:w="772" w:type="dxa"/>
            <w:tcBorders>
              <w:right w:val="single" w:sz="4" w:space="0" w:color="auto"/>
            </w:tcBorders>
          </w:tcPr>
          <w:p w14:paraId="39BC426F" w14:textId="08D98E50" w:rsidR="00B35FE1" w:rsidRPr="001B1523" w:rsidRDefault="00B35FE1" w:rsidP="00B35FE1">
            <w:pPr>
              <w:spacing w:line="240" w:lineRule="auto"/>
              <w:jc w:val="left"/>
              <w:rPr>
                <w:rFonts w:cs="Arial"/>
                <w:sz w:val="20"/>
                <w:szCs w:val="20"/>
              </w:rPr>
            </w:pPr>
            <w:r w:rsidRPr="001B1523">
              <w:rPr>
                <w:sz w:val="20"/>
                <w:szCs w:val="20"/>
              </w:rPr>
              <w:t>0.277</w:t>
            </w:r>
          </w:p>
        </w:tc>
        <w:tc>
          <w:tcPr>
            <w:tcW w:w="1513" w:type="dxa"/>
            <w:tcBorders>
              <w:left w:val="single" w:sz="4" w:space="0" w:color="auto"/>
            </w:tcBorders>
          </w:tcPr>
          <w:p w14:paraId="064D8022" w14:textId="12316CEA" w:rsidR="00B35FE1" w:rsidRPr="001B1523" w:rsidRDefault="00B35FE1" w:rsidP="00B35FE1">
            <w:pPr>
              <w:spacing w:line="240" w:lineRule="auto"/>
              <w:jc w:val="left"/>
              <w:rPr>
                <w:rFonts w:cs="Arial"/>
                <w:sz w:val="20"/>
                <w:szCs w:val="20"/>
              </w:rPr>
            </w:pPr>
            <w:r w:rsidRPr="001B1523">
              <w:rPr>
                <w:sz w:val="20"/>
                <w:szCs w:val="20"/>
              </w:rPr>
              <w:t>0.033 (0.033)</w:t>
            </w:r>
          </w:p>
        </w:tc>
        <w:tc>
          <w:tcPr>
            <w:tcW w:w="1434" w:type="dxa"/>
          </w:tcPr>
          <w:p w14:paraId="663949BA" w14:textId="6B46BBCA" w:rsidR="00B35FE1" w:rsidRPr="001B1523" w:rsidRDefault="00B35FE1" w:rsidP="00B35FE1">
            <w:pPr>
              <w:spacing w:line="240" w:lineRule="auto"/>
              <w:jc w:val="left"/>
              <w:rPr>
                <w:rFonts w:cs="Arial"/>
                <w:sz w:val="20"/>
                <w:szCs w:val="20"/>
              </w:rPr>
            </w:pPr>
            <w:r w:rsidRPr="001B1523">
              <w:rPr>
                <w:sz w:val="20"/>
                <w:szCs w:val="20"/>
              </w:rPr>
              <w:t>0.027 (0.021)</w:t>
            </w:r>
          </w:p>
        </w:tc>
        <w:tc>
          <w:tcPr>
            <w:tcW w:w="936" w:type="dxa"/>
          </w:tcPr>
          <w:p w14:paraId="3ECE594F" w14:textId="59C76D58" w:rsidR="00B35FE1" w:rsidRPr="001B1523" w:rsidRDefault="00B35FE1" w:rsidP="00B35FE1">
            <w:pPr>
              <w:spacing w:line="240" w:lineRule="auto"/>
              <w:jc w:val="left"/>
              <w:rPr>
                <w:rFonts w:cs="Arial"/>
                <w:sz w:val="20"/>
                <w:szCs w:val="20"/>
              </w:rPr>
            </w:pPr>
            <w:r w:rsidRPr="001B1523">
              <w:rPr>
                <w:sz w:val="20"/>
                <w:szCs w:val="20"/>
              </w:rPr>
              <w:t>0.205</w:t>
            </w:r>
          </w:p>
        </w:tc>
      </w:tr>
      <w:tr w:rsidR="00B35FE1" w:rsidRPr="001B1523" w14:paraId="755FE4C4" w14:textId="77777777" w:rsidTr="00112BC1">
        <w:trPr>
          <w:trHeight w:val="57"/>
        </w:trPr>
        <w:tc>
          <w:tcPr>
            <w:tcW w:w="1811" w:type="dxa"/>
            <w:tcBorders>
              <w:right w:val="single" w:sz="4" w:space="0" w:color="auto"/>
            </w:tcBorders>
            <w:vAlign w:val="center"/>
          </w:tcPr>
          <w:p w14:paraId="2BEC9111" w14:textId="77777777" w:rsidR="00B35FE1" w:rsidRPr="001B1523" w:rsidRDefault="00B35FE1" w:rsidP="00B35FE1">
            <w:pPr>
              <w:spacing w:line="240" w:lineRule="auto"/>
              <w:jc w:val="left"/>
              <w:rPr>
                <w:rFonts w:cs="Arial"/>
                <w:sz w:val="20"/>
                <w:szCs w:val="20"/>
              </w:rPr>
            </w:pPr>
            <w:r w:rsidRPr="001B1523">
              <w:rPr>
                <w:rFonts w:cs="Arial"/>
                <w:sz w:val="20"/>
                <w:szCs w:val="20"/>
              </w:rPr>
              <w:t>Effector memory</w:t>
            </w:r>
          </w:p>
        </w:tc>
        <w:tc>
          <w:tcPr>
            <w:tcW w:w="1275" w:type="dxa"/>
            <w:tcBorders>
              <w:left w:val="single" w:sz="4" w:space="0" w:color="auto"/>
            </w:tcBorders>
          </w:tcPr>
          <w:p w14:paraId="2D85F472" w14:textId="213E9E07" w:rsidR="00B35FE1" w:rsidRPr="001B1523" w:rsidRDefault="00B35FE1" w:rsidP="00B35FE1">
            <w:pPr>
              <w:spacing w:line="240" w:lineRule="auto"/>
              <w:jc w:val="left"/>
              <w:rPr>
                <w:rFonts w:cs="Arial"/>
                <w:sz w:val="20"/>
                <w:szCs w:val="20"/>
              </w:rPr>
            </w:pPr>
            <w:r w:rsidRPr="001B1523">
              <w:rPr>
                <w:sz w:val="20"/>
                <w:szCs w:val="20"/>
              </w:rPr>
              <w:t>3.6 (3.7)</w:t>
            </w:r>
          </w:p>
        </w:tc>
        <w:tc>
          <w:tcPr>
            <w:tcW w:w="1275" w:type="dxa"/>
          </w:tcPr>
          <w:p w14:paraId="06FF86E5" w14:textId="356FA509" w:rsidR="00B35FE1" w:rsidRPr="001B1523" w:rsidRDefault="00B35FE1" w:rsidP="00B35FE1">
            <w:pPr>
              <w:spacing w:line="240" w:lineRule="auto"/>
              <w:jc w:val="left"/>
              <w:rPr>
                <w:rFonts w:cs="Arial"/>
                <w:sz w:val="20"/>
                <w:szCs w:val="20"/>
              </w:rPr>
            </w:pPr>
            <w:r w:rsidRPr="001B1523">
              <w:rPr>
                <w:sz w:val="20"/>
                <w:szCs w:val="20"/>
              </w:rPr>
              <w:t>2.9 (3.6)</w:t>
            </w:r>
          </w:p>
        </w:tc>
        <w:tc>
          <w:tcPr>
            <w:tcW w:w="772" w:type="dxa"/>
            <w:tcBorders>
              <w:right w:val="single" w:sz="4" w:space="0" w:color="auto"/>
            </w:tcBorders>
          </w:tcPr>
          <w:p w14:paraId="13E6ABA0" w14:textId="04093D18" w:rsidR="00B35FE1" w:rsidRPr="001B1523" w:rsidRDefault="00B35FE1" w:rsidP="00B35FE1">
            <w:pPr>
              <w:spacing w:line="240" w:lineRule="auto"/>
              <w:jc w:val="left"/>
              <w:rPr>
                <w:rFonts w:cs="Arial"/>
                <w:sz w:val="20"/>
                <w:szCs w:val="20"/>
              </w:rPr>
            </w:pPr>
            <w:r w:rsidRPr="001B1523">
              <w:rPr>
                <w:sz w:val="20"/>
                <w:szCs w:val="20"/>
              </w:rPr>
              <w:t>0.223</w:t>
            </w:r>
          </w:p>
        </w:tc>
        <w:tc>
          <w:tcPr>
            <w:tcW w:w="1513" w:type="dxa"/>
            <w:tcBorders>
              <w:left w:val="single" w:sz="4" w:space="0" w:color="auto"/>
            </w:tcBorders>
          </w:tcPr>
          <w:p w14:paraId="1352E7F4" w14:textId="6106E2B3" w:rsidR="00B35FE1" w:rsidRPr="001B1523" w:rsidRDefault="00B35FE1" w:rsidP="00B35FE1">
            <w:pPr>
              <w:spacing w:line="240" w:lineRule="auto"/>
              <w:jc w:val="left"/>
              <w:rPr>
                <w:rFonts w:cs="Arial"/>
                <w:sz w:val="20"/>
                <w:szCs w:val="20"/>
              </w:rPr>
            </w:pPr>
            <w:r w:rsidRPr="001B1523">
              <w:rPr>
                <w:sz w:val="20"/>
                <w:szCs w:val="20"/>
              </w:rPr>
              <w:t>0.058 (0.068)</w:t>
            </w:r>
          </w:p>
        </w:tc>
        <w:tc>
          <w:tcPr>
            <w:tcW w:w="1434" w:type="dxa"/>
          </w:tcPr>
          <w:p w14:paraId="6E993269" w14:textId="410CFA08" w:rsidR="00B35FE1" w:rsidRPr="001B1523" w:rsidRDefault="00B35FE1" w:rsidP="00B35FE1">
            <w:pPr>
              <w:spacing w:line="240" w:lineRule="auto"/>
              <w:jc w:val="left"/>
              <w:rPr>
                <w:rFonts w:cs="Arial"/>
                <w:sz w:val="20"/>
                <w:szCs w:val="20"/>
              </w:rPr>
            </w:pPr>
            <w:r w:rsidRPr="001B1523">
              <w:rPr>
                <w:sz w:val="20"/>
                <w:szCs w:val="20"/>
              </w:rPr>
              <w:t>0.043 (0.041)</w:t>
            </w:r>
          </w:p>
        </w:tc>
        <w:tc>
          <w:tcPr>
            <w:tcW w:w="936" w:type="dxa"/>
          </w:tcPr>
          <w:p w14:paraId="062FDDE2" w14:textId="3202003E" w:rsidR="00B35FE1" w:rsidRPr="001B1523" w:rsidRDefault="00B35FE1" w:rsidP="00B35FE1">
            <w:pPr>
              <w:spacing w:line="240" w:lineRule="auto"/>
              <w:jc w:val="left"/>
              <w:rPr>
                <w:rFonts w:cs="Arial"/>
                <w:sz w:val="20"/>
                <w:szCs w:val="20"/>
              </w:rPr>
            </w:pPr>
            <w:r w:rsidRPr="001B1523">
              <w:rPr>
                <w:sz w:val="20"/>
                <w:szCs w:val="20"/>
              </w:rPr>
              <w:t>0.131</w:t>
            </w:r>
          </w:p>
        </w:tc>
      </w:tr>
      <w:tr w:rsidR="00B35FE1" w:rsidRPr="001B1523" w14:paraId="391DF34C" w14:textId="77777777" w:rsidTr="00112BC1">
        <w:trPr>
          <w:trHeight w:val="57"/>
        </w:trPr>
        <w:tc>
          <w:tcPr>
            <w:tcW w:w="1811" w:type="dxa"/>
            <w:tcBorders>
              <w:right w:val="single" w:sz="4" w:space="0" w:color="auto"/>
            </w:tcBorders>
            <w:vAlign w:val="center"/>
          </w:tcPr>
          <w:p w14:paraId="7AD81FD9" w14:textId="0189327E" w:rsidR="00B35FE1" w:rsidRPr="001B1523" w:rsidRDefault="00B35FE1" w:rsidP="00B35FE1">
            <w:pPr>
              <w:spacing w:line="240" w:lineRule="auto"/>
              <w:jc w:val="left"/>
              <w:rPr>
                <w:rFonts w:cs="Arial"/>
                <w:sz w:val="20"/>
                <w:szCs w:val="20"/>
              </w:rPr>
            </w:pPr>
            <w:r w:rsidRPr="001B1523">
              <w:rPr>
                <w:rFonts w:cs="Arial"/>
                <w:sz w:val="20"/>
                <w:szCs w:val="20"/>
              </w:rPr>
              <w:t>TEMRA</w:t>
            </w:r>
          </w:p>
        </w:tc>
        <w:tc>
          <w:tcPr>
            <w:tcW w:w="1275" w:type="dxa"/>
            <w:tcBorders>
              <w:left w:val="single" w:sz="4" w:space="0" w:color="auto"/>
            </w:tcBorders>
          </w:tcPr>
          <w:p w14:paraId="504AB05B" w14:textId="5B2495C0" w:rsidR="00B35FE1" w:rsidRPr="001B1523" w:rsidRDefault="00B35FE1" w:rsidP="00B35FE1">
            <w:pPr>
              <w:spacing w:line="240" w:lineRule="auto"/>
              <w:jc w:val="left"/>
              <w:rPr>
                <w:rFonts w:cs="Arial"/>
                <w:sz w:val="20"/>
                <w:szCs w:val="20"/>
              </w:rPr>
            </w:pPr>
            <w:r w:rsidRPr="001B1523">
              <w:rPr>
                <w:sz w:val="20"/>
                <w:szCs w:val="20"/>
              </w:rPr>
              <w:t>12.6 (9.7)</w:t>
            </w:r>
          </w:p>
        </w:tc>
        <w:tc>
          <w:tcPr>
            <w:tcW w:w="1275" w:type="dxa"/>
          </w:tcPr>
          <w:p w14:paraId="5C5C7BE2" w14:textId="63FDADDF" w:rsidR="00B35FE1" w:rsidRPr="001B1523" w:rsidRDefault="00B35FE1" w:rsidP="00B35FE1">
            <w:pPr>
              <w:spacing w:line="240" w:lineRule="auto"/>
              <w:jc w:val="left"/>
              <w:rPr>
                <w:rFonts w:cs="Arial"/>
                <w:sz w:val="20"/>
                <w:szCs w:val="20"/>
              </w:rPr>
            </w:pPr>
            <w:r w:rsidRPr="001B1523">
              <w:rPr>
                <w:sz w:val="20"/>
                <w:szCs w:val="20"/>
              </w:rPr>
              <w:t>10.2 (7.0)</w:t>
            </w:r>
          </w:p>
        </w:tc>
        <w:tc>
          <w:tcPr>
            <w:tcW w:w="772" w:type="dxa"/>
            <w:tcBorders>
              <w:right w:val="single" w:sz="4" w:space="0" w:color="auto"/>
            </w:tcBorders>
          </w:tcPr>
          <w:p w14:paraId="63096B5C" w14:textId="37AC3DDA" w:rsidR="00B35FE1" w:rsidRPr="001B1523" w:rsidRDefault="00B35FE1" w:rsidP="00B35FE1">
            <w:pPr>
              <w:spacing w:line="240" w:lineRule="auto"/>
              <w:jc w:val="left"/>
              <w:rPr>
                <w:rFonts w:cs="Arial"/>
                <w:sz w:val="20"/>
                <w:szCs w:val="20"/>
              </w:rPr>
            </w:pPr>
            <w:r w:rsidRPr="001B1523">
              <w:rPr>
                <w:sz w:val="20"/>
                <w:szCs w:val="20"/>
              </w:rPr>
              <w:t>0.121</w:t>
            </w:r>
          </w:p>
        </w:tc>
        <w:tc>
          <w:tcPr>
            <w:tcW w:w="1513" w:type="dxa"/>
            <w:tcBorders>
              <w:left w:val="single" w:sz="4" w:space="0" w:color="auto"/>
            </w:tcBorders>
          </w:tcPr>
          <w:p w14:paraId="7B689597" w14:textId="76D98EEE" w:rsidR="00B35FE1" w:rsidRPr="001B1523" w:rsidRDefault="00B35FE1" w:rsidP="00B35FE1">
            <w:pPr>
              <w:spacing w:line="240" w:lineRule="auto"/>
              <w:jc w:val="left"/>
              <w:rPr>
                <w:rFonts w:cs="Arial"/>
                <w:sz w:val="20"/>
                <w:szCs w:val="20"/>
              </w:rPr>
            </w:pPr>
            <w:r w:rsidRPr="001B1523">
              <w:rPr>
                <w:sz w:val="20"/>
                <w:szCs w:val="20"/>
              </w:rPr>
              <w:t>0.213 (0.221)</w:t>
            </w:r>
          </w:p>
        </w:tc>
        <w:tc>
          <w:tcPr>
            <w:tcW w:w="1434" w:type="dxa"/>
          </w:tcPr>
          <w:p w14:paraId="763FB4A5" w14:textId="1693E179" w:rsidR="00B35FE1" w:rsidRPr="001B1523" w:rsidRDefault="00B35FE1" w:rsidP="00B35FE1">
            <w:pPr>
              <w:spacing w:line="240" w:lineRule="auto"/>
              <w:jc w:val="left"/>
              <w:rPr>
                <w:rFonts w:cs="Arial"/>
                <w:sz w:val="20"/>
                <w:szCs w:val="20"/>
              </w:rPr>
            </w:pPr>
            <w:r w:rsidRPr="001B1523">
              <w:rPr>
                <w:sz w:val="20"/>
                <w:szCs w:val="20"/>
              </w:rPr>
              <w:t>0.140 (0.100)</w:t>
            </w:r>
          </w:p>
        </w:tc>
        <w:tc>
          <w:tcPr>
            <w:tcW w:w="936" w:type="dxa"/>
          </w:tcPr>
          <w:p w14:paraId="05020246" w14:textId="53466E88" w:rsidR="00B35FE1" w:rsidRPr="001B1523" w:rsidRDefault="00B35FE1" w:rsidP="00B35FE1">
            <w:pPr>
              <w:spacing w:line="240" w:lineRule="auto"/>
              <w:jc w:val="left"/>
              <w:rPr>
                <w:rFonts w:cs="Arial"/>
                <w:b/>
                <w:bCs/>
                <w:i/>
                <w:iCs/>
                <w:sz w:val="20"/>
                <w:szCs w:val="20"/>
              </w:rPr>
            </w:pPr>
            <w:r w:rsidRPr="001B1523">
              <w:rPr>
                <w:b/>
                <w:bCs/>
                <w:i/>
                <w:iCs/>
                <w:sz w:val="20"/>
                <w:szCs w:val="20"/>
              </w:rPr>
              <w:t>0.019*</w:t>
            </w:r>
          </w:p>
        </w:tc>
      </w:tr>
      <w:tr w:rsidR="00B35FE1" w:rsidRPr="001B1523" w14:paraId="035EA990" w14:textId="77777777" w:rsidTr="00112BC1">
        <w:trPr>
          <w:trHeight w:val="57"/>
        </w:trPr>
        <w:tc>
          <w:tcPr>
            <w:tcW w:w="1811" w:type="dxa"/>
            <w:tcBorders>
              <w:bottom w:val="single" w:sz="12" w:space="0" w:color="auto"/>
              <w:right w:val="single" w:sz="4" w:space="0" w:color="auto"/>
            </w:tcBorders>
            <w:vAlign w:val="center"/>
          </w:tcPr>
          <w:p w14:paraId="4D0B8978" w14:textId="77777777" w:rsidR="00B35FE1" w:rsidRPr="001B1523" w:rsidRDefault="00B35FE1" w:rsidP="00B35FE1">
            <w:pPr>
              <w:spacing w:line="240" w:lineRule="auto"/>
              <w:jc w:val="left"/>
              <w:rPr>
                <w:rFonts w:cs="Arial"/>
                <w:sz w:val="20"/>
                <w:szCs w:val="20"/>
              </w:rPr>
            </w:pPr>
            <w:r w:rsidRPr="001B1523">
              <w:rPr>
                <w:rFonts w:cs="Arial"/>
                <w:sz w:val="20"/>
                <w:szCs w:val="20"/>
              </w:rPr>
              <w:t>CD28</w:t>
            </w:r>
            <w:r w:rsidRPr="001B1523">
              <w:rPr>
                <w:rFonts w:cs="Arial"/>
                <w:sz w:val="20"/>
                <w:szCs w:val="20"/>
                <w:vertAlign w:val="superscript"/>
              </w:rPr>
              <w:t>lo</w:t>
            </w:r>
            <w:r w:rsidRPr="001B1523">
              <w:rPr>
                <w:rFonts w:cs="Arial"/>
                <w:sz w:val="20"/>
                <w:szCs w:val="20"/>
              </w:rPr>
              <w:t>CD57</w:t>
            </w:r>
            <w:r w:rsidRPr="001B1523">
              <w:rPr>
                <w:rFonts w:cs="Arial"/>
                <w:sz w:val="20"/>
                <w:szCs w:val="20"/>
                <w:vertAlign w:val="superscript"/>
              </w:rPr>
              <w:t>hi</w:t>
            </w:r>
          </w:p>
        </w:tc>
        <w:tc>
          <w:tcPr>
            <w:tcW w:w="1275" w:type="dxa"/>
            <w:tcBorders>
              <w:left w:val="single" w:sz="4" w:space="0" w:color="auto"/>
              <w:bottom w:val="single" w:sz="12" w:space="0" w:color="auto"/>
            </w:tcBorders>
          </w:tcPr>
          <w:p w14:paraId="4EA598C9" w14:textId="1ABD8D6F" w:rsidR="00B35FE1" w:rsidRPr="001B1523" w:rsidRDefault="00B35FE1" w:rsidP="00B35FE1">
            <w:pPr>
              <w:spacing w:line="240" w:lineRule="auto"/>
              <w:jc w:val="left"/>
              <w:rPr>
                <w:rFonts w:cs="Arial"/>
                <w:sz w:val="20"/>
                <w:szCs w:val="20"/>
              </w:rPr>
            </w:pPr>
            <w:r w:rsidRPr="001B1523">
              <w:rPr>
                <w:sz w:val="20"/>
                <w:szCs w:val="20"/>
              </w:rPr>
              <w:t>5.9 (6.5)</w:t>
            </w:r>
          </w:p>
        </w:tc>
        <w:tc>
          <w:tcPr>
            <w:tcW w:w="1275" w:type="dxa"/>
            <w:tcBorders>
              <w:bottom w:val="single" w:sz="12" w:space="0" w:color="auto"/>
            </w:tcBorders>
          </w:tcPr>
          <w:p w14:paraId="41E328D7" w14:textId="7207E406" w:rsidR="00B35FE1" w:rsidRPr="001B1523" w:rsidRDefault="00B35FE1" w:rsidP="00B35FE1">
            <w:pPr>
              <w:spacing w:line="240" w:lineRule="auto"/>
              <w:jc w:val="left"/>
              <w:rPr>
                <w:rFonts w:cs="Arial"/>
                <w:sz w:val="20"/>
                <w:szCs w:val="20"/>
              </w:rPr>
            </w:pPr>
            <w:r w:rsidRPr="001B1523">
              <w:rPr>
                <w:sz w:val="20"/>
                <w:szCs w:val="20"/>
              </w:rPr>
              <w:t>4.9 (4.5)</w:t>
            </w:r>
          </w:p>
        </w:tc>
        <w:tc>
          <w:tcPr>
            <w:tcW w:w="772" w:type="dxa"/>
            <w:tcBorders>
              <w:bottom w:val="single" w:sz="12" w:space="0" w:color="auto"/>
              <w:right w:val="single" w:sz="4" w:space="0" w:color="auto"/>
            </w:tcBorders>
          </w:tcPr>
          <w:p w14:paraId="42A2A76F" w14:textId="1714B612" w:rsidR="00B35FE1" w:rsidRPr="001B1523" w:rsidRDefault="00B35FE1" w:rsidP="00B35FE1">
            <w:pPr>
              <w:spacing w:line="240" w:lineRule="auto"/>
              <w:jc w:val="left"/>
              <w:rPr>
                <w:rFonts w:cs="Arial"/>
                <w:sz w:val="20"/>
                <w:szCs w:val="20"/>
              </w:rPr>
            </w:pPr>
            <w:r w:rsidRPr="001B1523">
              <w:rPr>
                <w:sz w:val="20"/>
                <w:szCs w:val="20"/>
              </w:rPr>
              <w:t>0.3</w:t>
            </w:r>
            <w:r w:rsidR="00DD0D5E" w:rsidRPr="001B1523">
              <w:rPr>
                <w:sz w:val="20"/>
                <w:szCs w:val="20"/>
              </w:rPr>
              <w:t>27</w:t>
            </w:r>
          </w:p>
        </w:tc>
        <w:tc>
          <w:tcPr>
            <w:tcW w:w="1513" w:type="dxa"/>
            <w:tcBorders>
              <w:left w:val="single" w:sz="4" w:space="0" w:color="auto"/>
              <w:bottom w:val="single" w:sz="12" w:space="0" w:color="auto"/>
            </w:tcBorders>
          </w:tcPr>
          <w:p w14:paraId="74FE134E" w14:textId="5BABCA2F" w:rsidR="00B35FE1" w:rsidRPr="001B1523" w:rsidRDefault="00B35FE1" w:rsidP="00B35FE1">
            <w:pPr>
              <w:spacing w:line="240" w:lineRule="auto"/>
              <w:jc w:val="left"/>
              <w:rPr>
                <w:rFonts w:cs="Arial"/>
                <w:sz w:val="20"/>
                <w:szCs w:val="20"/>
              </w:rPr>
            </w:pPr>
            <w:r w:rsidRPr="001B1523">
              <w:rPr>
                <w:sz w:val="20"/>
                <w:szCs w:val="20"/>
              </w:rPr>
              <w:t>0.100 (0.145)</w:t>
            </w:r>
          </w:p>
        </w:tc>
        <w:tc>
          <w:tcPr>
            <w:tcW w:w="1434" w:type="dxa"/>
            <w:tcBorders>
              <w:bottom w:val="single" w:sz="12" w:space="0" w:color="auto"/>
            </w:tcBorders>
          </w:tcPr>
          <w:p w14:paraId="52378A33" w14:textId="68F1F46E" w:rsidR="00B35FE1" w:rsidRPr="001B1523" w:rsidRDefault="00B35FE1" w:rsidP="00B35FE1">
            <w:pPr>
              <w:spacing w:line="240" w:lineRule="auto"/>
              <w:jc w:val="left"/>
              <w:rPr>
                <w:rFonts w:cs="Arial"/>
                <w:sz w:val="20"/>
                <w:szCs w:val="20"/>
              </w:rPr>
            </w:pPr>
            <w:r w:rsidRPr="001B1523">
              <w:rPr>
                <w:sz w:val="20"/>
                <w:szCs w:val="20"/>
              </w:rPr>
              <w:t>0.066 (0.061)</w:t>
            </w:r>
          </w:p>
        </w:tc>
        <w:tc>
          <w:tcPr>
            <w:tcW w:w="936" w:type="dxa"/>
            <w:tcBorders>
              <w:bottom w:val="single" w:sz="12" w:space="0" w:color="auto"/>
            </w:tcBorders>
          </w:tcPr>
          <w:p w14:paraId="37BDB1E7" w14:textId="6326584A" w:rsidR="00B35FE1" w:rsidRPr="001B1523" w:rsidRDefault="00B35FE1" w:rsidP="00B35FE1">
            <w:pPr>
              <w:spacing w:line="240" w:lineRule="auto"/>
              <w:jc w:val="left"/>
              <w:rPr>
                <w:rFonts w:cs="Arial"/>
                <w:sz w:val="20"/>
                <w:szCs w:val="20"/>
              </w:rPr>
            </w:pPr>
            <w:r w:rsidRPr="001B1523">
              <w:rPr>
                <w:sz w:val="20"/>
                <w:szCs w:val="20"/>
              </w:rPr>
              <w:t>0.087</w:t>
            </w:r>
          </w:p>
        </w:tc>
      </w:tr>
      <w:tr w:rsidR="00C67946" w:rsidRPr="001B1523" w14:paraId="2B661CE3" w14:textId="77777777" w:rsidTr="00C67946">
        <w:trPr>
          <w:trHeight w:val="57"/>
        </w:trPr>
        <w:tc>
          <w:tcPr>
            <w:tcW w:w="9016" w:type="dxa"/>
            <w:gridSpan w:val="7"/>
            <w:vAlign w:val="center"/>
          </w:tcPr>
          <w:p w14:paraId="619BA718" w14:textId="7A21D4A0" w:rsidR="00C67946" w:rsidRPr="001B1523" w:rsidRDefault="00CB1E8C" w:rsidP="00CB1E8C">
            <w:pPr>
              <w:spacing w:line="240" w:lineRule="auto"/>
              <w:jc w:val="left"/>
              <w:rPr>
                <w:rFonts w:cs="Arial"/>
                <w:sz w:val="20"/>
                <w:szCs w:val="20"/>
              </w:rPr>
            </w:pPr>
            <w:r w:rsidRPr="001B1523">
              <w:rPr>
                <w:rFonts w:eastAsia="Yu Mincho" w:cs="Arial"/>
                <w:sz w:val="20"/>
                <w:szCs w:val="20"/>
              </w:rPr>
              <w:t xml:space="preserve">TEMRA: Terminally differentiated effector memory cells re-expressing CD45RA. </w:t>
            </w:r>
            <w:r w:rsidR="004C0843" w:rsidRPr="001B1523">
              <w:rPr>
                <w:rFonts w:eastAsia="Yu Mincho" w:cs="Arial"/>
                <w:sz w:val="20"/>
                <w:szCs w:val="20"/>
              </w:rPr>
              <w:t>Comparisons were done using</w:t>
            </w:r>
            <w:r w:rsidR="00B9116B" w:rsidRPr="001B1523">
              <w:rPr>
                <w:sz w:val="20"/>
                <w:szCs w:val="20"/>
              </w:rPr>
              <w:t xml:space="preserve"> two-tailed</w:t>
            </w:r>
            <w:r w:rsidR="004C0843" w:rsidRPr="001B1523">
              <w:rPr>
                <w:rFonts w:eastAsia="Yu Mincho" w:cs="Arial"/>
                <w:sz w:val="20"/>
                <w:szCs w:val="20"/>
              </w:rPr>
              <w:t xml:space="preserve"> unpaired t-tests. </w:t>
            </w:r>
            <w:r w:rsidR="00C67946" w:rsidRPr="001B1523">
              <w:rPr>
                <w:rFonts w:eastAsia="Yu Mincho" w:cs="Arial"/>
                <w:sz w:val="20"/>
                <w:szCs w:val="20"/>
              </w:rPr>
              <w:t>The values represent the mean (SD);</w:t>
            </w:r>
            <w:r w:rsidR="004C0843" w:rsidRPr="001B1523">
              <w:rPr>
                <w:rFonts w:eastAsia="Yu Mincho" w:cs="Arial"/>
                <w:sz w:val="20"/>
                <w:szCs w:val="20"/>
              </w:rPr>
              <w:t xml:space="preserve"> *</w:t>
            </w:r>
            <w:r w:rsidR="00C67946" w:rsidRPr="001B1523">
              <w:rPr>
                <w:rFonts w:eastAsia="Yu Mincho" w:cs="Arial"/>
                <w:i/>
                <w:iCs/>
                <w:sz w:val="20"/>
                <w:szCs w:val="20"/>
              </w:rPr>
              <w:t>p</w:t>
            </w:r>
            <w:r w:rsidR="00C67946" w:rsidRPr="001B1523">
              <w:rPr>
                <w:rFonts w:eastAsia="Yu Mincho" w:cs="Arial"/>
                <w:sz w:val="20"/>
                <w:szCs w:val="20"/>
              </w:rPr>
              <w:t>&lt;0.0</w:t>
            </w:r>
            <w:r w:rsidR="00F03BB3" w:rsidRPr="001B1523">
              <w:rPr>
                <w:rFonts w:eastAsia="Yu Mincho" w:cs="Arial"/>
                <w:sz w:val="20"/>
                <w:szCs w:val="20"/>
              </w:rPr>
              <w:t>5</w:t>
            </w:r>
            <w:r w:rsidR="00C67946" w:rsidRPr="001B1523">
              <w:rPr>
                <w:rFonts w:eastAsia="Yu Mincho" w:cs="Arial"/>
                <w:sz w:val="20"/>
                <w:szCs w:val="20"/>
              </w:rPr>
              <w:t>.</w:t>
            </w:r>
          </w:p>
        </w:tc>
      </w:tr>
    </w:tbl>
    <w:p w14:paraId="740D4955" w14:textId="77777777" w:rsidR="007F1F9C" w:rsidRPr="001B1523" w:rsidRDefault="007F1F9C" w:rsidP="00AC4E9D">
      <w:pPr>
        <w:spacing w:before="240" w:line="480" w:lineRule="auto"/>
      </w:pPr>
    </w:p>
    <w:p w14:paraId="0AF1FB2A" w14:textId="564AE163" w:rsidR="005F18C0" w:rsidRPr="001B1523" w:rsidRDefault="005F18C0" w:rsidP="00AC4E9D">
      <w:pPr>
        <w:spacing w:line="480" w:lineRule="auto"/>
        <w:rPr>
          <w:color w:val="0070C0"/>
          <w:sz w:val="24"/>
          <w:szCs w:val="24"/>
        </w:rPr>
      </w:pPr>
      <w:r w:rsidRPr="001B1523">
        <w:rPr>
          <w:sz w:val="24"/>
          <w:szCs w:val="24"/>
        </w:rPr>
        <w:t xml:space="preserve">Amongst the PD cases, there were no significant correlations between the </w:t>
      </w:r>
      <w:r w:rsidR="00806A06" w:rsidRPr="001B1523">
        <w:rPr>
          <w:sz w:val="24"/>
          <w:szCs w:val="24"/>
        </w:rPr>
        <w:t>CD8</w:t>
      </w:r>
      <w:r w:rsidR="00806A06" w:rsidRPr="001B1523">
        <w:rPr>
          <w:sz w:val="24"/>
          <w:szCs w:val="24"/>
          <w:vertAlign w:val="superscript"/>
        </w:rPr>
        <w:t>+</w:t>
      </w:r>
      <w:r w:rsidR="00806A06" w:rsidRPr="001B1523">
        <w:rPr>
          <w:sz w:val="24"/>
          <w:szCs w:val="24"/>
        </w:rPr>
        <w:t xml:space="preserve"> </w:t>
      </w:r>
      <w:r w:rsidR="00806A06" w:rsidRPr="001B1523">
        <w:rPr>
          <w:rFonts w:cs="Arial"/>
          <w:sz w:val="24"/>
          <w:szCs w:val="24"/>
        </w:rPr>
        <w:t xml:space="preserve">TEMRA or </w:t>
      </w:r>
      <w:r w:rsidR="00806A06" w:rsidRPr="001B1523">
        <w:rPr>
          <w:sz w:val="24"/>
          <w:szCs w:val="24"/>
        </w:rPr>
        <w:t>CD28</w:t>
      </w:r>
      <w:r w:rsidR="00806A06" w:rsidRPr="001B1523">
        <w:rPr>
          <w:sz w:val="24"/>
          <w:szCs w:val="24"/>
          <w:vertAlign w:val="superscript"/>
        </w:rPr>
        <w:t>lo</w:t>
      </w:r>
      <w:r w:rsidR="00806A06" w:rsidRPr="001B1523">
        <w:rPr>
          <w:sz w:val="24"/>
          <w:szCs w:val="24"/>
        </w:rPr>
        <w:t>CD57</w:t>
      </w:r>
      <w:r w:rsidR="00806A06" w:rsidRPr="001B1523">
        <w:rPr>
          <w:sz w:val="24"/>
          <w:szCs w:val="24"/>
          <w:vertAlign w:val="superscript"/>
        </w:rPr>
        <w:t>hi</w:t>
      </w:r>
      <w:r w:rsidR="00806A06" w:rsidRPr="001B1523">
        <w:rPr>
          <w:sz w:val="24"/>
          <w:szCs w:val="24"/>
        </w:rPr>
        <w:t xml:space="preserve"> senescent </w:t>
      </w:r>
      <w:r w:rsidR="006C03E2" w:rsidRPr="001B1523">
        <w:rPr>
          <w:sz w:val="24"/>
          <w:szCs w:val="24"/>
        </w:rPr>
        <w:t>T cell</w:t>
      </w:r>
      <w:r w:rsidR="00A860D5" w:rsidRPr="001B1523">
        <w:rPr>
          <w:sz w:val="24"/>
          <w:szCs w:val="24"/>
        </w:rPr>
        <w:t xml:space="preserve"> count</w:t>
      </w:r>
      <w:r w:rsidR="00806A06" w:rsidRPr="001B1523">
        <w:rPr>
          <w:sz w:val="24"/>
          <w:szCs w:val="24"/>
        </w:rPr>
        <w:t>s</w:t>
      </w:r>
      <w:r w:rsidRPr="001B1523">
        <w:rPr>
          <w:sz w:val="24"/>
          <w:szCs w:val="24"/>
        </w:rPr>
        <w:t xml:space="preserve"> and clinical variables, including age, sex, measures of motor and cognitive function</w:t>
      </w:r>
      <w:r w:rsidR="00702C6B" w:rsidRPr="001B1523">
        <w:rPr>
          <w:sz w:val="24"/>
          <w:szCs w:val="24"/>
        </w:rPr>
        <w:t>,</w:t>
      </w:r>
      <w:r w:rsidRPr="001B1523">
        <w:rPr>
          <w:sz w:val="24"/>
          <w:szCs w:val="24"/>
        </w:rPr>
        <w:t xml:space="preserve"> </w:t>
      </w:r>
      <w:r w:rsidR="00702C6B" w:rsidRPr="001B1523">
        <w:rPr>
          <w:sz w:val="24"/>
          <w:szCs w:val="24"/>
        </w:rPr>
        <w:t xml:space="preserve">5-year prognostic score </w:t>
      </w:r>
      <w:r w:rsidRPr="001B1523">
        <w:rPr>
          <w:sz w:val="24"/>
          <w:szCs w:val="24"/>
        </w:rPr>
        <w:t xml:space="preserve">or </w:t>
      </w:r>
      <w:r w:rsidR="00F97462" w:rsidRPr="001B1523">
        <w:rPr>
          <w:sz w:val="24"/>
          <w:szCs w:val="24"/>
        </w:rPr>
        <w:t>LEDD.</w:t>
      </w:r>
    </w:p>
    <w:p w14:paraId="5F794828" w14:textId="77777777" w:rsidR="00516A52" w:rsidRPr="001B1523" w:rsidRDefault="00516A52" w:rsidP="00AC4E9D">
      <w:pPr>
        <w:spacing w:line="480" w:lineRule="auto"/>
        <w:rPr>
          <w:sz w:val="24"/>
          <w:szCs w:val="24"/>
        </w:rPr>
      </w:pPr>
    </w:p>
    <w:tbl>
      <w:tblPr>
        <w:tblStyle w:val="TableGrid"/>
        <w:tblW w:w="924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46"/>
      </w:tblGrid>
      <w:tr w:rsidR="00737C9B" w:rsidRPr="001B1523" w14:paraId="4F77B7E5" w14:textId="77777777" w:rsidTr="00813C8C">
        <w:tc>
          <w:tcPr>
            <w:tcW w:w="9246" w:type="dxa"/>
          </w:tcPr>
          <w:p w14:paraId="08696C98" w14:textId="78BB465F" w:rsidR="00737C9B" w:rsidRPr="001B1523" w:rsidRDefault="00FE3D25" w:rsidP="0026616C">
            <w:pPr>
              <w:jc w:val="left"/>
              <w:rPr>
                <w:noProof/>
              </w:rPr>
            </w:pPr>
            <w:r w:rsidRPr="001B1523">
              <w:rPr>
                <w:noProof/>
                <w:lang w:eastAsia="en-GB"/>
              </w:rPr>
              <w:lastRenderedPageBreak/>
              <w:drawing>
                <wp:inline distT="0" distB="0" distL="0" distR="0" wp14:anchorId="4387A0E6" wp14:editId="08F5A442">
                  <wp:extent cx="5600700" cy="5334502"/>
                  <wp:effectExtent l="0" t="0" r="0" b="0"/>
                  <wp:docPr id="3" name="Picture 3"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Graphical user interface&#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602551" cy="5336265"/>
                          </a:xfrm>
                          <a:prstGeom prst="rect">
                            <a:avLst/>
                          </a:prstGeom>
                        </pic:spPr>
                      </pic:pic>
                    </a:graphicData>
                  </a:graphic>
                </wp:inline>
              </w:drawing>
            </w:r>
          </w:p>
        </w:tc>
      </w:tr>
      <w:tr w:rsidR="004C43E1" w:rsidRPr="001B1523" w14:paraId="656D1F1C" w14:textId="77777777" w:rsidTr="00813C8C">
        <w:tc>
          <w:tcPr>
            <w:tcW w:w="9246" w:type="dxa"/>
          </w:tcPr>
          <w:p w14:paraId="01B705FB" w14:textId="0B17A589" w:rsidR="004C43E1" w:rsidRPr="001B1523" w:rsidRDefault="00737C9B" w:rsidP="003F0368">
            <w:pPr>
              <w:spacing w:line="240" w:lineRule="auto"/>
              <w:rPr>
                <w:sz w:val="20"/>
                <w:szCs w:val="20"/>
              </w:rPr>
            </w:pPr>
            <w:r w:rsidRPr="001B1523">
              <w:rPr>
                <w:b/>
                <w:bCs/>
                <w:sz w:val="20"/>
                <w:szCs w:val="20"/>
              </w:rPr>
              <w:t>Fig</w:t>
            </w:r>
            <w:r w:rsidR="00FE5E75" w:rsidRPr="001B1523">
              <w:rPr>
                <w:b/>
                <w:bCs/>
                <w:sz w:val="20"/>
                <w:szCs w:val="20"/>
              </w:rPr>
              <w:t>.</w:t>
            </w:r>
            <w:r w:rsidRPr="001B1523">
              <w:rPr>
                <w:b/>
                <w:bCs/>
                <w:sz w:val="20"/>
                <w:szCs w:val="20"/>
              </w:rPr>
              <w:t xml:space="preserve"> </w:t>
            </w:r>
            <w:r w:rsidR="00813C8C" w:rsidRPr="001B1523">
              <w:rPr>
                <w:b/>
                <w:bCs/>
                <w:sz w:val="20"/>
                <w:szCs w:val="20"/>
              </w:rPr>
              <w:t>1</w:t>
            </w:r>
            <w:r w:rsidR="00FE5E75" w:rsidRPr="001B1523">
              <w:rPr>
                <w:b/>
                <w:bCs/>
                <w:sz w:val="20"/>
                <w:szCs w:val="20"/>
              </w:rPr>
              <w:t>.</w:t>
            </w:r>
            <w:r w:rsidR="00FE5E75" w:rsidRPr="001B1523">
              <w:rPr>
                <w:sz w:val="20"/>
                <w:szCs w:val="20"/>
              </w:rPr>
              <w:t xml:space="preserve"> </w:t>
            </w:r>
            <w:r w:rsidR="00813C8C" w:rsidRPr="001B1523">
              <w:rPr>
                <w:sz w:val="20"/>
                <w:szCs w:val="20"/>
              </w:rPr>
              <w:t xml:space="preserve"> </w:t>
            </w:r>
            <w:r w:rsidR="001C43FF" w:rsidRPr="001B1523">
              <w:rPr>
                <w:noProof/>
                <w:sz w:val="20"/>
                <w:szCs w:val="20"/>
              </w:rPr>
              <w:t xml:space="preserve">T </w:t>
            </w:r>
            <w:r w:rsidR="00B308C5" w:rsidRPr="001B1523">
              <w:rPr>
                <w:noProof/>
                <w:sz w:val="20"/>
                <w:szCs w:val="20"/>
              </w:rPr>
              <w:t>l</w:t>
            </w:r>
            <w:r w:rsidR="00813C8C" w:rsidRPr="001B1523">
              <w:rPr>
                <w:noProof/>
                <w:sz w:val="20"/>
                <w:szCs w:val="20"/>
              </w:rPr>
              <w:t>ymphocyte immunophenotyping in PD patients versus controls.</w:t>
            </w:r>
            <w:r w:rsidR="00B308C5" w:rsidRPr="001B1523">
              <w:rPr>
                <w:noProof/>
                <w:sz w:val="20"/>
                <w:szCs w:val="20"/>
              </w:rPr>
              <w:t xml:space="preserve"> (A) </w:t>
            </w:r>
            <w:r w:rsidR="001C43FF" w:rsidRPr="001B1523">
              <w:rPr>
                <w:noProof/>
                <w:sz w:val="20"/>
                <w:szCs w:val="20"/>
              </w:rPr>
              <w:t>Following gating of the total lymphocyte and single cell population</w:t>
            </w:r>
            <w:r w:rsidR="00937C99" w:rsidRPr="001B1523">
              <w:rPr>
                <w:noProof/>
                <w:sz w:val="20"/>
                <w:szCs w:val="20"/>
              </w:rPr>
              <w:t>s</w:t>
            </w:r>
            <w:r w:rsidR="001C43FF" w:rsidRPr="001B1523">
              <w:rPr>
                <w:noProof/>
                <w:sz w:val="20"/>
                <w:szCs w:val="20"/>
              </w:rPr>
              <w:t>, CD4</w:t>
            </w:r>
            <w:r w:rsidR="001C43FF" w:rsidRPr="001B1523">
              <w:rPr>
                <w:noProof/>
                <w:sz w:val="20"/>
                <w:szCs w:val="20"/>
                <w:vertAlign w:val="superscript"/>
              </w:rPr>
              <w:t>+</w:t>
            </w:r>
            <w:r w:rsidR="001C43FF" w:rsidRPr="001B1523">
              <w:rPr>
                <w:noProof/>
                <w:sz w:val="20"/>
                <w:szCs w:val="20"/>
              </w:rPr>
              <w:t xml:space="preserve"> and CD8</w:t>
            </w:r>
            <w:r w:rsidR="001C43FF" w:rsidRPr="001B1523">
              <w:rPr>
                <w:noProof/>
                <w:sz w:val="20"/>
                <w:szCs w:val="20"/>
                <w:vertAlign w:val="superscript"/>
              </w:rPr>
              <w:t>+</w:t>
            </w:r>
            <w:r w:rsidR="001C43FF" w:rsidRPr="001B1523">
              <w:rPr>
                <w:noProof/>
                <w:sz w:val="20"/>
                <w:szCs w:val="20"/>
              </w:rPr>
              <w:t xml:space="preserve"> </w:t>
            </w:r>
            <w:r w:rsidR="007A3FB4" w:rsidRPr="001B1523">
              <w:rPr>
                <w:noProof/>
                <w:sz w:val="20"/>
                <w:szCs w:val="20"/>
              </w:rPr>
              <w:t xml:space="preserve"> T </w:t>
            </w:r>
            <w:r w:rsidR="001C43FF" w:rsidRPr="001B1523">
              <w:rPr>
                <w:noProof/>
                <w:sz w:val="20"/>
                <w:szCs w:val="20"/>
              </w:rPr>
              <w:t>cells were identified as CD3</w:t>
            </w:r>
            <w:r w:rsidR="001C43FF" w:rsidRPr="001B1523">
              <w:rPr>
                <w:noProof/>
                <w:sz w:val="20"/>
                <w:szCs w:val="20"/>
                <w:vertAlign w:val="superscript"/>
              </w:rPr>
              <w:t>+</w:t>
            </w:r>
            <w:r w:rsidR="001C43FF" w:rsidRPr="001B1523">
              <w:rPr>
                <w:noProof/>
                <w:sz w:val="20"/>
                <w:szCs w:val="20"/>
              </w:rPr>
              <w:t>CD4</w:t>
            </w:r>
            <w:r w:rsidR="001C43FF" w:rsidRPr="001B1523">
              <w:rPr>
                <w:noProof/>
                <w:sz w:val="20"/>
                <w:szCs w:val="20"/>
                <w:vertAlign w:val="superscript"/>
              </w:rPr>
              <w:t>+</w:t>
            </w:r>
            <w:r w:rsidR="00B308C5" w:rsidRPr="001B1523">
              <w:rPr>
                <w:noProof/>
                <w:sz w:val="20"/>
                <w:szCs w:val="20"/>
              </w:rPr>
              <w:t xml:space="preserve"> </w:t>
            </w:r>
            <w:r w:rsidR="001C43FF" w:rsidRPr="001B1523">
              <w:rPr>
                <w:noProof/>
                <w:sz w:val="20"/>
                <w:szCs w:val="20"/>
              </w:rPr>
              <w:t>and CD3</w:t>
            </w:r>
            <w:r w:rsidR="001C43FF" w:rsidRPr="001B1523">
              <w:rPr>
                <w:noProof/>
                <w:sz w:val="20"/>
                <w:szCs w:val="20"/>
                <w:vertAlign w:val="superscript"/>
              </w:rPr>
              <w:t>+</w:t>
            </w:r>
            <w:r w:rsidR="001C43FF" w:rsidRPr="001B1523">
              <w:rPr>
                <w:noProof/>
                <w:sz w:val="20"/>
                <w:szCs w:val="20"/>
              </w:rPr>
              <w:t>CD8</w:t>
            </w:r>
            <w:r w:rsidR="001C43FF" w:rsidRPr="001B1523">
              <w:rPr>
                <w:noProof/>
                <w:sz w:val="20"/>
                <w:szCs w:val="20"/>
                <w:vertAlign w:val="superscript"/>
              </w:rPr>
              <w:t>+</w:t>
            </w:r>
            <w:r w:rsidR="001C43FF" w:rsidRPr="001B1523">
              <w:rPr>
                <w:noProof/>
                <w:sz w:val="20"/>
                <w:szCs w:val="20"/>
              </w:rPr>
              <w:t>, respectively. CD4</w:t>
            </w:r>
            <w:r w:rsidR="001C43FF" w:rsidRPr="001B1523">
              <w:rPr>
                <w:noProof/>
                <w:sz w:val="20"/>
                <w:szCs w:val="20"/>
                <w:vertAlign w:val="superscript"/>
              </w:rPr>
              <w:t>+</w:t>
            </w:r>
            <w:r w:rsidR="001C43FF" w:rsidRPr="001B1523">
              <w:rPr>
                <w:noProof/>
                <w:sz w:val="20"/>
                <w:szCs w:val="20"/>
              </w:rPr>
              <w:t xml:space="preserve"> and CD8</w:t>
            </w:r>
            <w:r w:rsidR="001C43FF" w:rsidRPr="001B1523">
              <w:rPr>
                <w:noProof/>
                <w:sz w:val="20"/>
                <w:szCs w:val="20"/>
                <w:vertAlign w:val="superscript"/>
              </w:rPr>
              <w:t>+</w:t>
            </w:r>
            <w:r w:rsidR="001C43FF" w:rsidRPr="001B1523">
              <w:rPr>
                <w:noProof/>
                <w:sz w:val="20"/>
                <w:szCs w:val="20"/>
              </w:rPr>
              <w:t xml:space="preserve"> subsets were distiguished using a quadrant gate based on the expression of CCR7 and CD45RA. Additionally</w:t>
            </w:r>
            <w:r w:rsidR="00A02331" w:rsidRPr="001B1523">
              <w:rPr>
                <w:noProof/>
                <w:sz w:val="20"/>
                <w:szCs w:val="20"/>
              </w:rPr>
              <w:t>,</w:t>
            </w:r>
            <w:r w:rsidR="001C43FF" w:rsidRPr="001B1523">
              <w:rPr>
                <w:noProof/>
                <w:sz w:val="20"/>
                <w:szCs w:val="20"/>
              </w:rPr>
              <w:t xml:space="preserve"> senescent CD8</w:t>
            </w:r>
            <w:r w:rsidR="001C43FF" w:rsidRPr="001B1523">
              <w:rPr>
                <w:noProof/>
                <w:sz w:val="20"/>
                <w:szCs w:val="20"/>
                <w:vertAlign w:val="superscript"/>
              </w:rPr>
              <w:t>+</w:t>
            </w:r>
            <w:r w:rsidR="001C43FF" w:rsidRPr="001B1523">
              <w:rPr>
                <w:noProof/>
                <w:sz w:val="20"/>
                <w:szCs w:val="20"/>
              </w:rPr>
              <w:t xml:space="preserve"> subsets were identified based on their low expression of CD28 and high expression of CD57. </w:t>
            </w:r>
            <w:r w:rsidR="00B308C5" w:rsidRPr="001B1523">
              <w:rPr>
                <w:noProof/>
                <w:sz w:val="20"/>
                <w:szCs w:val="20"/>
              </w:rPr>
              <w:t>(B)</w:t>
            </w:r>
            <w:r w:rsidR="00A02331" w:rsidRPr="001B1523">
              <w:rPr>
                <w:noProof/>
                <w:sz w:val="20"/>
                <w:szCs w:val="20"/>
              </w:rPr>
              <w:t xml:space="preserve"> Quantification of CD8</w:t>
            </w:r>
            <w:r w:rsidR="00A02331" w:rsidRPr="001B1523">
              <w:rPr>
                <w:noProof/>
                <w:sz w:val="20"/>
                <w:szCs w:val="20"/>
                <w:vertAlign w:val="superscript"/>
              </w:rPr>
              <w:t>+</w:t>
            </w:r>
            <w:r w:rsidR="00A02331" w:rsidRPr="001B1523">
              <w:rPr>
                <w:noProof/>
                <w:sz w:val="20"/>
                <w:szCs w:val="20"/>
              </w:rPr>
              <w:t xml:space="preserve"> T cell subets in PD patients and controls.</w:t>
            </w:r>
            <w:r w:rsidR="00B308C5" w:rsidRPr="001B1523">
              <w:rPr>
                <w:noProof/>
                <w:sz w:val="20"/>
                <w:szCs w:val="20"/>
              </w:rPr>
              <w:t xml:space="preserve"> </w:t>
            </w:r>
            <w:r w:rsidR="00A02331" w:rsidRPr="001B1523">
              <w:rPr>
                <w:noProof/>
                <w:sz w:val="20"/>
                <w:szCs w:val="20"/>
              </w:rPr>
              <w:t>There was a significant decrease in the absolute number of CD8</w:t>
            </w:r>
            <w:r w:rsidR="00A02331" w:rsidRPr="001B1523">
              <w:rPr>
                <w:noProof/>
                <w:sz w:val="20"/>
                <w:szCs w:val="20"/>
                <w:vertAlign w:val="superscript"/>
              </w:rPr>
              <w:t>+</w:t>
            </w:r>
            <w:r w:rsidR="00A02331" w:rsidRPr="001B1523">
              <w:rPr>
                <w:noProof/>
                <w:sz w:val="20"/>
                <w:szCs w:val="20"/>
              </w:rPr>
              <w:t xml:space="preserve"> TEMRA cells in patients versus controls (</w:t>
            </w:r>
            <w:r w:rsidR="00937C99" w:rsidRPr="001B1523">
              <w:rPr>
                <w:noProof/>
                <w:sz w:val="20"/>
                <w:szCs w:val="20"/>
              </w:rPr>
              <w:t xml:space="preserve">two-tailed unpaired </w:t>
            </w:r>
            <w:r w:rsidR="00C1098E" w:rsidRPr="001B1523">
              <w:rPr>
                <w:noProof/>
                <w:sz w:val="20"/>
                <w:szCs w:val="20"/>
              </w:rPr>
              <w:t xml:space="preserve">Welch's </w:t>
            </w:r>
            <w:r w:rsidR="00937C99" w:rsidRPr="001B1523">
              <w:rPr>
                <w:noProof/>
                <w:sz w:val="20"/>
                <w:szCs w:val="20"/>
              </w:rPr>
              <w:t>t-test, t</w:t>
            </w:r>
            <w:r w:rsidR="00B3134F" w:rsidRPr="001B1523">
              <w:rPr>
                <w:noProof/>
                <w:sz w:val="20"/>
                <w:szCs w:val="20"/>
              </w:rPr>
              <w:t>(</w:t>
            </w:r>
            <w:r w:rsidR="00D43F26" w:rsidRPr="001B1523">
              <w:rPr>
                <w:noProof/>
                <w:sz w:val="20"/>
                <w:szCs w:val="20"/>
              </w:rPr>
              <w:t>87</w:t>
            </w:r>
            <w:r w:rsidR="00B3134F" w:rsidRPr="001B1523">
              <w:rPr>
                <w:noProof/>
                <w:sz w:val="20"/>
                <w:szCs w:val="20"/>
              </w:rPr>
              <w:t>.</w:t>
            </w:r>
            <w:r w:rsidR="00D43F26" w:rsidRPr="001B1523">
              <w:rPr>
                <w:noProof/>
                <w:sz w:val="20"/>
                <w:szCs w:val="20"/>
              </w:rPr>
              <w:t>25</w:t>
            </w:r>
            <w:r w:rsidR="00B3134F" w:rsidRPr="001B1523">
              <w:rPr>
                <w:noProof/>
                <w:sz w:val="20"/>
                <w:szCs w:val="20"/>
              </w:rPr>
              <w:t>)</w:t>
            </w:r>
            <w:r w:rsidR="00937C99" w:rsidRPr="001B1523">
              <w:rPr>
                <w:noProof/>
                <w:sz w:val="20"/>
                <w:szCs w:val="20"/>
              </w:rPr>
              <w:t>=2.</w:t>
            </w:r>
            <w:r w:rsidR="00D43F26" w:rsidRPr="001B1523">
              <w:rPr>
                <w:noProof/>
                <w:sz w:val="20"/>
                <w:szCs w:val="20"/>
              </w:rPr>
              <w:t>39</w:t>
            </w:r>
            <w:r w:rsidR="00937C99" w:rsidRPr="001B1523">
              <w:rPr>
                <w:noProof/>
                <w:sz w:val="20"/>
                <w:szCs w:val="20"/>
              </w:rPr>
              <w:t>2,</w:t>
            </w:r>
            <w:r w:rsidR="00B3134F" w:rsidRPr="001B1523">
              <w:rPr>
                <w:noProof/>
                <w:sz w:val="20"/>
                <w:szCs w:val="20"/>
              </w:rPr>
              <w:t xml:space="preserve"> </w:t>
            </w:r>
            <w:r w:rsidR="00937C99" w:rsidRPr="001B1523">
              <w:rPr>
                <w:i/>
                <w:iCs/>
                <w:noProof/>
                <w:sz w:val="20"/>
                <w:szCs w:val="20"/>
              </w:rPr>
              <w:t>p</w:t>
            </w:r>
            <w:r w:rsidR="00937C99" w:rsidRPr="001B1523">
              <w:rPr>
                <w:noProof/>
                <w:sz w:val="20"/>
                <w:szCs w:val="20"/>
              </w:rPr>
              <w:t>=0.0</w:t>
            </w:r>
            <w:r w:rsidR="00D43F26" w:rsidRPr="001B1523">
              <w:rPr>
                <w:noProof/>
                <w:sz w:val="20"/>
                <w:szCs w:val="20"/>
              </w:rPr>
              <w:t>19</w:t>
            </w:r>
            <w:r w:rsidR="00A02331" w:rsidRPr="001B1523">
              <w:rPr>
                <w:noProof/>
                <w:sz w:val="20"/>
                <w:szCs w:val="20"/>
              </w:rPr>
              <w:t>).</w:t>
            </w:r>
            <w:r w:rsidR="003F0368" w:rsidRPr="001B1523">
              <w:rPr>
                <w:noProof/>
                <w:sz w:val="20"/>
                <w:szCs w:val="20"/>
              </w:rPr>
              <w:t xml:space="preserve"> </w:t>
            </w:r>
            <w:r w:rsidR="00A02331" w:rsidRPr="001B1523">
              <w:rPr>
                <w:noProof/>
                <w:sz w:val="20"/>
                <w:szCs w:val="20"/>
              </w:rPr>
              <w:t>All other</w:t>
            </w:r>
            <w:r w:rsidR="00593338" w:rsidRPr="001B1523">
              <w:rPr>
                <w:noProof/>
                <w:sz w:val="20"/>
                <w:szCs w:val="20"/>
              </w:rPr>
              <w:t xml:space="preserve"> CD8</w:t>
            </w:r>
            <w:r w:rsidR="00593338" w:rsidRPr="001B1523">
              <w:rPr>
                <w:noProof/>
                <w:sz w:val="20"/>
                <w:szCs w:val="20"/>
                <w:vertAlign w:val="superscript"/>
              </w:rPr>
              <w:t>+</w:t>
            </w:r>
            <w:r w:rsidR="00A02331" w:rsidRPr="001B1523">
              <w:rPr>
                <w:noProof/>
                <w:sz w:val="20"/>
                <w:szCs w:val="20"/>
              </w:rPr>
              <w:t xml:space="preserve"> </w:t>
            </w:r>
            <w:r w:rsidR="00593338" w:rsidRPr="001B1523">
              <w:rPr>
                <w:noProof/>
                <w:sz w:val="20"/>
                <w:szCs w:val="20"/>
              </w:rPr>
              <w:t xml:space="preserve">T </w:t>
            </w:r>
            <w:r w:rsidR="00A02331" w:rsidRPr="001B1523">
              <w:rPr>
                <w:noProof/>
                <w:sz w:val="20"/>
                <w:szCs w:val="20"/>
              </w:rPr>
              <w:t xml:space="preserve">cell subsets </w:t>
            </w:r>
            <w:r w:rsidR="000845EA" w:rsidRPr="001B1523">
              <w:rPr>
                <w:noProof/>
                <w:sz w:val="20"/>
                <w:szCs w:val="20"/>
              </w:rPr>
              <w:t>did not differ</w:t>
            </w:r>
            <w:r w:rsidR="00A02331" w:rsidRPr="001B1523">
              <w:rPr>
                <w:noProof/>
                <w:sz w:val="20"/>
                <w:szCs w:val="20"/>
              </w:rPr>
              <w:t xml:space="preserve"> between the groups</w:t>
            </w:r>
            <w:r w:rsidR="00593338" w:rsidRPr="001B1523">
              <w:rPr>
                <w:noProof/>
                <w:sz w:val="20"/>
                <w:szCs w:val="20"/>
              </w:rPr>
              <w:t xml:space="preserve"> (two-tailed unpaired </w:t>
            </w:r>
            <w:r w:rsidR="00DD70C0" w:rsidRPr="001B1523">
              <w:rPr>
                <w:noProof/>
                <w:sz w:val="20"/>
                <w:szCs w:val="20"/>
              </w:rPr>
              <w:t xml:space="preserve">Welch's </w:t>
            </w:r>
            <w:r w:rsidR="00593338" w:rsidRPr="001B1523">
              <w:rPr>
                <w:noProof/>
                <w:sz w:val="20"/>
                <w:szCs w:val="20"/>
              </w:rPr>
              <w:t xml:space="preserve">t-test, </w:t>
            </w:r>
            <w:r w:rsidR="00593338" w:rsidRPr="001B1523">
              <w:rPr>
                <w:i/>
                <w:iCs/>
                <w:noProof/>
                <w:sz w:val="20"/>
                <w:szCs w:val="20"/>
              </w:rPr>
              <w:t>p</w:t>
            </w:r>
            <w:r w:rsidR="00593338" w:rsidRPr="001B1523">
              <w:rPr>
                <w:noProof/>
                <w:sz w:val="20"/>
                <w:szCs w:val="20"/>
              </w:rPr>
              <w:t>&gt;0.05)</w:t>
            </w:r>
            <w:r w:rsidR="00A02331" w:rsidRPr="001B1523">
              <w:rPr>
                <w:noProof/>
                <w:sz w:val="20"/>
                <w:szCs w:val="20"/>
              </w:rPr>
              <w:t xml:space="preserve">. </w:t>
            </w:r>
            <w:r w:rsidR="0020569E" w:rsidRPr="001B1523">
              <w:rPr>
                <w:noProof/>
                <w:sz w:val="20"/>
                <w:szCs w:val="20"/>
              </w:rPr>
              <w:t xml:space="preserve"> </w:t>
            </w:r>
            <w:r w:rsidR="00A02331" w:rsidRPr="001B1523">
              <w:rPr>
                <w:noProof/>
                <w:sz w:val="20"/>
                <w:szCs w:val="20"/>
              </w:rPr>
              <w:t>CM: Central memory, EM: Effector memory, TEMRA:</w:t>
            </w:r>
            <w:r w:rsidR="00A02331" w:rsidRPr="001B1523">
              <w:t xml:space="preserve"> </w:t>
            </w:r>
            <w:r w:rsidR="00A02331" w:rsidRPr="001B1523">
              <w:rPr>
                <w:noProof/>
                <w:sz w:val="20"/>
                <w:szCs w:val="20"/>
              </w:rPr>
              <w:t>Terminally differentiated effector memory cells re-expressing CD45RA. *</w:t>
            </w:r>
            <w:r w:rsidR="00A02331" w:rsidRPr="001B1523">
              <w:rPr>
                <w:i/>
                <w:iCs/>
                <w:noProof/>
                <w:sz w:val="20"/>
                <w:szCs w:val="20"/>
              </w:rPr>
              <w:t>p</w:t>
            </w:r>
            <w:r w:rsidR="00A02331" w:rsidRPr="001B1523">
              <w:rPr>
                <w:noProof/>
                <w:sz w:val="20"/>
                <w:szCs w:val="20"/>
              </w:rPr>
              <w:t>&lt;0.0</w:t>
            </w:r>
            <w:r w:rsidR="00064D10" w:rsidRPr="001B1523">
              <w:rPr>
                <w:noProof/>
                <w:sz w:val="20"/>
                <w:szCs w:val="20"/>
              </w:rPr>
              <w:t>5</w:t>
            </w:r>
            <w:r w:rsidR="00A02331" w:rsidRPr="001B1523">
              <w:rPr>
                <w:noProof/>
                <w:sz w:val="20"/>
                <w:szCs w:val="20"/>
              </w:rPr>
              <w:t>.</w:t>
            </w:r>
          </w:p>
        </w:tc>
      </w:tr>
    </w:tbl>
    <w:p w14:paraId="4F60FCBD" w14:textId="69391C21" w:rsidR="00014432" w:rsidRPr="001B1523" w:rsidRDefault="00014432" w:rsidP="00A66C1C"/>
    <w:p w14:paraId="4EF9163F" w14:textId="77777777" w:rsidR="00A66C1C" w:rsidRPr="001B1523" w:rsidRDefault="00A66C1C" w:rsidP="00A66C1C"/>
    <w:p w14:paraId="0E4C5953" w14:textId="2C0AEFE7" w:rsidR="00095D71" w:rsidRPr="001B1523" w:rsidRDefault="004C3E3E" w:rsidP="004C3E3E">
      <w:pPr>
        <w:pStyle w:val="Heading2"/>
        <w:spacing w:line="480" w:lineRule="auto"/>
      </w:pPr>
      <w:r w:rsidRPr="001B1523">
        <w:t>The association between prior CMV infection and CD8</w:t>
      </w:r>
      <w:r w:rsidRPr="001B1523">
        <w:rPr>
          <w:vertAlign w:val="superscript"/>
        </w:rPr>
        <w:t>+</w:t>
      </w:r>
      <w:r w:rsidRPr="001B1523">
        <w:t xml:space="preserve"> T cell senescence is attenuated in PD</w:t>
      </w:r>
    </w:p>
    <w:p w14:paraId="40DEF8E6" w14:textId="5CC9A112" w:rsidR="0002773B" w:rsidRPr="001B1523" w:rsidRDefault="0002773B" w:rsidP="00AC4E9D">
      <w:pPr>
        <w:spacing w:line="480" w:lineRule="auto"/>
      </w:pPr>
    </w:p>
    <w:p w14:paraId="3F93C45B" w14:textId="35B433BD" w:rsidR="005C46F5" w:rsidRPr="001B1523" w:rsidRDefault="00A35F50" w:rsidP="00AC4E9D">
      <w:pPr>
        <w:spacing w:line="480" w:lineRule="auto"/>
        <w:rPr>
          <w:sz w:val="24"/>
          <w:szCs w:val="24"/>
        </w:rPr>
      </w:pPr>
      <w:r w:rsidRPr="001B1523">
        <w:rPr>
          <w:sz w:val="24"/>
          <w:szCs w:val="24"/>
        </w:rPr>
        <w:t>There was no significant difference in either CMV or EBV seropositivity between PD patients and controls (</w:t>
      </w:r>
      <w:r w:rsidRPr="001B1523">
        <w:rPr>
          <w:i/>
          <w:iCs/>
          <w:sz w:val="24"/>
          <w:szCs w:val="24"/>
        </w:rPr>
        <w:t>p</w:t>
      </w:r>
      <w:r w:rsidRPr="001B1523">
        <w:rPr>
          <w:sz w:val="24"/>
          <w:szCs w:val="24"/>
        </w:rPr>
        <w:t xml:space="preserve">=0.719 and </w:t>
      </w:r>
      <w:r w:rsidRPr="001B1523">
        <w:rPr>
          <w:i/>
          <w:iCs/>
          <w:sz w:val="24"/>
          <w:szCs w:val="24"/>
        </w:rPr>
        <w:t>p</w:t>
      </w:r>
      <w:r w:rsidRPr="001B1523">
        <w:rPr>
          <w:sz w:val="24"/>
          <w:szCs w:val="24"/>
        </w:rPr>
        <w:t>=0.267, respectively) (Table 1).</w:t>
      </w:r>
      <w:r w:rsidR="00804244" w:rsidRPr="001B1523">
        <w:rPr>
          <w:sz w:val="24"/>
          <w:szCs w:val="24"/>
        </w:rPr>
        <w:t xml:space="preserve"> </w:t>
      </w:r>
      <w:r w:rsidRPr="001B1523">
        <w:rPr>
          <w:sz w:val="24"/>
          <w:szCs w:val="24"/>
        </w:rPr>
        <w:t xml:space="preserve">Comparison of </w:t>
      </w:r>
      <w:r w:rsidRPr="001B1523">
        <w:rPr>
          <w:sz w:val="24"/>
          <w:szCs w:val="24"/>
        </w:rPr>
        <w:lastRenderedPageBreak/>
        <w:t>CD8</w:t>
      </w:r>
      <w:r w:rsidRPr="001B1523">
        <w:rPr>
          <w:sz w:val="24"/>
          <w:szCs w:val="24"/>
          <w:vertAlign w:val="superscript"/>
        </w:rPr>
        <w:t>+</w:t>
      </w:r>
      <w:r w:rsidRPr="001B1523">
        <w:rPr>
          <w:sz w:val="24"/>
          <w:szCs w:val="24"/>
        </w:rPr>
        <w:t xml:space="preserve"> </w:t>
      </w:r>
      <w:r w:rsidR="00B1319E" w:rsidRPr="001B1523">
        <w:rPr>
          <w:sz w:val="24"/>
          <w:szCs w:val="24"/>
        </w:rPr>
        <w:t>CD28</w:t>
      </w:r>
      <w:r w:rsidR="00B1319E" w:rsidRPr="001B1523">
        <w:rPr>
          <w:sz w:val="24"/>
          <w:szCs w:val="24"/>
          <w:vertAlign w:val="superscript"/>
        </w:rPr>
        <w:t>lo</w:t>
      </w:r>
      <w:r w:rsidR="00B1319E" w:rsidRPr="001B1523">
        <w:rPr>
          <w:sz w:val="24"/>
          <w:szCs w:val="24"/>
        </w:rPr>
        <w:t>CD57</w:t>
      </w:r>
      <w:r w:rsidR="00B1319E" w:rsidRPr="001B1523">
        <w:rPr>
          <w:sz w:val="24"/>
          <w:szCs w:val="24"/>
          <w:vertAlign w:val="superscript"/>
        </w:rPr>
        <w:t>hi</w:t>
      </w:r>
      <w:r w:rsidR="00B1319E" w:rsidRPr="001B1523">
        <w:rPr>
          <w:sz w:val="24"/>
          <w:szCs w:val="24"/>
        </w:rPr>
        <w:t xml:space="preserve"> </w:t>
      </w:r>
      <w:r w:rsidRPr="001B1523">
        <w:rPr>
          <w:sz w:val="24"/>
          <w:szCs w:val="24"/>
        </w:rPr>
        <w:t>T lymphocytes revealed a significant increase in the</w:t>
      </w:r>
      <w:r w:rsidR="00B1319E" w:rsidRPr="001B1523">
        <w:rPr>
          <w:sz w:val="24"/>
          <w:szCs w:val="24"/>
        </w:rPr>
        <w:t>ir</w:t>
      </w:r>
      <w:r w:rsidRPr="001B1523">
        <w:rPr>
          <w:sz w:val="24"/>
          <w:szCs w:val="24"/>
        </w:rPr>
        <w:t xml:space="preserve"> absolute number</w:t>
      </w:r>
      <w:r w:rsidR="00B1319E" w:rsidRPr="001B1523">
        <w:rPr>
          <w:sz w:val="24"/>
          <w:szCs w:val="24"/>
        </w:rPr>
        <w:t xml:space="preserve"> (</w:t>
      </w:r>
      <w:r w:rsidR="00B1319E" w:rsidRPr="001B1523">
        <w:rPr>
          <w:i/>
          <w:iCs/>
          <w:sz w:val="24"/>
          <w:szCs w:val="24"/>
        </w:rPr>
        <w:t>p</w:t>
      </w:r>
      <w:r w:rsidR="00B1319E" w:rsidRPr="001B1523">
        <w:rPr>
          <w:sz w:val="24"/>
          <w:szCs w:val="24"/>
        </w:rPr>
        <w:t>=</w:t>
      </w:r>
      <w:r w:rsidR="006D6C2B" w:rsidRPr="001B1523">
        <w:rPr>
          <w:sz w:val="24"/>
          <w:szCs w:val="24"/>
        </w:rPr>
        <w:t>0.0</w:t>
      </w:r>
      <w:r w:rsidR="00CC445C" w:rsidRPr="001B1523">
        <w:rPr>
          <w:sz w:val="24"/>
          <w:szCs w:val="24"/>
        </w:rPr>
        <w:t>2</w:t>
      </w:r>
      <w:r w:rsidR="004E1D0E" w:rsidRPr="001B1523">
        <w:rPr>
          <w:sz w:val="24"/>
          <w:szCs w:val="24"/>
        </w:rPr>
        <w:t>6</w:t>
      </w:r>
      <w:r w:rsidR="00B1319E" w:rsidRPr="001B1523">
        <w:rPr>
          <w:sz w:val="24"/>
          <w:szCs w:val="24"/>
        </w:rPr>
        <w:t>)</w:t>
      </w:r>
      <w:r w:rsidRPr="001B1523">
        <w:rPr>
          <w:sz w:val="24"/>
          <w:szCs w:val="24"/>
        </w:rPr>
        <w:t xml:space="preserve"> </w:t>
      </w:r>
      <w:r w:rsidR="00B1319E" w:rsidRPr="001B1523">
        <w:rPr>
          <w:sz w:val="24"/>
          <w:szCs w:val="24"/>
        </w:rPr>
        <w:t>in CMV-positive versus CMV-negativ</w:t>
      </w:r>
      <w:r w:rsidR="006C03E2" w:rsidRPr="001B1523">
        <w:rPr>
          <w:sz w:val="24"/>
          <w:szCs w:val="24"/>
        </w:rPr>
        <w:t>e</w:t>
      </w:r>
      <w:r w:rsidR="00B1319E" w:rsidRPr="001B1523">
        <w:rPr>
          <w:sz w:val="24"/>
          <w:szCs w:val="24"/>
        </w:rPr>
        <w:t xml:space="preserve"> controls</w:t>
      </w:r>
      <w:r w:rsidR="005F18C0" w:rsidRPr="001B1523">
        <w:rPr>
          <w:sz w:val="24"/>
          <w:szCs w:val="24"/>
        </w:rPr>
        <w:t xml:space="preserve"> (Fig</w:t>
      </w:r>
      <w:r w:rsidR="005C0351" w:rsidRPr="001B1523">
        <w:rPr>
          <w:sz w:val="24"/>
          <w:szCs w:val="24"/>
        </w:rPr>
        <w:t>.</w:t>
      </w:r>
      <w:r w:rsidR="005F18C0" w:rsidRPr="001B1523">
        <w:rPr>
          <w:sz w:val="24"/>
          <w:szCs w:val="24"/>
        </w:rPr>
        <w:t xml:space="preserve"> 2</w:t>
      </w:r>
      <w:r w:rsidR="009F282D" w:rsidRPr="001B1523">
        <w:rPr>
          <w:sz w:val="24"/>
          <w:szCs w:val="24"/>
        </w:rPr>
        <w:t>A</w:t>
      </w:r>
      <w:r w:rsidR="005F18C0" w:rsidRPr="001B1523">
        <w:rPr>
          <w:sz w:val="24"/>
          <w:szCs w:val="24"/>
        </w:rPr>
        <w:t>)</w:t>
      </w:r>
      <w:r w:rsidR="00B1319E" w:rsidRPr="001B1523">
        <w:rPr>
          <w:sz w:val="24"/>
          <w:szCs w:val="24"/>
        </w:rPr>
        <w:t>.</w:t>
      </w:r>
      <w:r w:rsidR="00804244" w:rsidRPr="001B1523">
        <w:rPr>
          <w:sz w:val="24"/>
          <w:szCs w:val="24"/>
        </w:rPr>
        <w:t xml:space="preserve"> </w:t>
      </w:r>
      <w:r w:rsidR="006C03E2" w:rsidRPr="001B1523">
        <w:rPr>
          <w:sz w:val="24"/>
          <w:szCs w:val="24"/>
        </w:rPr>
        <w:t xml:space="preserve">In </w:t>
      </w:r>
      <w:r w:rsidR="00516A56" w:rsidRPr="001B1523">
        <w:rPr>
          <w:sz w:val="24"/>
          <w:szCs w:val="24"/>
        </w:rPr>
        <w:t xml:space="preserve">contrast, in </w:t>
      </w:r>
      <w:r w:rsidR="006C03E2" w:rsidRPr="001B1523">
        <w:rPr>
          <w:sz w:val="24"/>
          <w:szCs w:val="24"/>
        </w:rPr>
        <w:t>the patient group,</w:t>
      </w:r>
      <w:r w:rsidR="00681CE7" w:rsidRPr="001B1523">
        <w:rPr>
          <w:sz w:val="24"/>
          <w:szCs w:val="24"/>
        </w:rPr>
        <w:t xml:space="preserve"> the CD28</w:t>
      </w:r>
      <w:r w:rsidR="00681CE7" w:rsidRPr="001B1523">
        <w:rPr>
          <w:sz w:val="24"/>
          <w:szCs w:val="24"/>
          <w:vertAlign w:val="superscript"/>
        </w:rPr>
        <w:t>lo</w:t>
      </w:r>
      <w:r w:rsidR="00681CE7" w:rsidRPr="001B1523">
        <w:rPr>
          <w:sz w:val="24"/>
          <w:szCs w:val="24"/>
        </w:rPr>
        <w:t>CD57</w:t>
      </w:r>
      <w:r w:rsidR="00681CE7" w:rsidRPr="001B1523">
        <w:rPr>
          <w:sz w:val="24"/>
          <w:szCs w:val="24"/>
          <w:vertAlign w:val="superscript"/>
        </w:rPr>
        <w:t>hi</w:t>
      </w:r>
      <w:r w:rsidR="00681CE7" w:rsidRPr="001B1523">
        <w:rPr>
          <w:sz w:val="24"/>
          <w:szCs w:val="24"/>
        </w:rPr>
        <w:t xml:space="preserve"> T cell</w:t>
      </w:r>
      <w:r w:rsidR="00516A56" w:rsidRPr="001B1523">
        <w:rPr>
          <w:sz w:val="24"/>
          <w:szCs w:val="24"/>
        </w:rPr>
        <w:t xml:space="preserve"> count</w:t>
      </w:r>
      <w:r w:rsidR="00681CE7" w:rsidRPr="001B1523">
        <w:rPr>
          <w:sz w:val="24"/>
          <w:szCs w:val="24"/>
        </w:rPr>
        <w:t xml:space="preserve"> did not differ between CMV-positive versus CMV-negative </w:t>
      </w:r>
      <w:r w:rsidR="00516A56" w:rsidRPr="001B1523">
        <w:rPr>
          <w:sz w:val="24"/>
          <w:szCs w:val="24"/>
        </w:rPr>
        <w:t>cases</w:t>
      </w:r>
      <w:r w:rsidR="00681CE7" w:rsidRPr="001B1523">
        <w:rPr>
          <w:sz w:val="24"/>
          <w:szCs w:val="24"/>
        </w:rPr>
        <w:t xml:space="preserve"> (</w:t>
      </w:r>
      <w:r w:rsidR="00681CE7" w:rsidRPr="001B1523">
        <w:rPr>
          <w:i/>
          <w:iCs/>
          <w:sz w:val="24"/>
          <w:szCs w:val="24"/>
        </w:rPr>
        <w:t>p</w:t>
      </w:r>
      <w:r w:rsidR="00681CE7" w:rsidRPr="001B1523">
        <w:rPr>
          <w:sz w:val="24"/>
          <w:szCs w:val="24"/>
        </w:rPr>
        <w:t>=0.</w:t>
      </w:r>
      <w:r w:rsidR="004E1D0E" w:rsidRPr="001B1523">
        <w:rPr>
          <w:sz w:val="24"/>
          <w:szCs w:val="24"/>
        </w:rPr>
        <w:t>260</w:t>
      </w:r>
      <w:r w:rsidR="00681CE7" w:rsidRPr="001B1523">
        <w:rPr>
          <w:sz w:val="24"/>
          <w:szCs w:val="24"/>
        </w:rPr>
        <w:t>).</w:t>
      </w:r>
      <w:r w:rsidR="006C03E2" w:rsidRPr="001B1523">
        <w:rPr>
          <w:sz w:val="24"/>
          <w:szCs w:val="24"/>
        </w:rPr>
        <w:t xml:space="preserve"> </w:t>
      </w:r>
      <w:r w:rsidR="00516A56" w:rsidRPr="001B1523">
        <w:rPr>
          <w:sz w:val="24"/>
          <w:szCs w:val="24"/>
        </w:rPr>
        <w:t>CD8</w:t>
      </w:r>
      <w:r w:rsidR="00516A56" w:rsidRPr="001B1523">
        <w:rPr>
          <w:sz w:val="24"/>
          <w:szCs w:val="24"/>
          <w:vertAlign w:val="superscript"/>
        </w:rPr>
        <w:t>+</w:t>
      </w:r>
      <w:r w:rsidR="00516A56" w:rsidRPr="001B1523">
        <w:rPr>
          <w:sz w:val="24"/>
          <w:szCs w:val="24"/>
        </w:rPr>
        <w:t xml:space="preserve"> TEMRA cells were significantly higher in CMV</w:t>
      </w:r>
      <w:r w:rsidR="00537AAB" w:rsidRPr="001B1523">
        <w:rPr>
          <w:sz w:val="24"/>
          <w:szCs w:val="24"/>
        </w:rPr>
        <w:t>-</w:t>
      </w:r>
      <w:r w:rsidR="00516A56" w:rsidRPr="001B1523">
        <w:rPr>
          <w:sz w:val="24"/>
          <w:szCs w:val="24"/>
        </w:rPr>
        <w:t>positive versus CMV</w:t>
      </w:r>
      <w:r w:rsidR="00537AAB" w:rsidRPr="001B1523">
        <w:rPr>
          <w:sz w:val="24"/>
          <w:szCs w:val="24"/>
        </w:rPr>
        <w:t>-</w:t>
      </w:r>
      <w:r w:rsidR="00516A56" w:rsidRPr="001B1523">
        <w:rPr>
          <w:sz w:val="24"/>
          <w:szCs w:val="24"/>
        </w:rPr>
        <w:t>negative cases in both the control and PD group, but the effect was more significant in the controls (</w:t>
      </w:r>
      <w:r w:rsidR="00516A56" w:rsidRPr="001B1523">
        <w:rPr>
          <w:i/>
          <w:iCs/>
          <w:sz w:val="24"/>
          <w:szCs w:val="24"/>
        </w:rPr>
        <w:t>p</w:t>
      </w:r>
      <w:r w:rsidR="00516A56" w:rsidRPr="001B1523">
        <w:rPr>
          <w:sz w:val="24"/>
          <w:szCs w:val="24"/>
        </w:rPr>
        <w:t>&lt;0.001) compared to the patients (</w:t>
      </w:r>
      <w:r w:rsidR="00516A56" w:rsidRPr="001B1523">
        <w:rPr>
          <w:i/>
          <w:iCs/>
          <w:sz w:val="24"/>
          <w:szCs w:val="24"/>
        </w:rPr>
        <w:t>p</w:t>
      </w:r>
      <w:r w:rsidR="00516A56" w:rsidRPr="001B1523">
        <w:rPr>
          <w:sz w:val="24"/>
          <w:szCs w:val="24"/>
        </w:rPr>
        <w:t>=0.02</w:t>
      </w:r>
      <w:r w:rsidR="004E1D0E" w:rsidRPr="001B1523">
        <w:rPr>
          <w:sz w:val="24"/>
          <w:szCs w:val="24"/>
        </w:rPr>
        <w:t>6</w:t>
      </w:r>
      <w:r w:rsidR="00516A56" w:rsidRPr="001B1523">
        <w:rPr>
          <w:sz w:val="24"/>
          <w:szCs w:val="24"/>
        </w:rPr>
        <w:t xml:space="preserve">) (Fig. </w:t>
      </w:r>
      <w:r w:rsidR="009F282D" w:rsidRPr="001B1523">
        <w:rPr>
          <w:sz w:val="24"/>
          <w:szCs w:val="24"/>
        </w:rPr>
        <w:t>2B</w:t>
      </w:r>
      <w:r w:rsidR="000C5992" w:rsidRPr="001B1523">
        <w:rPr>
          <w:sz w:val="24"/>
          <w:szCs w:val="24"/>
        </w:rPr>
        <w:t>)</w:t>
      </w:r>
      <w:r w:rsidR="00516A56" w:rsidRPr="001B1523">
        <w:rPr>
          <w:sz w:val="24"/>
          <w:szCs w:val="24"/>
        </w:rPr>
        <w:t xml:space="preserve">. </w:t>
      </w:r>
      <w:r w:rsidR="00A9188A" w:rsidRPr="001B1523">
        <w:rPr>
          <w:sz w:val="24"/>
          <w:szCs w:val="24"/>
        </w:rPr>
        <w:t xml:space="preserve">There were no differences in the absolute counts of </w:t>
      </w:r>
      <w:r w:rsidR="00723A17" w:rsidRPr="001B1523">
        <w:rPr>
          <w:sz w:val="24"/>
          <w:szCs w:val="24"/>
        </w:rPr>
        <w:t>CD8</w:t>
      </w:r>
      <w:r w:rsidR="00723A17" w:rsidRPr="001B1523">
        <w:rPr>
          <w:sz w:val="24"/>
          <w:szCs w:val="24"/>
          <w:vertAlign w:val="superscript"/>
        </w:rPr>
        <w:t>+</w:t>
      </w:r>
      <w:r w:rsidR="00723A17" w:rsidRPr="001B1523">
        <w:rPr>
          <w:sz w:val="24"/>
          <w:szCs w:val="24"/>
        </w:rPr>
        <w:t xml:space="preserve"> TEMRA or CD28</w:t>
      </w:r>
      <w:r w:rsidR="00723A17" w:rsidRPr="001B1523">
        <w:rPr>
          <w:sz w:val="24"/>
          <w:szCs w:val="24"/>
          <w:vertAlign w:val="superscript"/>
        </w:rPr>
        <w:t>lo</w:t>
      </w:r>
      <w:r w:rsidR="00723A17" w:rsidRPr="001B1523">
        <w:rPr>
          <w:sz w:val="24"/>
          <w:szCs w:val="24"/>
        </w:rPr>
        <w:t>CD57</w:t>
      </w:r>
      <w:r w:rsidR="00723A17" w:rsidRPr="001B1523">
        <w:rPr>
          <w:sz w:val="24"/>
          <w:szCs w:val="24"/>
          <w:vertAlign w:val="superscript"/>
        </w:rPr>
        <w:t>hi</w:t>
      </w:r>
      <w:r w:rsidR="00723A17" w:rsidRPr="001B1523">
        <w:rPr>
          <w:sz w:val="24"/>
          <w:szCs w:val="24"/>
        </w:rPr>
        <w:t xml:space="preserve"> T cells in </w:t>
      </w:r>
      <w:r w:rsidR="00A9188A" w:rsidRPr="001B1523">
        <w:rPr>
          <w:sz w:val="24"/>
          <w:szCs w:val="24"/>
        </w:rPr>
        <w:t>EBV-positive or EBV-negative patients and controls (data not shown).</w:t>
      </w:r>
    </w:p>
    <w:p w14:paraId="640DCEE8" w14:textId="77777777" w:rsidR="00014432" w:rsidRPr="001B1523" w:rsidRDefault="00014432" w:rsidP="00AC4E9D">
      <w:pPr>
        <w:spacing w:line="480" w:lineRule="auto"/>
        <w:rPr>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6"/>
      </w:tblGrid>
      <w:tr w:rsidR="000659F7" w:rsidRPr="001B1523" w14:paraId="6051358C" w14:textId="77777777" w:rsidTr="00AB41E0">
        <w:trPr>
          <w:trHeight w:val="223"/>
        </w:trPr>
        <w:tc>
          <w:tcPr>
            <w:tcW w:w="9026" w:type="dxa"/>
          </w:tcPr>
          <w:p w14:paraId="59BDC591" w14:textId="00FB9A80" w:rsidR="000659F7" w:rsidRPr="001B1523" w:rsidRDefault="007F7937" w:rsidP="0004680C">
            <w:pPr>
              <w:rPr>
                <w:noProof/>
              </w:rPr>
            </w:pPr>
            <w:r w:rsidRPr="001B1523">
              <w:rPr>
                <w:noProof/>
                <w:lang w:eastAsia="en-GB"/>
              </w:rPr>
              <w:drawing>
                <wp:inline distT="0" distB="0" distL="0" distR="0" wp14:anchorId="4F62BE52" wp14:editId="154AA67B">
                  <wp:extent cx="5731510" cy="2053590"/>
                  <wp:effectExtent l="0" t="0" r="2540" b="3810"/>
                  <wp:docPr id="6" name="Picture 6" descr="Char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Chart&#10;&#10;Description automatically generated with low confidenc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31510" cy="2053590"/>
                          </a:xfrm>
                          <a:prstGeom prst="rect">
                            <a:avLst/>
                          </a:prstGeom>
                        </pic:spPr>
                      </pic:pic>
                    </a:graphicData>
                  </a:graphic>
                </wp:inline>
              </w:drawing>
            </w:r>
          </w:p>
        </w:tc>
      </w:tr>
      <w:tr w:rsidR="00687360" w:rsidRPr="001B1523" w14:paraId="65AF360A" w14:textId="77777777" w:rsidTr="00AB41E0">
        <w:trPr>
          <w:trHeight w:val="493"/>
        </w:trPr>
        <w:tc>
          <w:tcPr>
            <w:tcW w:w="9026" w:type="dxa"/>
          </w:tcPr>
          <w:p w14:paraId="1063F4B3" w14:textId="5BEA28AE" w:rsidR="00687360" w:rsidRPr="001B1523" w:rsidRDefault="00687360" w:rsidP="004E1D0E">
            <w:pPr>
              <w:spacing w:line="240" w:lineRule="auto"/>
              <w:rPr>
                <w:noProof/>
                <w:sz w:val="20"/>
                <w:szCs w:val="20"/>
              </w:rPr>
            </w:pPr>
            <w:r w:rsidRPr="001B1523">
              <w:rPr>
                <w:b/>
                <w:bCs/>
                <w:noProof/>
                <w:sz w:val="20"/>
                <w:szCs w:val="20"/>
              </w:rPr>
              <w:t>Fig</w:t>
            </w:r>
            <w:r w:rsidR="00E978BF" w:rsidRPr="001B1523">
              <w:rPr>
                <w:b/>
                <w:bCs/>
                <w:noProof/>
                <w:sz w:val="20"/>
                <w:szCs w:val="20"/>
              </w:rPr>
              <w:t>.</w:t>
            </w:r>
            <w:r w:rsidRPr="001B1523">
              <w:rPr>
                <w:b/>
                <w:bCs/>
                <w:noProof/>
                <w:sz w:val="20"/>
                <w:szCs w:val="20"/>
              </w:rPr>
              <w:t xml:space="preserve"> </w:t>
            </w:r>
            <w:r w:rsidR="00813C8C" w:rsidRPr="001B1523">
              <w:rPr>
                <w:b/>
                <w:bCs/>
                <w:noProof/>
                <w:sz w:val="20"/>
                <w:szCs w:val="20"/>
              </w:rPr>
              <w:t>2</w:t>
            </w:r>
            <w:r w:rsidRPr="001B1523">
              <w:rPr>
                <w:b/>
                <w:bCs/>
                <w:noProof/>
                <w:sz w:val="20"/>
                <w:szCs w:val="20"/>
              </w:rPr>
              <w:t>.</w:t>
            </w:r>
            <w:r w:rsidR="00F83748" w:rsidRPr="001B1523">
              <w:rPr>
                <w:noProof/>
                <w:sz w:val="20"/>
                <w:szCs w:val="20"/>
              </w:rPr>
              <w:t xml:space="preserve"> Senescent CD8</w:t>
            </w:r>
            <w:r w:rsidR="00F83748" w:rsidRPr="001B1523">
              <w:rPr>
                <w:noProof/>
                <w:sz w:val="20"/>
                <w:szCs w:val="20"/>
                <w:vertAlign w:val="superscript"/>
              </w:rPr>
              <w:t>+</w:t>
            </w:r>
            <w:r w:rsidR="00F83748" w:rsidRPr="001B1523">
              <w:rPr>
                <w:noProof/>
                <w:sz w:val="20"/>
                <w:szCs w:val="20"/>
              </w:rPr>
              <w:t xml:space="preserve"> </w:t>
            </w:r>
            <w:r w:rsidR="00F53341" w:rsidRPr="001B1523">
              <w:rPr>
                <w:noProof/>
                <w:sz w:val="20"/>
                <w:szCs w:val="20"/>
              </w:rPr>
              <w:t>l</w:t>
            </w:r>
            <w:r w:rsidR="00F83748" w:rsidRPr="001B1523">
              <w:rPr>
                <w:noProof/>
                <w:sz w:val="20"/>
                <w:szCs w:val="20"/>
              </w:rPr>
              <w:t>ymphocytes in CMV-positive versus CMV-negative patients and controls.</w:t>
            </w:r>
            <w:r w:rsidR="00BF7773" w:rsidRPr="001B1523">
              <w:rPr>
                <w:noProof/>
                <w:sz w:val="20"/>
                <w:szCs w:val="20"/>
              </w:rPr>
              <w:t xml:space="preserve"> </w:t>
            </w:r>
            <w:r w:rsidR="00A229A8" w:rsidRPr="001B1523">
              <w:rPr>
                <w:noProof/>
                <w:sz w:val="20"/>
                <w:szCs w:val="20"/>
              </w:rPr>
              <w:t>(</w:t>
            </w:r>
            <w:r w:rsidR="00BF7773" w:rsidRPr="001B1523">
              <w:rPr>
                <w:noProof/>
                <w:sz w:val="20"/>
                <w:szCs w:val="20"/>
              </w:rPr>
              <w:t>A</w:t>
            </w:r>
            <w:r w:rsidR="00A229A8" w:rsidRPr="001B1523">
              <w:rPr>
                <w:noProof/>
                <w:sz w:val="20"/>
                <w:szCs w:val="20"/>
              </w:rPr>
              <w:t>)</w:t>
            </w:r>
            <w:r w:rsidR="00BF7773" w:rsidRPr="001B1523">
              <w:rPr>
                <w:noProof/>
                <w:sz w:val="20"/>
                <w:szCs w:val="20"/>
              </w:rPr>
              <w:t xml:space="preserve"> </w:t>
            </w:r>
            <w:bookmarkStart w:id="5" w:name="OLE_LINK3"/>
            <w:r w:rsidR="0020569E" w:rsidRPr="001B1523">
              <w:rPr>
                <w:sz w:val="20"/>
                <w:szCs w:val="20"/>
              </w:rPr>
              <w:t xml:space="preserve">Two-way ANOVA </w:t>
            </w:r>
            <w:r w:rsidR="0020569E" w:rsidRPr="001B1523">
              <w:rPr>
                <w:noProof/>
                <w:sz w:val="20"/>
                <w:szCs w:val="20"/>
              </w:rPr>
              <w:t>with S</w:t>
            </w:r>
            <w:bookmarkEnd w:id="5"/>
            <w:r w:rsidR="0020569E" w:rsidRPr="001B1523">
              <w:rPr>
                <w:noProof/>
                <w:sz w:val="20"/>
                <w:szCs w:val="20"/>
              </w:rPr>
              <w:t>idak’s multiple comparisons test</w:t>
            </w:r>
            <w:r w:rsidR="00FA09D7" w:rsidRPr="001B1523">
              <w:rPr>
                <w:noProof/>
                <w:sz w:val="20"/>
                <w:szCs w:val="20"/>
              </w:rPr>
              <w:t xml:space="preserve"> showed a</w:t>
            </w:r>
            <w:r w:rsidR="0020569E" w:rsidRPr="001B1523">
              <w:rPr>
                <w:noProof/>
                <w:sz w:val="20"/>
                <w:szCs w:val="20"/>
              </w:rPr>
              <w:t xml:space="preserve"> statistically significant main effect of CMV seropositivity, F(1,118)=11.9, </w:t>
            </w:r>
            <w:r w:rsidR="0020569E" w:rsidRPr="001B1523">
              <w:rPr>
                <w:i/>
                <w:iCs/>
                <w:noProof/>
                <w:sz w:val="20"/>
                <w:szCs w:val="20"/>
              </w:rPr>
              <w:t>p</w:t>
            </w:r>
            <w:r w:rsidR="0020569E" w:rsidRPr="001B1523">
              <w:rPr>
                <w:noProof/>
                <w:sz w:val="20"/>
                <w:szCs w:val="20"/>
              </w:rPr>
              <w:t xml:space="preserve">&lt;0.001. </w:t>
            </w:r>
            <w:r w:rsidR="004E1D0E" w:rsidRPr="001B1523">
              <w:rPr>
                <w:noProof/>
                <w:sz w:val="20"/>
                <w:szCs w:val="20"/>
              </w:rPr>
              <w:t>P</w:t>
            </w:r>
            <w:r w:rsidR="0020569E" w:rsidRPr="001B1523">
              <w:rPr>
                <w:noProof/>
                <w:sz w:val="20"/>
                <w:szCs w:val="20"/>
              </w:rPr>
              <w:t>ost</w:t>
            </w:r>
            <w:r w:rsidR="00CC4F53" w:rsidRPr="001B1523">
              <w:rPr>
                <w:noProof/>
                <w:sz w:val="20"/>
                <w:szCs w:val="20"/>
              </w:rPr>
              <w:t>-</w:t>
            </w:r>
            <w:r w:rsidR="0020569E" w:rsidRPr="001B1523">
              <w:rPr>
                <w:noProof/>
                <w:sz w:val="20"/>
                <w:szCs w:val="20"/>
              </w:rPr>
              <w:t>hoc p</w:t>
            </w:r>
            <w:r w:rsidR="004E1D0E" w:rsidRPr="001B1523">
              <w:rPr>
                <w:noProof/>
                <w:sz w:val="20"/>
                <w:szCs w:val="20"/>
              </w:rPr>
              <w:t xml:space="preserve">airwise comparison </w:t>
            </w:r>
            <w:r w:rsidR="00FA09D7" w:rsidRPr="001B1523">
              <w:rPr>
                <w:noProof/>
                <w:sz w:val="20"/>
                <w:szCs w:val="20"/>
              </w:rPr>
              <w:t>revealed</w:t>
            </w:r>
            <w:r w:rsidR="007F7937" w:rsidRPr="001B1523">
              <w:rPr>
                <w:sz w:val="20"/>
                <w:szCs w:val="20"/>
              </w:rPr>
              <w:t xml:space="preserve"> a significant increase in the absolute count of CD8</w:t>
            </w:r>
            <w:r w:rsidR="007F7937" w:rsidRPr="001B1523">
              <w:rPr>
                <w:sz w:val="20"/>
                <w:szCs w:val="20"/>
                <w:vertAlign w:val="superscript"/>
              </w:rPr>
              <w:t>+</w:t>
            </w:r>
            <w:r w:rsidR="007F7937" w:rsidRPr="001B1523">
              <w:rPr>
                <w:sz w:val="20"/>
                <w:szCs w:val="20"/>
              </w:rPr>
              <w:t xml:space="preserve"> CD28</w:t>
            </w:r>
            <w:r w:rsidR="007F7937" w:rsidRPr="001B1523">
              <w:rPr>
                <w:sz w:val="20"/>
                <w:szCs w:val="20"/>
                <w:vertAlign w:val="superscript"/>
              </w:rPr>
              <w:t>lo</w:t>
            </w:r>
            <w:r w:rsidR="007F7937" w:rsidRPr="001B1523">
              <w:rPr>
                <w:sz w:val="20"/>
                <w:szCs w:val="20"/>
              </w:rPr>
              <w:t>CD57</w:t>
            </w:r>
            <w:r w:rsidR="007F7937" w:rsidRPr="001B1523">
              <w:rPr>
                <w:sz w:val="20"/>
                <w:szCs w:val="20"/>
                <w:vertAlign w:val="superscript"/>
              </w:rPr>
              <w:t>hi</w:t>
            </w:r>
            <w:r w:rsidR="007F7937" w:rsidRPr="001B1523">
              <w:rPr>
                <w:sz w:val="20"/>
                <w:szCs w:val="20"/>
              </w:rPr>
              <w:t xml:space="preserve"> T lymphocytes in CMV</w:t>
            </w:r>
            <w:r w:rsidR="00537AAB" w:rsidRPr="001B1523">
              <w:rPr>
                <w:sz w:val="20"/>
                <w:szCs w:val="20"/>
              </w:rPr>
              <w:t>-</w:t>
            </w:r>
            <w:r w:rsidR="007F7937" w:rsidRPr="001B1523">
              <w:rPr>
                <w:sz w:val="20"/>
                <w:szCs w:val="20"/>
              </w:rPr>
              <w:t>positive compared to CMV</w:t>
            </w:r>
            <w:r w:rsidR="00537AAB" w:rsidRPr="001B1523">
              <w:rPr>
                <w:sz w:val="20"/>
                <w:szCs w:val="20"/>
              </w:rPr>
              <w:t>-</w:t>
            </w:r>
            <w:r w:rsidR="007F7937" w:rsidRPr="001B1523">
              <w:rPr>
                <w:sz w:val="20"/>
                <w:szCs w:val="20"/>
              </w:rPr>
              <w:t>negative controls (</w:t>
            </w:r>
            <w:r w:rsidR="007F7937" w:rsidRPr="001B1523">
              <w:rPr>
                <w:i/>
                <w:iCs/>
                <w:sz w:val="20"/>
                <w:szCs w:val="20"/>
              </w:rPr>
              <w:t>p</w:t>
            </w:r>
            <w:r w:rsidR="007F7937" w:rsidRPr="001B1523">
              <w:rPr>
                <w:sz w:val="20"/>
                <w:szCs w:val="20"/>
              </w:rPr>
              <w:t>=0.02</w:t>
            </w:r>
            <w:r w:rsidR="00985356" w:rsidRPr="001B1523">
              <w:rPr>
                <w:sz w:val="20"/>
                <w:szCs w:val="20"/>
              </w:rPr>
              <w:t>6</w:t>
            </w:r>
            <w:r w:rsidR="007F7937" w:rsidRPr="001B1523">
              <w:rPr>
                <w:sz w:val="20"/>
                <w:szCs w:val="20"/>
              </w:rPr>
              <w:t>). There was no statistically significant difference between CMV</w:t>
            </w:r>
            <w:r w:rsidR="00537AAB" w:rsidRPr="001B1523">
              <w:rPr>
                <w:sz w:val="20"/>
                <w:szCs w:val="20"/>
              </w:rPr>
              <w:t>-</w:t>
            </w:r>
            <w:r w:rsidR="007F7937" w:rsidRPr="001B1523">
              <w:rPr>
                <w:sz w:val="20"/>
                <w:szCs w:val="20"/>
              </w:rPr>
              <w:t>positive and CMV</w:t>
            </w:r>
            <w:r w:rsidR="00537AAB" w:rsidRPr="001B1523">
              <w:rPr>
                <w:sz w:val="20"/>
                <w:szCs w:val="20"/>
              </w:rPr>
              <w:t>-</w:t>
            </w:r>
            <w:r w:rsidR="007F7937" w:rsidRPr="001B1523">
              <w:rPr>
                <w:sz w:val="20"/>
                <w:szCs w:val="20"/>
              </w:rPr>
              <w:t>negative PD patients (</w:t>
            </w:r>
            <w:r w:rsidR="007F7937" w:rsidRPr="001B1523">
              <w:rPr>
                <w:i/>
                <w:iCs/>
                <w:sz w:val="20"/>
                <w:szCs w:val="20"/>
              </w:rPr>
              <w:t>p</w:t>
            </w:r>
            <w:r w:rsidR="007F7937" w:rsidRPr="001B1523">
              <w:rPr>
                <w:sz w:val="20"/>
                <w:szCs w:val="20"/>
              </w:rPr>
              <w:t>=0.</w:t>
            </w:r>
            <w:r w:rsidR="00985356" w:rsidRPr="001B1523">
              <w:rPr>
                <w:sz w:val="20"/>
                <w:szCs w:val="20"/>
              </w:rPr>
              <w:t>260</w:t>
            </w:r>
            <w:r w:rsidR="007F7937" w:rsidRPr="001B1523">
              <w:rPr>
                <w:sz w:val="20"/>
                <w:szCs w:val="20"/>
              </w:rPr>
              <w:t>)</w:t>
            </w:r>
            <w:r w:rsidR="0020569E" w:rsidRPr="001B1523">
              <w:rPr>
                <w:sz w:val="20"/>
                <w:szCs w:val="20"/>
              </w:rPr>
              <w:t>.</w:t>
            </w:r>
            <w:r w:rsidR="004E1D0E" w:rsidRPr="001B1523">
              <w:rPr>
                <w:noProof/>
                <w:sz w:val="20"/>
                <w:szCs w:val="20"/>
              </w:rPr>
              <w:t xml:space="preserve"> </w:t>
            </w:r>
            <w:r w:rsidR="007F7937" w:rsidRPr="001B1523">
              <w:rPr>
                <w:noProof/>
                <w:sz w:val="20"/>
                <w:szCs w:val="20"/>
              </w:rPr>
              <w:t xml:space="preserve">(B) </w:t>
            </w:r>
            <w:r w:rsidR="0020569E" w:rsidRPr="001B1523">
              <w:rPr>
                <w:sz w:val="20"/>
                <w:szCs w:val="20"/>
              </w:rPr>
              <w:t xml:space="preserve">Two-way ANOVA </w:t>
            </w:r>
            <w:r w:rsidR="0020569E" w:rsidRPr="001B1523">
              <w:rPr>
                <w:noProof/>
                <w:sz w:val="20"/>
                <w:szCs w:val="20"/>
              </w:rPr>
              <w:t>with Sidak's multiple comparisons test</w:t>
            </w:r>
            <w:r w:rsidR="00FA09D7" w:rsidRPr="001B1523">
              <w:rPr>
                <w:noProof/>
                <w:sz w:val="20"/>
                <w:szCs w:val="20"/>
              </w:rPr>
              <w:t xml:space="preserve"> showed a</w:t>
            </w:r>
            <w:r w:rsidR="0020569E" w:rsidRPr="001B1523">
              <w:rPr>
                <w:noProof/>
                <w:sz w:val="20"/>
                <w:szCs w:val="20"/>
              </w:rPr>
              <w:t xml:space="preserve"> statistically significant main effect of CMV seropositivity F(1,118)=26.16, </w:t>
            </w:r>
            <w:r w:rsidR="0020569E" w:rsidRPr="001B1523">
              <w:rPr>
                <w:i/>
                <w:iCs/>
                <w:noProof/>
                <w:sz w:val="20"/>
                <w:szCs w:val="20"/>
              </w:rPr>
              <w:t>p</w:t>
            </w:r>
            <w:r w:rsidR="0020569E" w:rsidRPr="001B1523">
              <w:rPr>
                <w:noProof/>
                <w:sz w:val="20"/>
                <w:szCs w:val="20"/>
              </w:rPr>
              <w:t xml:space="preserve">&lt;0.0001 and main effect of group F(1,118)=7.382, </w:t>
            </w:r>
            <w:r w:rsidR="0020569E" w:rsidRPr="001B1523">
              <w:rPr>
                <w:i/>
                <w:iCs/>
                <w:noProof/>
                <w:sz w:val="20"/>
                <w:szCs w:val="20"/>
              </w:rPr>
              <w:t>p</w:t>
            </w:r>
            <w:r w:rsidR="0020569E" w:rsidRPr="001B1523">
              <w:rPr>
                <w:noProof/>
                <w:sz w:val="20"/>
                <w:szCs w:val="20"/>
              </w:rPr>
              <w:t>=0.008</w:t>
            </w:r>
            <w:r w:rsidR="0020569E" w:rsidRPr="001B1523">
              <w:rPr>
                <w:sz w:val="20"/>
                <w:szCs w:val="20"/>
              </w:rPr>
              <w:t>. Post-hoc p</w:t>
            </w:r>
            <w:r w:rsidR="004E1D0E" w:rsidRPr="001B1523">
              <w:rPr>
                <w:noProof/>
                <w:sz w:val="20"/>
                <w:szCs w:val="20"/>
              </w:rPr>
              <w:t xml:space="preserve">airwise comparison </w:t>
            </w:r>
            <w:r w:rsidR="00FA09D7" w:rsidRPr="001B1523">
              <w:rPr>
                <w:noProof/>
                <w:sz w:val="20"/>
                <w:szCs w:val="20"/>
              </w:rPr>
              <w:t>revealed</w:t>
            </w:r>
            <w:r w:rsidR="004E1D0E" w:rsidRPr="001B1523">
              <w:rPr>
                <w:noProof/>
                <w:sz w:val="20"/>
                <w:szCs w:val="20"/>
              </w:rPr>
              <w:t xml:space="preserve"> </w:t>
            </w:r>
            <w:r w:rsidR="00A33941" w:rsidRPr="001B1523">
              <w:rPr>
                <w:sz w:val="20"/>
                <w:szCs w:val="20"/>
              </w:rPr>
              <w:t>a significant increase in the absolute count of CD8</w:t>
            </w:r>
            <w:r w:rsidR="00A33941" w:rsidRPr="001B1523">
              <w:rPr>
                <w:sz w:val="20"/>
                <w:szCs w:val="20"/>
                <w:vertAlign w:val="superscript"/>
              </w:rPr>
              <w:t>+</w:t>
            </w:r>
            <w:r w:rsidR="00A33941" w:rsidRPr="001B1523">
              <w:rPr>
                <w:sz w:val="20"/>
                <w:szCs w:val="20"/>
              </w:rPr>
              <w:t xml:space="preserve"> TEMRA cells in CMV</w:t>
            </w:r>
            <w:r w:rsidR="00537AAB" w:rsidRPr="001B1523">
              <w:rPr>
                <w:sz w:val="20"/>
                <w:szCs w:val="20"/>
              </w:rPr>
              <w:t>-</w:t>
            </w:r>
            <w:r w:rsidR="00A33941" w:rsidRPr="001B1523">
              <w:rPr>
                <w:sz w:val="20"/>
                <w:szCs w:val="20"/>
              </w:rPr>
              <w:t>positive compared to CMV</w:t>
            </w:r>
            <w:r w:rsidR="00537AAB" w:rsidRPr="001B1523">
              <w:rPr>
                <w:sz w:val="20"/>
                <w:szCs w:val="20"/>
              </w:rPr>
              <w:t>-</w:t>
            </w:r>
            <w:r w:rsidR="00A33941" w:rsidRPr="001B1523">
              <w:rPr>
                <w:sz w:val="20"/>
                <w:szCs w:val="20"/>
              </w:rPr>
              <w:t>negative controls (</w:t>
            </w:r>
            <w:r w:rsidR="00A33941" w:rsidRPr="001B1523">
              <w:rPr>
                <w:i/>
                <w:iCs/>
                <w:sz w:val="20"/>
                <w:szCs w:val="20"/>
              </w:rPr>
              <w:t>p</w:t>
            </w:r>
            <w:r w:rsidR="004E1D0E" w:rsidRPr="001B1523">
              <w:rPr>
                <w:sz w:val="20"/>
                <w:szCs w:val="20"/>
              </w:rPr>
              <w:t>&lt;</w:t>
            </w:r>
            <w:r w:rsidR="00A33941" w:rsidRPr="001B1523">
              <w:rPr>
                <w:sz w:val="20"/>
                <w:szCs w:val="20"/>
              </w:rPr>
              <w:t>0.00</w:t>
            </w:r>
            <w:r w:rsidR="004E1D0E" w:rsidRPr="001B1523">
              <w:rPr>
                <w:sz w:val="20"/>
                <w:szCs w:val="20"/>
              </w:rPr>
              <w:t>1</w:t>
            </w:r>
            <w:r w:rsidR="00A33941" w:rsidRPr="001B1523">
              <w:rPr>
                <w:sz w:val="20"/>
                <w:szCs w:val="20"/>
              </w:rPr>
              <w:t>) and in CMV</w:t>
            </w:r>
            <w:r w:rsidR="00537AAB" w:rsidRPr="001B1523">
              <w:rPr>
                <w:sz w:val="20"/>
                <w:szCs w:val="20"/>
              </w:rPr>
              <w:t>-</w:t>
            </w:r>
            <w:r w:rsidR="00A33941" w:rsidRPr="001B1523">
              <w:rPr>
                <w:sz w:val="20"/>
                <w:szCs w:val="20"/>
              </w:rPr>
              <w:t>positive compared to CMV</w:t>
            </w:r>
            <w:r w:rsidR="00537AAB" w:rsidRPr="001B1523">
              <w:rPr>
                <w:sz w:val="20"/>
                <w:szCs w:val="20"/>
              </w:rPr>
              <w:t>-</w:t>
            </w:r>
            <w:r w:rsidR="00A33941" w:rsidRPr="001B1523">
              <w:rPr>
                <w:sz w:val="20"/>
                <w:szCs w:val="20"/>
              </w:rPr>
              <w:t>negative PD patients (</w:t>
            </w:r>
            <w:r w:rsidR="00A33941" w:rsidRPr="001B1523">
              <w:rPr>
                <w:i/>
                <w:iCs/>
                <w:sz w:val="20"/>
                <w:szCs w:val="20"/>
              </w:rPr>
              <w:t>p</w:t>
            </w:r>
            <w:r w:rsidR="00A33941" w:rsidRPr="001B1523">
              <w:rPr>
                <w:sz w:val="20"/>
                <w:szCs w:val="20"/>
              </w:rPr>
              <w:t>=0.02</w:t>
            </w:r>
            <w:r w:rsidR="004E1D0E" w:rsidRPr="001B1523">
              <w:rPr>
                <w:sz w:val="20"/>
                <w:szCs w:val="20"/>
              </w:rPr>
              <w:t>6</w:t>
            </w:r>
            <w:r w:rsidR="00A33941" w:rsidRPr="001B1523">
              <w:rPr>
                <w:sz w:val="20"/>
                <w:szCs w:val="20"/>
              </w:rPr>
              <w:t>)</w:t>
            </w:r>
            <w:r w:rsidR="00A61365" w:rsidRPr="001B1523">
              <w:rPr>
                <w:sz w:val="20"/>
                <w:szCs w:val="20"/>
              </w:rPr>
              <w:t xml:space="preserve"> </w:t>
            </w:r>
            <w:r w:rsidR="00D16AA3" w:rsidRPr="001B1523">
              <w:rPr>
                <w:noProof/>
                <w:sz w:val="20"/>
                <w:szCs w:val="20"/>
              </w:rPr>
              <w:t xml:space="preserve">CMV: Cytomegalovirus, </w:t>
            </w:r>
            <w:r w:rsidR="006D6C2B" w:rsidRPr="001B1523">
              <w:rPr>
                <w:noProof/>
                <w:sz w:val="20"/>
                <w:szCs w:val="20"/>
              </w:rPr>
              <w:t xml:space="preserve">TEMRA: Terminally differentiated effector memory cells re-expressing CD45RA. </w:t>
            </w:r>
            <w:r w:rsidR="00935C1F" w:rsidRPr="001B1523">
              <w:rPr>
                <w:noProof/>
                <w:sz w:val="20"/>
                <w:szCs w:val="20"/>
              </w:rPr>
              <w:t>**</w:t>
            </w:r>
            <w:r w:rsidR="00935C1F" w:rsidRPr="001B1523">
              <w:rPr>
                <w:i/>
                <w:iCs/>
                <w:noProof/>
                <w:sz w:val="20"/>
                <w:szCs w:val="20"/>
              </w:rPr>
              <w:t>*p</w:t>
            </w:r>
            <w:r w:rsidR="00935C1F" w:rsidRPr="001B1523">
              <w:rPr>
                <w:noProof/>
                <w:sz w:val="20"/>
                <w:szCs w:val="20"/>
              </w:rPr>
              <w:t>&lt;0.001.</w:t>
            </w:r>
            <w:r w:rsidR="006D6C2B" w:rsidRPr="001B1523">
              <w:rPr>
                <w:i/>
                <w:iCs/>
                <w:noProof/>
                <w:sz w:val="20"/>
                <w:szCs w:val="20"/>
              </w:rPr>
              <w:t>*p</w:t>
            </w:r>
            <w:r w:rsidR="006D6C2B" w:rsidRPr="001B1523">
              <w:rPr>
                <w:noProof/>
                <w:sz w:val="20"/>
                <w:szCs w:val="20"/>
              </w:rPr>
              <w:t>&lt;0.05.</w:t>
            </w:r>
          </w:p>
        </w:tc>
      </w:tr>
      <w:tr w:rsidR="004E1D0E" w:rsidRPr="001B1523" w14:paraId="479C7AD0" w14:textId="77777777" w:rsidTr="00AB41E0">
        <w:trPr>
          <w:trHeight w:val="493"/>
        </w:trPr>
        <w:tc>
          <w:tcPr>
            <w:tcW w:w="9026" w:type="dxa"/>
          </w:tcPr>
          <w:p w14:paraId="34915CA8" w14:textId="77777777" w:rsidR="004E1D0E" w:rsidRPr="001B1523" w:rsidRDefault="004E1D0E" w:rsidP="00985356">
            <w:pPr>
              <w:spacing w:line="240" w:lineRule="auto"/>
              <w:rPr>
                <w:b/>
                <w:bCs/>
                <w:noProof/>
                <w:sz w:val="20"/>
                <w:szCs w:val="20"/>
              </w:rPr>
            </w:pPr>
          </w:p>
        </w:tc>
      </w:tr>
    </w:tbl>
    <w:p w14:paraId="4DE6A6C6" w14:textId="77777777" w:rsidR="004E1D0E" w:rsidRPr="001B1523" w:rsidRDefault="004E1D0E" w:rsidP="004E1D0E"/>
    <w:p w14:paraId="0A290666" w14:textId="0359CF9F" w:rsidR="006C5047" w:rsidRPr="001B1523" w:rsidRDefault="006C5047" w:rsidP="00AC4E9D">
      <w:pPr>
        <w:pStyle w:val="Heading2"/>
        <w:spacing w:line="480" w:lineRule="auto"/>
      </w:pPr>
    </w:p>
    <w:p w14:paraId="277EC567" w14:textId="77777777" w:rsidR="00C11FA6" w:rsidRPr="001B1523" w:rsidRDefault="00C11FA6" w:rsidP="00C11FA6"/>
    <w:p w14:paraId="20DD95B2" w14:textId="17CC0D5A" w:rsidR="00701466" w:rsidRPr="001B1523" w:rsidRDefault="00701466" w:rsidP="00AC4E9D">
      <w:pPr>
        <w:pStyle w:val="Heading2"/>
        <w:spacing w:line="480" w:lineRule="auto"/>
      </w:pPr>
      <w:r w:rsidRPr="001B1523">
        <w:lastRenderedPageBreak/>
        <w:t>No evidence of changes in thymic emigration of T cells in PD versus controls</w:t>
      </w:r>
    </w:p>
    <w:p w14:paraId="6FC48FE6" w14:textId="77777777" w:rsidR="00701466" w:rsidRPr="001B1523" w:rsidRDefault="00701466" w:rsidP="00AC4E9D">
      <w:pPr>
        <w:spacing w:line="480" w:lineRule="auto"/>
      </w:pPr>
    </w:p>
    <w:p w14:paraId="148102AE" w14:textId="2367F7DF" w:rsidR="00701466" w:rsidRPr="001B1523" w:rsidRDefault="00701466" w:rsidP="00AC4E9D">
      <w:pPr>
        <w:spacing w:line="480" w:lineRule="auto"/>
        <w:rPr>
          <w:sz w:val="24"/>
          <w:szCs w:val="24"/>
        </w:rPr>
      </w:pPr>
      <w:r w:rsidRPr="001B1523">
        <w:rPr>
          <w:sz w:val="24"/>
          <w:szCs w:val="24"/>
        </w:rPr>
        <w:t xml:space="preserve">Recent thymic emigrants (RTEs) were investigated in a subset of PD patients (n=27) and controls (n=34). The </w:t>
      </w:r>
      <w:r w:rsidR="00843596" w:rsidRPr="001B1523">
        <w:rPr>
          <w:sz w:val="24"/>
          <w:szCs w:val="24"/>
        </w:rPr>
        <w:t>number</w:t>
      </w:r>
      <w:r w:rsidRPr="001B1523">
        <w:rPr>
          <w:sz w:val="24"/>
          <w:szCs w:val="24"/>
        </w:rPr>
        <w:t xml:space="preserve"> of either CD8</w:t>
      </w:r>
      <w:r w:rsidRPr="001B1523">
        <w:rPr>
          <w:sz w:val="24"/>
          <w:szCs w:val="24"/>
          <w:vertAlign w:val="superscript"/>
        </w:rPr>
        <w:t>+</w:t>
      </w:r>
      <w:r w:rsidRPr="001B1523">
        <w:rPr>
          <w:sz w:val="24"/>
          <w:szCs w:val="24"/>
        </w:rPr>
        <w:t xml:space="preserve"> (CD45RA</w:t>
      </w:r>
      <w:r w:rsidRPr="001B1523">
        <w:rPr>
          <w:sz w:val="24"/>
          <w:szCs w:val="24"/>
          <w:vertAlign w:val="superscript"/>
        </w:rPr>
        <w:t>+</w:t>
      </w:r>
      <w:r w:rsidRPr="001B1523">
        <w:rPr>
          <w:sz w:val="24"/>
          <w:szCs w:val="24"/>
        </w:rPr>
        <w:t>CD103</w:t>
      </w:r>
      <w:r w:rsidRPr="001B1523">
        <w:rPr>
          <w:sz w:val="24"/>
          <w:szCs w:val="24"/>
          <w:vertAlign w:val="superscript"/>
        </w:rPr>
        <w:t>+</w:t>
      </w:r>
      <w:r w:rsidRPr="001B1523">
        <w:rPr>
          <w:sz w:val="24"/>
          <w:szCs w:val="24"/>
        </w:rPr>
        <w:t>) or CD4</w:t>
      </w:r>
      <w:r w:rsidRPr="001B1523">
        <w:rPr>
          <w:sz w:val="24"/>
          <w:szCs w:val="24"/>
          <w:vertAlign w:val="superscript"/>
        </w:rPr>
        <w:t>+</w:t>
      </w:r>
      <w:r w:rsidRPr="001B1523">
        <w:rPr>
          <w:sz w:val="24"/>
          <w:szCs w:val="24"/>
        </w:rPr>
        <w:t xml:space="preserve"> (CD45RA</w:t>
      </w:r>
      <w:r w:rsidRPr="001B1523">
        <w:rPr>
          <w:sz w:val="24"/>
          <w:szCs w:val="24"/>
          <w:vertAlign w:val="superscript"/>
        </w:rPr>
        <w:t>+</w:t>
      </w:r>
      <w:r w:rsidRPr="001B1523">
        <w:rPr>
          <w:sz w:val="24"/>
          <w:szCs w:val="24"/>
        </w:rPr>
        <w:t>PTK7</w:t>
      </w:r>
      <w:r w:rsidRPr="001B1523">
        <w:rPr>
          <w:sz w:val="24"/>
          <w:szCs w:val="24"/>
          <w:vertAlign w:val="superscript"/>
        </w:rPr>
        <w:t>+</w:t>
      </w:r>
      <w:r w:rsidRPr="001B1523">
        <w:rPr>
          <w:sz w:val="24"/>
          <w:szCs w:val="24"/>
        </w:rPr>
        <w:t>) RTEs was not significantly different in PD patients compared to controls (</w:t>
      </w:r>
      <w:r w:rsidRPr="001B1523">
        <w:rPr>
          <w:i/>
          <w:iCs/>
          <w:sz w:val="24"/>
          <w:szCs w:val="24"/>
        </w:rPr>
        <w:t>p</w:t>
      </w:r>
      <w:r w:rsidRPr="001B1523">
        <w:rPr>
          <w:sz w:val="24"/>
          <w:szCs w:val="24"/>
        </w:rPr>
        <w:t xml:space="preserve">=0.512 and </w:t>
      </w:r>
      <w:r w:rsidRPr="001B1523">
        <w:rPr>
          <w:i/>
          <w:iCs/>
          <w:sz w:val="24"/>
          <w:szCs w:val="24"/>
        </w:rPr>
        <w:t>p</w:t>
      </w:r>
      <w:r w:rsidRPr="001B1523">
        <w:rPr>
          <w:sz w:val="24"/>
          <w:szCs w:val="24"/>
        </w:rPr>
        <w:t xml:space="preserve">=0.111 respectively) (Fig. </w:t>
      </w:r>
      <w:r w:rsidR="009A5216" w:rsidRPr="001B1523">
        <w:rPr>
          <w:sz w:val="24"/>
          <w:szCs w:val="24"/>
        </w:rPr>
        <w:t>3</w:t>
      </w:r>
      <w:r w:rsidR="005E2903" w:rsidRPr="001B1523">
        <w:rPr>
          <w:sz w:val="24"/>
          <w:szCs w:val="24"/>
        </w:rPr>
        <w:t>A, B</w:t>
      </w:r>
      <w:r w:rsidRPr="001B1523">
        <w:rPr>
          <w:sz w:val="24"/>
          <w:szCs w:val="24"/>
        </w:rPr>
        <w:t>). Amongst the PD cases, there were no significant correlations between the CD4</w:t>
      </w:r>
      <w:r w:rsidRPr="001B1523">
        <w:rPr>
          <w:sz w:val="24"/>
          <w:szCs w:val="24"/>
          <w:vertAlign w:val="superscript"/>
        </w:rPr>
        <w:t>+</w:t>
      </w:r>
      <w:r w:rsidRPr="001B1523">
        <w:rPr>
          <w:sz w:val="24"/>
          <w:szCs w:val="24"/>
        </w:rPr>
        <w:t xml:space="preserve"> or CD8</w:t>
      </w:r>
      <w:r w:rsidRPr="001B1523">
        <w:rPr>
          <w:sz w:val="24"/>
          <w:szCs w:val="24"/>
          <w:vertAlign w:val="superscript"/>
        </w:rPr>
        <w:t>+</w:t>
      </w:r>
      <w:r w:rsidRPr="001B1523">
        <w:rPr>
          <w:sz w:val="24"/>
          <w:szCs w:val="24"/>
        </w:rPr>
        <w:t xml:space="preserve"> RTEs counts and age or sex.</w:t>
      </w:r>
    </w:p>
    <w:p w14:paraId="6190FE27" w14:textId="77777777" w:rsidR="00014432" w:rsidRPr="001B1523" w:rsidRDefault="00014432" w:rsidP="00AC4E9D">
      <w:pPr>
        <w:spacing w:line="480" w:lineRule="auto"/>
        <w:rPr>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07"/>
        <w:gridCol w:w="3209"/>
      </w:tblGrid>
      <w:tr w:rsidR="003F4454" w:rsidRPr="001B1523" w14:paraId="0E435EAD" w14:textId="77777777" w:rsidTr="004512D7">
        <w:tc>
          <w:tcPr>
            <w:tcW w:w="5807" w:type="dxa"/>
          </w:tcPr>
          <w:p w14:paraId="04D26D05" w14:textId="77777777" w:rsidR="003F4454" w:rsidRPr="001B1523" w:rsidRDefault="003F4454" w:rsidP="003F4454">
            <w:r w:rsidRPr="001B1523">
              <w:rPr>
                <w:noProof/>
                <w:lang w:eastAsia="en-GB"/>
              </w:rPr>
              <w:drawing>
                <wp:inline distT="0" distB="0" distL="0" distR="0" wp14:anchorId="503D8610" wp14:editId="136C21F1">
                  <wp:extent cx="3394282" cy="2416629"/>
                  <wp:effectExtent l="0" t="0" r="0" b="3175"/>
                  <wp:docPr id="1" name="Picture 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440284" cy="2449381"/>
                          </a:xfrm>
                          <a:prstGeom prst="rect">
                            <a:avLst/>
                          </a:prstGeom>
                        </pic:spPr>
                      </pic:pic>
                    </a:graphicData>
                  </a:graphic>
                </wp:inline>
              </w:drawing>
            </w:r>
          </w:p>
        </w:tc>
        <w:tc>
          <w:tcPr>
            <w:tcW w:w="3209" w:type="dxa"/>
          </w:tcPr>
          <w:p w14:paraId="23B7CA8D" w14:textId="77777777" w:rsidR="003F4454" w:rsidRPr="001B1523" w:rsidRDefault="003F4454" w:rsidP="003F4454">
            <w:pPr>
              <w:spacing w:line="240" w:lineRule="auto"/>
              <w:rPr>
                <w:b/>
                <w:bCs/>
                <w:sz w:val="20"/>
                <w:szCs w:val="20"/>
              </w:rPr>
            </w:pPr>
          </w:p>
          <w:p w14:paraId="3450791F" w14:textId="1C5FD695" w:rsidR="003F4454" w:rsidRPr="001B1523" w:rsidRDefault="003F4454" w:rsidP="003F4454">
            <w:pPr>
              <w:spacing w:line="240" w:lineRule="auto"/>
            </w:pPr>
            <w:r w:rsidRPr="001B1523">
              <w:rPr>
                <w:b/>
                <w:bCs/>
                <w:sz w:val="20"/>
                <w:szCs w:val="20"/>
              </w:rPr>
              <w:t>Fig. 3.</w:t>
            </w:r>
            <w:r w:rsidRPr="001B1523">
              <w:rPr>
                <w:sz w:val="20"/>
                <w:szCs w:val="20"/>
              </w:rPr>
              <w:t xml:space="preserve"> </w:t>
            </w:r>
            <w:r w:rsidRPr="001B1523">
              <w:rPr>
                <w:noProof/>
                <w:sz w:val="20"/>
                <w:szCs w:val="20"/>
              </w:rPr>
              <w:t>CD8</w:t>
            </w:r>
            <w:r w:rsidRPr="001B1523">
              <w:rPr>
                <w:noProof/>
                <w:sz w:val="20"/>
                <w:szCs w:val="20"/>
                <w:vertAlign w:val="superscript"/>
              </w:rPr>
              <w:t>+</w:t>
            </w:r>
            <w:r w:rsidRPr="001B1523">
              <w:rPr>
                <w:noProof/>
                <w:sz w:val="20"/>
                <w:szCs w:val="20"/>
              </w:rPr>
              <w:t xml:space="preserve"> and CD4</w:t>
            </w:r>
            <w:r w:rsidRPr="001B1523">
              <w:rPr>
                <w:noProof/>
                <w:sz w:val="20"/>
                <w:szCs w:val="20"/>
                <w:vertAlign w:val="superscript"/>
              </w:rPr>
              <w:t>+</w:t>
            </w:r>
            <w:r w:rsidRPr="001B1523">
              <w:rPr>
                <w:noProof/>
                <w:sz w:val="20"/>
                <w:szCs w:val="20"/>
              </w:rPr>
              <w:t xml:space="preserve"> recent thymic emigrant (RTE) lympocytes in a subet of PD patients versus controls. (A) The absolute number of CD8</w:t>
            </w:r>
            <w:r w:rsidRPr="001B1523">
              <w:rPr>
                <w:noProof/>
                <w:sz w:val="20"/>
                <w:szCs w:val="20"/>
                <w:vertAlign w:val="superscript"/>
              </w:rPr>
              <w:t>+</w:t>
            </w:r>
            <w:r w:rsidRPr="001B1523">
              <w:rPr>
                <w:noProof/>
                <w:sz w:val="20"/>
                <w:szCs w:val="20"/>
              </w:rPr>
              <w:t xml:space="preserve"> RTEs did not differ between PD patients and controls (t</w:t>
            </w:r>
            <w:r w:rsidRPr="001B1523">
              <w:rPr>
                <w:sz w:val="20"/>
                <w:szCs w:val="20"/>
              </w:rPr>
              <w:t xml:space="preserve">wo-tailed unpaired Welch’s t-test, </w:t>
            </w:r>
            <w:proofErr w:type="gramStart"/>
            <w:r w:rsidRPr="001B1523">
              <w:rPr>
                <w:sz w:val="20"/>
                <w:szCs w:val="20"/>
              </w:rPr>
              <w:t>t(</w:t>
            </w:r>
            <w:proofErr w:type="gramEnd"/>
            <w:r w:rsidRPr="001B1523">
              <w:rPr>
                <w:sz w:val="20"/>
                <w:szCs w:val="20"/>
              </w:rPr>
              <w:t xml:space="preserve">34.86)=0.662, </w:t>
            </w:r>
            <w:r w:rsidRPr="001B1523">
              <w:rPr>
                <w:i/>
                <w:iCs/>
                <w:sz w:val="20"/>
                <w:szCs w:val="20"/>
              </w:rPr>
              <w:t>p</w:t>
            </w:r>
            <w:r w:rsidRPr="001B1523">
              <w:rPr>
                <w:sz w:val="20"/>
                <w:szCs w:val="20"/>
              </w:rPr>
              <w:t>=0.512)</w:t>
            </w:r>
            <w:r w:rsidRPr="001B1523">
              <w:rPr>
                <w:noProof/>
                <w:sz w:val="20"/>
                <w:szCs w:val="20"/>
              </w:rPr>
              <w:t>. (B) The absolute number of CD4</w:t>
            </w:r>
            <w:r w:rsidRPr="001B1523">
              <w:rPr>
                <w:noProof/>
                <w:sz w:val="20"/>
                <w:szCs w:val="20"/>
                <w:vertAlign w:val="superscript"/>
              </w:rPr>
              <w:t>+</w:t>
            </w:r>
            <w:r w:rsidRPr="001B1523">
              <w:rPr>
                <w:noProof/>
                <w:sz w:val="20"/>
                <w:szCs w:val="20"/>
              </w:rPr>
              <w:t xml:space="preserve"> RTEs did not differ between PD patients and controls (</w:t>
            </w:r>
            <w:r w:rsidRPr="001B1523">
              <w:rPr>
                <w:sz w:val="20"/>
                <w:szCs w:val="20"/>
              </w:rPr>
              <w:t xml:space="preserve">two-tailed unpaired Welch’s t-test, </w:t>
            </w:r>
            <w:proofErr w:type="gramStart"/>
            <w:r w:rsidRPr="001B1523">
              <w:rPr>
                <w:sz w:val="20"/>
                <w:szCs w:val="20"/>
              </w:rPr>
              <w:t>t(</w:t>
            </w:r>
            <w:proofErr w:type="gramEnd"/>
            <w:r w:rsidRPr="001B1523">
              <w:rPr>
                <w:sz w:val="20"/>
                <w:szCs w:val="20"/>
              </w:rPr>
              <w:t xml:space="preserve">46.44)=1.625, </w:t>
            </w:r>
            <w:r w:rsidRPr="001B1523">
              <w:rPr>
                <w:i/>
                <w:iCs/>
                <w:sz w:val="20"/>
                <w:szCs w:val="20"/>
              </w:rPr>
              <w:t>p</w:t>
            </w:r>
            <w:r w:rsidRPr="001B1523">
              <w:rPr>
                <w:sz w:val="20"/>
                <w:szCs w:val="20"/>
              </w:rPr>
              <w:t>=0.111</w:t>
            </w:r>
            <w:r w:rsidRPr="001B1523">
              <w:rPr>
                <w:noProof/>
                <w:sz w:val="20"/>
                <w:szCs w:val="20"/>
              </w:rPr>
              <w:t xml:space="preserve">). </w:t>
            </w:r>
            <w:r w:rsidRPr="001B1523">
              <w:rPr>
                <w:sz w:val="20"/>
                <w:szCs w:val="20"/>
              </w:rPr>
              <w:t>Control n=34, PD n=27.</w:t>
            </w:r>
          </w:p>
        </w:tc>
      </w:tr>
    </w:tbl>
    <w:p w14:paraId="454F9D81" w14:textId="77777777" w:rsidR="00996BDA" w:rsidRPr="001B1523" w:rsidRDefault="00996BDA" w:rsidP="007A56D9"/>
    <w:p w14:paraId="008AFA8B" w14:textId="6B101772" w:rsidR="00687360" w:rsidRPr="001B1523" w:rsidRDefault="00E101D9" w:rsidP="00AC4E9D">
      <w:pPr>
        <w:pStyle w:val="Heading2"/>
        <w:spacing w:line="480" w:lineRule="auto"/>
      </w:pPr>
      <w:r w:rsidRPr="001B1523">
        <w:t>Expression of the cell aging marker p16 is reduced in PD compared to controls</w:t>
      </w:r>
    </w:p>
    <w:p w14:paraId="60FE6C33" w14:textId="437D472C" w:rsidR="00211FA9" w:rsidRPr="001B1523" w:rsidRDefault="00211FA9" w:rsidP="00AC4E9D">
      <w:pPr>
        <w:spacing w:line="480" w:lineRule="auto"/>
      </w:pPr>
    </w:p>
    <w:p w14:paraId="156D30DE" w14:textId="0F37AEF5" w:rsidR="002F3875" w:rsidRPr="001B1523" w:rsidRDefault="00DB3E30" w:rsidP="00AC4E9D">
      <w:pPr>
        <w:spacing w:line="480" w:lineRule="auto"/>
        <w:rPr>
          <w:sz w:val="24"/>
          <w:szCs w:val="24"/>
        </w:rPr>
      </w:pPr>
      <w:r w:rsidRPr="001B1523">
        <w:rPr>
          <w:sz w:val="24"/>
          <w:szCs w:val="24"/>
        </w:rPr>
        <w:t>Given that our data confirmed alterations in senescent cell subtypes within the CD8</w:t>
      </w:r>
      <w:r w:rsidRPr="001B1523">
        <w:rPr>
          <w:sz w:val="24"/>
          <w:szCs w:val="24"/>
          <w:vertAlign w:val="superscript"/>
        </w:rPr>
        <w:t>+</w:t>
      </w:r>
      <w:r w:rsidRPr="001B1523">
        <w:rPr>
          <w:sz w:val="24"/>
          <w:szCs w:val="24"/>
        </w:rPr>
        <w:t xml:space="preserve"> population, CD8</w:t>
      </w:r>
      <w:r w:rsidRPr="001B1523">
        <w:rPr>
          <w:sz w:val="24"/>
          <w:szCs w:val="24"/>
          <w:vertAlign w:val="superscript"/>
        </w:rPr>
        <w:t>+</w:t>
      </w:r>
      <w:r w:rsidRPr="001B1523">
        <w:rPr>
          <w:sz w:val="24"/>
          <w:szCs w:val="24"/>
        </w:rPr>
        <w:t xml:space="preserve"> lymphocytes were isolated for further experiments to assess cell ageing markers. </w:t>
      </w:r>
      <w:r w:rsidR="00CC234C" w:rsidRPr="001B1523">
        <w:rPr>
          <w:sz w:val="24"/>
          <w:szCs w:val="24"/>
        </w:rPr>
        <w:t>Telomere length</w:t>
      </w:r>
      <w:r w:rsidR="00BA32E0" w:rsidRPr="001B1523">
        <w:rPr>
          <w:sz w:val="24"/>
          <w:szCs w:val="24"/>
        </w:rPr>
        <w:t>,</w:t>
      </w:r>
      <w:r w:rsidR="00CC234C" w:rsidRPr="001B1523">
        <w:rPr>
          <w:sz w:val="24"/>
          <w:szCs w:val="24"/>
        </w:rPr>
        <w:t xml:space="preserve"> as well as the expression of the telomerase reverse transcriptase</w:t>
      </w:r>
      <w:r w:rsidR="00B859AF" w:rsidRPr="001B1523">
        <w:rPr>
          <w:sz w:val="24"/>
          <w:szCs w:val="24"/>
        </w:rPr>
        <w:t xml:space="preserve"> enzyme</w:t>
      </w:r>
      <w:r w:rsidR="00CC234C" w:rsidRPr="001B1523">
        <w:rPr>
          <w:sz w:val="24"/>
          <w:szCs w:val="24"/>
        </w:rPr>
        <w:t xml:space="preserve"> (hTERT)</w:t>
      </w:r>
      <w:r w:rsidR="00BA32E0" w:rsidRPr="001B1523">
        <w:rPr>
          <w:sz w:val="24"/>
          <w:szCs w:val="24"/>
        </w:rPr>
        <w:t xml:space="preserve"> in CD8</w:t>
      </w:r>
      <w:r w:rsidR="00BA32E0" w:rsidRPr="001B1523">
        <w:rPr>
          <w:sz w:val="24"/>
          <w:szCs w:val="24"/>
          <w:vertAlign w:val="superscript"/>
        </w:rPr>
        <w:t>+</w:t>
      </w:r>
      <w:r w:rsidR="00BA32E0" w:rsidRPr="001B1523">
        <w:rPr>
          <w:sz w:val="24"/>
          <w:szCs w:val="24"/>
        </w:rPr>
        <w:t xml:space="preserve"> T lymphocytes</w:t>
      </w:r>
      <w:r w:rsidR="00CC234C" w:rsidRPr="001B1523">
        <w:rPr>
          <w:sz w:val="24"/>
          <w:szCs w:val="24"/>
        </w:rPr>
        <w:t xml:space="preserve"> were </w:t>
      </w:r>
      <w:r w:rsidR="00E60182" w:rsidRPr="001B1523">
        <w:rPr>
          <w:sz w:val="24"/>
          <w:szCs w:val="24"/>
        </w:rPr>
        <w:t xml:space="preserve">similar </w:t>
      </w:r>
      <w:r w:rsidR="00A432BD" w:rsidRPr="001B1523">
        <w:rPr>
          <w:sz w:val="24"/>
          <w:szCs w:val="24"/>
        </w:rPr>
        <w:t>in</w:t>
      </w:r>
      <w:r w:rsidR="00E60182" w:rsidRPr="001B1523">
        <w:rPr>
          <w:sz w:val="24"/>
          <w:szCs w:val="24"/>
        </w:rPr>
        <w:t xml:space="preserve"> PD and control groups (</w:t>
      </w:r>
      <w:r w:rsidR="00E60182" w:rsidRPr="001B1523">
        <w:rPr>
          <w:i/>
          <w:iCs/>
          <w:sz w:val="24"/>
          <w:szCs w:val="24"/>
        </w:rPr>
        <w:t>p</w:t>
      </w:r>
      <w:r w:rsidR="00E60182" w:rsidRPr="001B1523">
        <w:rPr>
          <w:sz w:val="24"/>
          <w:szCs w:val="24"/>
        </w:rPr>
        <w:t>=</w:t>
      </w:r>
      <w:r w:rsidR="00FB77DC" w:rsidRPr="001B1523">
        <w:rPr>
          <w:sz w:val="24"/>
          <w:szCs w:val="24"/>
        </w:rPr>
        <w:t>0.</w:t>
      </w:r>
      <w:r w:rsidR="00BE6BA9" w:rsidRPr="001B1523">
        <w:rPr>
          <w:sz w:val="24"/>
          <w:szCs w:val="24"/>
        </w:rPr>
        <w:t>807</w:t>
      </w:r>
      <w:r w:rsidR="00E60182" w:rsidRPr="001B1523">
        <w:rPr>
          <w:sz w:val="24"/>
          <w:szCs w:val="24"/>
        </w:rPr>
        <w:t xml:space="preserve"> and </w:t>
      </w:r>
      <w:r w:rsidR="00E60182" w:rsidRPr="001B1523">
        <w:rPr>
          <w:i/>
          <w:iCs/>
          <w:sz w:val="24"/>
          <w:szCs w:val="24"/>
        </w:rPr>
        <w:t>p</w:t>
      </w:r>
      <w:r w:rsidR="00E60182" w:rsidRPr="001B1523">
        <w:rPr>
          <w:sz w:val="24"/>
          <w:szCs w:val="24"/>
        </w:rPr>
        <w:t>=</w:t>
      </w:r>
      <w:r w:rsidR="00FB77DC" w:rsidRPr="001B1523">
        <w:rPr>
          <w:sz w:val="24"/>
          <w:szCs w:val="24"/>
        </w:rPr>
        <w:t>0.</w:t>
      </w:r>
      <w:r w:rsidR="004F2D92" w:rsidRPr="001B1523">
        <w:rPr>
          <w:sz w:val="24"/>
          <w:szCs w:val="24"/>
        </w:rPr>
        <w:t>2</w:t>
      </w:r>
      <w:r w:rsidR="00BE6BA9" w:rsidRPr="001B1523">
        <w:rPr>
          <w:sz w:val="24"/>
          <w:szCs w:val="24"/>
        </w:rPr>
        <w:t>51</w:t>
      </w:r>
      <w:r w:rsidR="00E60182" w:rsidRPr="001B1523">
        <w:rPr>
          <w:sz w:val="24"/>
          <w:szCs w:val="24"/>
        </w:rPr>
        <w:t>, respectively)</w:t>
      </w:r>
      <w:r w:rsidR="007F77BE" w:rsidRPr="001B1523">
        <w:rPr>
          <w:sz w:val="24"/>
          <w:szCs w:val="24"/>
        </w:rPr>
        <w:t xml:space="preserve"> (Fig. </w:t>
      </w:r>
      <w:r w:rsidR="003E3A19" w:rsidRPr="001B1523">
        <w:rPr>
          <w:sz w:val="24"/>
          <w:szCs w:val="24"/>
        </w:rPr>
        <w:t>4</w:t>
      </w:r>
      <w:r w:rsidR="007F77BE" w:rsidRPr="001B1523">
        <w:rPr>
          <w:sz w:val="24"/>
          <w:szCs w:val="24"/>
        </w:rPr>
        <w:t>A,</w:t>
      </w:r>
      <w:r w:rsidR="004510B3" w:rsidRPr="001B1523">
        <w:rPr>
          <w:sz w:val="24"/>
          <w:szCs w:val="24"/>
        </w:rPr>
        <w:t xml:space="preserve"> </w:t>
      </w:r>
      <w:r w:rsidR="007F77BE" w:rsidRPr="001B1523">
        <w:rPr>
          <w:sz w:val="24"/>
          <w:szCs w:val="24"/>
        </w:rPr>
        <w:t>B)</w:t>
      </w:r>
      <w:r w:rsidR="00E60182" w:rsidRPr="001B1523">
        <w:rPr>
          <w:sz w:val="24"/>
          <w:szCs w:val="24"/>
        </w:rPr>
        <w:t xml:space="preserve">. </w:t>
      </w:r>
      <w:r w:rsidR="00FB77DC" w:rsidRPr="001B1523">
        <w:rPr>
          <w:sz w:val="24"/>
          <w:szCs w:val="24"/>
        </w:rPr>
        <w:t xml:space="preserve">There was a </w:t>
      </w:r>
      <w:r w:rsidR="00D5086D" w:rsidRPr="001B1523">
        <w:rPr>
          <w:sz w:val="24"/>
          <w:szCs w:val="24"/>
        </w:rPr>
        <w:t>significant decrease in the expression</w:t>
      </w:r>
      <w:r w:rsidR="00FB77DC" w:rsidRPr="001B1523">
        <w:rPr>
          <w:sz w:val="24"/>
          <w:szCs w:val="24"/>
        </w:rPr>
        <w:t xml:space="preserve"> level of</w:t>
      </w:r>
      <w:r w:rsidR="00A51A42" w:rsidRPr="001B1523">
        <w:rPr>
          <w:sz w:val="24"/>
          <w:szCs w:val="24"/>
        </w:rPr>
        <w:t xml:space="preserve"> the </w:t>
      </w:r>
      <w:r w:rsidR="00E101D9" w:rsidRPr="001B1523">
        <w:rPr>
          <w:sz w:val="24"/>
          <w:szCs w:val="24"/>
        </w:rPr>
        <w:t xml:space="preserve">cell ageing </w:t>
      </w:r>
      <w:r w:rsidR="00A51A42" w:rsidRPr="001B1523">
        <w:rPr>
          <w:sz w:val="24"/>
          <w:szCs w:val="24"/>
        </w:rPr>
        <w:t>marker</w:t>
      </w:r>
      <w:r w:rsidR="00FB77DC" w:rsidRPr="001B1523">
        <w:rPr>
          <w:sz w:val="24"/>
          <w:szCs w:val="24"/>
        </w:rPr>
        <w:t xml:space="preserve"> p16</w:t>
      </w:r>
      <w:r w:rsidR="00A51A42" w:rsidRPr="001B1523">
        <w:rPr>
          <w:sz w:val="24"/>
          <w:szCs w:val="24"/>
        </w:rPr>
        <w:t xml:space="preserve"> in CD8</w:t>
      </w:r>
      <w:r w:rsidR="00A51A42" w:rsidRPr="001B1523">
        <w:rPr>
          <w:sz w:val="24"/>
          <w:szCs w:val="24"/>
          <w:vertAlign w:val="superscript"/>
        </w:rPr>
        <w:t>+</w:t>
      </w:r>
      <w:r w:rsidR="00A51A42" w:rsidRPr="001B1523">
        <w:rPr>
          <w:sz w:val="24"/>
          <w:szCs w:val="24"/>
        </w:rPr>
        <w:t xml:space="preserve"> T cells of</w:t>
      </w:r>
      <w:r w:rsidR="00FB77DC" w:rsidRPr="001B1523">
        <w:rPr>
          <w:sz w:val="24"/>
          <w:szCs w:val="24"/>
        </w:rPr>
        <w:t xml:space="preserve"> </w:t>
      </w:r>
      <w:r w:rsidR="00D5086D" w:rsidRPr="001B1523">
        <w:rPr>
          <w:sz w:val="24"/>
          <w:szCs w:val="24"/>
        </w:rPr>
        <w:t xml:space="preserve">PD patients versus </w:t>
      </w:r>
      <w:r w:rsidR="00FB77DC" w:rsidRPr="001B1523">
        <w:rPr>
          <w:sz w:val="24"/>
          <w:szCs w:val="24"/>
        </w:rPr>
        <w:t>controls</w:t>
      </w:r>
      <w:r w:rsidR="007F77BE" w:rsidRPr="001B1523">
        <w:rPr>
          <w:sz w:val="24"/>
          <w:szCs w:val="24"/>
        </w:rPr>
        <w:t xml:space="preserve"> </w:t>
      </w:r>
      <w:r w:rsidR="00222453" w:rsidRPr="001B1523">
        <w:rPr>
          <w:sz w:val="24"/>
          <w:szCs w:val="24"/>
        </w:rPr>
        <w:t>(</w:t>
      </w:r>
      <w:r w:rsidR="00222453" w:rsidRPr="001B1523">
        <w:rPr>
          <w:i/>
          <w:iCs/>
          <w:sz w:val="24"/>
          <w:szCs w:val="24"/>
        </w:rPr>
        <w:t>p</w:t>
      </w:r>
      <w:r w:rsidR="00222453" w:rsidRPr="001B1523">
        <w:rPr>
          <w:sz w:val="24"/>
          <w:szCs w:val="24"/>
        </w:rPr>
        <w:t>=0.0</w:t>
      </w:r>
      <w:r w:rsidR="00706A83" w:rsidRPr="001B1523">
        <w:rPr>
          <w:sz w:val="24"/>
          <w:szCs w:val="24"/>
        </w:rPr>
        <w:t>0</w:t>
      </w:r>
      <w:r w:rsidR="004F2D92" w:rsidRPr="001B1523">
        <w:rPr>
          <w:sz w:val="24"/>
          <w:szCs w:val="24"/>
        </w:rPr>
        <w:t>2</w:t>
      </w:r>
      <w:r w:rsidR="00222453" w:rsidRPr="001B1523">
        <w:rPr>
          <w:sz w:val="24"/>
          <w:szCs w:val="24"/>
        </w:rPr>
        <w:t xml:space="preserve">) </w:t>
      </w:r>
      <w:r w:rsidR="007F77BE" w:rsidRPr="001B1523">
        <w:rPr>
          <w:sz w:val="24"/>
          <w:szCs w:val="24"/>
        </w:rPr>
        <w:t>(Fig.</w:t>
      </w:r>
      <w:r w:rsidR="004510B3" w:rsidRPr="001B1523">
        <w:rPr>
          <w:sz w:val="24"/>
          <w:szCs w:val="24"/>
        </w:rPr>
        <w:t xml:space="preserve"> </w:t>
      </w:r>
      <w:r w:rsidR="003E3A19" w:rsidRPr="001B1523">
        <w:rPr>
          <w:sz w:val="24"/>
          <w:szCs w:val="24"/>
        </w:rPr>
        <w:t>4</w:t>
      </w:r>
      <w:r w:rsidR="007F77BE" w:rsidRPr="001B1523">
        <w:rPr>
          <w:sz w:val="24"/>
          <w:szCs w:val="24"/>
        </w:rPr>
        <w:t>C)</w:t>
      </w:r>
      <w:r w:rsidR="00FB77DC" w:rsidRPr="001B1523">
        <w:rPr>
          <w:sz w:val="24"/>
          <w:szCs w:val="24"/>
        </w:rPr>
        <w:t xml:space="preserve">. No differences were observed in p21 </w:t>
      </w:r>
      <w:r w:rsidR="00FB77DC" w:rsidRPr="001B1523">
        <w:rPr>
          <w:sz w:val="24"/>
          <w:szCs w:val="24"/>
        </w:rPr>
        <w:lastRenderedPageBreak/>
        <w:t xml:space="preserve">gene expression between </w:t>
      </w:r>
      <w:r w:rsidR="00E101D9" w:rsidRPr="001B1523">
        <w:rPr>
          <w:sz w:val="24"/>
          <w:szCs w:val="24"/>
        </w:rPr>
        <w:t>groups</w:t>
      </w:r>
      <w:r w:rsidR="004B1123" w:rsidRPr="001B1523">
        <w:rPr>
          <w:sz w:val="24"/>
          <w:szCs w:val="24"/>
        </w:rPr>
        <w:t xml:space="preserve"> </w:t>
      </w:r>
      <w:r w:rsidR="00FB77DC" w:rsidRPr="001B1523">
        <w:rPr>
          <w:sz w:val="24"/>
          <w:szCs w:val="24"/>
        </w:rPr>
        <w:t>(</w:t>
      </w:r>
      <w:r w:rsidR="00FB77DC" w:rsidRPr="001B1523">
        <w:rPr>
          <w:i/>
          <w:iCs/>
          <w:sz w:val="24"/>
          <w:szCs w:val="24"/>
        </w:rPr>
        <w:t>p</w:t>
      </w:r>
      <w:r w:rsidR="00FB77DC" w:rsidRPr="001B1523">
        <w:rPr>
          <w:sz w:val="24"/>
          <w:szCs w:val="24"/>
        </w:rPr>
        <w:t>=0.</w:t>
      </w:r>
      <w:r w:rsidR="004F2D92" w:rsidRPr="001B1523">
        <w:rPr>
          <w:sz w:val="24"/>
          <w:szCs w:val="24"/>
        </w:rPr>
        <w:t>886</w:t>
      </w:r>
      <w:r w:rsidR="00FB77DC" w:rsidRPr="001B1523">
        <w:rPr>
          <w:sz w:val="24"/>
          <w:szCs w:val="24"/>
        </w:rPr>
        <w:t>)</w:t>
      </w:r>
      <w:r w:rsidR="007F77BE" w:rsidRPr="001B1523">
        <w:rPr>
          <w:sz w:val="24"/>
          <w:szCs w:val="24"/>
        </w:rPr>
        <w:t xml:space="preserve"> (Fig. </w:t>
      </w:r>
      <w:r w:rsidR="003E3A19" w:rsidRPr="001B1523">
        <w:rPr>
          <w:sz w:val="24"/>
          <w:szCs w:val="24"/>
        </w:rPr>
        <w:t>4</w:t>
      </w:r>
      <w:r w:rsidR="007F77BE" w:rsidRPr="001B1523">
        <w:rPr>
          <w:sz w:val="24"/>
          <w:szCs w:val="24"/>
        </w:rPr>
        <w:t>D)</w:t>
      </w:r>
      <w:r w:rsidR="00FB77DC" w:rsidRPr="001B1523">
        <w:rPr>
          <w:sz w:val="24"/>
          <w:szCs w:val="24"/>
        </w:rPr>
        <w:t>.</w:t>
      </w:r>
      <w:r w:rsidR="000B2C16" w:rsidRPr="001B1523">
        <w:rPr>
          <w:sz w:val="24"/>
          <w:szCs w:val="24"/>
        </w:rPr>
        <w:t xml:space="preserve"> Telomere length as well as hTERT, p16 and p21 expression did not correlate with clinical data including age, sex, disease duration, UPDRS</w:t>
      </w:r>
      <w:r w:rsidR="008C3B77" w:rsidRPr="001B1523">
        <w:rPr>
          <w:sz w:val="24"/>
          <w:szCs w:val="24"/>
        </w:rPr>
        <w:t>-III</w:t>
      </w:r>
      <w:r w:rsidR="000B2C16" w:rsidRPr="001B1523">
        <w:rPr>
          <w:sz w:val="24"/>
          <w:szCs w:val="24"/>
        </w:rPr>
        <w:t>, ACE-III and LEDD.</w:t>
      </w:r>
    </w:p>
    <w:p w14:paraId="663F9B75" w14:textId="450A2FA8" w:rsidR="00D30D06" w:rsidRPr="001B1523" w:rsidRDefault="00D30D06" w:rsidP="00AC4E9D">
      <w:pPr>
        <w:spacing w:line="480" w:lineRule="auto"/>
        <w:rPr>
          <w:sz w:val="24"/>
          <w:szCs w:val="24"/>
        </w:rPr>
      </w:pPr>
      <w:r w:rsidRPr="001B1523">
        <w:rPr>
          <w:sz w:val="24"/>
          <w:szCs w:val="24"/>
        </w:rPr>
        <w:t>p16 expression appears to have a biphasic distribution in our dataset, with a larger proportion of controls in the ‘high’ cluster (</w:t>
      </w:r>
      <w:r w:rsidR="007C386B" w:rsidRPr="001B1523">
        <w:rPr>
          <w:sz w:val="24"/>
          <w:szCs w:val="24"/>
        </w:rPr>
        <w:t>Fig.</w:t>
      </w:r>
      <w:r w:rsidRPr="001B1523">
        <w:rPr>
          <w:sz w:val="24"/>
          <w:szCs w:val="24"/>
        </w:rPr>
        <w:t xml:space="preserve"> 4</w:t>
      </w:r>
      <w:r w:rsidR="007C386B" w:rsidRPr="001B1523">
        <w:rPr>
          <w:sz w:val="24"/>
          <w:szCs w:val="24"/>
        </w:rPr>
        <w:t>C</w:t>
      </w:r>
      <w:r w:rsidRPr="001B1523">
        <w:rPr>
          <w:sz w:val="24"/>
          <w:szCs w:val="24"/>
        </w:rPr>
        <w:t xml:space="preserve">). This group of controls did not differ significantly from the control population as a whole in terms of age or </w:t>
      </w:r>
      <w:r w:rsidR="00AC5BC5" w:rsidRPr="001B1523">
        <w:rPr>
          <w:sz w:val="24"/>
          <w:szCs w:val="24"/>
        </w:rPr>
        <w:t>sex</w:t>
      </w:r>
      <w:r w:rsidRPr="001B1523">
        <w:rPr>
          <w:sz w:val="24"/>
          <w:szCs w:val="24"/>
        </w:rPr>
        <w:t xml:space="preserve">. </w:t>
      </w:r>
    </w:p>
    <w:p w14:paraId="03ECA44C" w14:textId="77777777" w:rsidR="00F771E4" w:rsidRPr="001B1523" w:rsidRDefault="00F771E4" w:rsidP="00AC4E9D">
      <w:pPr>
        <w:spacing w:line="480" w:lineRule="auto"/>
        <w:rPr>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6"/>
      </w:tblGrid>
      <w:tr w:rsidR="00687360" w:rsidRPr="001B1523" w14:paraId="35B2861B" w14:textId="77777777" w:rsidTr="006D0C51">
        <w:tc>
          <w:tcPr>
            <w:tcW w:w="9016" w:type="dxa"/>
          </w:tcPr>
          <w:p w14:paraId="2E029FA0" w14:textId="1DCE06C0" w:rsidR="006F44E5" w:rsidRPr="001B1523" w:rsidRDefault="00D5086D" w:rsidP="00687360">
            <w:r w:rsidRPr="001B1523">
              <w:rPr>
                <w:noProof/>
                <w:lang w:eastAsia="en-GB"/>
              </w:rPr>
              <w:drawing>
                <wp:inline distT="0" distB="0" distL="0" distR="0" wp14:anchorId="03E5B0D2" wp14:editId="793E010F">
                  <wp:extent cx="5731510" cy="2005330"/>
                  <wp:effectExtent l="0" t="0" r="2540" b="0"/>
                  <wp:docPr id="4" name="Picture 4"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art&#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31510" cy="2005330"/>
                          </a:xfrm>
                          <a:prstGeom prst="rect">
                            <a:avLst/>
                          </a:prstGeom>
                        </pic:spPr>
                      </pic:pic>
                    </a:graphicData>
                  </a:graphic>
                </wp:inline>
              </w:drawing>
            </w:r>
          </w:p>
        </w:tc>
      </w:tr>
      <w:tr w:rsidR="00687360" w:rsidRPr="001B1523" w14:paraId="61E75E68" w14:textId="77777777" w:rsidTr="006D0C51">
        <w:tc>
          <w:tcPr>
            <w:tcW w:w="9016" w:type="dxa"/>
          </w:tcPr>
          <w:p w14:paraId="1CCF9081" w14:textId="23D77EDD" w:rsidR="00687360" w:rsidRPr="001B1523" w:rsidRDefault="00687360" w:rsidP="004E77EB">
            <w:pPr>
              <w:spacing w:line="240" w:lineRule="auto"/>
              <w:rPr>
                <w:color w:val="FF0000"/>
                <w:sz w:val="20"/>
                <w:szCs w:val="20"/>
              </w:rPr>
            </w:pPr>
            <w:r w:rsidRPr="001B1523">
              <w:rPr>
                <w:b/>
                <w:bCs/>
                <w:sz w:val="20"/>
                <w:szCs w:val="20"/>
              </w:rPr>
              <w:t>Fig</w:t>
            </w:r>
            <w:r w:rsidR="00E978BF" w:rsidRPr="001B1523">
              <w:rPr>
                <w:b/>
                <w:bCs/>
                <w:sz w:val="20"/>
                <w:szCs w:val="20"/>
              </w:rPr>
              <w:t>.</w:t>
            </w:r>
            <w:r w:rsidRPr="001B1523">
              <w:rPr>
                <w:b/>
                <w:bCs/>
                <w:sz w:val="20"/>
                <w:szCs w:val="20"/>
              </w:rPr>
              <w:t xml:space="preserve"> </w:t>
            </w:r>
            <w:r w:rsidR="003E3A19" w:rsidRPr="001B1523">
              <w:rPr>
                <w:b/>
                <w:bCs/>
                <w:sz w:val="20"/>
                <w:szCs w:val="20"/>
              </w:rPr>
              <w:t>4</w:t>
            </w:r>
            <w:r w:rsidRPr="001B1523">
              <w:rPr>
                <w:b/>
                <w:bCs/>
                <w:sz w:val="20"/>
                <w:szCs w:val="20"/>
              </w:rPr>
              <w:t>.</w:t>
            </w:r>
            <w:r w:rsidR="006F44E5" w:rsidRPr="001B1523">
              <w:rPr>
                <w:sz w:val="20"/>
                <w:szCs w:val="20"/>
              </w:rPr>
              <w:t xml:space="preserve"> Telomere length and </w:t>
            </w:r>
            <w:r w:rsidR="00BA32E0" w:rsidRPr="001B1523">
              <w:rPr>
                <w:sz w:val="20"/>
                <w:szCs w:val="20"/>
              </w:rPr>
              <w:t xml:space="preserve">cell </w:t>
            </w:r>
            <w:r w:rsidR="006F44E5" w:rsidRPr="001B1523">
              <w:rPr>
                <w:sz w:val="20"/>
                <w:szCs w:val="20"/>
              </w:rPr>
              <w:t xml:space="preserve">ageing markers in </w:t>
            </w:r>
            <w:r w:rsidR="00E40ACA" w:rsidRPr="001B1523">
              <w:rPr>
                <w:sz w:val="20"/>
                <w:szCs w:val="20"/>
              </w:rPr>
              <w:t>CD8</w:t>
            </w:r>
            <w:r w:rsidR="00E40ACA" w:rsidRPr="001B1523">
              <w:rPr>
                <w:sz w:val="20"/>
                <w:szCs w:val="20"/>
                <w:vertAlign w:val="superscript"/>
              </w:rPr>
              <w:t>+</w:t>
            </w:r>
            <w:r w:rsidR="00E40ACA" w:rsidRPr="001B1523">
              <w:rPr>
                <w:sz w:val="20"/>
                <w:szCs w:val="20"/>
              </w:rPr>
              <w:t xml:space="preserve"> lymphocytes of </w:t>
            </w:r>
            <w:r w:rsidR="006F44E5" w:rsidRPr="001B1523">
              <w:rPr>
                <w:sz w:val="20"/>
                <w:szCs w:val="20"/>
              </w:rPr>
              <w:t>PD patients compared to controls.</w:t>
            </w:r>
            <w:r w:rsidR="001F131D" w:rsidRPr="001B1523">
              <w:rPr>
                <w:sz w:val="20"/>
                <w:szCs w:val="20"/>
              </w:rPr>
              <w:t xml:space="preserve"> </w:t>
            </w:r>
            <w:r w:rsidR="00593338" w:rsidRPr="001B1523">
              <w:rPr>
                <w:sz w:val="20"/>
                <w:szCs w:val="20"/>
              </w:rPr>
              <w:t>(</w:t>
            </w:r>
            <w:r w:rsidR="001F131D" w:rsidRPr="001B1523">
              <w:rPr>
                <w:sz w:val="20"/>
                <w:szCs w:val="20"/>
              </w:rPr>
              <w:t>A</w:t>
            </w:r>
            <w:r w:rsidR="00593338" w:rsidRPr="001B1523">
              <w:rPr>
                <w:sz w:val="20"/>
                <w:szCs w:val="20"/>
              </w:rPr>
              <w:t>)</w:t>
            </w:r>
            <w:r w:rsidR="001F131D" w:rsidRPr="001B1523">
              <w:rPr>
                <w:sz w:val="20"/>
                <w:szCs w:val="20"/>
              </w:rPr>
              <w:t xml:space="preserve"> Telomere length is expressed </w:t>
            </w:r>
            <w:r w:rsidR="007D4A05" w:rsidRPr="001B1523">
              <w:rPr>
                <w:sz w:val="20"/>
                <w:szCs w:val="20"/>
              </w:rPr>
              <w:t xml:space="preserve">as </w:t>
            </w:r>
            <w:r w:rsidR="001F131D" w:rsidRPr="001B1523">
              <w:rPr>
                <w:sz w:val="20"/>
                <w:szCs w:val="20"/>
              </w:rPr>
              <w:t xml:space="preserve">a ratio of </w:t>
            </w:r>
            <w:r w:rsidR="00593338" w:rsidRPr="001B1523">
              <w:rPr>
                <w:sz w:val="20"/>
                <w:szCs w:val="20"/>
              </w:rPr>
              <w:t>t</w:t>
            </w:r>
            <w:r w:rsidR="001F131D" w:rsidRPr="001B1523">
              <w:rPr>
                <w:sz w:val="20"/>
                <w:szCs w:val="20"/>
              </w:rPr>
              <w:t>elomere base pairs/</w:t>
            </w:r>
            <w:r w:rsidR="00593338" w:rsidRPr="001B1523">
              <w:rPr>
                <w:sz w:val="20"/>
                <w:szCs w:val="20"/>
              </w:rPr>
              <w:t>s</w:t>
            </w:r>
            <w:r w:rsidR="001F131D" w:rsidRPr="001B1523">
              <w:rPr>
                <w:sz w:val="20"/>
                <w:szCs w:val="20"/>
              </w:rPr>
              <w:t>ingle copy gene base pairs</w:t>
            </w:r>
            <w:r w:rsidR="0096790B" w:rsidRPr="001B1523">
              <w:rPr>
                <w:sz w:val="20"/>
                <w:szCs w:val="20"/>
              </w:rPr>
              <w:t xml:space="preserve"> (T/S ratio)</w:t>
            </w:r>
            <w:r w:rsidR="001F131D" w:rsidRPr="001B1523">
              <w:rPr>
                <w:sz w:val="20"/>
                <w:szCs w:val="20"/>
              </w:rPr>
              <w:t xml:space="preserve">, efficiency corrected </w:t>
            </w:r>
            <w:r w:rsidR="001F131D" w:rsidRPr="001B1523">
              <w:rPr>
                <w:sz w:val="20"/>
                <w:szCs w:val="20"/>
              </w:rPr>
              <w:fldChar w:fldCharType="begin"/>
            </w:r>
            <w:r w:rsidR="00CE3D6F" w:rsidRPr="001B1523">
              <w:rPr>
                <w:sz w:val="20"/>
                <w:szCs w:val="20"/>
              </w:rPr>
              <w:instrText xml:space="preserve"> ADDIN ZOTERO_ITEM CSL_CITATION {"citationID":"iPKKDx3A","properties":{"formattedCitation":"[35]","plainCitation":"[35]","noteIndex":0},"citationItems":[{"id":10945,"uris":["http://zotero.org/users/2272275/items/DEG9ZYII"],"uri":["http://zotero.org/users/2272275/items/DEG9ZYII"],"itemData":{"id":10945,"type":"article-journal","abstract":"Use of the real-time polymerase chain reaction (PCR) to amplify\n cDNA products reverse transcribed from mRNA is on the way to becoming\n a routine tool in molecular biology to study low abundance gene expression.\n Real-time PCR is easy to perform, provides the necessary accuracy\n and produces reliable as well as rapid quantification results. But\n accurate quantification of nucleic acids requires a reproducible\n methodology and an adequate mathematical model for data analysis.\n This study enters into the particular topics of the relative quantification in\n real-time RT–PCR of a target gene transcript in comparison\n to a reference gene transcript. Therefore, a new mathematical model\n is presented. The relative expression ratio is calculated only from\n the real-time PCR efficiencies and the crossing point deviation\n of an unknown sample versus a control. This model needs no calibration\n curve. Control levels were included in the model to standardise\n each reaction run with respect to RNA integrity, sample loading\n and inter-PCR variations. High accuracy and reproducibility (&lt;2.5% variation)\n were reached in LightCycler PCR using the established mathematical model.","container-title":"Nucleic Acids Research","ISSN":"0305-1048","issue":"9","journalAbbreviation":"Nucleic Acids Res","note":"PMID: 11328886\nPMCID: PMC55695","page":"e45","source":"PubMed Central","title":"A new mathematical model for  relative quantification in real-time RT–PCR","volume":"29","author":[{"family":"Pfaffl","given":"Michael W."}],"issued":{"date-parts":[["2001",5,1]]}}}],"schema":"https://github.com/citation-style-language/schema/raw/master/csl-citation.json"} </w:instrText>
            </w:r>
            <w:r w:rsidR="001F131D" w:rsidRPr="001B1523">
              <w:rPr>
                <w:sz w:val="20"/>
                <w:szCs w:val="20"/>
              </w:rPr>
              <w:fldChar w:fldCharType="separate"/>
            </w:r>
            <w:r w:rsidR="00CE3D6F" w:rsidRPr="001B1523">
              <w:rPr>
                <w:rFonts w:cs="Arial"/>
                <w:sz w:val="20"/>
              </w:rPr>
              <w:t>[35]</w:t>
            </w:r>
            <w:r w:rsidR="001F131D" w:rsidRPr="001B1523">
              <w:rPr>
                <w:sz w:val="20"/>
                <w:szCs w:val="20"/>
              </w:rPr>
              <w:fldChar w:fldCharType="end"/>
            </w:r>
            <w:r w:rsidR="00842552" w:rsidRPr="001B1523">
              <w:rPr>
                <w:sz w:val="20"/>
                <w:szCs w:val="20"/>
              </w:rPr>
              <w:t>.</w:t>
            </w:r>
            <w:r w:rsidR="00B47BA9" w:rsidRPr="001B1523">
              <w:rPr>
                <w:sz w:val="20"/>
                <w:szCs w:val="20"/>
              </w:rPr>
              <w:t xml:space="preserve"> </w:t>
            </w:r>
            <w:r w:rsidR="00842552" w:rsidRPr="001B1523">
              <w:rPr>
                <w:sz w:val="20"/>
                <w:szCs w:val="20"/>
              </w:rPr>
              <w:t xml:space="preserve">Two-tailed unpaired </w:t>
            </w:r>
            <w:r w:rsidR="00C1098E" w:rsidRPr="001B1523">
              <w:rPr>
                <w:sz w:val="20"/>
                <w:szCs w:val="20"/>
              </w:rPr>
              <w:t>Welch’s t-test</w:t>
            </w:r>
            <w:r w:rsidR="00842552" w:rsidRPr="001B1523">
              <w:rPr>
                <w:sz w:val="20"/>
                <w:szCs w:val="20"/>
              </w:rPr>
              <w:t xml:space="preserve">, </w:t>
            </w:r>
            <w:proofErr w:type="gramStart"/>
            <w:r w:rsidR="0096790B" w:rsidRPr="001B1523">
              <w:rPr>
                <w:sz w:val="20"/>
                <w:szCs w:val="20"/>
              </w:rPr>
              <w:t>t(</w:t>
            </w:r>
            <w:proofErr w:type="gramEnd"/>
            <w:r w:rsidR="0096790B" w:rsidRPr="001B1523">
              <w:rPr>
                <w:sz w:val="20"/>
                <w:szCs w:val="20"/>
              </w:rPr>
              <w:t xml:space="preserve">108.2)=0.245, </w:t>
            </w:r>
            <w:r w:rsidR="0096790B" w:rsidRPr="001B1523">
              <w:rPr>
                <w:i/>
                <w:iCs/>
                <w:sz w:val="20"/>
                <w:szCs w:val="20"/>
              </w:rPr>
              <w:t>p</w:t>
            </w:r>
            <w:r w:rsidR="0096790B" w:rsidRPr="001B1523">
              <w:rPr>
                <w:sz w:val="20"/>
                <w:szCs w:val="20"/>
              </w:rPr>
              <w:t>=0.807.</w:t>
            </w:r>
            <w:r w:rsidR="004E77EB" w:rsidRPr="001B1523">
              <w:rPr>
                <w:sz w:val="20"/>
                <w:szCs w:val="20"/>
              </w:rPr>
              <w:t xml:space="preserve"> </w:t>
            </w:r>
            <w:r w:rsidR="00593338" w:rsidRPr="001B1523">
              <w:rPr>
                <w:sz w:val="20"/>
                <w:szCs w:val="20"/>
              </w:rPr>
              <w:t>(</w:t>
            </w:r>
            <w:r w:rsidR="00BF7773" w:rsidRPr="001B1523">
              <w:rPr>
                <w:sz w:val="20"/>
                <w:szCs w:val="20"/>
              </w:rPr>
              <w:t>B</w:t>
            </w:r>
            <w:r w:rsidR="00593338" w:rsidRPr="001B1523">
              <w:rPr>
                <w:sz w:val="20"/>
                <w:szCs w:val="20"/>
              </w:rPr>
              <w:t>)</w:t>
            </w:r>
            <w:r w:rsidR="00BF7773" w:rsidRPr="001B1523">
              <w:rPr>
                <w:sz w:val="20"/>
                <w:szCs w:val="20"/>
              </w:rPr>
              <w:t xml:space="preserve"> Relative mRNA expression levels</w:t>
            </w:r>
            <w:r w:rsidR="001F131D" w:rsidRPr="001B1523">
              <w:rPr>
                <w:sz w:val="20"/>
                <w:szCs w:val="20"/>
              </w:rPr>
              <w:t xml:space="preserve"> </w:t>
            </w:r>
            <w:r w:rsidR="0096790B" w:rsidRPr="001B1523">
              <w:rPr>
                <w:sz w:val="20"/>
                <w:szCs w:val="20"/>
              </w:rPr>
              <w:t xml:space="preserve">of hTERT </w:t>
            </w:r>
            <w:r w:rsidR="001F131D" w:rsidRPr="001B1523">
              <w:rPr>
                <w:sz w:val="20"/>
                <w:szCs w:val="20"/>
              </w:rPr>
              <w:t>expressed as the log2</w:t>
            </w:r>
            <w:r w:rsidR="00593338" w:rsidRPr="001B1523">
              <w:rPr>
                <w:sz w:val="20"/>
                <w:szCs w:val="20"/>
              </w:rPr>
              <w:t xml:space="preserve"> </w:t>
            </w:r>
            <w:r w:rsidR="001F131D" w:rsidRPr="001B1523">
              <w:rPr>
                <w:sz w:val="20"/>
                <w:szCs w:val="20"/>
              </w:rPr>
              <w:t>fold change</w:t>
            </w:r>
            <w:r w:rsidR="00F81DEC" w:rsidRPr="001B1523">
              <w:rPr>
                <w:sz w:val="20"/>
                <w:szCs w:val="20"/>
              </w:rPr>
              <w:t xml:space="preserve"> (2</w:t>
            </w:r>
            <w:r w:rsidR="00F81DEC" w:rsidRPr="001B1523">
              <w:rPr>
                <w:sz w:val="20"/>
                <w:szCs w:val="20"/>
                <w:vertAlign w:val="superscript"/>
              </w:rPr>
              <w:t>−∆∆CT</w:t>
            </w:r>
            <w:r w:rsidR="00F81DEC" w:rsidRPr="001B1523">
              <w:rPr>
                <w:sz w:val="20"/>
                <w:szCs w:val="20"/>
              </w:rPr>
              <w:t>)</w:t>
            </w:r>
            <w:r w:rsidR="00BF7773" w:rsidRPr="001B1523">
              <w:rPr>
                <w:sz w:val="20"/>
                <w:szCs w:val="20"/>
              </w:rPr>
              <w:t>.</w:t>
            </w:r>
            <w:r w:rsidR="0096790B" w:rsidRPr="001B1523">
              <w:rPr>
                <w:sz w:val="20"/>
                <w:szCs w:val="20"/>
              </w:rPr>
              <w:t xml:space="preserve"> Two-tailed unpaired</w:t>
            </w:r>
            <w:r w:rsidR="00C1098E" w:rsidRPr="001B1523">
              <w:rPr>
                <w:sz w:val="20"/>
                <w:szCs w:val="20"/>
              </w:rPr>
              <w:t xml:space="preserve"> Welch’s t-test</w:t>
            </w:r>
            <w:r w:rsidR="0096790B" w:rsidRPr="001B1523">
              <w:rPr>
                <w:sz w:val="20"/>
                <w:szCs w:val="20"/>
              </w:rPr>
              <w:t xml:space="preserve">, </w:t>
            </w:r>
            <w:proofErr w:type="gramStart"/>
            <w:r w:rsidR="0096790B" w:rsidRPr="001B1523">
              <w:rPr>
                <w:sz w:val="20"/>
                <w:szCs w:val="20"/>
              </w:rPr>
              <w:t>t(</w:t>
            </w:r>
            <w:proofErr w:type="gramEnd"/>
            <w:r w:rsidR="00114BE5" w:rsidRPr="001B1523">
              <w:rPr>
                <w:sz w:val="20"/>
                <w:szCs w:val="20"/>
              </w:rPr>
              <w:t>62.76</w:t>
            </w:r>
            <w:r w:rsidR="0096790B" w:rsidRPr="001B1523">
              <w:rPr>
                <w:sz w:val="20"/>
                <w:szCs w:val="20"/>
              </w:rPr>
              <w:t>)=</w:t>
            </w:r>
            <w:r w:rsidR="00114BE5" w:rsidRPr="001B1523">
              <w:rPr>
                <w:sz w:val="20"/>
                <w:szCs w:val="20"/>
              </w:rPr>
              <w:t>1.159</w:t>
            </w:r>
            <w:r w:rsidR="0096790B" w:rsidRPr="001B1523">
              <w:rPr>
                <w:sz w:val="20"/>
                <w:szCs w:val="20"/>
              </w:rPr>
              <w:t xml:space="preserve">, </w:t>
            </w:r>
            <w:r w:rsidR="0096790B" w:rsidRPr="001B1523">
              <w:rPr>
                <w:i/>
                <w:iCs/>
                <w:sz w:val="20"/>
                <w:szCs w:val="20"/>
              </w:rPr>
              <w:t>p</w:t>
            </w:r>
            <w:r w:rsidR="0096790B" w:rsidRPr="001B1523">
              <w:rPr>
                <w:sz w:val="20"/>
                <w:szCs w:val="20"/>
              </w:rPr>
              <w:t>=</w:t>
            </w:r>
            <w:r w:rsidR="00362433" w:rsidRPr="001B1523">
              <w:rPr>
                <w:sz w:val="20"/>
                <w:szCs w:val="20"/>
              </w:rPr>
              <w:t>0.</w:t>
            </w:r>
            <w:r w:rsidR="00114BE5" w:rsidRPr="001B1523">
              <w:rPr>
                <w:sz w:val="20"/>
                <w:szCs w:val="20"/>
              </w:rPr>
              <w:t>251</w:t>
            </w:r>
            <w:r w:rsidR="0096790B" w:rsidRPr="001B1523">
              <w:rPr>
                <w:sz w:val="20"/>
                <w:szCs w:val="20"/>
              </w:rPr>
              <w:t>.</w:t>
            </w:r>
            <w:r w:rsidR="004E77EB" w:rsidRPr="001B1523">
              <w:rPr>
                <w:sz w:val="20"/>
                <w:szCs w:val="20"/>
              </w:rPr>
              <w:t xml:space="preserve"> </w:t>
            </w:r>
            <w:r w:rsidR="0096790B" w:rsidRPr="001B1523">
              <w:rPr>
                <w:sz w:val="20"/>
                <w:szCs w:val="20"/>
              </w:rPr>
              <w:t>(C) Relative mRNA expression levels of p16 expressed as the log2 fold change</w:t>
            </w:r>
            <w:r w:rsidR="00F81DEC" w:rsidRPr="001B1523">
              <w:rPr>
                <w:sz w:val="20"/>
                <w:szCs w:val="20"/>
              </w:rPr>
              <w:t xml:space="preserve"> (2</w:t>
            </w:r>
            <w:r w:rsidR="00F81DEC" w:rsidRPr="001B1523">
              <w:rPr>
                <w:sz w:val="20"/>
                <w:szCs w:val="20"/>
                <w:vertAlign w:val="superscript"/>
              </w:rPr>
              <w:t>−∆∆CT</w:t>
            </w:r>
            <w:r w:rsidR="00F81DEC" w:rsidRPr="001B1523">
              <w:rPr>
                <w:sz w:val="20"/>
                <w:szCs w:val="20"/>
              </w:rPr>
              <w:t>)</w:t>
            </w:r>
            <w:r w:rsidR="0096790B" w:rsidRPr="001B1523">
              <w:rPr>
                <w:sz w:val="20"/>
                <w:szCs w:val="20"/>
              </w:rPr>
              <w:t xml:space="preserve">. Two-tailed unpaired </w:t>
            </w:r>
            <w:r w:rsidR="00C1098E" w:rsidRPr="001B1523">
              <w:rPr>
                <w:sz w:val="20"/>
                <w:szCs w:val="20"/>
              </w:rPr>
              <w:t xml:space="preserve">Welch’s </w:t>
            </w:r>
            <w:r w:rsidR="0096790B" w:rsidRPr="001B1523">
              <w:rPr>
                <w:sz w:val="20"/>
                <w:szCs w:val="20"/>
              </w:rPr>
              <w:t>t-test,</w:t>
            </w:r>
            <w:r w:rsidR="00114BE5" w:rsidRPr="001B1523">
              <w:rPr>
                <w:sz w:val="20"/>
                <w:szCs w:val="20"/>
              </w:rPr>
              <w:t xml:space="preserve"> </w:t>
            </w:r>
            <w:proofErr w:type="gramStart"/>
            <w:r w:rsidR="0096790B" w:rsidRPr="001B1523">
              <w:rPr>
                <w:sz w:val="20"/>
                <w:szCs w:val="20"/>
              </w:rPr>
              <w:t>t(</w:t>
            </w:r>
            <w:proofErr w:type="gramEnd"/>
            <w:r w:rsidR="00114BE5" w:rsidRPr="001B1523">
              <w:rPr>
                <w:sz w:val="20"/>
                <w:szCs w:val="20"/>
              </w:rPr>
              <w:t>62.74</w:t>
            </w:r>
            <w:r w:rsidR="0096790B" w:rsidRPr="001B1523">
              <w:rPr>
                <w:sz w:val="20"/>
                <w:szCs w:val="20"/>
              </w:rPr>
              <w:t>)=3.</w:t>
            </w:r>
            <w:r w:rsidR="00114BE5" w:rsidRPr="001B1523">
              <w:rPr>
                <w:sz w:val="20"/>
                <w:szCs w:val="20"/>
              </w:rPr>
              <w:t>274</w:t>
            </w:r>
            <w:r w:rsidR="0096790B" w:rsidRPr="001B1523">
              <w:rPr>
                <w:sz w:val="20"/>
                <w:szCs w:val="20"/>
              </w:rPr>
              <w:t xml:space="preserve">, </w:t>
            </w:r>
            <w:r w:rsidR="0096790B" w:rsidRPr="001B1523">
              <w:rPr>
                <w:i/>
                <w:iCs/>
                <w:sz w:val="20"/>
                <w:szCs w:val="20"/>
              </w:rPr>
              <w:t>p</w:t>
            </w:r>
            <w:r w:rsidR="0096790B" w:rsidRPr="001B1523">
              <w:rPr>
                <w:sz w:val="20"/>
                <w:szCs w:val="20"/>
              </w:rPr>
              <w:t>=0.00</w:t>
            </w:r>
            <w:r w:rsidR="00114BE5" w:rsidRPr="001B1523">
              <w:rPr>
                <w:sz w:val="20"/>
                <w:szCs w:val="20"/>
              </w:rPr>
              <w:t>2</w:t>
            </w:r>
            <w:r w:rsidR="0096790B" w:rsidRPr="001B1523">
              <w:rPr>
                <w:sz w:val="20"/>
                <w:szCs w:val="20"/>
              </w:rPr>
              <w:t>.</w:t>
            </w:r>
            <w:r w:rsidR="004E77EB" w:rsidRPr="001B1523">
              <w:rPr>
                <w:sz w:val="20"/>
                <w:szCs w:val="20"/>
              </w:rPr>
              <w:t xml:space="preserve"> </w:t>
            </w:r>
            <w:r w:rsidR="0096790B" w:rsidRPr="001B1523">
              <w:rPr>
                <w:sz w:val="20"/>
                <w:szCs w:val="20"/>
              </w:rPr>
              <w:t>(D) Relative mRNA expression levels of p21 expressed as the log2 fold change</w:t>
            </w:r>
            <w:r w:rsidR="00F81DEC" w:rsidRPr="001B1523">
              <w:rPr>
                <w:sz w:val="20"/>
                <w:szCs w:val="20"/>
              </w:rPr>
              <w:t xml:space="preserve"> (2</w:t>
            </w:r>
            <w:r w:rsidR="00F81DEC" w:rsidRPr="001B1523">
              <w:rPr>
                <w:sz w:val="20"/>
                <w:szCs w:val="20"/>
                <w:vertAlign w:val="superscript"/>
              </w:rPr>
              <w:t>−∆∆CT</w:t>
            </w:r>
            <w:r w:rsidR="00F81DEC" w:rsidRPr="001B1523">
              <w:rPr>
                <w:sz w:val="20"/>
                <w:szCs w:val="20"/>
              </w:rPr>
              <w:t>)</w:t>
            </w:r>
            <w:r w:rsidR="0096790B" w:rsidRPr="001B1523">
              <w:rPr>
                <w:sz w:val="20"/>
                <w:szCs w:val="20"/>
              </w:rPr>
              <w:t xml:space="preserve">. Two-tailed unpaired </w:t>
            </w:r>
            <w:r w:rsidR="00C1098E" w:rsidRPr="001B1523">
              <w:rPr>
                <w:sz w:val="20"/>
                <w:szCs w:val="20"/>
              </w:rPr>
              <w:t>Welch’s t-test</w:t>
            </w:r>
            <w:r w:rsidR="0096790B" w:rsidRPr="001B1523">
              <w:rPr>
                <w:sz w:val="20"/>
                <w:szCs w:val="20"/>
              </w:rPr>
              <w:t xml:space="preserve">, </w:t>
            </w:r>
            <w:proofErr w:type="gramStart"/>
            <w:r w:rsidR="0096790B" w:rsidRPr="001B1523">
              <w:rPr>
                <w:sz w:val="20"/>
                <w:szCs w:val="20"/>
              </w:rPr>
              <w:t>t(</w:t>
            </w:r>
            <w:proofErr w:type="gramEnd"/>
            <w:r w:rsidR="00114BE5" w:rsidRPr="001B1523">
              <w:rPr>
                <w:sz w:val="20"/>
                <w:szCs w:val="20"/>
              </w:rPr>
              <w:t>74.73</w:t>
            </w:r>
            <w:r w:rsidR="0096790B" w:rsidRPr="001B1523">
              <w:rPr>
                <w:sz w:val="20"/>
                <w:szCs w:val="20"/>
              </w:rPr>
              <w:t>)=</w:t>
            </w:r>
            <w:r w:rsidR="004E77EB" w:rsidRPr="001B1523">
              <w:rPr>
                <w:sz w:val="20"/>
                <w:szCs w:val="20"/>
              </w:rPr>
              <w:t>1.14</w:t>
            </w:r>
            <w:r w:rsidR="00114BE5" w:rsidRPr="001B1523">
              <w:rPr>
                <w:sz w:val="20"/>
                <w:szCs w:val="20"/>
              </w:rPr>
              <w:t>3</w:t>
            </w:r>
            <w:r w:rsidR="0096790B" w:rsidRPr="001B1523">
              <w:rPr>
                <w:sz w:val="20"/>
                <w:szCs w:val="20"/>
              </w:rPr>
              <w:t xml:space="preserve">, </w:t>
            </w:r>
            <w:r w:rsidR="0096790B" w:rsidRPr="001B1523">
              <w:rPr>
                <w:i/>
                <w:iCs/>
                <w:sz w:val="20"/>
                <w:szCs w:val="20"/>
              </w:rPr>
              <w:t>p</w:t>
            </w:r>
            <w:r w:rsidR="0096790B" w:rsidRPr="001B1523">
              <w:rPr>
                <w:sz w:val="20"/>
                <w:szCs w:val="20"/>
              </w:rPr>
              <w:t>=</w:t>
            </w:r>
            <w:r w:rsidR="00362433" w:rsidRPr="001B1523">
              <w:rPr>
                <w:sz w:val="20"/>
                <w:szCs w:val="20"/>
              </w:rPr>
              <w:t>0.</w:t>
            </w:r>
            <w:r w:rsidR="00114BE5" w:rsidRPr="001B1523">
              <w:rPr>
                <w:sz w:val="20"/>
                <w:szCs w:val="20"/>
              </w:rPr>
              <w:t>886</w:t>
            </w:r>
            <w:r w:rsidR="0096790B" w:rsidRPr="001B1523">
              <w:rPr>
                <w:sz w:val="20"/>
                <w:szCs w:val="20"/>
              </w:rPr>
              <w:t xml:space="preserve">. </w:t>
            </w:r>
            <w:r w:rsidR="00B859AF" w:rsidRPr="001B1523">
              <w:rPr>
                <w:sz w:val="20"/>
                <w:szCs w:val="20"/>
              </w:rPr>
              <w:t xml:space="preserve">hTERT: human telomerase enzyme reverse transcriptase. </w:t>
            </w:r>
            <w:bookmarkStart w:id="6" w:name="OLE_LINK2"/>
            <w:r w:rsidR="00B9116B" w:rsidRPr="001B1523">
              <w:rPr>
                <w:sz w:val="20"/>
                <w:szCs w:val="20"/>
              </w:rPr>
              <w:t>Control</w:t>
            </w:r>
            <w:r w:rsidR="002D0AA9" w:rsidRPr="001B1523">
              <w:rPr>
                <w:sz w:val="20"/>
                <w:szCs w:val="20"/>
              </w:rPr>
              <w:t xml:space="preserve"> n</w:t>
            </w:r>
            <w:r w:rsidR="000215DD" w:rsidRPr="001B1523">
              <w:rPr>
                <w:sz w:val="20"/>
                <w:szCs w:val="20"/>
              </w:rPr>
              <w:t>=59</w:t>
            </w:r>
            <w:r w:rsidR="00B9116B" w:rsidRPr="001B1523">
              <w:rPr>
                <w:sz w:val="20"/>
                <w:szCs w:val="20"/>
              </w:rPr>
              <w:t xml:space="preserve">, PD </w:t>
            </w:r>
            <w:r w:rsidR="000215DD" w:rsidRPr="001B1523">
              <w:rPr>
                <w:sz w:val="20"/>
                <w:szCs w:val="20"/>
              </w:rPr>
              <w:t>n=57</w:t>
            </w:r>
            <w:r w:rsidR="00B9116B" w:rsidRPr="001B1523">
              <w:rPr>
                <w:sz w:val="20"/>
                <w:szCs w:val="20"/>
              </w:rPr>
              <w:t>.</w:t>
            </w:r>
            <w:r w:rsidR="00B9116B" w:rsidRPr="001B1523">
              <w:t xml:space="preserve"> </w:t>
            </w:r>
            <w:bookmarkEnd w:id="6"/>
            <w:r w:rsidR="004E77EB" w:rsidRPr="001B1523">
              <w:rPr>
                <w:noProof/>
                <w:sz w:val="20"/>
                <w:szCs w:val="20"/>
              </w:rPr>
              <w:t>**</w:t>
            </w:r>
            <w:r w:rsidR="004E77EB" w:rsidRPr="001B1523">
              <w:rPr>
                <w:i/>
                <w:iCs/>
                <w:noProof/>
                <w:sz w:val="20"/>
                <w:szCs w:val="20"/>
              </w:rPr>
              <w:t>p</w:t>
            </w:r>
            <w:r w:rsidR="004E77EB" w:rsidRPr="001B1523">
              <w:rPr>
                <w:noProof/>
                <w:sz w:val="20"/>
                <w:szCs w:val="20"/>
              </w:rPr>
              <w:t>&lt;0.001.</w:t>
            </w:r>
          </w:p>
        </w:tc>
      </w:tr>
    </w:tbl>
    <w:p w14:paraId="582E68F0" w14:textId="077CA924" w:rsidR="00E92052" w:rsidRPr="001B1523" w:rsidRDefault="00E92052" w:rsidP="00515CCE">
      <w:pPr>
        <w:spacing w:before="240" w:line="480" w:lineRule="auto"/>
      </w:pPr>
    </w:p>
    <w:p w14:paraId="409E6A07" w14:textId="51C14F29" w:rsidR="001A6060" w:rsidRPr="001B1523" w:rsidRDefault="001A6060" w:rsidP="006C5047">
      <w:pPr>
        <w:pStyle w:val="Heading1"/>
        <w:spacing w:line="480" w:lineRule="auto"/>
      </w:pPr>
      <w:r w:rsidRPr="001B1523">
        <w:t>Discussion</w:t>
      </w:r>
    </w:p>
    <w:p w14:paraId="0006A78C" w14:textId="4F1341AC" w:rsidR="0000076D" w:rsidRPr="001B1523" w:rsidRDefault="0000076D" w:rsidP="00FA4572">
      <w:pPr>
        <w:spacing w:line="480" w:lineRule="auto"/>
      </w:pPr>
    </w:p>
    <w:p w14:paraId="3D87AB93" w14:textId="0F12DE9A" w:rsidR="00CB0968" w:rsidRPr="001B1523" w:rsidRDefault="004D7185" w:rsidP="00FA4572">
      <w:pPr>
        <w:spacing w:line="480" w:lineRule="auto"/>
        <w:rPr>
          <w:sz w:val="24"/>
          <w:szCs w:val="24"/>
        </w:rPr>
      </w:pPr>
      <w:r w:rsidRPr="001B1523">
        <w:rPr>
          <w:sz w:val="24"/>
          <w:szCs w:val="24"/>
        </w:rPr>
        <w:t xml:space="preserve">This </w:t>
      </w:r>
      <w:r w:rsidR="00C17692" w:rsidRPr="001B1523">
        <w:rPr>
          <w:sz w:val="24"/>
          <w:szCs w:val="24"/>
        </w:rPr>
        <w:t xml:space="preserve">study has </w:t>
      </w:r>
      <w:r w:rsidR="00B22EBA" w:rsidRPr="001B1523">
        <w:rPr>
          <w:sz w:val="24"/>
          <w:szCs w:val="24"/>
        </w:rPr>
        <w:t>comprehensive</w:t>
      </w:r>
      <w:r w:rsidR="00C17692" w:rsidRPr="001B1523">
        <w:rPr>
          <w:sz w:val="24"/>
          <w:szCs w:val="24"/>
        </w:rPr>
        <w:t>ly</w:t>
      </w:r>
      <w:r w:rsidR="00B22EBA" w:rsidRPr="001B1523">
        <w:rPr>
          <w:sz w:val="24"/>
          <w:szCs w:val="24"/>
        </w:rPr>
        <w:t xml:space="preserve"> investigat</w:t>
      </w:r>
      <w:r w:rsidR="00C17692" w:rsidRPr="001B1523">
        <w:rPr>
          <w:sz w:val="24"/>
          <w:szCs w:val="24"/>
        </w:rPr>
        <w:t>ed</w:t>
      </w:r>
      <w:r w:rsidR="00B22EBA" w:rsidRPr="001B1523">
        <w:rPr>
          <w:sz w:val="24"/>
          <w:szCs w:val="24"/>
        </w:rPr>
        <w:t xml:space="preserve"> </w:t>
      </w:r>
      <w:r w:rsidR="009078BD" w:rsidRPr="001B1523">
        <w:rPr>
          <w:sz w:val="24"/>
          <w:szCs w:val="24"/>
        </w:rPr>
        <w:t>markers of T cell senescence in a newly</w:t>
      </w:r>
      <w:r w:rsidR="00B22EBA" w:rsidRPr="001B1523">
        <w:rPr>
          <w:sz w:val="24"/>
          <w:szCs w:val="24"/>
        </w:rPr>
        <w:t>-</w:t>
      </w:r>
      <w:r w:rsidR="009078BD" w:rsidRPr="001B1523">
        <w:rPr>
          <w:sz w:val="24"/>
          <w:szCs w:val="24"/>
        </w:rPr>
        <w:t xml:space="preserve">diagnosed PD </w:t>
      </w:r>
      <w:r w:rsidR="009E39BC" w:rsidRPr="001B1523">
        <w:rPr>
          <w:sz w:val="24"/>
          <w:szCs w:val="24"/>
        </w:rPr>
        <w:t xml:space="preserve">cohort </w:t>
      </w:r>
      <w:r w:rsidR="00B22EBA" w:rsidRPr="001B1523">
        <w:rPr>
          <w:sz w:val="24"/>
          <w:szCs w:val="24"/>
        </w:rPr>
        <w:t>and</w:t>
      </w:r>
      <w:r w:rsidR="009078BD" w:rsidRPr="001B1523">
        <w:rPr>
          <w:sz w:val="24"/>
          <w:szCs w:val="24"/>
        </w:rPr>
        <w:t xml:space="preserve"> age-matched controls</w:t>
      </w:r>
      <w:r w:rsidR="00C17692" w:rsidRPr="001B1523">
        <w:rPr>
          <w:sz w:val="24"/>
          <w:szCs w:val="24"/>
        </w:rPr>
        <w:t>, and</w:t>
      </w:r>
      <w:r w:rsidR="00B22EBA" w:rsidRPr="001B1523">
        <w:rPr>
          <w:sz w:val="24"/>
          <w:szCs w:val="24"/>
        </w:rPr>
        <w:t xml:space="preserve"> provides evidence of </w:t>
      </w:r>
      <w:r w:rsidR="009078BD" w:rsidRPr="001B1523">
        <w:rPr>
          <w:sz w:val="24"/>
          <w:szCs w:val="24"/>
        </w:rPr>
        <w:t xml:space="preserve">a </w:t>
      </w:r>
      <w:r w:rsidR="00B22EBA" w:rsidRPr="001B1523">
        <w:rPr>
          <w:sz w:val="24"/>
          <w:szCs w:val="24"/>
        </w:rPr>
        <w:t>reduction in</w:t>
      </w:r>
      <w:r w:rsidR="009078BD" w:rsidRPr="001B1523">
        <w:rPr>
          <w:sz w:val="24"/>
          <w:szCs w:val="24"/>
        </w:rPr>
        <w:t xml:space="preserve"> CD8</w:t>
      </w:r>
      <w:r w:rsidR="009078BD" w:rsidRPr="001B1523">
        <w:rPr>
          <w:sz w:val="24"/>
          <w:szCs w:val="24"/>
          <w:vertAlign w:val="superscript"/>
        </w:rPr>
        <w:t>+</w:t>
      </w:r>
      <w:r w:rsidR="009078BD" w:rsidRPr="001B1523">
        <w:rPr>
          <w:sz w:val="24"/>
          <w:szCs w:val="24"/>
        </w:rPr>
        <w:t xml:space="preserve"> TEMRA cells</w:t>
      </w:r>
      <w:r w:rsidR="00B22EBA" w:rsidRPr="001B1523">
        <w:rPr>
          <w:sz w:val="24"/>
          <w:szCs w:val="24"/>
        </w:rPr>
        <w:t>,</w:t>
      </w:r>
      <w:r w:rsidR="009078BD" w:rsidRPr="001B1523">
        <w:rPr>
          <w:sz w:val="24"/>
          <w:szCs w:val="24"/>
        </w:rPr>
        <w:t xml:space="preserve"> </w:t>
      </w:r>
      <w:r w:rsidR="00B22EBA" w:rsidRPr="001B1523">
        <w:rPr>
          <w:sz w:val="24"/>
          <w:szCs w:val="24"/>
        </w:rPr>
        <w:t>as well as</w:t>
      </w:r>
      <w:r w:rsidR="009078BD" w:rsidRPr="001B1523">
        <w:rPr>
          <w:sz w:val="24"/>
          <w:szCs w:val="24"/>
        </w:rPr>
        <w:t xml:space="preserve"> </w:t>
      </w:r>
      <w:r w:rsidR="0035605A" w:rsidRPr="001B1523">
        <w:rPr>
          <w:sz w:val="24"/>
          <w:szCs w:val="24"/>
        </w:rPr>
        <w:t>lower expression of the cell</w:t>
      </w:r>
      <w:r w:rsidR="00C17692" w:rsidRPr="001B1523">
        <w:rPr>
          <w:sz w:val="24"/>
          <w:szCs w:val="24"/>
        </w:rPr>
        <w:t>-</w:t>
      </w:r>
      <w:r w:rsidR="0035605A" w:rsidRPr="001B1523">
        <w:rPr>
          <w:sz w:val="24"/>
          <w:szCs w:val="24"/>
        </w:rPr>
        <w:t>ageing marker p16</w:t>
      </w:r>
      <w:r w:rsidR="009078BD" w:rsidRPr="001B1523">
        <w:rPr>
          <w:sz w:val="24"/>
          <w:szCs w:val="24"/>
        </w:rPr>
        <w:t xml:space="preserve"> </w:t>
      </w:r>
      <w:r w:rsidR="0035605A" w:rsidRPr="001B1523">
        <w:rPr>
          <w:sz w:val="24"/>
          <w:szCs w:val="24"/>
        </w:rPr>
        <w:t xml:space="preserve">in </w:t>
      </w:r>
      <w:r w:rsidR="00C17692" w:rsidRPr="001B1523">
        <w:rPr>
          <w:sz w:val="24"/>
          <w:szCs w:val="24"/>
        </w:rPr>
        <w:t>CD8</w:t>
      </w:r>
      <w:r w:rsidR="00C17692" w:rsidRPr="001B1523">
        <w:rPr>
          <w:sz w:val="24"/>
          <w:szCs w:val="24"/>
          <w:vertAlign w:val="superscript"/>
        </w:rPr>
        <w:t>+</w:t>
      </w:r>
      <w:r w:rsidR="0035605A" w:rsidRPr="001B1523">
        <w:rPr>
          <w:sz w:val="24"/>
          <w:szCs w:val="24"/>
        </w:rPr>
        <w:t xml:space="preserve"> T </w:t>
      </w:r>
      <w:r w:rsidR="00642365" w:rsidRPr="001B1523">
        <w:rPr>
          <w:sz w:val="24"/>
          <w:szCs w:val="24"/>
        </w:rPr>
        <w:t>lymphocytes</w:t>
      </w:r>
      <w:r w:rsidR="0035605A" w:rsidRPr="001B1523">
        <w:rPr>
          <w:sz w:val="24"/>
          <w:szCs w:val="24"/>
        </w:rPr>
        <w:t xml:space="preserve"> in PD</w:t>
      </w:r>
      <w:r w:rsidR="009078BD" w:rsidRPr="001B1523">
        <w:rPr>
          <w:sz w:val="24"/>
          <w:szCs w:val="24"/>
        </w:rPr>
        <w:t xml:space="preserve">. This validates </w:t>
      </w:r>
      <w:r w:rsidR="008260FB" w:rsidRPr="001B1523">
        <w:rPr>
          <w:sz w:val="24"/>
          <w:szCs w:val="24"/>
        </w:rPr>
        <w:t xml:space="preserve">and extends </w:t>
      </w:r>
      <w:r w:rsidRPr="001B1523">
        <w:rPr>
          <w:sz w:val="24"/>
          <w:szCs w:val="24"/>
        </w:rPr>
        <w:t xml:space="preserve">our previous findings </w:t>
      </w:r>
      <w:r w:rsidR="008260FB" w:rsidRPr="001B1523">
        <w:rPr>
          <w:sz w:val="24"/>
          <w:szCs w:val="24"/>
        </w:rPr>
        <w:fldChar w:fldCharType="begin"/>
      </w:r>
      <w:r w:rsidR="003D3539" w:rsidRPr="001B1523">
        <w:rPr>
          <w:sz w:val="24"/>
          <w:szCs w:val="24"/>
        </w:rPr>
        <w:instrText xml:space="preserve"> ADDIN ZOTERO_ITEM CSL_CITATION {"citationID":"cmteKlO0","properties":{"formattedCitation":"[21]","plainCitation":"[21]","noteIndex":0},"citationItems":[{"id":1994,"uris":["http://zotero.org/users/2272275/items/MV5CB7RG"],"uri":["http://zotero.org/users/2272275/items/MV5CB7RG"],"itemData":{"id":1994,"type":"article-journal","abstract":"A wealth of evidence implicates both central and peripheral immune changes as contributing to the pathogenesis of Parkinson’s disease (PD). It is critical to better understand this aspect of PD given that it is a tractable target for disease-modifying therapy. Age-related changes are known to occur in the immune system (immunosenescence) and might be of particular relevance in PD given that its prevalence rises with increasing age. We therefore sought to investigate this with respect to T cell replicative senescence, a key immune component of human ageing.","container-title":"Journal of Neuroinflammation","DOI":"10.1186/s12974-018-1206-5","ISSN":"1742-2094","issue":"1","journalAbbreviation":"Journal of Neuroinflammation","page":"166","source":"BioMed Central","title":"Abnormalities of age-related T cell senescence in Parkinson’s disease","volume":"15","author":[{"family":"Williams-Gray","given":"C. H."},{"family":"Wijeyekoon","given":"R. S."},{"family":"Scott","given":"K. M."},{"family":"Hayat","given":"S."},{"family":"Barker","given":"R. A."},{"family":"Jones","given":"J. L."}],"issued":{"date-parts":[["2018",5,28]]}}}],"schema":"https://github.com/citation-style-language/schema/raw/master/csl-citation.json"} </w:instrText>
      </w:r>
      <w:r w:rsidR="008260FB" w:rsidRPr="001B1523">
        <w:rPr>
          <w:sz w:val="24"/>
          <w:szCs w:val="24"/>
        </w:rPr>
        <w:fldChar w:fldCharType="separate"/>
      </w:r>
      <w:r w:rsidR="003D3539" w:rsidRPr="001B1523">
        <w:rPr>
          <w:rFonts w:cs="Arial"/>
          <w:sz w:val="24"/>
        </w:rPr>
        <w:t>[21]</w:t>
      </w:r>
      <w:r w:rsidR="008260FB" w:rsidRPr="001B1523">
        <w:rPr>
          <w:sz w:val="24"/>
          <w:szCs w:val="24"/>
        </w:rPr>
        <w:fldChar w:fldCharType="end"/>
      </w:r>
      <w:r w:rsidR="008260FB" w:rsidRPr="001B1523">
        <w:rPr>
          <w:sz w:val="24"/>
          <w:szCs w:val="24"/>
        </w:rPr>
        <w:t xml:space="preserve">, </w:t>
      </w:r>
      <w:r w:rsidR="009E39BC" w:rsidRPr="001B1523">
        <w:rPr>
          <w:sz w:val="24"/>
          <w:szCs w:val="24"/>
        </w:rPr>
        <w:t xml:space="preserve">demonstrating </w:t>
      </w:r>
      <w:r w:rsidR="008260FB" w:rsidRPr="001B1523">
        <w:rPr>
          <w:sz w:val="24"/>
          <w:szCs w:val="24"/>
        </w:rPr>
        <w:t xml:space="preserve">that </w:t>
      </w:r>
      <w:r w:rsidR="00DB3E30" w:rsidRPr="001B1523">
        <w:rPr>
          <w:sz w:val="24"/>
          <w:szCs w:val="24"/>
        </w:rPr>
        <w:t xml:space="preserve">reduced </w:t>
      </w:r>
      <w:r w:rsidR="00CB0968" w:rsidRPr="001B1523">
        <w:rPr>
          <w:sz w:val="24"/>
          <w:szCs w:val="24"/>
        </w:rPr>
        <w:t>CD8</w:t>
      </w:r>
      <w:r w:rsidR="00CB0968" w:rsidRPr="001B1523">
        <w:rPr>
          <w:sz w:val="24"/>
          <w:szCs w:val="24"/>
          <w:vertAlign w:val="superscript"/>
        </w:rPr>
        <w:t>+</w:t>
      </w:r>
      <w:r w:rsidR="008260FB" w:rsidRPr="001B1523">
        <w:rPr>
          <w:sz w:val="24"/>
          <w:szCs w:val="24"/>
        </w:rPr>
        <w:t xml:space="preserve"> cell senescence is</w:t>
      </w:r>
      <w:r w:rsidR="00DB3E30" w:rsidRPr="001B1523">
        <w:rPr>
          <w:sz w:val="24"/>
          <w:szCs w:val="24"/>
        </w:rPr>
        <w:t xml:space="preserve"> a feature of </w:t>
      </w:r>
      <w:r w:rsidR="009E39BC" w:rsidRPr="001B1523">
        <w:rPr>
          <w:sz w:val="24"/>
          <w:szCs w:val="24"/>
        </w:rPr>
        <w:t>early PD.</w:t>
      </w:r>
      <w:r w:rsidR="00EB1BC9" w:rsidRPr="001B1523">
        <w:rPr>
          <w:sz w:val="24"/>
          <w:szCs w:val="24"/>
        </w:rPr>
        <w:t xml:space="preserve"> The current </w:t>
      </w:r>
      <w:r w:rsidR="00EB1BC9" w:rsidRPr="001B1523">
        <w:rPr>
          <w:sz w:val="24"/>
          <w:szCs w:val="24"/>
        </w:rPr>
        <w:lastRenderedPageBreak/>
        <w:t xml:space="preserve">cohort comprised </w:t>
      </w:r>
      <w:r w:rsidR="009E39BC" w:rsidRPr="001B1523">
        <w:rPr>
          <w:sz w:val="24"/>
          <w:szCs w:val="24"/>
        </w:rPr>
        <w:t>patients</w:t>
      </w:r>
      <w:r w:rsidR="00EB1BC9" w:rsidRPr="001B1523">
        <w:rPr>
          <w:sz w:val="24"/>
          <w:szCs w:val="24"/>
        </w:rPr>
        <w:t xml:space="preserve"> </w:t>
      </w:r>
      <w:r w:rsidR="003476F7" w:rsidRPr="001B1523">
        <w:rPr>
          <w:sz w:val="24"/>
          <w:szCs w:val="24"/>
        </w:rPr>
        <w:t xml:space="preserve">with a </w:t>
      </w:r>
      <w:r w:rsidR="00EB1BC9" w:rsidRPr="001B1523">
        <w:rPr>
          <w:sz w:val="24"/>
          <w:szCs w:val="24"/>
        </w:rPr>
        <w:t xml:space="preserve">mean disease duration </w:t>
      </w:r>
      <w:r w:rsidR="003476F7" w:rsidRPr="001B1523">
        <w:rPr>
          <w:sz w:val="24"/>
          <w:szCs w:val="24"/>
        </w:rPr>
        <w:t xml:space="preserve">of </w:t>
      </w:r>
      <w:r w:rsidR="00EB1BC9" w:rsidRPr="001B1523">
        <w:rPr>
          <w:rFonts w:cs="Arial"/>
          <w:color w:val="000000"/>
          <w:sz w:val="24"/>
          <w:szCs w:val="24"/>
        </w:rPr>
        <w:t xml:space="preserve">0.97 (0.54) </w:t>
      </w:r>
      <w:r w:rsidR="003476F7" w:rsidRPr="001B1523">
        <w:rPr>
          <w:rFonts w:cs="Arial"/>
          <w:color w:val="000000"/>
          <w:sz w:val="24"/>
          <w:szCs w:val="24"/>
        </w:rPr>
        <w:t>years</w:t>
      </w:r>
      <w:r w:rsidR="00EB1BC9" w:rsidRPr="001B1523">
        <w:rPr>
          <w:rFonts w:cs="Arial"/>
          <w:color w:val="000000"/>
          <w:sz w:val="24"/>
          <w:szCs w:val="24"/>
        </w:rPr>
        <w:t xml:space="preserve"> </w:t>
      </w:r>
      <w:r w:rsidR="003476F7" w:rsidRPr="001B1523">
        <w:rPr>
          <w:rFonts w:cs="Arial"/>
          <w:color w:val="000000"/>
          <w:sz w:val="24"/>
          <w:szCs w:val="24"/>
        </w:rPr>
        <w:t xml:space="preserve">in contrast to </w:t>
      </w:r>
      <w:r w:rsidR="00EB1BC9" w:rsidRPr="001B1523">
        <w:rPr>
          <w:sz w:val="24"/>
          <w:szCs w:val="24"/>
        </w:rPr>
        <w:t>4.3</w:t>
      </w:r>
      <w:r w:rsidR="003476F7" w:rsidRPr="001B1523">
        <w:rPr>
          <w:sz w:val="24"/>
          <w:szCs w:val="24"/>
        </w:rPr>
        <w:t xml:space="preserve"> (1.2) years in our previous study</w:t>
      </w:r>
      <w:r w:rsidR="00EB1BC9" w:rsidRPr="001B1523">
        <w:rPr>
          <w:sz w:val="24"/>
          <w:szCs w:val="24"/>
        </w:rPr>
        <w:t xml:space="preserve">. </w:t>
      </w:r>
      <w:bookmarkStart w:id="7" w:name="_Hlk82433923"/>
      <w:r w:rsidR="00EB1BC9" w:rsidRPr="001B1523">
        <w:rPr>
          <w:sz w:val="24"/>
          <w:szCs w:val="24"/>
        </w:rPr>
        <w:t>Although</w:t>
      </w:r>
      <w:r w:rsidR="003476F7" w:rsidRPr="001B1523">
        <w:rPr>
          <w:sz w:val="24"/>
          <w:szCs w:val="24"/>
        </w:rPr>
        <w:t xml:space="preserve"> we have demonstrated that</w:t>
      </w:r>
      <w:r w:rsidR="00EB1BC9" w:rsidRPr="001B1523">
        <w:rPr>
          <w:sz w:val="24"/>
          <w:szCs w:val="24"/>
        </w:rPr>
        <w:t xml:space="preserve"> changes in</w:t>
      </w:r>
      <w:r w:rsidR="00CB0968" w:rsidRPr="001B1523">
        <w:rPr>
          <w:sz w:val="24"/>
          <w:szCs w:val="24"/>
        </w:rPr>
        <w:t xml:space="preserve"> CD8</w:t>
      </w:r>
      <w:r w:rsidR="00CB0968" w:rsidRPr="001B1523">
        <w:rPr>
          <w:sz w:val="24"/>
          <w:szCs w:val="24"/>
          <w:vertAlign w:val="superscript"/>
        </w:rPr>
        <w:t>+</w:t>
      </w:r>
      <w:r w:rsidR="00CB0968" w:rsidRPr="001B1523">
        <w:rPr>
          <w:sz w:val="24"/>
          <w:szCs w:val="24"/>
        </w:rPr>
        <w:t xml:space="preserve"> cell senescence markers </w:t>
      </w:r>
      <w:r w:rsidR="00EB1BC9" w:rsidRPr="001B1523">
        <w:rPr>
          <w:sz w:val="24"/>
          <w:szCs w:val="24"/>
        </w:rPr>
        <w:t>are present from early</w:t>
      </w:r>
      <w:r w:rsidR="00F04907" w:rsidRPr="001B1523">
        <w:rPr>
          <w:sz w:val="24"/>
          <w:szCs w:val="24"/>
        </w:rPr>
        <w:t xml:space="preserve"> on</w:t>
      </w:r>
      <w:r w:rsidR="00EB1BC9" w:rsidRPr="001B1523">
        <w:rPr>
          <w:sz w:val="24"/>
          <w:szCs w:val="24"/>
        </w:rPr>
        <w:t xml:space="preserve"> in the disease course, our data does not support their use as </w:t>
      </w:r>
      <w:r w:rsidR="00CB0968" w:rsidRPr="001B1523">
        <w:rPr>
          <w:sz w:val="24"/>
          <w:szCs w:val="24"/>
        </w:rPr>
        <w:t>diagnostic biomarker</w:t>
      </w:r>
      <w:r w:rsidR="00EB1BC9" w:rsidRPr="001B1523">
        <w:rPr>
          <w:sz w:val="24"/>
          <w:szCs w:val="24"/>
        </w:rPr>
        <w:t xml:space="preserve">s, given the significant overlap between PD patients and controls. </w:t>
      </w:r>
      <w:bookmarkEnd w:id="7"/>
      <w:r w:rsidR="00EB1BC9" w:rsidRPr="001B1523">
        <w:rPr>
          <w:sz w:val="24"/>
          <w:szCs w:val="24"/>
        </w:rPr>
        <w:t>N</w:t>
      </w:r>
      <w:r w:rsidR="00CB0968" w:rsidRPr="001B1523">
        <w:rPr>
          <w:sz w:val="24"/>
          <w:szCs w:val="24"/>
        </w:rPr>
        <w:t>onetheless</w:t>
      </w:r>
      <w:r w:rsidR="00642365" w:rsidRPr="001B1523">
        <w:rPr>
          <w:sz w:val="24"/>
          <w:szCs w:val="24"/>
        </w:rPr>
        <w:t>,</w:t>
      </w:r>
      <w:r w:rsidR="00CB0968" w:rsidRPr="001B1523">
        <w:rPr>
          <w:sz w:val="24"/>
          <w:szCs w:val="24"/>
        </w:rPr>
        <w:t xml:space="preserve"> our observations provide an insight into</w:t>
      </w:r>
      <w:r w:rsidR="00EB1BC9" w:rsidRPr="001B1523">
        <w:rPr>
          <w:sz w:val="24"/>
          <w:szCs w:val="24"/>
        </w:rPr>
        <w:t xml:space="preserve"> early</w:t>
      </w:r>
      <w:r w:rsidR="00CB0968" w:rsidRPr="001B1523">
        <w:rPr>
          <w:sz w:val="24"/>
          <w:szCs w:val="24"/>
        </w:rPr>
        <w:t xml:space="preserve"> T </w:t>
      </w:r>
      <w:r w:rsidR="00642365" w:rsidRPr="001B1523">
        <w:rPr>
          <w:sz w:val="24"/>
          <w:szCs w:val="24"/>
        </w:rPr>
        <w:t xml:space="preserve">lymphocyte </w:t>
      </w:r>
      <w:r w:rsidR="00CB0968" w:rsidRPr="001B1523">
        <w:rPr>
          <w:sz w:val="24"/>
          <w:szCs w:val="24"/>
        </w:rPr>
        <w:t xml:space="preserve">changes in </w:t>
      </w:r>
      <w:r w:rsidR="00EB1BC9" w:rsidRPr="001B1523">
        <w:rPr>
          <w:sz w:val="24"/>
          <w:szCs w:val="24"/>
        </w:rPr>
        <w:t>PD, with important implications for better unde</w:t>
      </w:r>
      <w:r w:rsidR="003476F7" w:rsidRPr="001B1523">
        <w:rPr>
          <w:sz w:val="24"/>
          <w:szCs w:val="24"/>
        </w:rPr>
        <w:t>rstanding</w:t>
      </w:r>
      <w:r w:rsidR="004A775F" w:rsidRPr="001B1523">
        <w:rPr>
          <w:sz w:val="24"/>
          <w:szCs w:val="24"/>
        </w:rPr>
        <w:t xml:space="preserve"> of</w:t>
      </w:r>
      <w:r w:rsidR="003476F7" w:rsidRPr="001B1523">
        <w:rPr>
          <w:sz w:val="24"/>
          <w:szCs w:val="24"/>
        </w:rPr>
        <w:t xml:space="preserve"> the immune basis of this condition</w:t>
      </w:r>
      <w:r w:rsidR="00EB1BC9" w:rsidRPr="001B1523">
        <w:rPr>
          <w:sz w:val="24"/>
          <w:szCs w:val="24"/>
        </w:rPr>
        <w:t xml:space="preserve">. </w:t>
      </w:r>
      <w:r w:rsidR="00CB0968" w:rsidRPr="001B1523">
        <w:rPr>
          <w:sz w:val="24"/>
          <w:szCs w:val="24"/>
        </w:rPr>
        <w:t xml:space="preserve">  </w:t>
      </w:r>
    </w:p>
    <w:p w14:paraId="052E429C" w14:textId="1620E0D6" w:rsidR="00DE0FED" w:rsidRPr="001B1523" w:rsidRDefault="0037617E" w:rsidP="00DB3E30">
      <w:pPr>
        <w:spacing w:line="480" w:lineRule="auto"/>
        <w:ind w:firstLine="720"/>
        <w:rPr>
          <w:sz w:val="24"/>
          <w:szCs w:val="24"/>
        </w:rPr>
      </w:pPr>
      <w:r w:rsidRPr="001B1523">
        <w:rPr>
          <w:sz w:val="24"/>
          <w:szCs w:val="24"/>
        </w:rPr>
        <w:t>With respect to changes in T cell subsets, o</w:t>
      </w:r>
      <w:r w:rsidR="003476F7" w:rsidRPr="001B1523">
        <w:rPr>
          <w:sz w:val="24"/>
          <w:szCs w:val="24"/>
        </w:rPr>
        <w:t>ur main finding</w:t>
      </w:r>
      <w:r w:rsidR="00555537" w:rsidRPr="001B1523">
        <w:rPr>
          <w:sz w:val="24"/>
          <w:szCs w:val="24"/>
        </w:rPr>
        <w:t xml:space="preserve"> was a r</w:t>
      </w:r>
      <w:r w:rsidR="0032388A" w:rsidRPr="001B1523">
        <w:rPr>
          <w:sz w:val="24"/>
          <w:szCs w:val="24"/>
        </w:rPr>
        <w:t>eduction in CD8</w:t>
      </w:r>
      <w:r w:rsidR="0032388A" w:rsidRPr="001B1523">
        <w:rPr>
          <w:sz w:val="24"/>
          <w:szCs w:val="24"/>
          <w:vertAlign w:val="superscript"/>
        </w:rPr>
        <w:t>+</w:t>
      </w:r>
      <w:r w:rsidR="0032388A" w:rsidRPr="001B1523">
        <w:rPr>
          <w:sz w:val="24"/>
          <w:szCs w:val="24"/>
        </w:rPr>
        <w:t xml:space="preserve"> TEMRA cells</w:t>
      </w:r>
      <w:r w:rsidR="00555537" w:rsidRPr="001B1523">
        <w:rPr>
          <w:sz w:val="24"/>
          <w:szCs w:val="24"/>
        </w:rPr>
        <w:t>. We observed similar fi</w:t>
      </w:r>
      <w:r w:rsidR="003476F7" w:rsidRPr="001B1523">
        <w:rPr>
          <w:sz w:val="24"/>
          <w:szCs w:val="24"/>
        </w:rPr>
        <w:t>nding</w:t>
      </w:r>
      <w:r w:rsidR="00642365" w:rsidRPr="001B1523">
        <w:rPr>
          <w:sz w:val="24"/>
          <w:szCs w:val="24"/>
        </w:rPr>
        <w:t>s</w:t>
      </w:r>
      <w:r w:rsidR="003476F7" w:rsidRPr="001B1523">
        <w:rPr>
          <w:sz w:val="24"/>
          <w:szCs w:val="24"/>
        </w:rPr>
        <w:t xml:space="preserve"> in our previous study</w:t>
      </w:r>
      <w:r w:rsidR="00642365" w:rsidRPr="001B1523">
        <w:rPr>
          <w:sz w:val="24"/>
          <w:szCs w:val="24"/>
        </w:rPr>
        <w:t xml:space="preserve"> </w:t>
      </w:r>
      <w:r w:rsidR="00642365" w:rsidRPr="001B1523">
        <w:rPr>
          <w:sz w:val="24"/>
          <w:szCs w:val="24"/>
        </w:rPr>
        <w:fldChar w:fldCharType="begin"/>
      </w:r>
      <w:r w:rsidR="003D3539" w:rsidRPr="001B1523">
        <w:rPr>
          <w:sz w:val="24"/>
          <w:szCs w:val="24"/>
        </w:rPr>
        <w:instrText xml:space="preserve"> ADDIN ZOTERO_ITEM CSL_CITATION {"citationID":"o8LEeE8Q","properties":{"formattedCitation":"[21]","plainCitation":"[21]","noteIndex":0},"citationItems":[{"id":1994,"uris":["http://zotero.org/users/2272275/items/MV5CB7RG"],"uri":["http://zotero.org/users/2272275/items/MV5CB7RG"],"itemData":{"id":1994,"type":"article-journal","abstract":"A wealth of evidence implicates both central and peripheral immune changes as contributing to the pathogenesis of Parkinson’s disease (PD). It is critical to better understand this aspect of PD given that it is a tractable target for disease-modifying therapy. Age-related changes are known to occur in the immune system (immunosenescence) and might be of particular relevance in PD given that its prevalence rises with increasing age. We therefore sought to investigate this with respect to T cell replicative senescence, a key immune component of human ageing.","container-title":"Journal of Neuroinflammation","DOI":"10.1186/s12974-018-1206-5","ISSN":"1742-2094","issue":"1","journalAbbreviation":"Journal of Neuroinflammation","page":"166","source":"BioMed Central","title":"Abnormalities of age-related T cell senescence in Parkinson’s disease","volume":"15","author":[{"family":"Williams-Gray","given":"C. H."},{"family":"Wijeyekoon","given":"R. S."},{"family":"Scott","given":"K. M."},{"family":"Hayat","given":"S."},{"family":"Barker","given":"R. A."},{"family":"Jones","given":"J. L."}],"issued":{"date-parts":[["2018",5,28]]}}}],"schema":"https://github.com/citation-style-language/schema/raw/master/csl-citation.json"} </w:instrText>
      </w:r>
      <w:r w:rsidR="00642365" w:rsidRPr="001B1523">
        <w:rPr>
          <w:sz w:val="24"/>
          <w:szCs w:val="24"/>
        </w:rPr>
        <w:fldChar w:fldCharType="separate"/>
      </w:r>
      <w:r w:rsidR="003D3539" w:rsidRPr="001B1523">
        <w:rPr>
          <w:rFonts w:cs="Arial"/>
          <w:sz w:val="24"/>
        </w:rPr>
        <w:t>[21]</w:t>
      </w:r>
      <w:r w:rsidR="00642365" w:rsidRPr="001B1523">
        <w:rPr>
          <w:sz w:val="24"/>
          <w:szCs w:val="24"/>
        </w:rPr>
        <w:fldChar w:fldCharType="end"/>
      </w:r>
      <w:r w:rsidR="00555537" w:rsidRPr="001B1523">
        <w:rPr>
          <w:sz w:val="24"/>
          <w:szCs w:val="24"/>
        </w:rPr>
        <w:t>, as well as a</w:t>
      </w:r>
      <w:r w:rsidR="0032388A" w:rsidRPr="001B1523">
        <w:rPr>
          <w:sz w:val="24"/>
          <w:szCs w:val="24"/>
        </w:rPr>
        <w:t xml:space="preserve"> </w:t>
      </w:r>
      <w:r w:rsidR="00555537" w:rsidRPr="001B1523">
        <w:rPr>
          <w:sz w:val="24"/>
          <w:szCs w:val="24"/>
        </w:rPr>
        <w:t>reduction in CD8</w:t>
      </w:r>
      <w:r w:rsidR="00555537" w:rsidRPr="001B1523">
        <w:rPr>
          <w:sz w:val="24"/>
          <w:szCs w:val="24"/>
          <w:vertAlign w:val="superscript"/>
        </w:rPr>
        <w:t>+</w:t>
      </w:r>
      <w:r w:rsidR="00555537" w:rsidRPr="001B1523">
        <w:rPr>
          <w:sz w:val="24"/>
          <w:szCs w:val="24"/>
        </w:rPr>
        <w:t xml:space="preserve"> CD28</w:t>
      </w:r>
      <w:r w:rsidR="00555537" w:rsidRPr="001B1523">
        <w:rPr>
          <w:sz w:val="24"/>
          <w:szCs w:val="24"/>
          <w:vertAlign w:val="superscript"/>
        </w:rPr>
        <w:t>lo</w:t>
      </w:r>
      <w:r w:rsidR="00555537" w:rsidRPr="001B1523">
        <w:rPr>
          <w:sz w:val="24"/>
          <w:szCs w:val="24"/>
        </w:rPr>
        <w:t>CD57</w:t>
      </w:r>
      <w:r w:rsidR="00555537" w:rsidRPr="001B1523">
        <w:rPr>
          <w:sz w:val="24"/>
          <w:szCs w:val="24"/>
          <w:vertAlign w:val="superscript"/>
        </w:rPr>
        <w:t>hi</w:t>
      </w:r>
      <w:r w:rsidR="00555537" w:rsidRPr="001B1523">
        <w:rPr>
          <w:sz w:val="24"/>
          <w:szCs w:val="24"/>
        </w:rPr>
        <w:t xml:space="preserve"> </w:t>
      </w:r>
      <w:r w:rsidR="00642365" w:rsidRPr="001B1523">
        <w:rPr>
          <w:sz w:val="24"/>
          <w:szCs w:val="24"/>
        </w:rPr>
        <w:t>lymphocytes</w:t>
      </w:r>
      <w:r w:rsidR="00555537" w:rsidRPr="001B1523">
        <w:rPr>
          <w:sz w:val="24"/>
          <w:szCs w:val="24"/>
        </w:rPr>
        <w:t xml:space="preserve">. </w:t>
      </w:r>
      <w:r w:rsidR="00285292" w:rsidRPr="001B1523">
        <w:rPr>
          <w:sz w:val="24"/>
          <w:szCs w:val="24"/>
        </w:rPr>
        <w:t>There was</w:t>
      </w:r>
      <w:r w:rsidR="00555537" w:rsidRPr="001B1523">
        <w:rPr>
          <w:sz w:val="24"/>
          <w:szCs w:val="24"/>
        </w:rPr>
        <w:t xml:space="preserve"> a</w:t>
      </w:r>
      <w:r w:rsidR="0032388A" w:rsidRPr="001B1523">
        <w:rPr>
          <w:sz w:val="24"/>
          <w:szCs w:val="24"/>
        </w:rPr>
        <w:t xml:space="preserve"> trend towards reduction in</w:t>
      </w:r>
      <w:r w:rsidR="0035605A" w:rsidRPr="001B1523">
        <w:rPr>
          <w:sz w:val="24"/>
          <w:szCs w:val="24"/>
        </w:rPr>
        <w:t xml:space="preserve"> CD8</w:t>
      </w:r>
      <w:r w:rsidR="0035605A" w:rsidRPr="001B1523">
        <w:rPr>
          <w:sz w:val="24"/>
          <w:szCs w:val="24"/>
          <w:vertAlign w:val="superscript"/>
        </w:rPr>
        <w:t>+</w:t>
      </w:r>
      <w:r w:rsidR="00B93D7B" w:rsidRPr="001B1523">
        <w:rPr>
          <w:sz w:val="24"/>
          <w:szCs w:val="24"/>
        </w:rPr>
        <w:t xml:space="preserve"> CD28</w:t>
      </w:r>
      <w:r w:rsidR="00B93D7B" w:rsidRPr="001B1523">
        <w:rPr>
          <w:sz w:val="24"/>
          <w:szCs w:val="24"/>
          <w:vertAlign w:val="superscript"/>
        </w:rPr>
        <w:t>lo</w:t>
      </w:r>
      <w:r w:rsidR="00B93D7B" w:rsidRPr="001B1523">
        <w:rPr>
          <w:sz w:val="24"/>
          <w:szCs w:val="24"/>
        </w:rPr>
        <w:t>CD57</w:t>
      </w:r>
      <w:r w:rsidR="00B93D7B" w:rsidRPr="001B1523">
        <w:rPr>
          <w:sz w:val="24"/>
          <w:szCs w:val="24"/>
          <w:vertAlign w:val="superscript"/>
        </w:rPr>
        <w:t>hi</w:t>
      </w:r>
      <w:r w:rsidR="0035605A" w:rsidRPr="001B1523">
        <w:rPr>
          <w:sz w:val="24"/>
          <w:szCs w:val="24"/>
        </w:rPr>
        <w:t xml:space="preserve"> cells</w:t>
      </w:r>
      <w:r w:rsidR="0032388A" w:rsidRPr="001B1523">
        <w:rPr>
          <w:sz w:val="24"/>
          <w:szCs w:val="24"/>
        </w:rPr>
        <w:t xml:space="preserve"> in PD cases</w:t>
      </w:r>
      <w:r w:rsidR="00285292" w:rsidRPr="001B1523">
        <w:rPr>
          <w:sz w:val="24"/>
          <w:szCs w:val="24"/>
        </w:rPr>
        <w:t xml:space="preserve"> in this study which</w:t>
      </w:r>
      <w:r w:rsidR="0032388A" w:rsidRPr="001B1523">
        <w:rPr>
          <w:sz w:val="24"/>
          <w:szCs w:val="24"/>
        </w:rPr>
        <w:t xml:space="preserve"> did not reach significance</w:t>
      </w:r>
      <w:r w:rsidR="00285292" w:rsidRPr="001B1523">
        <w:rPr>
          <w:sz w:val="24"/>
          <w:szCs w:val="24"/>
        </w:rPr>
        <w:t xml:space="preserve">, but </w:t>
      </w:r>
      <w:r w:rsidR="0035605A" w:rsidRPr="001B1523">
        <w:rPr>
          <w:sz w:val="24"/>
          <w:szCs w:val="24"/>
        </w:rPr>
        <w:t>CD8</w:t>
      </w:r>
      <w:r w:rsidR="0035605A" w:rsidRPr="001B1523">
        <w:rPr>
          <w:sz w:val="24"/>
          <w:szCs w:val="24"/>
          <w:vertAlign w:val="superscript"/>
        </w:rPr>
        <w:t>+</w:t>
      </w:r>
      <w:r w:rsidR="0035605A" w:rsidRPr="001B1523">
        <w:rPr>
          <w:sz w:val="24"/>
          <w:szCs w:val="24"/>
        </w:rPr>
        <w:t xml:space="preserve"> TEMRA and CD8</w:t>
      </w:r>
      <w:r w:rsidR="0035605A" w:rsidRPr="001B1523">
        <w:rPr>
          <w:sz w:val="24"/>
          <w:szCs w:val="24"/>
          <w:vertAlign w:val="superscript"/>
        </w:rPr>
        <w:t>+</w:t>
      </w:r>
      <w:r w:rsidR="0035605A" w:rsidRPr="001B1523">
        <w:rPr>
          <w:sz w:val="24"/>
          <w:szCs w:val="24"/>
        </w:rPr>
        <w:t xml:space="preserve"> CD28</w:t>
      </w:r>
      <w:r w:rsidR="0035605A" w:rsidRPr="001B1523">
        <w:rPr>
          <w:sz w:val="24"/>
          <w:szCs w:val="24"/>
          <w:vertAlign w:val="superscript"/>
        </w:rPr>
        <w:t>lo</w:t>
      </w:r>
      <w:r w:rsidR="0035605A" w:rsidRPr="001B1523">
        <w:rPr>
          <w:sz w:val="24"/>
          <w:szCs w:val="24"/>
        </w:rPr>
        <w:t>CD57</w:t>
      </w:r>
      <w:r w:rsidR="0035605A" w:rsidRPr="001B1523">
        <w:rPr>
          <w:sz w:val="24"/>
          <w:szCs w:val="24"/>
          <w:vertAlign w:val="superscript"/>
        </w:rPr>
        <w:t>hi</w:t>
      </w:r>
      <w:r w:rsidR="0035605A" w:rsidRPr="001B1523">
        <w:rPr>
          <w:sz w:val="24"/>
          <w:szCs w:val="24"/>
        </w:rPr>
        <w:t xml:space="preserve"> </w:t>
      </w:r>
      <w:r w:rsidR="00B22EBA" w:rsidRPr="001B1523">
        <w:rPr>
          <w:sz w:val="24"/>
          <w:szCs w:val="24"/>
        </w:rPr>
        <w:t xml:space="preserve">cell counts were </w:t>
      </w:r>
      <w:r w:rsidR="00F97462" w:rsidRPr="001B1523">
        <w:rPr>
          <w:sz w:val="24"/>
          <w:szCs w:val="24"/>
        </w:rPr>
        <w:t xml:space="preserve">strongly </w:t>
      </w:r>
      <w:r w:rsidR="00B22EBA" w:rsidRPr="001B1523">
        <w:rPr>
          <w:sz w:val="24"/>
          <w:szCs w:val="24"/>
        </w:rPr>
        <w:t xml:space="preserve">correlated </w:t>
      </w:r>
      <w:r w:rsidR="0035605A" w:rsidRPr="001B1523">
        <w:rPr>
          <w:sz w:val="24"/>
          <w:szCs w:val="24"/>
        </w:rPr>
        <w:t>and</w:t>
      </w:r>
      <w:r w:rsidR="00DE4F61" w:rsidRPr="001B1523">
        <w:rPr>
          <w:sz w:val="24"/>
          <w:szCs w:val="24"/>
        </w:rPr>
        <w:t xml:space="preserve"> </w:t>
      </w:r>
      <w:r w:rsidR="00285292" w:rsidRPr="001B1523">
        <w:rPr>
          <w:sz w:val="24"/>
          <w:szCs w:val="24"/>
        </w:rPr>
        <w:t xml:space="preserve">are </w:t>
      </w:r>
      <w:r w:rsidR="0035605A" w:rsidRPr="001B1523">
        <w:rPr>
          <w:sz w:val="24"/>
          <w:szCs w:val="24"/>
        </w:rPr>
        <w:t>likely</w:t>
      </w:r>
      <w:r w:rsidR="00285292" w:rsidRPr="001B1523">
        <w:rPr>
          <w:sz w:val="24"/>
          <w:szCs w:val="24"/>
        </w:rPr>
        <w:t xml:space="preserve"> to</w:t>
      </w:r>
      <w:r w:rsidR="0035605A" w:rsidRPr="001B1523">
        <w:rPr>
          <w:sz w:val="24"/>
          <w:szCs w:val="24"/>
        </w:rPr>
        <w:t xml:space="preserve"> represent overlapping populations</w:t>
      </w:r>
      <w:r w:rsidR="00382273" w:rsidRPr="001B1523">
        <w:rPr>
          <w:sz w:val="24"/>
          <w:szCs w:val="24"/>
        </w:rPr>
        <w:t xml:space="preserve"> </w:t>
      </w:r>
      <w:r w:rsidR="00642365" w:rsidRPr="001B1523">
        <w:rPr>
          <w:sz w:val="24"/>
          <w:szCs w:val="24"/>
        </w:rPr>
        <w:fldChar w:fldCharType="begin"/>
      </w:r>
      <w:r w:rsidR="0005433E" w:rsidRPr="001B1523">
        <w:rPr>
          <w:sz w:val="24"/>
          <w:szCs w:val="24"/>
        </w:rPr>
        <w:instrText xml:space="preserve"> ADDIN ZOTERO_ITEM CSL_CITATION {"citationID":"losj5dUt","properties":{"formattedCitation":"[6]","plainCitation":"[6]","noteIndex":0},"citationItems":[{"id":10855,"uris":["http://zotero.org/users/2272275/items/QB9K5T6V"],"uri":["http://zotero.org/users/2272275/items/QB9K5T6V"],"itemData":{"id":10855,"type":"article-journal","abstract":"The study of T cell biology has been accelerated by substantial progress at the technological level, particularly through the continuing advancement of flow cytometry. The conventional approach of observing T cells as either T helper or T cytotoxic is overly simplistic and does not allow investigators to clearly identify immune mechanisms or alterations in physiological processes that impact on clinical outcomes. The complexity of T cell sub-populations, as we understand them today, combined with the immunological and functional diversity of these subsets represent significant complications for the study of T cell biology. In this article, we review the use of classical markers in delineating T cell sub-populations, from “truly naïve” T cells (recent thymic emigrants with no proliferative history) to “exhausted senescent” T cells (poorly proliferative cells that display severe functional abnormalities) wherein the different phenotypes of these populations reflect their disparate functionalities. In addition, since persistent infections and chronological aging have been shown to be associated with significant alterations in human T cell distribution and function, we also discuss age-associated and cytomegalovirus-driven alterations in the expression of key subset markers. © 2013 International Society for Advancement of Cytometry","container-title":"Cytometry Part A","DOI":"https://doi.org/10.1002/cyto.a.22351","ISSN":"1552-4930","issue":"1","language":"en","note":"_eprint: https://onlinelibrary.wiley.com/doi/pdf/10.1002/cyto.a.22351","page":"25-35","source":"Wiley Online Library","title":"From “truly naïve” to “exhausted senescent” T cells: When markers predict functionality","title-short":"From “truly naïve” to “exhausted senescent” T cells","volume":"85","author":[{"family":"Larbi","given":"Anis"},{"family":"Fulop","given":"Tamas"}],"issued":{"date-parts":[["2014"]]}}}],"schema":"https://github.com/citation-style-language/schema/raw/master/csl-citation.json"} </w:instrText>
      </w:r>
      <w:r w:rsidR="00642365" w:rsidRPr="001B1523">
        <w:rPr>
          <w:sz w:val="24"/>
          <w:szCs w:val="24"/>
        </w:rPr>
        <w:fldChar w:fldCharType="separate"/>
      </w:r>
      <w:r w:rsidR="0005433E" w:rsidRPr="001B1523">
        <w:rPr>
          <w:rFonts w:cs="Arial"/>
          <w:sz w:val="24"/>
        </w:rPr>
        <w:t>[6]</w:t>
      </w:r>
      <w:r w:rsidR="00642365" w:rsidRPr="001B1523">
        <w:rPr>
          <w:sz w:val="24"/>
          <w:szCs w:val="24"/>
        </w:rPr>
        <w:fldChar w:fldCharType="end"/>
      </w:r>
      <w:r w:rsidR="0035605A" w:rsidRPr="001B1523">
        <w:rPr>
          <w:sz w:val="24"/>
          <w:szCs w:val="24"/>
        </w:rPr>
        <w:t>.</w:t>
      </w:r>
      <w:r w:rsidR="00555537" w:rsidRPr="001B1523">
        <w:rPr>
          <w:sz w:val="24"/>
          <w:szCs w:val="24"/>
        </w:rPr>
        <w:t xml:space="preserve"> </w:t>
      </w:r>
      <w:r w:rsidR="00BC44E6" w:rsidRPr="001B1523">
        <w:rPr>
          <w:sz w:val="24"/>
          <w:szCs w:val="24"/>
        </w:rPr>
        <w:t xml:space="preserve">The difference in </w:t>
      </w:r>
      <w:r w:rsidR="0035605A" w:rsidRPr="001B1523">
        <w:rPr>
          <w:sz w:val="24"/>
          <w:szCs w:val="24"/>
        </w:rPr>
        <w:t>CD8</w:t>
      </w:r>
      <w:r w:rsidR="0035605A" w:rsidRPr="001B1523">
        <w:rPr>
          <w:sz w:val="24"/>
          <w:szCs w:val="24"/>
          <w:vertAlign w:val="superscript"/>
        </w:rPr>
        <w:t xml:space="preserve">+ </w:t>
      </w:r>
      <w:r w:rsidR="004156F4" w:rsidRPr="001B1523">
        <w:rPr>
          <w:sz w:val="24"/>
          <w:szCs w:val="24"/>
        </w:rPr>
        <w:t xml:space="preserve">senescent subsets </w:t>
      </w:r>
      <w:r w:rsidR="0035605A" w:rsidRPr="001B1523">
        <w:rPr>
          <w:sz w:val="24"/>
          <w:szCs w:val="24"/>
        </w:rPr>
        <w:t xml:space="preserve">between groups </w:t>
      </w:r>
      <w:r w:rsidR="009E39BC" w:rsidRPr="001B1523">
        <w:rPr>
          <w:sz w:val="24"/>
          <w:szCs w:val="24"/>
        </w:rPr>
        <w:t>was not</w:t>
      </w:r>
      <w:r w:rsidR="00BC44E6" w:rsidRPr="001B1523">
        <w:rPr>
          <w:sz w:val="24"/>
          <w:szCs w:val="24"/>
        </w:rPr>
        <w:t xml:space="preserve"> d</w:t>
      </w:r>
      <w:r w:rsidR="0035605A" w:rsidRPr="001B1523">
        <w:rPr>
          <w:sz w:val="24"/>
          <w:szCs w:val="24"/>
        </w:rPr>
        <w:t xml:space="preserve">riven by </w:t>
      </w:r>
      <w:r w:rsidR="00BC44E6" w:rsidRPr="001B1523">
        <w:rPr>
          <w:sz w:val="24"/>
          <w:szCs w:val="24"/>
        </w:rPr>
        <w:t xml:space="preserve">differences in age </w:t>
      </w:r>
      <w:r w:rsidR="0035605A" w:rsidRPr="001B1523">
        <w:rPr>
          <w:sz w:val="24"/>
          <w:szCs w:val="24"/>
        </w:rPr>
        <w:t xml:space="preserve">or </w:t>
      </w:r>
      <w:r w:rsidR="00F04907" w:rsidRPr="001B1523">
        <w:rPr>
          <w:sz w:val="24"/>
          <w:szCs w:val="24"/>
        </w:rPr>
        <w:t xml:space="preserve">prior infection with </w:t>
      </w:r>
      <w:r w:rsidR="00BC44E6" w:rsidRPr="001B1523">
        <w:rPr>
          <w:sz w:val="24"/>
          <w:szCs w:val="24"/>
        </w:rPr>
        <w:t>CMV</w:t>
      </w:r>
      <w:r w:rsidR="000E2E08" w:rsidRPr="001B1523">
        <w:rPr>
          <w:sz w:val="24"/>
          <w:szCs w:val="24"/>
        </w:rPr>
        <w:t xml:space="preserve"> or </w:t>
      </w:r>
      <w:r w:rsidR="00BC44E6" w:rsidRPr="001B1523">
        <w:rPr>
          <w:sz w:val="24"/>
          <w:szCs w:val="24"/>
        </w:rPr>
        <w:t>EBV</w:t>
      </w:r>
      <w:r w:rsidR="00285292" w:rsidRPr="001B1523">
        <w:rPr>
          <w:sz w:val="24"/>
          <w:szCs w:val="24"/>
        </w:rPr>
        <w:t>.</w:t>
      </w:r>
      <w:r w:rsidR="00642365" w:rsidRPr="001B1523">
        <w:rPr>
          <w:sz w:val="24"/>
          <w:szCs w:val="24"/>
        </w:rPr>
        <w:t xml:space="preserve"> </w:t>
      </w:r>
      <w:r w:rsidRPr="001B1523">
        <w:rPr>
          <w:sz w:val="24"/>
          <w:szCs w:val="24"/>
        </w:rPr>
        <w:t>However</w:t>
      </w:r>
      <w:r w:rsidR="0035605A" w:rsidRPr="001B1523">
        <w:rPr>
          <w:sz w:val="24"/>
          <w:szCs w:val="24"/>
        </w:rPr>
        <w:t>,</w:t>
      </w:r>
      <w:r w:rsidR="00DB3E30" w:rsidRPr="001B1523">
        <w:rPr>
          <w:sz w:val="24"/>
          <w:szCs w:val="24"/>
        </w:rPr>
        <w:t xml:space="preserve"> our data suggest a reduced impact </w:t>
      </w:r>
      <w:r w:rsidR="0035605A" w:rsidRPr="001B1523">
        <w:rPr>
          <w:sz w:val="24"/>
          <w:szCs w:val="24"/>
        </w:rPr>
        <w:t>of CMV seropositivity on CD8</w:t>
      </w:r>
      <w:r w:rsidR="00F04907" w:rsidRPr="001B1523">
        <w:rPr>
          <w:sz w:val="24"/>
          <w:szCs w:val="24"/>
          <w:vertAlign w:val="superscript"/>
        </w:rPr>
        <w:t>+</w:t>
      </w:r>
      <w:r w:rsidR="0035605A" w:rsidRPr="001B1523">
        <w:rPr>
          <w:sz w:val="24"/>
          <w:szCs w:val="24"/>
        </w:rPr>
        <w:t xml:space="preserve"> </w:t>
      </w:r>
      <w:r w:rsidR="001D34BD" w:rsidRPr="001B1523">
        <w:rPr>
          <w:sz w:val="24"/>
          <w:szCs w:val="24"/>
        </w:rPr>
        <w:t>senescence</w:t>
      </w:r>
      <w:r w:rsidR="0035605A" w:rsidRPr="001B1523">
        <w:rPr>
          <w:sz w:val="24"/>
          <w:szCs w:val="24"/>
        </w:rPr>
        <w:t xml:space="preserve"> in patients versus controls. Prior CMV infection was associated with </w:t>
      </w:r>
      <w:r w:rsidR="001D34BD" w:rsidRPr="001B1523">
        <w:rPr>
          <w:sz w:val="24"/>
          <w:szCs w:val="24"/>
        </w:rPr>
        <w:t>elevated</w:t>
      </w:r>
      <w:r w:rsidR="0035605A" w:rsidRPr="001B1523">
        <w:rPr>
          <w:sz w:val="24"/>
          <w:szCs w:val="24"/>
        </w:rPr>
        <w:t xml:space="preserve"> CD8</w:t>
      </w:r>
      <w:r w:rsidR="00F04907" w:rsidRPr="001B1523">
        <w:rPr>
          <w:sz w:val="24"/>
          <w:szCs w:val="24"/>
          <w:vertAlign w:val="superscript"/>
        </w:rPr>
        <w:t>+</w:t>
      </w:r>
      <w:r w:rsidR="0035605A" w:rsidRPr="001B1523">
        <w:rPr>
          <w:sz w:val="24"/>
          <w:szCs w:val="24"/>
        </w:rPr>
        <w:t xml:space="preserve"> </w:t>
      </w:r>
      <w:r w:rsidR="004156F4" w:rsidRPr="001B1523">
        <w:rPr>
          <w:sz w:val="24"/>
          <w:szCs w:val="24"/>
        </w:rPr>
        <w:t>CD28</w:t>
      </w:r>
      <w:r w:rsidR="004156F4" w:rsidRPr="001B1523">
        <w:rPr>
          <w:sz w:val="24"/>
          <w:szCs w:val="24"/>
          <w:vertAlign w:val="superscript"/>
        </w:rPr>
        <w:t>lo</w:t>
      </w:r>
      <w:r w:rsidR="004156F4" w:rsidRPr="001B1523">
        <w:rPr>
          <w:sz w:val="24"/>
          <w:szCs w:val="24"/>
        </w:rPr>
        <w:t>CD57</w:t>
      </w:r>
      <w:r w:rsidR="004156F4" w:rsidRPr="001B1523">
        <w:rPr>
          <w:sz w:val="24"/>
          <w:szCs w:val="24"/>
          <w:vertAlign w:val="superscript"/>
        </w:rPr>
        <w:t>hi</w:t>
      </w:r>
      <w:r w:rsidR="004156F4" w:rsidRPr="001B1523">
        <w:rPr>
          <w:sz w:val="24"/>
          <w:szCs w:val="24"/>
        </w:rPr>
        <w:t xml:space="preserve"> </w:t>
      </w:r>
      <w:r w:rsidR="0035605A" w:rsidRPr="001B1523">
        <w:rPr>
          <w:sz w:val="24"/>
          <w:szCs w:val="24"/>
        </w:rPr>
        <w:t>cell</w:t>
      </w:r>
      <w:r w:rsidR="004156F4" w:rsidRPr="001B1523">
        <w:rPr>
          <w:sz w:val="24"/>
          <w:szCs w:val="24"/>
        </w:rPr>
        <w:t>s</w:t>
      </w:r>
      <w:r w:rsidR="0035605A" w:rsidRPr="001B1523">
        <w:rPr>
          <w:sz w:val="24"/>
          <w:szCs w:val="24"/>
        </w:rPr>
        <w:t xml:space="preserve"> </w:t>
      </w:r>
      <w:r w:rsidR="00C17692" w:rsidRPr="001B1523">
        <w:rPr>
          <w:sz w:val="24"/>
          <w:szCs w:val="24"/>
        </w:rPr>
        <w:t>in controls but not PD cases, which is</w:t>
      </w:r>
      <w:r w:rsidR="0035605A" w:rsidRPr="001B1523">
        <w:rPr>
          <w:sz w:val="24"/>
          <w:szCs w:val="24"/>
        </w:rPr>
        <w:t xml:space="preserve"> in keeping with </w:t>
      </w:r>
      <w:r w:rsidR="009E39BC" w:rsidRPr="001B1523">
        <w:rPr>
          <w:sz w:val="24"/>
          <w:szCs w:val="24"/>
        </w:rPr>
        <w:t xml:space="preserve">our previous </w:t>
      </w:r>
      <w:r w:rsidR="00C17692" w:rsidRPr="001B1523">
        <w:rPr>
          <w:sz w:val="24"/>
          <w:szCs w:val="24"/>
        </w:rPr>
        <w:t>findings</w:t>
      </w:r>
      <w:r w:rsidR="000E2E08" w:rsidRPr="001B1523">
        <w:rPr>
          <w:sz w:val="24"/>
          <w:szCs w:val="24"/>
        </w:rPr>
        <w:fldChar w:fldCharType="begin"/>
      </w:r>
      <w:r w:rsidR="003D3539" w:rsidRPr="001B1523">
        <w:rPr>
          <w:sz w:val="24"/>
          <w:szCs w:val="24"/>
        </w:rPr>
        <w:instrText xml:space="preserve"> ADDIN ZOTERO_ITEM CSL_CITATION {"citationID":"wulu5VxM","properties":{"formattedCitation":"[21]","plainCitation":"[21]","noteIndex":0},"citationItems":[{"id":1994,"uris":["http://zotero.org/users/2272275/items/MV5CB7RG"],"uri":["http://zotero.org/users/2272275/items/MV5CB7RG"],"itemData":{"id":1994,"type":"article-journal","abstract":"A wealth of evidence implicates both central and peripheral immune changes as contributing to the pathogenesis of Parkinson’s disease (PD). It is critical to better understand this aspect of PD given that it is a tractable target for disease-modifying therapy. Age-related changes are known to occur in the immune system (immunosenescence) and might be of particular relevance in PD given that its prevalence rises with increasing age. We therefore sought to investigate this with respect to T cell replicative senescence, a key immune component of human ageing.","container-title":"Journal of Neuroinflammation","DOI":"10.1186/s12974-018-1206-5","ISSN":"1742-2094","issue":"1","journalAbbreviation":"Journal of Neuroinflammation","page":"166","source":"BioMed Central","title":"Abnormalities of age-related T cell senescence in Parkinson’s disease","volume":"15","author":[{"family":"Williams-Gray","given":"C. H."},{"family":"Wijeyekoon","given":"R. S."},{"family":"Scott","given":"K. M."},{"family":"Hayat","given":"S."},{"family":"Barker","given":"R. A."},{"family":"Jones","given":"J. L."}],"issued":{"date-parts":[["2018",5,28]]}}}],"schema":"https://github.com/citation-style-language/schema/raw/master/csl-citation.json"} </w:instrText>
      </w:r>
      <w:r w:rsidR="000E2E08" w:rsidRPr="001B1523">
        <w:rPr>
          <w:sz w:val="24"/>
          <w:szCs w:val="24"/>
        </w:rPr>
        <w:fldChar w:fldCharType="separate"/>
      </w:r>
      <w:r w:rsidR="003D3539" w:rsidRPr="001B1523">
        <w:rPr>
          <w:rFonts w:cs="Arial"/>
          <w:sz w:val="24"/>
        </w:rPr>
        <w:t>[21]</w:t>
      </w:r>
      <w:r w:rsidR="000E2E08" w:rsidRPr="001B1523">
        <w:rPr>
          <w:sz w:val="24"/>
          <w:szCs w:val="24"/>
        </w:rPr>
        <w:fldChar w:fldCharType="end"/>
      </w:r>
      <w:r w:rsidR="009D0915" w:rsidRPr="001B1523">
        <w:rPr>
          <w:sz w:val="24"/>
          <w:szCs w:val="24"/>
        </w:rPr>
        <w:t>.</w:t>
      </w:r>
      <w:r w:rsidR="00DE0FED" w:rsidRPr="001B1523">
        <w:rPr>
          <w:sz w:val="24"/>
          <w:szCs w:val="24"/>
        </w:rPr>
        <w:t xml:space="preserve"> </w:t>
      </w:r>
      <w:r w:rsidR="004156F4" w:rsidRPr="001B1523">
        <w:rPr>
          <w:sz w:val="24"/>
          <w:szCs w:val="24"/>
        </w:rPr>
        <w:t>CMV seropositivity was also associated with increased CD8</w:t>
      </w:r>
      <w:r w:rsidR="004156F4" w:rsidRPr="001B1523">
        <w:rPr>
          <w:sz w:val="24"/>
          <w:szCs w:val="24"/>
          <w:vertAlign w:val="superscript"/>
        </w:rPr>
        <w:t>+</w:t>
      </w:r>
      <w:r w:rsidR="004156F4" w:rsidRPr="001B1523">
        <w:rPr>
          <w:sz w:val="24"/>
          <w:szCs w:val="24"/>
        </w:rPr>
        <w:t xml:space="preserve"> TEMRA cells in control</w:t>
      </w:r>
      <w:r w:rsidR="001D34BD" w:rsidRPr="001B1523">
        <w:rPr>
          <w:sz w:val="24"/>
          <w:szCs w:val="24"/>
        </w:rPr>
        <w:t>s</w:t>
      </w:r>
      <w:r w:rsidR="004156F4" w:rsidRPr="001B1523">
        <w:rPr>
          <w:sz w:val="24"/>
          <w:szCs w:val="24"/>
        </w:rPr>
        <w:t xml:space="preserve">, and although a similar effect was seen in PD cases, this was less significant. </w:t>
      </w:r>
      <w:r w:rsidR="00C17692" w:rsidRPr="001B1523">
        <w:rPr>
          <w:sz w:val="24"/>
          <w:szCs w:val="24"/>
        </w:rPr>
        <w:t xml:space="preserve">CMV infection is thought to be a critical driver of </w:t>
      </w:r>
      <w:r w:rsidR="004156F4" w:rsidRPr="001B1523">
        <w:rPr>
          <w:sz w:val="24"/>
          <w:szCs w:val="24"/>
        </w:rPr>
        <w:t>CD57 expression</w:t>
      </w:r>
      <w:r w:rsidR="00C17692" w:rsidRPr="001B1523">
        <w:rPr>
          <w:sz w:val="24"/>
          <w:szCs w:val="24"/>
        </w:rPr>
        <w:t xml:space="preserve"> </w:t>
      </w:r>
      <w:r w:rsidR="004156F4" w:rsidRPr="001B1523">
        <w:rPr>
          <w:sz w:val="24"/>
          <w:szCs w:val="24"/>
        </w:rPr>
        <w:t xml:space="preserve">in </w:t>
      </w:r>
      <w:r w:rsidR="00C17692" w:rsidRPr="001B1523">
        <w:rPr>
          <w:sz w:val="24"/>
          <w:szCs w:val="24"/>
        </w:rPr>
        <w:t>CD8</w:t>
      </w:r>
      <w:r w:rsidR="00C17692" w:rsidRPr="001B1523">
        <w:rPr>
          <w:sz w:val="24"/>
          <w:szCs w:val="24"/>
          <w:vertAlign w:val="superscript"/>
        </w:rPr>
        <w:t>+</w:t>
      </w:r>
      <w:r w:rsidR="00C17692" w:rsidRPr="001B1523">
        <w:rPr>
          <w:sz w:val="24"/>
          <w:szCs w:val="24"/>
        </w:rPr>
        <w:t xml:space="preserve"> T </w:t>
      </w:r>
      <w:r w:rsidR="00642365" w:rsidRPr="001B1523">
        <w:rPr>
          <w:sz w:val="24"/>
          <w:szCs w:val="24"/>
        </w:rPr>
        <w:t xml:space="preserve">lymphocytes </w:t>
      </w:r>
      <w:r w:rsidR="00C17692" w:rsidRPr="001B1523">
        <w:rPr>
          <w:sz w:val="24"/>
          <w:szCs w:val="24"/>
        </w:rPr>
        <w:t>in older individuals</w:t>
      </w:r>
      <w:r w:rsidR="00642365" w:rsidRPr="001B1523">
        <w:rPr>
          <w:sz w:val="24"/>
          <w:szCs w:val="24"/>
        </w:rPr>
        <w:t xml:space="preserve"> </w:t>
      </w:r>
      <w:r w:rsidR="00642365" w:rsidRPr="001B1523">
        <w:rPr>
          <w:sz w:val="24"/>
          <w:szCs w:val="24"/>
        </w:rPr>
        <w:fldChar w:fldCharType="begin"/>
      </w:r>
      <w:r w:rsidR="00CE3D6F" w:rsidRPr="001B1523">
        <w:rPr>
          <w:sz w:val="24"/>
          <w:szCs w:val="24"/>
        </w:rPr>
        <w:instrText xml:space="preserve"> ADDIN ZOTERO_ITEM CSL_CITATION {"citationID":"ObgzX4bW","properties":{"formattedCitation":"[36,37]","plainCitation":"[36,37]","noteIndex":0},"citationItems":[{"id":10994,"uris":["http://zotero.org/users/2272275/items/P4ST85P6"],"uri":["http://zotero.org/users/2272275/items/P4ST85P6"],"itemData":{"id":10994,"type":"article-journal","abstract":"The age-associated decrease in functionality of the human immune system is thought to have a negative impact on the capacity to provide protection against infection, in turn leading to increased incidence of mortality. In a previous longitudinal study of octogenarians, we identified an immune risk phenotype (IRP) in the very elderly defined by an inverted CD4/CD8 ratio, which was associated with increased mortality and persistent CMV infection. In this study, we analyzed the CD8 clonal composition of nonagenarians and middle-aged individuals. An increased number of CD8 T cell clones was observed in the nonagenarians, and was associated with CMV-seropositivity. Surprisingly, CMV-seropositive nonagenarians with the IRP had a significantly lower number of clones compared with non-IRP individuals. The decrease in clone numbers in IRP individuals was associated with shorter survival time. MHC/peptide multimer staining indicated that the frequency of CMV-specific T cells was higher in nonagenarians than in the middle-aged, but the ratio of functionally intact cells was significantly lower. The lowest ratio of functional CMV-specific T cells was found in an IRP individual. A thorough longitudinal analysis of the CMV-specific T cells in nonagenarians showed a stable pattern with respect to frequency, phenotype, and clonal composition. We hypothesize that the number of different CD8 T cell clonal expansions increases as the individual ages, possibly, as a compensatory mechanism to control latent infections, e.g., CMV, but eventually a point is reached where clonal exhaustion leads to shrinkage of the CD8 clonal repertoire, associated with decreased survival.","container-title":"The Journal of Immunology","DOI":"10.4049/jimmunol.176.4.2645","ISSN":"0022-1767, 1550-6606","issue":"4","language":"en","note":"publisher: American Association of Immunologists\nsection: CLINICAL IMMUNOLOGY\nPMID: 16456027","page":"2645-2653","source":"www.jimmunol.org","title":"Longitudinal Studies of Clonally Expanded CD8 T Cells Reveal a Repertoire Shrinkage Predicting Mortality and an Increased Number of Dysfunctional Cytomegalovirus-Specific T Cells in the Very Elderly","volume":"176","author":[{"family":"Hadrup","given":"Sine Reker"},{"family":"Strindhall","given":"Jan"},{"family":"Køllgaard","given":"Tania"},{"family":"Seremet","given":"Tina"},{"family":"Johansson","given":"Boo"},{"family":"Pawelec","given":"Graham"},{"family":"Straten","given":"Per","dropping-particle":"thor"},{"family":"Wikby","given":"Anders"}],"issued":{"date-parts":[["2006",2,15]]}}},{"id":10990,"uris":["http://zotero.org/users/2272275/items/KPIC4FAT"],"uri":["http://zotero.org/users/2272275/items/KPIC4FAT"],"itemData":{"id":10990,"type":"article-journal","abstract":"The deterioration in immune function with aging is thought to make a major contribution to the increased morbidity and mortality from infectious disease in old age. One aspect of immune senescence is the reduction in CD8 T cell repertoire as due to the accumulation of oligoclonal, memory T cells and a reduction in the naive T cell pool. CD8 T cell clonal expansions accumulate with age, but their antigenic specificity remains unknown. In this study, we show that in elderly individuals seropositivity for human CMV leads to the development of oligoclonal populations of CMV-specific CTL that can constitute up to one-quarter of the total CD8 T cell population. Furthermore, CMV-specific CTL have a highly polarized membrane phenotype that is typical of effector memory cells (CD28−, CD57+, CCR7−). TCR analyses show that CMV-specific CTL have highly restricted clonality with greater restriction in the larger expansions. Clonal analysis of the total CD8 T cell repertoire was compared between CMV-seropositive and CMV-seronegative donors. Thirty-three percent more clonal expansions were observed in CMV-seropositive donors in comparison with seronegative individuals. These data implicate CMV as a major factor in driving oligoclonal expansions in old age. Such a dramatic accumulation of virus-specific effector CTL might impair the ability to respond to heterologous infection and may underlie the negative influence of CMV seropositivity on survival in the very elderly.","container-title":"The Journal of Immunology","DOI":"10.4049/jimmunol.169.4.1984","ISSN":"0022-1767, 1550-6606","issue":"4","language":"en","note":"publisher: American Association of Immunologists\nsection: Host Defense\nPMID: 12165524","page":"1984-1992","source":"www.jimmunol.org","title":"Cytomegalovirus Seropositivity Drives the CD8 T Cell Repertoire Toward Greater Clonality in Healthy Elderly Individuals","volume":"169","author":[{"family":"Khan","given":"Naeem"},{"family":"Shariff","given":"Naseer"},{"family":"Cobbold","given":"Mark"},{"family":"Bruton","given":"Rachel"},{"family":"Ainsworth","given":"Jenni A."},{"family":"Sinclair","given":"Alan J."},{"family":"Nayak","given":"Laxman"},{"family":"Moss","given":"Paul A. H."}],"issued":{"date-parts":[["2002",8,15]]}}}],"schema":"https://github.com/citation-style-language/schema/raw/master/csl-citation.json"} </w:instrText>
      </w:r>
      <w:r w:rsidR="00642365" w:rsidRPr="001B1523">
        <w:rPr>
          <w:sz w:val="24"/>
          <w:szCs w:val="24"/>
        </w:rPr>
        <w:fldChar w:fldCharType="separate"/>
      </w:r>
      <w:r w:rsidR="00CE3D6F" w:rsidRPr="001B1523">
        <w:rPr>
          <w:rFonts w:cs="Arial"/>
          <w:sz w:val="24"/>
        </w:rPr>
        <w:t>[36,37]</w:t>
      </w:r>
      <w:r w:rsidR="00642365" w:rsidRPr="001B1523">
        <w:rPr>
          <w:sz w:val="24"/>
          <w:szCs w:val="24"/>
        </w:rPr>
        <w:fldChar w:fldCharType="end"/>
      </w:r>
      <w:r w:rsidRPr="001B1523">
        <w:rPr>
          <w:sz w:val="24"/>
          <w:szCs w:val="24"/>
        </w:rPr>
        <w:t>.</w:t>
      </w:r>
      <w:r w:rsidR="00642365" w:rsidRPr="001B1523">
        <w:rPr>
          <w:sz w:val="24"/>
          <w:szCs w:val="24"/>
        </w:rPr>
        <w:t xml:space="preserve"> </w:t>
      </w:r>
      <w:r w:rsidR="00204F37" w:rsidRPr="001B1523">
        <w:rPr>
          <w:sz w:val="24"/>
          <w:szCs w:val="24"/>
        </w:rPr>
        <w:t>In</w:t>
      </w:r>
      <w:r w:rsidR="007D05B7" w:rsidRPr="001B1523">
        <w:rPr>
          <w:sz w:val="24"/>
          <w:szCs w:val="24"/>
        </w:rPr>
        <w:t xml:space="preserve"> two</w:t>
      </w:r>
      <w:r w:rsidR="00204F37" w:rsidRPr="001B1523">
        <w:rPr>
          <w:sz w:val="24"/>
          <w:szCs w:val="24"/>
        </w:rPr>
        <w:t xml:space="preserve"> independent cohorts, we have</w:t>
      </w:r>
      <w:r w:rsidR="00F04907" w:rsidRPr="001B1523">
        <w:rPr>
          <w:sz w:val="24"/>
          <w:szCs w:val="24"/>
        </w:rPr>
        <w:t xml:space="preserve"> </w:t>
      </w:r>
      <w:r w:rsidR="00204F37" w:rsidRPr="001B1523">
        <w:rPr>
          <w:sz w:val="24"/>
          <w:szCs w:val="24"/>
        </w:rPr>
        <w:t>observed that this relationship between prior CMV infection and CD8</w:t>
      </w:r>
      <w:r w:rsidR="00204F37" w:rsidRPr="001B1523">
        <w:rPr>
          <w:sz w:val="24"/>
          <w:szCs w:val="24"/>
          <w:vertAlign w:val="superscript"/>
        </w:rPr>
        <w:t>+</w:t>
      </w:r>
      <w:r w:rsidR="00204F37" w:rsidRPr="001B1523">
        <w:rPr>
          <w:sz w:val="24"/>
          <w:szCs w:val="24"/>
        </w:rPr>
        <w:t xml:space="preserve"> </w:t>
      </w:r>
      <w:r w:rsidR="004156F4" w:rsidRPr="001B1523">
        <w:rPr>
          <w:sz w:val="24"/>
          <w:szCs w:val="24"/>
        </w:rPr>
        <w:t>CD28</w:t>
      </w:r>
      <w:r w:rsidR="004156F4" w:rsidRPr="001B1523">
        <w:rPr>
          <w:sz w:val="24"/>
          <w:szCs w:val="24"/>
          <w:vertAlign w:val="superscript"/>
        </w:rPr>
        <w:t>lo</w:t>
      </w:r>
      <w:r w:rsidR="004156F4" w:rsidRPr="001B1523">
        <w:rPr>
          <w:sz w:val="24"/>
          <w:szCs w:val="24"/>
        </w:rPr>
        <w:t>CD57</w:t>
      </w:r>
      <w:r w:rsidR="004156F4" w:rsidRPr="001B1523">
        <w:rPr>
          <w:sz w:val="24"/>
          <w:szCs w:val="24"/>
          <w:vertAlign w:val="superscript"/>
        </w:rPr>
        <w:t>hi</w:t>
      </w:r>
      <w:r w:rsidR="004156F4" w:rsidRPr="001B1523">
        <w:rPr>
          <w:sz w:val="24"/>
          <w:szCs w:val="24"/>
        </w:rPr>
        <w:t xml:space="preserve"> cells </w:t>
      </w:r>
      <w:r w:rsidR="00204F37" w:rsidRPr="001B1523">
        <w:rPr>
          <w:sz w:val="24"/>
          <w:szCs w:val="24"/>
        </w:rPr>
        <w:t>is reduced in PD. This raises the intriguing</w:t>
      </w:r>
      <w:r w:rsidR="0046388D" w:rsidRPr="001B1523">
        <w:rPr>
          <w:sz w:val="24"/>
          <w:szCs w:val="24"/>
          <w:lang w:val="en-AU"/>
        </w:rPr>
        <w:t xml:space="preserve"> possibility that</w:t>
      </w:r>
      <w:r w:rsidR="00DB3E30" w:rsidRPr="001B1523">
        <w:rPr>
          <w:sz w:val="24"/>
          <w:szCs w:val="24"/>
          <w:lang w:val="en-AU"/>
        </w:rPr>
        <w:t xml:space="preserve"> some</w:t>
      </w:r>
      <w:r w:rsidR="0046388D" w:rsidRPr="001B1523">
        <w:rPr>
          <w:sz w:val="24"/>
          <w:szCs w:val="24"/>
          <w:lang w:val="en-AU"/>
        </w:rPr>
        <w:t xml:space="preserve"> </w:t>
      </w:r>
      <w:r w:rsidR="00204F37" w:rsidRPr="001B1523">
        <w:rPr>
          <w:sz w:val="24"/>
          <w:szCs w:val="24"/>
          <w:lang w:val="en-AU"/>
        </w:rPr>
        <w:t xml:space="preserve">people </w:t>
      </w:r>
      <w:r w:rsidR="00DB3E30" w:rsidRPr="001B1523">
        <w:rPr>
          <w:sz w:val="24"/>
          <w:szCs w:val="24"/>
          <w:lang w:val="en-AU"/>
        </w:rPr>
        <w:t xml:space="preserve">who develop PD </w:t>
      </w:r>
      <w:r w:rsidR="0046388D" w:rsidRPr="001B1523">
        <w:rPr>
          <w:sz w:val="24"/>
          <w:szCs w:val="24"/>
          <w:lang w:val="en-AU"/>
        </w:rPr>
        <w:t xml:space="preserve">might </w:t>
      </w:r>
      <w:r w:rsidR="00204F37" w:rsidRPr="001B1523">
        <w:rPr>
          <w:sz w:val="24"/>
          <w:szCs w:val="24"/>
          <w:lang w:val="en-AU"/>
        </w:rPr>
        <w:t xml:space="preserve">have </w:t>
      </w:r>
      <w:r w:rsidR="0046388D" w:rsidRPr="001B1523">
        <w:rPr>
          <w:sz w:val="24"/>
          <w:szCs w:val="24"/>
          <w:lang w:val="en-AU"/>
        </w:rPr>
        <w:t xml:space="preserve">intrinsic differences in </w:t>
      </w:r>
      <w:r w:rsidR="00204F37" w:rsidRPr="001B1523">
        <w:rPr>
          <w:sz w:val="24"/>
          <w:szCs w:val="24"/>
        </w:rPr>
        <w:t>CD8</w:t>
      </w:r>
      <w:r w:rsidR="00204F37" w:rsidRPr="001B1523">
        <w:rPr>
          <w:sz w:val="24"/>
          <w:szCs w:val="24"/>
          <w:vertAlign w:val="superscript"/>
        </w:rPr>
        <w:t>+</w:t>
      </w:r>
      <w:r w:rsidR="00204F37" w:rsidRPr="001B1523">
        <w:rPr>
          <w:sz w:val="24"/>
          <w:szCs w:val="24"/>
        </w:rPr>
        <w:t xml:space="preserve"> </w:t>
      </w:r>
      <w:r w:rsidR="00204F37" w:rsidRPr="001B1523">
        <w:rPr>
          <w:sz w:val="24"/>
          <w:szCs w:val="24"/>
        </w:rPr>
        <w:lastRenderedPageBreak/>
        <w:t xml:space="preserve">immune </w:t>
      </w:r>
      <w:r w:rsidR="0046388D" w:rsidRPr="001B1523">
        <w:rPr>
          <w:sz w:val="24"/>
          <w:szCs w:val="24"/>
          <w:lang w:val="en-AU"/>
        </w:rPr>
        <w:t xml:space="preserve">function, with an attenuated </w:t>
      </w:r>
      <w:r w:rsidR="004156F4" w:rsidRPr="001B1523">
        <w:rPr>
          <w:sz w:val="24"/>
          <w:szCs w:val="24"/>
          <w:lang w:val="en-AU"/>
        </w:rPr>
        <w:t xml:space="preserve">accumulation of </w:t>
      </w:r>
      <w:r w:rsidR="004156F4" w:rsidRPr="001B1523">
        <w:rPr>
          <w:sz w:val="24"/>
          <w:szCs w:val="24"/>
        </w:rPr>
        <w:t>CD8</w:t>
      </w:r>
      <w:r w:rsidR="004156F4" w:rsidRPr="001B1523">
        <w:rPr>
          <w:sz w:val="24"/>
          <w:szCs w:val="24"/>
          <w:vertAlign w:val="superscript"/>
        </w:rPr>
        <w:t>+</w:t>
      </w:r>
      <w:r w:rsidR="004156F4" w:rsidRPr="001B1523">
        <w:rPr>
          <w:sz w:val="24"/>
          <w:szCs w:val="24"/>
        </w:rPr>
        <w:t xml:space="preserve"> CD28</w:t>
      </w:r>
      <w:r w:rsidR="004156F4" w:rsidRPr="001B1523">
        <w:rPr>
          <w:sz w:val="24"/>
          <w:szCs w:val="24"/>
          <w:vertAlign w:val="superscript"/>
        </w:rPr>
        <w:t>lo</w:t>
      </w:r>
      <w:r w:rsidR="004156F4" w:rsidRPr="001B1523">
        <w:rPr>
          <w:sz w:val="24"/>
          <w:szCs w:val="24"/>
        </w:rPr>
        <w:t>CD57</w:t>
      </w:r>
      <w:r w:rsidR="004156F4" w:rsidRPr="001B1523">
        <w:rPr>
          <w:sz w:val="24"/>
          <w:szCs w:val="24"/>
          <w:vertAlign w:val="superscript"/>
        </w:rPr>
        <w:t>hi</w:t>
      </w:r>
      <w:r w:rsidR="004156F4" w:rsidRPr="001B1523">
        <w:rPr>
          <w:sz w:val="24"/>
          <w:szCs w:val="24"/>
          <w:lang w:val="en-AU"/>
        </w:rPr>
        <w:t xml:space="preserve"> cells </w:t>
      </w:r>
      <w:r w:rsidR="009E39BC" w:rsidRPr="001B1523">
        <w:rPr>
          <w:sz w:val="24"/>
          <w:szCs w:val="24"/>
          <w:lang w:val="en-AU"/>
        </w:rPr>
        <w:t>upon</w:t>
      </w:r>
      <w:r w:rsidR="0046388D" w:rsidRPr="001B1523">
        <w:rPr>
          <w:sz w:val="24"/>
          <w:szCs w:val="24"/>
          <w:lang w:val="en-AU"/>
        </w:rPr>
        <w:t xml:space="preserve"> chronic exposure to viruses.</w:t>
      </w:r>
    </w:p>
    <w:p w14:paraId="32185317" w14:textId="3F0EFF90" w:rsidR="001315BC" w:rsidRPr="001B1523" w:rsidRDefault="001D34BD" w:rsidP="00AC4E9D">
      <w:pPr>
        <w:spacing w:line="480" w:lineRule="auto"/>
        <w:ind w:firstLine="720"/>
        <w:rPr>
          <w:sz w:val="24"/>
          <w:szCs w:val="24"/>
        </w:rPr>
      </w:pPr>
      <w:r w:rsidRPr="001B1523">
        <w:rPr>
          <w:sz w:val="24"/>
          <w:szCs w:val="24"/>
        </w:rPr>
        <w:t>W</w:t>
      </w:r>
      <w:r w:rsidR="001315BC" w:rsidRPr="001B1523">
        <w:rPr>
          <w:sz w:val="24"/>
          <w:szCs w:val="24"/>
        </w:rPr>
        <w:t>e</w:t>
      </w:r>
      <w:r w:rsidR="00BF377D" w:rsidRPr="001B1523">
        <w:rPr>
          <w:sz w:val="24"/>
          <w:szCs w:val="24"/>
        </w:rPr>
        <w:t xml:space="preserve"> also</w:t>
      </w:r>
      <w:r w:rsidR="001315BC" w:rsidRPr="001B1523">
        <w:rPr>
          <w:sz w:val="24"/>
          <w:szCs w:val="24"/>
        </w:rPr>
        <w:t xml:space="preserve"> </w:t>
      </w:r>
      <w:r w:rsidR="00BF377D" w:rsidRPr="001B1523">
        <w:rPr>
          <w:sz w:val="24"/>
          <w:szCs w:val="24"/>
        </w:rPr>
        <w:t>interrogated whether</w:t>
      </w:r>
      <w:r w:rsidR="001315BC" w:rsidRPr="001B1523">
        <w:rPr>
          <w:sz w:val="24"/>
          <w:szCs w:val="24"/>
        </w:rPr>
        <w:t xml:space="preserve"> the </w:t>
      </w:r>
      <w:r w:rsidR="00AE1234" w:rsidRPr="001B1523">
        <w:rPr>
          <w:sz w:val="24"/>
          <w:szCs w:val="24"/>
        </w:rPr>
        <w:t xml:space="preserve">reduction in T cell </w:t>
      </w:r>
      <w:r w:rsidR="001315BC" w:rsidRPr="001B1523">
        <w:rPr>
          <w:sz w:val="24"/>
          <w:szCs w:val="24"/>
        </w:rPr>
        <w:t>senescen</w:t>
      </w:r>
      <w:r w:rsidR="00AE1234" w:rsidRPr="001B1523">
        <w:rPr>
          <w:sz w:val="24"/>
          <w:szCs w:val="24"/>
        </w:rPr>
        <w:t>ce</w:t>
      </w:r>
      <w:r w:rsidR="00BF377D" w:rsidRPr="001B1523">
        <w:rPr>
          <w:sz w:val="24"/>
          <w:szCs w:val="24"/>
        </w:rPr>
        <w:t xml:space="preserve"> </w:t>
      </w:r>
      <w:r w:rsidR="001315BC" w:rsidRPr="001B1523">
        <w:rPr>
          <w:sz w:val="24"/>
          <w:szCs w:val="24"/>
        </w:rPr>
        <w:t xml:space="preserve">in PD </w:t>
      </w:r>
      <w:r w:rsidR="00AE1234" w:rsidRPr="001B1523">
        <w:rPr>
          <w:sz w:val="24"/>
          <w:szCs w:val="24"/>
        </w:rPr>
        <w:t>was associated with relative preservation of</w:t>
      </w:r>
      <w:r w:rsidR="001315BC" w:rsidRPr="001B1523">
        <w:rPr>
          <w:sz w:val="24"/>
          <w:szCs w:val="24"/>
        </w:rPr>
        <w:t xml:space="preserve"> thymic function, which would be exp</w:t>
      </w:r>
      <w:r w:rsidR="00BF377D" w:rsidRPr="001B1523">
        <w:rPr>
          <w:sz w:val="24"/>
          <w:szCs w:val="24"/>
        </w:rPr>
        <w:t>ected to decline with age</w:t>
      </w:r>
      <w:r w:rsidR="00EA6945" w:rsidRPr="001B1523">
        <w:rPr>
          <w:sz w:val="24"/>
          <w:szCs w:val="24"/>
        </w:rPr>
        <w:t xml:space="preserve"> </w:t>
      </w:r>
      <w:r w:rsidR="00EA6945" w:rsidRPr="001B1523">
        <w:rPr>
          <w:sz w:val="24"/>
          <w:szCs w:val="24"/>
        </w:rPr>
        <w:fldChar w:fldCharType="begin"/>
      </w:r>
      <w:r w:rsidR="00430995" w:rsidRPr="001B1523">
        <w:rPr>
          <w:sz w:val="24"/>
          <w:szCs w:val="24"/>
        </w:rPr>
        <w:instrText xml:space="preserve"> ADDIN ZOTERO_ITEM CSL_CITATION {"citationID":"OZDQnzxX","properties":{"formattedCitation":"[11]","plainCitation":"[11]","noteIndex":0},"citationItems":[{"id":10905,"uris":["http://zotero.org/users/2272275/items/JX3YZBVT"],"uri":["http://zotero.org/users/2272275/items/JX3YZBVT"],"itemData":{"id":10905,"type":"article-journal","abstract":"Age-related regression of the thymus is associated with a decline in na&amp;#239;ve T cell output. This is thought to contribute to the reduction in T cell diversity seen in older individuals and linked with increased susceptibility to infection, autoimmune disease and cancer. Thymic involution is one of the most dramatic and ubiquitous changes seen in the ageing immune system, but the mechanisms which underlying this process are poorly understood. However, a picture is emerging, implicating the involvement of both extrinsic and intrinsic factors. In this review we assess the role of the thymic microenvironment as a potential target that regulates thymic involution, question whether thymocyte development in the aged thymus is functionally impaired and explore the kinetics of thymic involution.","container-title":"Frontiers in Immunology","DOI":"10.3389/fimmu.2013.00316","ISSN":"1664-3224","journalAbbreviation":"Front. Immunol.","language":"English","note":"publisher: Frontiers","source":"Frontiers","title":"The Effect of Age on Thymic Function","URL":"https://www.frontiersin.org/articles/10.3389/fimmu.2013.00316/full","volume":"4","author":[{"family":"Palmer","given":"Donald B."}],"accessed":{"date-parts":[["2021",2,22]]},"issued":{"date-parts":[["2013"]]}}}],"schema":"https://github.com/citation-style-language/schema/raw/master/csl-citation.json"} </w:instrText>
      </w:r>
      <w:r w:rsidR="00EA6945" w:rsidRPr="001B1523">
        <w:rPr>
          <w:sz w:val="24"/>
          <w:szCs w:val="24"/>
        </w:rPr>
        <w:fldChar w:fldCharType="separate"/>
      </w:r>
      <w:r w:rsidR="00430995" w:rsidRPr="001B1523">
        <w:rPr>
          <w:rFonts w:cs="Arial"/>
          <w:sz w:val="24"/>
        </w:rPr>
        <w:t>[11]</w:t>
      </w:r>
      <w:r w:rsidR="00EA6945" w:rsidRPr="001B1523">
        <w:rPr>
          <w:sz w:val="24"/>
          <w:szCs w:val="24"/>
        </w:rPr>
        <w:fldChar w:fldCharType="end"/>
      </w:r>
      <w:r w:rsidR="00BF377D" w:rsidRPr="001B1523">
        <w:rPr>
          <w:sz w:val="24"/>
          <w:szCs w:val="24"/>
        </w:rPr>
        <w:t xml:space="preserve">. </w:t>
      </w:r>
      <w:r w:rsidR="00AE1234" w:rsidRPr="001B1523">
        <w:rPr>
          <w:sz w:val="24"/>
          <w:szCs w:val="24"/>
        </w:rPr>
        <w:t>However</w:t>
      </w:r>
      <w:r w:rsidR="009D265E" w:rsidRPr="001B1523">
        <w:rPr>
          <w:sz w:val="24"/>
          <w:szCs w:val="24"/>
        </w:rPr>
        <w:t>,</w:t>
      </w:r>
      <w:r w:rsidR="00AE1234" w:rsidRPr="001B1523">
        <w:rPr>
          <w:sz w:val="24"/>
          <w:szCs w:val="24"/>
        </w:rPr>
        <w:t xml:space="preserve"> </w:t>
      </w:r>
      <w:r w:rsidR="009D265E" w:rsidRPr="001B1523">
        <w:rPr>
          <w:sz w:val="24"/>
          <w:szCs w:val="24"/>
        </w:rPr>
        <w:t>o</w:t>
      </w:r>
      <w:r w:rsidR="001315BC" w:rsidRPr="001B1523">
        <w:rPr>
          <w:sz w:val="24"/>
          <w:szCs w:val="24"/>
        </w:rPr>
        <w:t>ur finding</w:t>
      </w:r>
      <w:r w:rsidR="00BF377D" w:rsidRPr="001B1523">
        <w:rPr>
          <w:sz w:val="24"/>
          <w:szCs w:val="24"/>
        </w:rPr>
        <w:t>s show no</w:t>
      </w:r>
      <w:r w:rsidR="001315BC" w:rsidRPr="001B1523">
        <w:rPr>
          <w:sz w:val="24"/>
          <w:szCs w:val="24"/>
        </w:rPr>
        <w:t xml:space="preserve"> difference</w:t>
      </w:r>
      <w:r w:rsidR="00BF377D" w:rsidRPr="001B1523">
        <w:rPr>
          <w:sz w:val="24"/>
          <w:szCs w:val="24"/>
        </w:rPr>
        <w:t>s</w:t>
      </w:r>
      <w:r w:rsidR="001315BC" w:rsidRPr="001B1523">
        <w:rPr>
          <w:sz w:val="24"/>
          <w:szCs w:val="24"/>
        </w:rPr>
        <w:t xml:space="preserve"> in </w:t>
      </w:r>
      <w:r w:rsidR="00BF377D" w:rsidRPr="001B1523">
        <w:rPr>
          <w:sz w:val="24"/>
          <w:szCs w:val="24"/>
        </w:rPr>
        <w:t xml:space="preserve">the number of </w:t>
      </w:r>
      <w:r w:rsidR="001315BC" w:rsidRPr="001B1523">
        <w:rPr>
          <w:sz w:val="24"/>
          <w:szCs w:val="24"/>
        </w:rPr>
        <w:t>RTEs between PD patients and controls</w:t>
      </w:r>
      <w:r w:rsidR="00BF377D" w:rsidRPr="001B1523">
        <w:rPr>
          <w:sz w:val="24"/>
          <w:szCs w:val="24"/>
        </w:rPr>
        <w:t>,</w:t>
      </w:r>
      <w:r w:rsidR="001315BC" w:rsidRPr="001B1523">
        <w:rPr>
          <w:sz w:val="24"/>
          <w:szCs w:val="24"/>
        </w:rPr>
        <w:t xml:space="preserve"> suggest</w:t>
      </w:r>
      <w:r w:rsidR="00BF377D" w:rsidRPr="001B1523">
        <w:rPr>
          <w:sz w:val="24"/>
          <w:szCs w:val="24"/>
        </w:rPr>
        <w:t>ing</w:t>
      </w:r>
      <w:r w:rsidR="001315BC" w:rsidRPr="001B1523">
        <w:rPr>
          <w:sz w:val="24"/>
          <w:szCs w:val="24"/>
        </w:rPr>
        <w:t xml:space="preserve"> th</w:t>
      </w:r>
      <w:r w:rsidR="00AE1234" w:rsidRPr="001B1523">
        <w:rPr>
          <w:sz w:val="24"/>
          <w:szCs w:val="24"/>
        </w:rPr>
        <w:t>at</w:t>
      </w:r>
      <w:r w:rsidR="00627AFA" w:rsidRPr="001B1523">
        <w:rPr>
          <w:sz w:val="24"/>
          <w:szCs w:val="24"/>
        </w:rPr>
        <w:t xml:space="preserve"> </w:t>
      </w:r>
      <w:r w:rsidR="00AE1234" w:rsidRPr="001B1523">
        <w:rPr>
          <w:sz w:val="24"/>
          <w:szCs w:val="24"/>
        </w:rPr>
        <w:t>thymic function does not contribute to alterations in the balance of naïve versus senescent cells in PD</w:t>
      </w:r>
      <w:r w:rsidR="001315BC" w:rsidRPr="001B1523">
        <w:rPr>
          <w:sz w:val="24"/>
          <w:szCs w:val="24"/>
        </w:rPr>
        <w:t>.</w:t>
      </w:r>
    </w:p>
    <w:p w14:paraId="107FAD14" w14:textId="4738D6A4" w:rsidR="007F42DB" w:rsidRPr="001B1523" w:rsidRDefault="00CB0968" w:rsidP="00AC4E9D">
      <w:pPr>
        <w:spacing w:line="480" w:lineRule="auto"/>
        <w:ind w:firstLine="720"/>
        <w:rPr>
          <w:sz w:val="24"/>
          <w:szCs w:val="24"/>
        </w:rPr>
      </w:pPr>
      <w:r w:rsidRPr="001B1523">
        <w:rPr>
          <w:sz w:val="24"/>
          <w:szCs w:val="24"/>
        </w:rPr>
        <w:t xml:space="preserve">Replicative </w:t>
      </w:r>
      <w:r w:rsidR="0037617E" w:rsidRPr="001B1523">
        <w:rPr>
          <w:sz w:val="24"/>
          <w:szCs w:val="24"/>
        </w:rPr>
        <w:t xml:space="preserve">cell </w:t>
      </w:r>
      <w:r w:rsidRPr="001B1523">
        <w:rPr>
          <w:sz w:val="24"/>
          <w:szCs w:val="24"/>
        </w:rPr>
        <w:t xml:space="preserve">senescence has been associated with the gradual shortening of telomeres </w:t>
      </w:r>
      <w:r w:rsidRPr="001B1523">
        <w:rPr>
          <w:sz w:val="24"/>
          <w:szCs w:val="24"/>
        </w:rPr>
        <w:fldChar w:fldCharType="begin"/>
      </w:r>
      <w:r w:rsidR="00CE3D6F" w:rsidRPr="001B1523">
        <w:rPr>
          <w:sz w:val="24"/>
          <w:szCs w:val="24"/>
        </w:rPr>
        <w:instrText xml:space="preserve"> ADDIN ZOTERO_ITEM CSL_CITATION {"citationID":"xJCt00ah","properties":{"formattedCitation":"[38]","plainCitation":"[38]","noteIndex":0},"citationItems":[{"id":10958,"uris":["http://zotero.org/users/2272275/items/YGWKPQEF"],"uri":["http://zotero.org/users/2272275/items/YGWKPQEF"],"itemData":{"id":10958,"type":"article-journal","abstract":"The cellular senescence definition comes to the fact of cells irreversible proliferation disability. Besides the cell cycle arrest, senescent cells go through some morpho</w:instrText>
      </w:r>
      <w:r w:rsidR="00CE3D6F" w:rsidRPr="001B1523">
        <w:rPr>
          <w:rFonts w:hint="eastAsia"/>
          <w:sz w:val="24"/>
          <w:szCs w:val="24"/>
        </w:rPr>
        <w:instrText>logical, biochemical, and functional changes which are the signs of cellular senescence. The senescent cells (including replicative senescence and stress</w:instrText>
      </w:r>
      <w:r w:rsidR="00CE3D6F" w:rsidRPr="001B1523">
        <w:rPr>
          <w:rFonts w:hint="eastAsia"/>
          <w:sz w:val="24"/>
          <w:szCs w:val="24"/>
        </w:rPr>
        <w:instrText>‐</w:instrText>
      </w:r>
      <w:r w:rsidR="00CE3D6F" w:rsidRPr="001B1523">
        <w:rPr>
          <w:rFonts w:hint="eastAsia"/>
          <w:sz w:val="24"/>
          <w:szCs w:val="24"/>
        </w:rPr>
        <w:instrText>induced premature senescence) of all the tissues look alike. They are metabolically active and posses</w:instrText>
      </w:r>
      <w:r w:rsidR="00CE3D6F" w:rsidRPr="001B1523">
        <w:rPr>
          <w:sz w:val="24"/>
          <w:szCs w:val="24"/>
        </w:rPr>
        <w:instrText xml:space="preserve">s the set of characteristics in vitro and in vivo, which are known as biomarkers of aging and cellular senescence. Among biomarkers of cellular senescence telomere shortening is a rather elegant frequently used biomarker. Validity of telomere shortening as a marker for cellular senescence is based on theoretical and experimental data.","container-title":"Aging","DOI":"10.18632/aging.100871","ISSN":"1945-4589","issue":"1","journalAbbreviation":"Aging","language":"en","page":"3-11","source":"DOI.org (Crossref)","title":"Markers of cellular senescence. Telomere shortening as a marker of cellular senescence","volume":"8","author":[{"family":"Bernadotte","given":"Alexandra"},{"family":"Mikhelson","given":"Victor M."},{"family":"Spivak","given":"Irina M."}],"issued":{"date-parts":[["2016",1,23]]}}}],"schema":"https://github.com/citation-style-language/schema/raw/master/csl-citation.json"} </w:instrText>
      </w:r>
      <w:r w:rsidRPr="001B1523">
        <w:rPr>
          <w:sz w:val="24"/>
          <w:szCs w:val="24"/>
        </w:rPr>
        <w:fldChar w:fldCharType="separate"/>
      </w:r>
      <w:r w:rsidR="00CE3D6F" w:rsidRPr="001B1523">
        <w:rPr>
          <w:rFonts w:cs="Arial"/>
          <w:sz w:val="24"/>
        </w:rPr>
        <w:t>[38]</w:t>
      </w:r>
      <w:r w:rsidRPr="001B1523">
        <w:rPr>
          <w:sz w:val="24"/>
          <w:szCs w:val="24"/>
        </w:rPr>
        <w:fldChar w:fldCharType="end"/>
      </w:r>
      <w:r w:rsidR="0037617E" w:rsidRPr="001B1523">
        <w:rPr>
          <w:sz w:val="24"/>
          <w:szCs w:val="24"/>
        </w:rPr>
        <w:t>, and leukocyte telomere length has been implicated as biomarker in PD, although with inconsistent findings across studies</w:t>
      </w:r>
      <w:r w:rsidR="00DE4F61" w:rsidRPr="001B1523">
        <w:rPr>
          <w:sz w:val="24"/>
          <w:szCs w:val="24"/>
        </w:rPr>
        <w:t xml:space="preserve"> </w:t>
      </w:r>
      <w:r w:rsidR="008A1487" w:rsidRPr="001B1523">
        <w:rPr>
          <w:sz w:val="24"/>
          <w:szCs w:val="24"/>
        </w:rPr>
        <w:fldChar w:fldCharType="begin"/>
      </w:r>
      <w:r w:rsidR="00CE3D6F" w:rsidRPr="001B1523">
        <w:rPr>
          <w:sz w:val="24"/>
          <w:szCs w:val="24"/>
        </w:rPr>
        <w:instrText xml:space="preserve"> ADDIN ZOTERO_ITEM CSL_CITATION {"citationID":"3Gg278XX","properties":{"unsorted":true,"formattedCitation":"[30,27,29,28]","plainCitation":"[30,27,29,28]","noteIndex":0},"citationItems":[{"id":10965,"uris":["http://zotero.org/users/2272275/items/EKKTHB3E"],"uri":["http://zotero.org/users/2272275/items/EKKTHB3E"],"itemData":{"id":10965,"type":"article-journal","abstract":"Background: Cognitive decline is a frequent complication of Parkinson’s disease (PD) and the identification of predictive biomarkers for it would help in its management. Objective: Our aim was to analyse whether senescence markers (telomere length, p","container-title":"Journal of Parkinson's Disease","DOI":"10.3233/JPD-191724","ISSN":"1877-7171","issue":"1","language":"en","note":"publisher: IOS Press","page":"193-206","source":"content.iospress.com","title":"Senescence and Inflammatory Markers for Predicting Clinical Progression in Parkinson’s Disease: The ICICLE-PD Study","title-short":"Senescence and Inflammatory Markers for Predicting Clinical Progression in Parkinson’s Disease","volume":"10","author":[{"family":"Martin-Ruiz","given":"Carmen"},{"family":"Williams-Gray","given":"Caroline H."},{"family":"Yarnall","given":"Alison J."},{"family":"Boucher","given":"John J."},{"family":"Lawson","given":"Rachael A."},{"family":"Wijeyekoon","given":"Ruwani S."},{"family":"Barker","given":"Roger A."},{"family":"Kolenda","given":"Claire"},{"family":"Parker","given":"Craig"},{"family":"Burn","given":"David J."},{"family":"Von Zglinicki","given":"Thomas"},{"family":"Saretzki","given":"Gabriele"}],"issued":{"date-parts":[["2020",1,1]]}}},{"id":10907,"uris":["http://zotero.org/users/2272275/items/N4CR5UUK"],"uri":["http://zotero.org/users/2272275/items/N4CR5UUK"],"itemData":{"id":10907,"type":"article-journal","abstract":"Parkinson's disease (PD) is a common and severe movement disorder. Differences in telomere length (TL) have been reported as possible risk factors for several neuropsychiatric disorders, including PD. Results from published studies for TL in PD are inconsistent, highlighting the need for a meta-analysis. In the current work, a meta-analysis of published studies for TL in PD was carried out. PubMed, Web of Science and Google Scholar databases were used to identify relevant articles that reported TL in groups of PD patients and controls. A random-effects model was used for meta-analytical procedures. The meta-analysis included eight primary studies, derived from populations of European and Asian descent, and did not show a significant difference in TL between 956 PD patients and 1284 controls (p value: 0.246). Our results show that there is no consistent evidence of shorter telomeres in PD patients and suggest the importance of future studies on TL and PD that analyze other populations and also include assessment of TL from different brain regions.","container-title":"Experimental Gerontology","DOI":"10.1016/j.exger.2016.01.002","ISSN":"0531-5565","journalAbbreviation":"Experimental Gerontology","language":"en","page":"53-55","source":"ScienceDirect","title":"Telomere length in Parkinson's disease: A meta-analysis","title-short":"Telomere length in Parkinson's disease","volume":"75","author":[{"family":"Forero","given":"Diego A."},{"family":"González-Giraldo","given":"Yeimy"},{"family":"López-Quintero","given":"Catalina"},{"family":"Castro-Vega","given":"Luis J."},{"family":"Barreto","given":"George E."},{"family":"Perry","given":"George"}],"issued":{"date-parts":[["2016",3,1]]}}},{"id":10910,"uris":["http://zotero.org/users/2272275/items/NLCAFJKN"],"uri":["http://zotero.org/users/2272275/items/NLCAFJKN"],"itemData":{"id":10910,"type":"article-journal","abstract":"Telomere length (TL) is regarded as a marker of cellular aging due to the gradual shortening by each cell division, but is influenced by a number of factors including oxidative stress and inflammation. Parkinson's disease and atypical forms of parkinsonism occur mainly in the elderly, with oxidative stress and inflammation in afflicted cells. In this study the relationship between blood TL and prognosis of 168 patients with idiopathic parkinsonism (136 Parkinson's disease [PD], 17 Progressive Supranuclear Palsy [PSP], and 15 Multiple System Atrophy [MSA]) and 30 controls was investigated. TL and motor and cognitive performance were assessed at baseline (diagnosis) and repeatedly up to three to five years follow up. No difference in TL between controls and patients was shown at baseline, nor any significant difference in TL stability or attrition during follow up. Interestingly, a significant relationship between TL at diagnosis and cognitive phenotype at follow up in PD and PSP patients was found, with longer mean TL at diagnosis in patients that developed dementia within three years.","container-title":"PLOS ONE","DOI":"10.1371/journal.pone.0113387","ISSN":"1932-6203","issue":"12","journalAbbreviation":"PLOS ONE","language":"en","note":"publisher: Public Library of Science","page":"e113387","source":"PLoS Journals","title":"Long Leukocyte Telomere Length at Diagnosis Is a Risk Factor for Dementia Progression in Idiopathic Parkinsonism","volume":"9","author":[{"family":"Degerman","given":"Sofie"},{"family":"Domellöf","given":"Magdalena"},{"family":"Landfors","given":"Mattias"},{"family":"Linder","given":"Jan"},{"family":"Lundin","given":"Mathias"},{"family":"Haraldsson","given":"Susann"},{"family":"Elgh","given":"Eva"},{"family":"Roos","given":"Göran"},{"family":"Forsgren","given":"Lars"}],"issued":{"date-parts":[["2014",12,12]]}}},{"id":10916,"uris":["http://zotero.org/users/2272275/items/FVFUQ627"],"uri":["http://zotero.org/users/2272275/items/FVFUQ627"],"itemData":{"id":10916,"type":"article-journal","abstract":"Telomeres are repetitive tracts of DNA which protect chromosomal integrity. Increased oxidative stress leads to shorter telomeres, which have been associated with several late-onset human diseases. Given independent evidence of oxidative stress and Parkinson's disease (PD), and conflicting reports of the role of telomere length in PD, we measured telomere length in both PD peripheral blood monocytes and in substantia nigra from affected individuals and controls. We confirmed previous findings of a paradoxically longer telomere length in blood from PD patients, but found no difference in telomere length in substantia nigra. Confounding factors provide a likely explanation for the findings in blood, and possibly the reduced frequency of cigarette smoking in PD patients. We conclude that telomere shortening is unlikely to be involved in the pathogenesis of PD.","container-title":"Neurobiology of Aging","DOI":"10.1016/j.neurobiolaging.2011.05.022","ISSN":"1558-1497","issue":"11","journalAbbreviation":"Neurobiol Aging","language":"eng","note":"PMID: 21794951\nPMCID: PMC4034165","page":"2107.e3-5","source":"PubMed","title":"No evidence of substantia nigra telomere shortening in Parkinson's disease","volume":"32","author":[{"family":"Hudson","given":"Gavin"},{"family":"Faini","given":"David"},{"family":"Stutt","given":"Andrea"},{"family":"Eccles","given":"Martin"},{"family":"Robinson","given":"Louise"},{"family":"Burn","given":"David J."},{"family":"Chinnery","given":"Patrick F."}],"issued":{"date-parts":[["2011",11]]}}}],"schema":"https://github.com/citation-style-language/schema/raw/master/csl-citation.json"} </w:instrText>
      </w:r>
      <w:r w:rsidR="008A1487" w:rsidRPr="001B1523">
        <w:rPr>
          <w:sz w:val="24"/>
          <w:szCs w:val="24"/>
        </w:rPr>
        <w:fldChar w:fldCharType="separate"/>
      </w:r>
      <w:r w:rsidR="00CE3D6F" w:rsidRPr="001B1523">
        <w:rPr>
          <w:rFonts w:cs="Arial"/>
          <w:sz w:val="24"/>
        </w:rPr>
        <w:t>[30,27,29,28]</w:t>
      </w:r>
      <w:r w:rsidR="008A1487" w:rsidRPr="001B1523">
        <w:rPr>
          <w:sz w:val="24"/>
          <w:szCs w:val="24"/>
        </w:rPr>
        <w:fldChar w:fldCharType="end"/>
      </w:r>
      <w:r w:rsidR="0037617E" w:rsidRPr="001B1523">
        <w:rPr>
          <w:sz w:val="24"/>
          <w:szCs w:val="24"/>
          <w:lang w:val="fr-FR"/>
        </w:rPr>
        <w:t xml:space="preserve">. </w:t>
      </w:r>
      <w:r w:rsidR="001D34BD" w:rsidRPr="001B1523">
        <w:rPr>
          <w:sz w:val="24"/>
          <w:szCs w:val="24"/>
          <w:lang w:val="en-AU"/>
        </w:rPr>
        <w:t>W</w:t>
      </w:r>
      <w:r w:rsidR="007F42DB" w:rsidRPr="001B1523">
        <w:rPr>
          <w:sz w:val="24"/>
          <w:szCs w:val="24"/>
          <w:lang w:val="en-AU"/>
        </w:rPr>
        <w:t>e measured</w:t>
      </w:r>
      <w:r w:rsidR="0037617E" w:rsidRPr="001B1523">
        <w:rPr>
          <w:sz w:val="24"/>
          <w:szCs w:val="24"/>
        </w:rPr>
        <w:t xml:space="preserve"> t</w:t>
      </w:r>
      <w:r w:rsidR="007F42DB" w:rsidRPr="001B1523">
        <w:rPr>
          <w:sz w:val="24"/>
          <w:szCs w:val="24"/>
        </w:rPr>
        <w:t xml:space="preserve">elomere length </w:t>
      </w:r>
      <w:r w:rsidR="0037617E" w:rsidRPr="001B1523">
        <w:rPr>
          <w:sz w:val="24"/>
          <w:szCs w:val="24"/>
        </w:rPr>
        <w:t xml:space="preserve">and expression of </w:t>
      </w:r>
      <w:r w:rsidR="007F42DB" w:rsidRPr="001B1523">
        <w:rPr>
          <w:sz w:val="24"/>
          <w:szCs w:val="24"/>
        </w:rPr>
        <w:t>hTERT within the CD8</w:t>
      </w:r>
      <w:r w:rsidR="007F42DB" w:rsidRPr="001B1523">
        <w:rPr>
          <w:sz w:val="24"/>
          <w:szCs w:val="24"/>
          <w:vertAlign w:val="superscript"/>
        </w:rPr>
        <w:t>+</w:t>
      </w:r>
      <w:r w:rsidR="007F42DB" w:rsidRPr="001B1523">
        <w:rPr>
          <w:sz w:val="24"/>
          <w:szCs w:val="24"/>
        </w:rPr>
        <w:t xml:space="preserve"> </w:t>
      </w:r>
      <w:r w:rsidR="00AE19B5" w:rsidRPr="001B1523">
        <w:rPr>
          <w:sz w:val="24"/>
          <w:szCs w:val="24"/>
        </w:rPr>
        <w:t>lymphocyte</w:t>
      </w:r>
      <w:r w:rsidR="007F42DB" w:rsidRPr="001B1523">
        <w:rPr>
          <w:sz w:val="24"/>
          <w:szCs w:val="24"/>
        </w:rPr>
        <w:t xml:space="preserve"> population</w:t>
      </w:r>
      <w:r w:rsidR="001D34BD" w:rsidRPr="001B1523">
        <w:rPr>
          <w:sz w:val="24"/>
          <w:szCs w:val="24"/>
        </w:rPr>
        <w:t xml:space="preserve"> and</w:t>
      </w:r>
      <w:r w:rsidR="007F42DB" w:rsidRPr="001B1523">
        <w:rPr>
          <w:sz w:val="24"/>
          <w:szCs w:val="24"/>
        </w:rPr>
        <w:t xml:space="preserve"> </w:t>
      </w:r>
      <w:r w:rsidRPr="001B1523">
        <w:rPr>
          <w:sz w:val="24"/>
          <w:szCs w:val="24"/>
        </w:rPr>
        <w:t>did not observe any</w:t>
      </w:r>
      <w:r w:rsidR="007F42DB" w:rsidRPr="001B1523">
        <w:rPr>
          <w:sz w:val="24"/>
          <w:szCs w:val="24"/>
        </w:rPr>
        <w:t xml:space="preserve"> significant</w:t>
      </w:r>
      <w:r w:rsidRPr="001B1523">
        <w:rPr>
          <w:sz w:val="24"/>
          <w:szCs w:val="24"/>
        </w:rPr>
        <w:t xml:space="preserve"> differences in the length of telomeres</w:t>
      </w:r>
      <w:r w:rsidR="0037617E" w:rsidRPr="001B1523">
        <w:rPr>
          <w:sz w:val="24"/>
          <w:szCs w:val="24"/>
        </w:rPr>
        <w:t>,</w:t>
      </w:r>
      <w:r w:rsidRPr="001B1523">
        <w:rPr>
          <w:sz w:val="24"/>
          <w:szCs w:val="24"/>
        </w:rPr>
        <w:t xml:space="preserve"> </w:t>
      </w:r>
      <w:r w:rsidR="003476F7" w:rsidRPr="001B1523">
        <w:rPr>
          <w:sz w:val="24"/>
          <w:szCs w:val="24"/>
        </w:rPr>
        <w:t>nor in</w:t>
      </w:r>
      <w:r w:rsidRPr="001B1523">
        <w:rPr>
          <w:sz w:val="24"/>
          <w:szCs w:val="24"/>
        </w:rPr>
        <w:t xml:space="preserve"> </w:t>
      </w:r>
      <w:r w:rsidR="007F42DB" w:rsidRPr="001B1523">
        <w:rPr>
          <w:sz w:val="24"/>
          <w:szCs w:val="24"/>
        </w:rPr>
        <w:t xml:space="preserve">hTERT </w:t>
      </w:r>
      <w:r w:rsidRPr="001B1523">
        <w:rPr>
          <w:sz w:val="24"/>
          <w:szCs w:val="24"/>
        </w:rPr>
        <w:t xml:space="preserve">expression </w:t>
      </w:r>
      <w:r w:rsidR="007F42DB" w:rsidRPr="001B1523">
        <w:rPr>
          <w:sz w:val="24"/>
          <w:szCs w:val="24"/>
        </w:rPr>
        <w:t xml:space="preserve">in </w:t>
      </w:r>
      <w:r w:rsidRPr="001B1523">
        <w:rPr>
          <w:sz w:val="24"/>
          <w:szCs w:val="24"/>
        </w:rPr>
        <w:t>PD versus control</w:t>
      </w:r>
      <w:r w:rsidR="007F42DB" w:rsidRPr="001B1523">
        <w:rPr>
          <w:sz w:val="24"/>
          <w:szCs w:val="24"/>
        </w:rPr>
        <w:t>s</w:t>
      </w:r>
      <w:r w:rsidRPr="001B1523">
        <w:rPr>
          <w:sz w:val="24"/>
          <w:szCs w:val="24"/>
        </w:rPr>
        <w:t xml:space="preserve">. </w:t>
      </w:r>
    </w:p>
    <w:p w14:paraId="79CCB775" w14:textId="3DABE2EA" w:rsidR="0075178A" w:rsidRPr="001B1523" w:rsidRDefault="007F42DB" w:rsidP="00AC4E9D">
      <w:pPr>
        <w:spacing w:line="480" w:lineRule="auto"/>
        <w:ind w:firstLine="720"/>
        <w:rPr>
          <w:sz w:val="24"/>
          <w:szCs w:val="24"/>
        </w:rPr>
      </w:pPr>
      <w:r w:rsidRPr="001B1523">
        <w:rPr>
          <w:sz w:val="24"/>
          <w:szCs w:val="24"/>
        </w:rPr>
        <w:t>The cyclin-dependent kinase inhibitors p16</w:t>
      </w:r>
      <w:r w:rsidRPr="001B1523">
        <w:rPr>
          <w:sz w:val="24"/>
          <w:szCs w:val="24"/>
          <w:vertAlign w:val="superscript"/>
        </w:rPr>
        <w:t>INK4</w:t>
      </w:r>
      <w:r w:rsidR="00790CAB" w:rsidRPr="001B1523">
        <w:rPr>
          <w:sz w:val="24"/>
          <w:szCs w:val="24"/>
          <w:vertAlign w:val="superscript"/>
        </w:rPr>
        <w:t>a</w:t>
      </w:r>
      <w:r w:rsidRPr="001B1523">
        <w:rPr>
          <w:sz w:val="24"/>
          <w:szCs w:val="24"/>
        </w:rPr>
        <w:t xml:space="preserve"> and p21</w:t>
      </w:r>
      <w:r w:rsidRPr="001B1523">
        <w:rPr>
          <w:sz w:val="24"/>
          <w:szCs w:val="24"/>
          <w:vertAlign w:val="superscript"/>
        </w:rPr>
        <w:t>CIP1</w:t>
      </w:r>
      <w:r w:rsidR="00465F84" w:rsidRPr="001B1523">
        <w:rPr>
          <w:sz w:val="24"/>
          <w:szCs w:val="24"/>
          <w:vertAlign w:val="superscript"/>
        </w:rPr>
        <w:t>/</w:t>
      </w:r>
      <w:r w:rsidRPr="001B1523">
        <w:rPr>
          <w:sz w:val="24"/>
          <w:szCs w:val="24"/>
          <w:vertAlign w:val="superscript"/>
        </w:rPr>
        <w:t>Waf1</w:t>
      </w:r>
      <w:r w:rsidRPr="001B1523">
        <w:rPr>
          <w:sz w:val="24"/>
          <w:szCs w:val="24"/>
        </w:rPr>
        <w:t xml:space="preserve"> are both well-established biomarkers of</w:t>
      </w:r>
      <w:r w:rsidR="00821444" w:rsidRPr="001B1523">
        <w:rPr>
          <w:sz w:val="24"/>
          <w:szCs w:val="24"/>
        </w:rPr>
        <w:t xml:space="preserve"> cell senescence</w:t>
      </w:r>
      <w:r w:rsidRPr="001B1523">
        <w:rPr>
          <w:sz w:val="24"/>
          <w:szCs w:val="24"/>
        </w:rPr>
        <w:t xml:space="preserve"> </w:t>
      </w:r>
      <w:r w:rsidRPr="001B1523">
        <w:rPr>
          <w:sz w:val="24"/>
          <w:szCs w:val="24"/>
        </w:rPr>
        <w:fldChar w:fldCharType="begin"/>
      </w:r>
      <w:r w:rsidR="00CE3D6F" w:rsidRPr="001B1523">
        <w:rPr>
          <w:sz w:val="24"/>
          <w:szCs w:val="24"/>
        </w:rPr>
        <w:instrText xml:space="preserve"> ADDIN ZOTERO_ITEM CSL_CITATION {"citationID":"QjyAQjL3","properties":{"unsorted":true,"formattedCitation":"[39,40]","plainCitation":"[39,40]","noteIndex":0},"citationItems":[{"id":10961,"uris":["http://zotero.org/users/2272275/items/ZLTB792C"],"uri":["http://zotero.org/users/2272275/items/ZLTB792C"],"itemData":{"id":10961,"type":"article-journal","abstract":"Cellular senescence is a multi-faceted programme involved in diverse physiological and pathological processes including embryonic development, regeneration and repair, cancer-protection, ageing, and diseaseSenescent cells that are transiently present (acute senescence) are beneficial, whereas prolonged signalling and aberrant accumulation of senescent cells (chronic senescence) impairs renal function and promotes kidney diseaseChronic senescent cells accumulate in the kidneys during natural ageing and have been causally linked to age-related decline in renal functionSenescent cell accumulation also occurs in association with several renal diseases and therapeutic damage, and correlates with disease progression or deterioration in several instancesTherapeutic interventions that target senescent cells, termed senotherapies, have potential to attenuate age-related renal dysfunction, improve disease outcome, and ensure success of kidney transplantationDevelopment of effective and safe senotherapies should greatly benefit from future research aimed at understanding of the location, origin and properties of senescent cells in greater detail","container-title":"Nature Reviews Nephrology","DOI":"10.1038/nrneph.2016.183","ISSN":"1759-507X","issue":"2","language":"en","note":"number: 2\npublisher: Nature Publishing Group","page":"77-89","source":"www.nature.com","title":"Cellular senescence in renal ageing and disease","volume":"13","author":[{"family":"Sturmlechner","given":"Ines"},{"family":"Durik","given":"Matej"},{"family":"Sieben","given":"Cynthia J."},{"family":"Baker","given":"Darren J."},{"family":"Deursen","given":"Jan M.","non-dropping-particle":"van"}],"issued":{"date-parts":[["2017",2]]}}},{"id":10959,"uris":["http://zotero.org/users/2272275/items/VB7CZ5CM"],"uri":["http://zotero.org/users/2272275/items/VB7CZ5CM"],"itemData":{"id":10959,"type":"article-journal","abstract":"Cellular senescence, a stress-induced irreversible growth arrest often characterized by expression of p16Ink4a (encoded by the Ink4a/Arf locus, also known as Cdkn2a) and a distinctive secretory phenotype, prevents the proliferation of preneoplastic cells and has beneficial roles in tissue remodelling during embryogenesis and wound healing. Senescent cells accumulate in various tissues and organs over time, and have been speculated to have a role in ageing. To explore the physiological relevance and consequences of naturally occurring senescent cells, here we use a previously established transgene, INK-ATTAC, to induce apoptosis in p16Ink4a-expressing cells of wild-type mice by injection of AP20187 twice a week starting at one year of age. We show that compared to vehicle alone, AP20187 treatment extended median lifespan in both male and female mice of two distinct genetic backgrounds. The clearance of p16Ink4a-positive cells delayed tumorigenesis and attenuated age-related deterioration of several organs without apparent side effects, including kidney, heart and fat, where clearance preserved the functionality of glomeruli, cardio-protective KATP channels and adipocytes, respectively. Thus, p16Ink4a-positive cells that accumulate during adulthood negatively influence lifespan and promote age-dependent changes in several organs, and their therapeutic removal may be an attractive approach to extend healthy lifespan.","container-title":"Nature","DOI":"10.1038/nature16932","ISSN":"1476-4687","issue":"7589","language":"en","note":"number: 7589\npublisher: Nature Publishing Group","page":"184-189","source":"www.nature.com","title":"Naturally occurring p16 Ink4a -positive cells shorten healthy lifespan","volume":"530","author":[{"family":"Baker","given":"Darren J."},{"family":"Childs","given":"Bennett G."},{"family":"Durik","given":"Matej"},{"family":"Wijers","given":"Melinde E."},{"family":"Sieben","given":"Cynthia J."},{"family":"Zhong","given":"Jian"},{"family":"A. Saltness","given":"Rachel"},{"family":"Jeganathan","given":"Karthik B."},{"family":"Verzosa","given":"Grace Casaclang"},{"family":"Pezeshki","given":"Abdulmohammad"},{"family":"Khazaie","given":"Khashayarsha"},{"family":"Miller","given":"Jordan D."},{"family":"Deursen","given":"Jan M.","non-dropping-particle":"van"}],"issued":{"date-parts":[["2016",2]]}}}],"schema":"https://github.com/citation-style-language/schema/raw/master/csl-citation.json"} </w:instrText>
      </w:r>
      <w:r w:rsidRPr="001B1523">
        <w:rPr>
          <w:sz w:val="24"/>
          <w:szCs w:val="24"/>
        </w:rPr>
        <w:fldChar w:fldCharType="separate"/>
      </w:r>
      <w:r w:rsidR="00CE3D6F" w:rsidRPr="001B1523">
        <w:rPr>
          <w:rFonts w:cs="Arial"/>
          <w:sz w:val="24"/>
        </w:rPr>
        <w:t>[39,40]</w:t>
      </w:r>
      <w:r w:rsidRPr="001B1523">
        <w:rPr>
          <w:sz w:val="24"/>
          <w:szCs w:val="24"/>
        </w:rPr>
        <w:fldChar w:fldCharType="end"/>
      </w:r>
      <w:r w:rsidR="00D15554" w:rsidRPr="001B1523">
        <w:rPr>
          <w:sz w:val="24"/>
          <w:szCs w:val="24"/>
        </w:rPr>
        <w:t xml:space="preserve">. </w:t>
      </w:r>
      <w:r w:rsidR="00973A62" w:rsidRPr="001B1523">
        <w:rPr>
          <w:sz w:val="24"/>
          <w:szCs w:val="24"/>
        </w:rPr>
        <w:t>Blood-based</w:t>
      </w:r>
      <w:r w:rsidR="00D15554" w:rsidRPr="001B1523">
        <w:rPr>
          <w:sz w:val="24"/>
          <w:szCs w:val="24"/>
        </w:rPr>
        <w:t xml:space="preserve"> expression of these </w:t>
      </w:r>
      <w:r w:rsidR="00973A62" w:rsidRPr="001B1523">
        <w:rPr>
          <w:sz w:val="24"/>
          <w:szCs w:val="24"/>
        </w:rPr>
        <w:t>markers</w:t>
      </w:r>
      <w:r w:rsidR="00D15554" w:rsidRPr="001B1523">
        <w:rPr>
          <w:sz w:val="24"/>
          <w:szCs w:val="24"/>
        </w:rPr>
        <w:t xml:space="preserve"> </w:t>
      </w:r>
      <w:r w:rsidR="00973A62" w:rsidRPr="001B1523">
        <w:rPr>
          <w:sz w:val="24"/>
          <w:szCs w:val="24"/>
        </w:rPr>
        <w:t>has</w:t>
      </w:r>
      <w:r w:rsidR="00D15554" w:rsidRPr="001B1523">
        <w:rPr>
          <w:sz w:val="24"/>
          <w:szCs w:val="24"/>
        </w:rPr>
        <w:t xml:space="preserve"> not been well</w:t>
      </w:r>
      <w:r w:rsidR="00AE19B5" w:rsidRPr="001B1523">
        <w:rPr>
          <w:sz w:val="24"/>
          <w:szCs w:val="24"/>
        </w:rPr>
        <w:t>-</w:t>
      </w:r>
      <w:r w:rsidR="00D15554" w:rsidRPr="001B1523">
        <w:rPr>
          <w:sz w:val="24"/>
          <w:szCs w:val="24"/>
        </w:rPr>
        <w:t xml:space="preserve">studied </w:t>
      </w:r>
      <w:r w:rsidR="00973A62" w:rsidRPr="001B1523">
        <w:rPr>
          <w:sz w:val="24"/>
          <w:szCs w:val="24"/>
        </w:rPr>
        <w:t xml:space="preserve">in the context of </w:t>
      </w:r>
      <w:r w:rsidR="00D15554" w:rsidRPr="001B1523">
        <w:rPr>
          <w:sz w:val="24"/>
          <w:szCs w:val="24"/>
        </w:rPr>
        <w:t>neurodegeneration, although p21 expression in monocytes has been reported to be lower in Alzheimer’s disease</w:t>
      </w:r>
      <w:r w:rsidR="00AE19B5" w:rsidRPr="001B1523">
        <w:rPr>
          <w:sz w:val="24"/>
          <w:szCs w:val="24"/>
        </w:rPr>
        <w:t xml:space="preserve"> </w:t>
      </w:r>
      <w:r w:rsidR="00AE19B5" w:rsidRPr="001B1523">
        <w:rPr>
          <w:sz w:val="24"/>
          <w:szCs w:val="24"/>
        </w:rPr>
        <w:fldChar w:fldCharType="begin"/>
      </w:r>
      <w:r w:rsidR="00CE3D6F" w:rsidRPr="001B1523">
        <w:rPr>
          <w:sz w:val="24"/>
          <w:szCs w:val="24"/>
        </w:rPr>
        <w:instrText xml:space="preserve"> ADDIN ZOTERO_ITEM CSL_CITATION {"citationID":"GsEuqyJl","properties":{"formattedCitation":"[41]","plainCitation":"[41]","noteIndex":0},"citationItems":[{"id":10998,"uris":["http://zotero.org/users/2272275/items/L3KVPSBT"],"uri":["http://zotero.org/users/2272275/items/L3KVPSBT"],"itemData":{"id":10998,"type":"article-journal","abstract":"&lt;i&gt;Background:&lt;/i&gt; Alzheimer’s disease (AD) is a progressive neurodegenerative disorder. In AD, monocytes migrate across the blood-brain barrier and differentiate into microglia, are linked to inflammatory responses and display age-dependent decreases in telomere lengths. &lt;i&gt;Methods:&lt;/i&gt; Six monocyte-specific chemokines and the (telomere-associated) tumor suppressor proteins p53 and p21 were determined by multiplex immunoassay in plasma and monocyte extracts of patients with AD or mild cognitive impairment, and levels were compared between patients and controls (without cognitive impairment). &lt;i&gt;Results:&lt;/i&gt; CCL15 (macrophage inflammatory protein-1δ), CXCL9 (monokine-induced by interferon-γ) and p21 levels were decreased in monocytes of AD patients compared with controls. &lt;i&gt;Conclusion:&lt;/i&gt; The combination of monocytic CCL15 and p21 together with the Mini-Mental State Examination enables to differentiate AD patients from controls with high specificity and sensitivity.","container-title":"Dementia and Geriatric Cognitive Disorders Extra","DOI":"10.1159/000330468","ISSN":", 1664-5464","issue":"1","journalAbbreviation":"DEE","language":"english","note":"publisher: Karger Publishers\nPMID: 22545041","page":"297-309","source":"www.karger.com","title":"Two Blood Monocytic Biomarkers (CCL15 and p21) Combined with the Mini-Mental State Examination Discriminate Alzheimer’s Disease Patients from Healthy Subjects","volume":"1","author":[{"family":"Hochstrasser","given":"Tanja"},{"family":"Marksteiner","given":"Josef"},{"family":"Defrancesco","given":"Michaela"},{"family":"Deisenhammer","given":"Eberhard A."},{"family":"Kemmler","given":"Georg"},{"family":"Humpel","given":"Christian"}],"issued":{"date-parts":[["2011"]]}}}],"schema":"https://github.com/citation-style-language/schema/raw/master/csl-citation.json"} </w:instrText>
      </w:r>
      <w:r w:rsidR="00AE19B5" w:rsidRPr="001B1523">
        <w:rPr>
          <w:sz w:val="24"/>
          <w:szCs w:val="24"/>
        </w:rPr>
        <w:fldChar w:fldCharType="separate"/>
      </w:r>
      <w:r w:rsidR="00CE3D6F" w:rsidRPr="001B1523">
        <w:rPr>
          <w:rFonts w:cs="Arial"/>
          <w:sz w:val="24"/>
        </w:rPr>
        <w:t>[41]</w:t>
      </w:r>
      <w:r w:rsidR="00AE19B5" w:rsidRPr="001B1523">
        <w:rPr>
          <w:sz w:val="24"/>
          <w:szCs w:val="24"/>
        </w:rPr>
        <w:fldChar w:fldCharType="end"/>
      </w:r>
      <w:r w:rsidR="00973A62" w:rsidRPr="001B1523">
        <w:rPr>
          <w:sz w:val="24"/>
          <w:szCs w:val="24"/>
        </w:rPr>
        <w:t xml:space="preserve">, and we have previously found evidence of </w:t>
      </w:r>
      <w:r w:rsidR="00ED363F" w:rsidRPr="001B1523">
        <w:rPr>
          <w:sz w:val="24"/>
          <w:szCs w:val="24"/>
        </w:rPr>
        <w:t xml:space="preserve">reduced </w:t>
      </w:r>
      <w:r w:rsidR="00973A62" w:rsidRPr="001B1523">
        <w:rPr>
          <w:sz w:val="24"/>
          <w:szCs w:val="24"/>
        </w:rPr>
        <w:t>p21 expression in total leukocytes in early PD</w:t>
      </w:r>
      <w:r w:rsidR="00ED363F" w:rsidRPr="001B1523">
        <w:rPr>
          <w:sz w:val="24"/>
          <w:szCs w:val="24"/>
        </w:rPr>
        <w:t xml:space="preserve">, as well as </w:t>
      </w:r>
      <w:r w:rsidR="00973A62" w:rsidRPr="001B1523">
        <w:rPr>
          <w:sz w:val="24"/>
          <w:szCs w:val="24"/>
        </w:rPr>
        <w:t>an association between lower leukocyte p16 expression and more rapid disease progression</w:t>
      </w:r>
      <w:r w:rsidR="000B6CB3" w:rsidRPr="001B1523">
        <w:rPr>
          <w:sz w:val="24"/>
          <w:szCs w:val="24"/>
        </w:rPr>
        <w:t xml:space="preserve"> </w:t>
      </w:r>
      <w:r w:rsidR="000B6CB3" w:rsidRPr="001B1523">
        <w:rPr>
          <w:sz w:val="24"/>
          <w:szCs w:val="24"/>
        </w:rPr>
        <w:fldChar w:fldCharType="begin"/>
      </w:r>
      <w:r w:rsidR="000B6CB3" w:rsidRPr="001B1523">
        <w:rPr>
          <w:sz w:val="24"/>
          <w:szCs w:val="24"/>
        </w:rPr>
        <w:instrText xml:space="preserve"> ADDIN ZOTERO_ITEM CSL_CITATION {"citationID":"ZJIurUCx","properties":{"formattedCitation":"[30]","plainCitation":"[30]","noteIndex":0},"citationItems":[{"id":10965,"uris":["http://zotero.org/users/2272275/items/EKKTHB3E"],"uri":["http://zotero.org/users/2272275/items/EKKTHB3E"],"itemData":{"id":10965,"type":"article-journal","abstract":"Background: Cognitive decline is a frequent complication of Parkinson’s disease (PD) and the identification of predictive biomarkers for it would help in its management. Objective: Our aim was to analyse whether senescence markers (telomere length, p","container-title":"Journal of Parkinson's Disease","DOI":"10.3233/JPD-191724","ISSN":"1877-7171","issue":"1","language":"en","note":"publisher: IOS Press","page":"193-206","source":"content.iospress.com","title":"Senescence and Inflammatory Markers for Predicting Clinical Progression in Parkinson’s Disease: The ICICLE-PD Study","title-short":"Senescence and Inflammatory Markers for Predicting Clinical Progression in Parkinson’s Disease","volume":"10","author":[{"family":"Martin-Ruiz","given":"Carmen"},{"family":"Williams-Gray","given":"Caroline H."},{"family":"Yarnall","given":"Alison J."},{"family":"Boucher","given":"John J."},{"family":"Lawson","given":"Rachael A."},{"family":"Wijeyekoon","given":"Ruwani S."},{"family":"Barker","given":"Roger A."},{"family":"Kolenda","given":"Claire"},{"family":"Parker","given":"Craig"},{"family":"Burn","given":"David J."},{"family":"Von Zglinicki","given":"Thomas"},{"family":"Saretzki","given":"Gabriele"}],"issued":{"date-parts":[["2020",1,1]]}}}],"schema":"https://github.com/citation-style-language/schema/raw/master/csl-citation.json"} </w:instrText>
      </w:r>
      <w:r w:rsidR="000B6CB3" w:rsidRPr="001B1523">
        <w:rPr>
          <w:sz w:val="24"/>
          <w:szCs w:val="24"/>
        </w:rPr>
        <w:fldChar w:fldCharType="separate"/>
      </w:r>
      <w:r w:rsidR="000B6CB3" w:rsidRPr="001B1523">
        <w:rPr>
          <w:rFonts w:cs="Arial"/>
          <w:sz w:val="24"/>
        </w:rPr>
        <w:t>[30]</w:t>
      </w:r>
      <w:r w:rsidR="000B6CB3" w:rsidRPr="001B1523">
        <w:rPr>
          <w:sz w:val="24"/>
          <w:szCs w:val="24"/>
        </w:rPr>
        <w:fldChar w:fldCharType="end"/>
      </w:r>
      <w:r w:rsidR="00821444" w:rsidRPr="001B1523">
        <w:rPr>
          <w:sz w:val="24"/>
          <w:szCs w:val="24"/>
        </w:rPr>
        <w:t xml:space="preserve">. </w:t>
      </w:r>
      <w:r w:rsidR="002E0764" w:rsidRPr="001B1523">
        <w:rPr>
          <w:sz w:val="24"/>
          <w:szCs w:val="24"/>
        </w:rPr>
        <w:t>In the current</w:t>
      </w:r>
      <w:r w:rsidR="00973A62" w:rsidRPr="001B1523">
        <w:rPr>
          <w:sz w:val="24"/>
          <w:szCs w:val="24"/>
        </w:rPr>
        <w:t xml:space="preserve"> study, where we focused our investigation on the CD8</w:t>
      </w:r>
      <w:r w:rsidR="00973A62" w:rsidRPr="001B1523">
        <w:rPr>
          <w:sz w:val="24"/>
          <w:szCs w:val="24"/>
          <w:vertAlign w:val="superscript"/>
        </w:rPr>
        <w:t>+</w:t>
      </w:r>
      <w:r w:rsidR="00973A62" w:rsidRPr="001B1523">
        <w:rPr>
          <w:sz w:val="24"/>
          <w:szCs w:val="24"/>
        </w:rPr>
        <w:t xml:space="preserve"> T cell subset, we </w:t>
      </w:r>
      <w:r w:rsidR="000B6CB3" w:rsidRPr="001B1523">
        <w:rPr>
          <w:sz w:val="24"/>
          <w:szCs w:val="24"/>
        </w:rPr>
        <w:t>found no</w:t>
      </w:r>
      <w:r w:rsidR="00973A62" w:rsidRPr="001B1523">
        <w:rPr>
          <w:sz w:val="24"/>
          <w:szCs w:val="24"/>
        </w:rPr>
        <w:t xml:space="preserve"> difference in p21 expression, but </w:t>
      </w:r>
      <w:r w:rsidR="00D15554" w:rsidRPr="001B1523">
        <w:rPr>
          <w:sz w:val="24"/>
          <w:szCs w:val="24"/>
        </w:rPr>
        <w:t>reduc</w:t>
      </w:r>
      <w:r w:rsidR="000B6CB3" w:rsidRPr="001B1523">
        <w:rPr>
          <w:sz w:val="24"/>
          <w:szCs w:val="24"/>
        </w:rPr>
        <w:t>ed</w:t>
      </w:r>
      <w:r w:rsidR="00D15554" w:rsidRPr="001B1523">
        <w:rPr>
          <w:sz w:val="24"/>
          <w:szCs w:val="24"/>
        </w:rPr>
        <w:t xml:space="preserve"> p16 expression in PD patients versus controls</w:t>
      </w:r>
      <w:r w:rsidR="000B6CB3" w:rsidRPr="001B1523">
        <w:rPr>
          <w:sz w:val="24"/>
          <w:szCs w:val="24"/>
        </w:rPr>
        <w:t xml:space="preserve">, providing </w:t>
      </w:r>
      <w:r w:rsidR="004263A8" w:rsidRPr="001B1523">
        <w:rPr>
          <w:sz w:val="24"/>
          <w:szCs w:val="24"/>
        </w:rPr>
        <w:t xml:space="preserve">further evidence of </w:t>
      </w:r>
      <w:r w:rsidR="009B219F" w:rsidRPr="001B1523">
        <w:rPr>
          <w:sz w:val="24"/>
          <w:szCs w:val="24"/>
        </w:rPr>
        <w:t xml:space="preserve">an </w:t>
      </w:r>
      <w:r w:rsidR="004263A8" w:rsidRPr="001B1523">
        <w:rPr>
          <w:sz w:val="24"/>
          <w:szCs w:val="24"/>
        </w:rPr>
        <w:t>attenuat</w:t>
      </w:r>
      <w:r w:rsidR="009B219F" w:rsidRPr="001B1523">
        <w:rPr>
          <w:sz w:val="24"/>
          <w:szCs w:val="24"/>
        </w:rPr>
        <w:t>ion of CD8</w:t>
      </w:r>
      <w:r w:rsidR="009B219F" w:rsidRPr="001B1523">
        <w:rPr>
          <w:sz w:val="24"/>
          <w:szCs w:val="24"/>
          <w:vertAlign w:val="superscript"/>
        </w:rPr>
        <w:t>+</w:t>
      </w:r>
      <w:r w:rsidR="009B219F" w:rsidRPr="001B1523">
        <w:rPr>
          <w:sz w:val="24"/>
          <w:szCs w:val="24"/>
        </w:rPr>
        <w:t xml:space="preserve"> </w:t>
      </w:r>
      <w:r w:rsidR="003571B0" w:rsidRPr="001B1523">
        <w:rPr>
          <w:sz w:val="24"/>
          <w:szCs w:val="24"/>
        </w:rPr>
        <w:t xml:space="preserve">T </w:t>
      </w:r>
      <w:r w:rsidR="009B219F" w:rsidRPr="001B1523">
        <w:rPr>
          <w:sz w:val="24"/>
          <w:szCs w:val="24"/>
        </w:rPr>
        <w:t xml:space="preserve">cell </w:t>
      </w:r>
      <w:r w:rsidR="004263A8" w:rsidRPr="001B1523">
        <w:rPr>
          <w:sz w:val="24"/>
          <w:szCs w:val="24"/>
        </w:rPr>
        <w:t>senescen</w:t>
      </w:r>
      <w:r w:rsidR="009B219F" w:rsidRPr="001B1523">
        <w:rPr>
          <w:sz w:val="24"/>
          <w:szCs w:val="24"/>
        </w:rPr>
        <w:t>ce</w:t>
      </w:r>
      <w:r w:rsidR="004263A8" w:rsidRPr="001B1523">
        <w:rPr>
          <w:sz w:val="24"/>
          <w:szCs w:val="24"/>
        </w:rPr>
        <w:t xml:space="preserve"> in PD. </w:t>
      </w:r>
    </w:p>
    <w:p w14:paraId="0F1BC7DA" w14:textId="50C6EB50" w:rsidR="0075178A" w:rsidRPr="001B1523" w:rsidRDefault="00F9633A" w:rsidP="00AC4E9D">
      <w:pPr>
        <w:spacing w:line="480" w:lineRule="auto"/>
        <w:ind w:firstLine="720"/>
        <w:rPr>
          <w:sz w:val="24"/>
          <w:szCs w:val="24"/>
        </w:rPr>
      </w:pPr>
      <w:r w:rsidRPr="001B1523">
        <w:rPr>
          <w:sz w:val="24"/>
          <w:szCs w:val="24"/>
        </w:rPr>
        <w:t>One interpretation of our findings is that the</w:t>
      </w:r>
      <w:r w:rsidR="000638C5" w:rsidRPr="001B1523">
        <w:rPr>
          <w:sz w:val="24"/>
          <w:szCs w:val="24"/>
        </w:rPr>
        <w:t xml:space="preserve"> observed </w:t>
      </w:r>
      <w:r w:rsidRPr="001B1523">
        <w:rPr>
          <w:sz w:val="24"/>
          <w:szCs w:val="24"/>
        </w:rPr>
        <w:t xml:space="preserve">reduction in </w:t>
      </w:r>
      <w:r w:rsidR="000638C5" w:rsidRPr="001B1523">
        <w:rPr>
          <w:sz w:val="24"/>
          <w:szCs w:val="24"/>
        </w:rPr>
        <w:t xml:space="preserve">senescent </w:t>
      </w:r>
      <w:r w:rsidRPr="001B1523">
        <w:rPr>
          <w:sz w:val="24"/>
          <w:szCs w:val="24"/>
        </w:rPr>
        <w:t>CD8</w:t>
      </w:r>
      <w:r w:rsidRPr="001B1523">
        <w:rPr>
          <w:sz w:val="24"/>
          <w:szCs w:val="24"/>
          <w:vertAlign w:val="superscript"/>
        </w:rPr>
        <w:t>+</w:t>
      </w:r>
      <w:r w:rsidRPr="001B1523">
        <w:rPr>
          <w:sz w:val="24"/>
          <w:szCs w:val="24"/>
        </w:rPr>
        <w:t xml:space="preserve"> T </w:t>
      </w:r>
      <w:r w:rsidR="0075178A" w:rsidRPr="001B1523">
        <w:rPr>
          <w:sz w:val="24"/>
          <w:szCs w:val="24"/>
        </w:rPr>
        <w:t>lymphocytes</w:t>
      </w:r>
      <w:r w:rsidR="000638C5" w:rsidRPr="001B1523">
        <w:rPr>
          <w:sz w:val="24"/>
          <w:szCs w:val="24"/>
        </w:rPr>
        <w:t xml:space="preserve"> reflects</w:t>
      </w:r>
      <w:r w:rsidRPr="001B1523">
        <w:rPr>
          <w:sz w:val="24"/>
          <w:szCs w:val="24"/>
        </w:rPr>
        <w:t xml:space="preserve"> a pre-existing intrinsic difference </w:t>
      </w:r>
      <w:r w:rsidR="000638C5" w:rsidRPr="001B1523">
        <w:rPr>
          <w:sz w:val="24"/>
          <w:szCs w:val="24"/>
        </w:rPr>
        <w:t xml:space="preserve">in the adaptive immune </w:t>
      </w:r>
      <w:r w:rsidR="000638C5" w:rsidRPr="001B1523">
        <w:rPr>
          <w:sz w:val="24"/>
          <w:szCs w:val="24"/>
        </w:rPr>
        <w:lastRenderedPageBreak/>
        <w:t xml:space="preserve">system </w:t>
      </w:r>
      <w:r w:rsidRPr="001B1523">
        <w:rPr>
          <w:sz w:val="24"/>
          <w:szCs w:val="24"/>
        </w:rPr>
        <w:t>in</w:t>
      </w:r>
      <w:r w:rsidR="000638C5" w:rsidRPr="001B1523">
        <w:rPr>
          <w:sz w:val="24"/>
          <w:szCs w:val="24"/>
        </w:rPr>
        <w:t xml:space="preserve"> </w:t>
      </w:r>
      <w:r w:rsidRPr="001B1523">
        <w:rPr>
          <w:sz w:val="24"/>
          <w:szCs w:val="24"/>
        </w:rPr>
        <w:t xml:space="preserve">individuals who develop PD, perhaps </w:t>
      </w:r>
      <w:r w:rsidR="000638C5" w:rsidRPr="001B1523">
        <w:rPr>
          <w:sz w:val="24"/>
          <w:szCs w:val="24"/>
        </w:rPr>
        <w:t>due</w:t>
      </w:r>
      <w:r w:rsidRPr="001B1523">
        <w:rPr>
          <w:sz w:val="24"/>
          <w:szCs w:val="24"/>
        </w:rPr>
        <w:t xml:space="preserve"> to an altered response to earlier viral infections</w:t>
      </w:r>
      <w:r w:rsidR="003476F7" w:rsidRPr="001B1523">
        <w:rPr>
          <w:sz w:val="24"/>
          <w:szCs w:val="24"/>
        </w:rPr>
        <w:t xml:space="preserve">, or due to reduced survival of the </w:t>
      </w:r>
      <w:r w:rsidR="00004E19" w:rsidRPr="001B1523">
        <w:rPr>
          <w:sz w:val="24"/>
          <w:szCs w:val="24"/>
        </w:rPr>
        <w:t>CD8</w:t>
      </w:r>
      <w:r w:rsidR="00004E19" w:rsidRPr="001B1523">
        <w:rPr>
          <w:sz w:val="24"/>
          <w:szCs w:val="24"/>
          <w:vertAlign w:val="superscript"/>
        </w:rPr>
        <w:t>+</w:t>
      </w:r>
      <w:r w:rsidR="00004E19" w:rsidRPr="001B1523">
        <w:rPr>
          <w:sz w:val="24"/>
          <w:szCs w:val="24"/>
        </w:rPr>
        <w:t xml:space="preserve"> TEMRA population</w:t>
      </w:r>
      <w:r w:rsidR="00DE4F61" w:rsidRPr="001B1523">
        <w:rPr>
          <w:sz w:val="24"/>
          <w:szCs w:val="24"/>
        </w:rPr>
        <w:t xml:space="preserve">. </w:t>
      </w:r>
      <w:r w:rsidR="00C33219" w:rsidRPr="001B1523">
        <w:rPr>
          <w:rFonts w:cs="Arial"/>
          <w:sz w:val="24"/>
          <w:szCs w:val="24"/>
        </w:rPr>
        <w:t xml:space="preserve">The </w:t>
      </w:r>
      <w:r w:rsidRPr="001B1523">
        <w:rPr>
          <w:rFonts w:cs="Arial"/>
          <w:sz w:val="24"/>
          <w:szCs w:val="24"/>
        </w:rPr>
        <w:t>shift of CD8</w:t>
      </w:r>
      <w:r w:rsidRPr="001B1523">
        <w:rPr>
          <w:rFonts w:cs="Arial"/>
          <w:sz w:val="24"/>
          <w:szCs w:val="24"/>
          <w:vertAlign w:val="superscript"/>
        </w:rPr>
        <w:t>+</w:t>
      </w:r>
      <w:r w:rsidRPr="001B1523">
        <w:rPr>
          <w:rFonts w:cs="Arial"/>
          <w:sz w:val="24"/>
          <w:szCs w:val="24"/>
        </w:rPr>
        <w:t xml:space="preserve"> T cells towards a senescent phenotype </w:t>
      </w:r>
      <w:r w:rsidR="00E11C04" w:rsidRPr="001B1523">
        <w:rPr>
          <w:rFonts w:cs="Arial"/>
          <w:sz w:val="24"/>
          <w:szCs w:val="24"/>
        </w:rPr>
        <w:t xml:space="preserve">in response to viral exposure </w:t>
      </w:r>
      <w:r w:rsidRPr="001B1523">
        <w:rPr>
          <w:rFonts w:cs="Arial"/>
          <w:sz w:val="24"/>
          <w:szCs w:val="24"/>
        </w:rPr>
        <w:t xml:space="preserve">during </w:t>
      </w:r>
      <w:r w:rsidR="00B8705A" w:rsidRPr="001B1523">
        <w:rPr>
          <w:rFonts w:cs="Arial"/>
          <w:sz w:val="24"/>
          <w:szCs w:val="24"/>
        </w:rPr>
        <w:t>normal ageing</w:t>
      </w:r>
      <w:r w:rsidR="00E11C04" w:rsidRPr="001B1523">
        <w:rPr>
          <w:rFonts w:cs="Arial"/>
          <w:sz w:val="24"/>
          <w:szCs w:val="24"/>
        </w:rPr>
        <w:t xml:space="preserve"> </w:t>
      </w:r>
      <w:r w:rsidR="00C33219" w:rsidRPr="001B1523">
        <w:rPr>
          <w:rFonts w:cs="Arial"/>
          <w:sz w:val="24"/>
          <w:szCs w:val="24"/>
        </w:rPr>
        <w:t xml:space="preserve">may have </w:t>
      </w:r>
      <w:r w:rsidR="00B8705A" w:rsidRPr="001B1523">
        <w:rPr>
          <w:rFonts w:cs="Arial"/>
          <w:sz w:val="24"/>
          <w:szCs w:val="24"/>
        </w:rPr>
        <w:t>a protective effect</w:t>
      </w:r>
      <w:r w:rsidRPr="001B1523">
        <w:rPr>
          <w:rFonts w:cs="Arial"/>
          <w:sz w:val="24"/>
          <w:szCs w:val="24"/>
        </w:rPr>
        <w:t xml:space="preserve"> in terms of PD risk,</w:t>
      </w:r>
      <w:r w:rsidR="00B8705A" w:rsidRPr="001B1523">
        <w:rPr>
          <w:rFonts w:cs="Arial"/>
          <w:sz w:val="24"/>
          <w:szCs w:val="24"/>
        </w:rPr>
        <w:t xml:space="preserve"> through limiting immune activation</w:t>
      </w:r>
      <w:r w:rsidRPr="001B1523">
        <w:rPr>
          <w:rFonts w:cs="Arial"/>
          <w:sz w:val="24"/>
          <w:szCs w:val="24"/>
        </w:rPr>
        <w:t xml:space="preserve"> to novel or disease-associated antigens</w:t>
      </w:r>
      <w:r w:rsidR="00904EB3" w:rsidRPr="001B1523">
        <w:rPr>
          <w:rFonts w:cs="Arial"/>
          <w:sz w:val="24"/>
          <w:szCs w:val="24"/>
        </w:rPr>
        <w:t xml:space="preserve"> </w:t>
      </w:r>
      <w:r w:rsidR="00B8705A" w:rsidRPr="001B1523">
        <w:rPr>
          <w:rFonts w:cs="Arial"/>
          <w:sz w:val="24"/>
          <w:szCs w:val="24"/>
        </w:rPr>
        <w:t>and consequently reducing neuroinflammation</w:t>
      </w:r>
      <w:r w:rsidR="000638C5" w:rsidRPr="001B1523">
        <w:rPr>
          <w:rFonts w:cs="Arial"/>
          <w:sz w:val="24"/>
          <w:szCs w:val="24"/>
        </w:rPr>
        <w:t>.</w:t>
      </w:r>
      <w:r w:rsidR="00C83EFF" w:rsidRPr="001B1523">
        <w:rPr>
          <w:rFonts w:cs="Arial"/>
          <w:sz w:val="24"/>
          <w:szCs w:val="24"/>
        </w:rPr>
        <w:t xml:space="preserve"> This is in line with data showing that CMV infection is not associated with all-cause or cardiovascular mortality</w:t>
      </w:r>
      <w:r w:rsidR="00496B29" w:rsidRPr="001B1523">
        <w:rPr>
          <w:rFonts w:cs="Arial"/>
          <w:sz w:val="24"/>
          <w:szCs w:val="24"/>
        </w:rPr>
        <w:t xml:space="preserve"> in older adults </w:t>
      </w:r>
      <w:r w:rsidR="00496B29" w:rsidRPr="001B1523">
        <w:rPr>
          <w:rFonts w:cs="Arial"/>
          <w:sz w:val="24"/>
          <w:szCs w:val="24"/>
        </w:rPr>
        <w:fldChar w:fldCharType="begin"/>
      </w:r>
      <w:r w:rsidR="00CE3D6F" w:rsidRPr="001B1523">
        <w:rPr>
          <w:rFonts w:cs="Arial"/>
          <w:sz w:val="24"/>
          <w:szCs w:val="24"/>
        </w:rPr>
        <w:instrText xml:space="preserve"> ADDIN ZOTERO_ITEM CSL_CITATION {"citationID":"uiyd6ZMt","properties":{"formattedCitation":"[42]","plainCitation":"[42]","noteIndex":0},"citationItems":[{"id":11029,"uris":["http://zotero.org/users/2272275/items/C78M6VCT"],"uri":["http://zotero.org/users/2272275/items/C78M6VCT"],"itemData":{"id":11029,"type":"article-journal","abstract":"Whether latent cytomegalovirus (CMV) infection in older adults has any substantial health consequences is unclear. Here, we sought associations between CMV-seropositivity and IgG titer with all-cause and cardiovascular mortality in 5 longitudinal cohorts.Leiden Longevity Study, Prospective Study of Pravastatin in the Elderly at Risk, Longitudinal Study of Aging Danish Twins, and Leiden 85-plus Study were assessed at median (2.8–11.4 years) follow-up . Cox regression and random effects meta-analysis were used to estimate mortality risk dependent on CMV serostatus and/or IgG antibody titer, in quartiles after adjusting for confounders.CMV-seropositivity was seen in 47%–79% of 10 122 white community-dwelling adults aged 59–93 years. Of these, 3519 had died on follow-up (579 from cardiovascular disease). CMV seropositivity was not associated with all-cause (hazard ratio [HR], 1.05; 95% confidence interval [CI], .97–1.14) or cardiovascular mortality (HR, 0.97; 95% CI, .83–1.13). Subjects in the highest CMV IgG quartile group had increased all-cause mortality relative to CMV-seronegatives (HR, 1.16; 95% CI, 1.04–1.29) but this association lost significance after adjustment for confounders (HR, 1.13; 95% CI, .99–1.29). The lack of increased mortality risk was confirmed in subanalyses.CMV infection is not associated with all-cause or cardiovascular mortality in white community-dwelling older adults.","container-title":"The Journal of Infectious Diseases","DOI":"10.1093/infdis/jiaa480","ISSN":"0022-1899","issue":"2","journalAbbreviation":"The Journal of Infectious Diseases","page":"238-246","source":"Silverchair","title":"Associations of Cytomegalovirus Infection With All-Cause and Cardiovascular Mortality in Multiple Observational Cohort Studies of Older Adults","volume":"223","author":[{"family":"Chen","given":"Sijia"},{"family":"Pawelec","given":"Graham"},{"family":"Trompet","given":"Stella"},{"family":"Goldeck","given":"David"},{"family":"Mortensen","given":"Laust H"},{"family":"Slagboom","given":"P Eline"},{"family":"Christensen","given":"Kaare"},{"family":"Gussekloo","given":"Jacobijn"},{"family":"Kearney","given":"Patricia"},{"family":"Buckley","given":"Brendan M"},{"family":"Ford","given":"Ian"},{"family":"Jukema","given":"J Wouter"},{"family":"Westendorp","given":"Rudi G J"},{"family":"Maier","given":"Andrea B"}],"issued":{"date-parts":[["2021",1,15]]}}}],"schema":"https://github.com/citation-style-language/schema/raw/master/csl-citation.json"} </w:instrText>
      </w:r>
      <w:r w:rsidR="00496B29" w:rsidRPr="001B1523">
        <w:rPr>
          <w:rFonts w:cs="Arial"/>
          <w:sz w:val="24"/>
          <w:szCs w:val="24"/>
        </w:rPr>
        <w:fldChar w:fldCharType="separate"/>
      </w:r>
      <w:r w:rsidR="00CE3D6F" w:rsidRPr="001B1523">
        <w:rPr>
          <w:rFonts w:cs="Arial"/>
          <w:sz w:val="24"/>
        </w:rPr>
        <w:t>[42]</w:t>
      </w:r>
      <w:r w:rsidR="00496B29" w:rsidRPr="001B1523">
        <w:rPr>
          <w:rFonts w:cs="Arial"/>
          <w:sz w:val="24"/>
          <w:szCs w:val="24"/>
        </w:rPr>
        <w:fldChar w:fldCharType="end"/>
      </w:r>
      <w:r w:rsidR="00C83EFF" w:rsidRPr="001B1523">
        <w:rPr>
          <w:rFonts w:cs="Arial"/>
          <w:sz w:val="24"/>
          <w:szCs w:val="24"/>
        </w:rPr>
        <w:t xml:space="preserve">. </w:t>
      </w:r>
      <w:r w:rsidR="00904EB3" w:rsidRPr="001B1523">
        <w:rPr>
          <w:sz w:val="24"/>
          <w:szCs w:val="24"/>
        </w:rPr>
        <w:t>In PD, a more active and less senescent T</w:t>
      </w:r>
      <w:r w:rsidR="00F47513" w:rsidRPr="001B1523">
        <w:rPr>
          <w:sz w:val="24"/>
          <w:szCs w:val="24"/>
        </w:rPr>
        <w:t xml:space="preserve"> </w:t>
      </w:r>
      <w:r w:rsidR="00904EB3" w:rsidRPr="001B1523">
        <w:rPr>
          <w:sz w:val="24"/>
          <w:szCs w:val="24"/>
        </w:rPr>
        <w:t xml:space="preserve">cell profile may be responsible for driving an exaggerated response to PD-associated antigens, such as </w:t>
      </w:r>
      <w:r w:rsidR="00904EB3" w:rsidRPr="001B1523">
        <w:rPr>
          <w:sz w:val="24"/>
          <w:szCs w:val="24"/>
          <w:lang w:val="el-GR"/>
        </w:rPr>
        <w:t>α</w:t>
      </w:r>
      <w:r w:rsidR="00904EB3" w:rsidRPr="001B1523">
        <w:rPr>
          <w:sz w:val="24"/>
          <w:szCs w:val="24"/>
        </w:rPr>
        <w:t xml:space="preserve">-synuclein. Indeed, recent evidence from human studies suggests that α-synuclein epitopes are recognised by autoreactive T lymphocytes in PD </w:t>
      </w:r>
      <w:r w:rsidR="00904EB3" w:rsidRPr="001B1523">
        <w:rPr>
          <w:sz w:val="24"/>
          <w:szCs w:val="24"/>
        </w:rPr>
        <w:fldChar w:fldCharType="begin"/>
      </w:r>
      <w:r w:rsidR="00CE3D6F" w:rsidRPr="001B1523">
        <w:rPr>
          <w:sz w:val="24"/>
          <w:szCs w:val="24"/>
        </w:rPr>
        <w:instrText xml:space="preserve"> ADDIN ZOTERO_ITEM CSL_CITATION {"citationID":"HbYfaiYy","properties":{"formattedCitation":"[43]","plainCitation":"[43]","noteIndex":0},"citationItems":[{"id":1293,"uris":["http://zotero.org/users/2272275/items/NC7G3GJ5"],"uri":["http://zotero.org/users/2272275/items/NC7G3GJ5"],"itemData":{"id":1293,"type":"article-journal","abstract":"&lt;p&gt;Major pathological hallmarks of Parkinson's disease are the death of neurons in the substantia nigra, a region of the brain associated with movement, and the presence of intraneuronal aggregates of -synuclein. Genetic studies associate Parkinson's disease with alleles of the major histocompatibility complex. David Sulzer and colleagues show here that a defined set of peptides derived from -synuclein is able to elicit a specific immune response from T cells obtained from Parkinson's disease patients. This suggests that there may be an immune component to the origins of Parkinson's disease, involving CD4&lt;sup&gt;+&lt;/sup&gt; T cells as well as CD8&lt;sup&gt;+&lt;/sup&gt; cytotoxic T cells, which may explain the reported association of Parkinson's disease with alleles of the acquired immune system.&lt;/p&gt;","container-title":"Nature","DOI":"10.1038/nature22815","ISSN":"1476-4687","issue":"7660","language":"En","page":"656","source":"www.nature.com","title":"T cells from patients with Parkinson’s disease recognize α-synuclein peptides","volume":"546","author":[{"family":"Sulzer","given":"David"},{"family":"Alcalay","given":"Roy N."},{"family":"Garretti","given":"Francesca"},{"family":"Cote","given":"Lucien"},{"family":"Kanter","given":"Ellen"},{"family":"Agin-Liebes","given":"Julian"},{"family":"Liong","given":"Christopher"},{"family":"McMurtrey","given":"Curtis"},{"family":"Hildebrand","given":"William H."},{"family":"Mao","given":"Xiaobo"},{"family":"Dawson","given":"Valina L."},{"family":"Dawson","given":"Ted M."},{"family":"Oseroff","given":"Carla"},{"family":"Pham","given":"John"},{"family":"Sidney","given":"John"},{"family":"Dillon","given":"Myles B."},{"family":"Carpenter","given":"Chelsea"},{"family":"Weiskopf","given":"Daniela"},{"family":"Phillips","given":"Elizabeth"},{"family":"Mallal","given":"Simon"},{"family":"Peters","given":"Bjoern"},{"family":"Frazier","given":"April"},{"family":"Arlehamn","given":"Cecilia S. Lindestam"},{"family":"Sette","given":"Alessandro"}],"issued":{"date-parts":[["2017",6]]}}}],"schema":"https://github.com/citation-style-language/schema/raw/master/csl-citation.json"} </w:instrText>
      </w:r>
      <w:r w:rsidR="00904EB3" w:rsidRPr="001B1523">
        <w:rPr>
          <w:sz w:val="24"/>
          <w:szCs w:val="24"/>
        </w:rPr>
        <w:fldChar w:fldCharType="separate"/>
      </w:r>
      <w:r w:rsidR="00CE3D6F" w:rsidRPr="001B1523">
        <w:rPr>
          <w:rFonts w:cs="Arial"/>
          <w:sz w:val="24"/>
        </w:rPr>
        <w:t>[43]</w:t>
      </w:r>
      <w:r w:rsidR="00904EB3" w:rsidRPr="001B1523">
        <w:rPr>
          <w:sz w:val="24"/>
          <w:szCs w:val="24"/>
        </w:rPr>
        <w:fldChar w:fldCharType="end"/>
      </w:r>
      <w:r w:rsidR="0075178A" w:rsidRPr="001B1523">
        <w:rPr>
          <w:sz w:val="24"/>
          <w:szCs w:val="24"/>
        </w:rPr>
        <w:t>.</w:t>
      </w:r>
    </w:p>
    <w:p w14:paraId="2F0A7F51" w14:textId="0D21976D" w:rsidR="00965359" w:rsidRPr="001B1523" w:rsidRDefault="000638C5" w:rsidP="00AC4E9D">
      <w:pPr>
        <w:spacing w:line="480" w:lineRule="auto"/>
        <w:ind w:firstLine="720"/>
        <w:rPr>
          <w:sz w:val="24"/>
          <w:szCs w:val="24"/>
        </w:rPr>
      </w:pPr>
      <w:r w:rsidRPr="001B1523">
        <w:rPr>
          <w:rFonts w:cs="Arial"/>
          <w:sz w:val="24"/>
          <w:szCs w:val="24"/>
        </w:rPr>
        <w:t>Alternatively, it is possible that the significance of CD8</w:t>
      </w:r>
      <w:r w:rsidRPr="001B1523">
        <w:rPr>
          <w:rFonts w:cs="Arial"/>
          <w:sz w:val="24"/>
          <w:szCs w:val="24"/>
          <w:vertAlign w:val="superscript"/>
        </w:rPr>
        <w:t>+</w:t>
      </w:r>
      <w:r w:rsidRPr="001B1523">
        <w:rPr>
          <w:rFonts w:cs="Arial"/>
          <w:sz w:val="24"/>
          <w:szCs w:val="24"/>
        </w:rPr>
        <w:t xml:space="preserve"> TEMRAs relates </w:t>
      </w:r>
      <w:r w:rsidR="001B7B4E" w:rsidRPr="001B1523">
        <w:rPr>
          <w:rFonts w:cs="Arial"/>
          <w:sz w:val="24"/>
          <w:szCs w:val="24"/>
        </w:rPr>
        <w:t xml:space="preserve">to their </w:t>
      </w:r>
      <w:r w:rsidR="00004E19" w:rsidRPr="001B1523">
        <w:rPr>
          <w:rFonts w:cs="Arial"/>
          <w:sz w:val="24"/>
          <w:szCs w:val="24"/>
        </w:rPr>
        <w:t>cytotoxic</w:t>
      </w:r>
      <w:r w:rsidR="0075178A" w:rsidRPr="001B1523">
        <w:rPr>
          <w:rFonts w:cs="Arial"/>
          <w:sz w:val="24"/>
          <w:szCs w:val="24"/>
        </w:rPr>
        <w:t xml:space="preserve"> </w:t>
      </w:r>
      <w:r w:rsidR="00004E19" w:rsidRPr="001B1523">
        <w:rPr>
          <w:rFonts w:cs="Arial"/>
          <w:sz w:val="24"/>
          <w:szCs w:val="24"/>
        </w:rPr>
        <w:t>capacity</w:t>
      </w:r>
      <w:r w:rsidR="001B7B4E" w:rsidRPr="001B1523">
        <w:rPr>
          <w:rFonts w:cs="Arial"/>
          <w:sz w:val="24"/>
          <w:szCs w:val="24"/>
        </w:rPr>
        <w:t xml:space="preserve">. Although TEMRAs are late differentiated </w:t>
      </w:r>
      <w:r w:rsidR="0075178A" w:rsidRPr="001B1523">
        <w:rPr>
          <w:rFonts w:cs="Arial"/>
          <w:sz w:val="24"/>
          <w:szCs w:val="24"/>
        </w:rPr>
        <w:t>lymphocytes</w:t>
      </w:r>
      <w:r w:rsidR="001B7B4E" w:rsidRPr="001B1523">
        <w:rPr>
          <w:rFonts w:cs="Arial"/>
          <w:sz w:val="24"/>
          <w:szCs w:val="24"/>
        </w:rPr>
        <w:t xml:space="preserve"> with characteristics of replicative senescence, they remain highly cytotoxic on stimulation by their target antigen</w:t>
      </w:r>
      <w:r w:rsidR="00FD1D13" w:rsidRPr="001B1523">
        <w:rPr>
          <w:rFonts w:cs="Arial"/>
          <w:sz w:val="24"/>
          <w:szCs w:val="24"/>
        </w:rPr>
        <w:t xml:space="preserve"> and may play a critical role in certain disease states, for example driving graft failure in renal transplant patients</w:t>
      </w:r>
      <w:r w:rsidR="00971370" w:rsidRPr="001B1523">
        <w:rPr>
          <w:rFonts w:cs="Arial"/>
          <w:sz w:val="24"/>
          <w:szCs w:val="24"/>
        </w:rPr>
        <w:t xml:space="preserve"> </w:t>
      </w:r>
      <w:r w:rsidR="00971370" w:rsidRPr="001B1523">
        <w:rPr>
          <w:rFonts w:cs="Arial"/>
          <w:sz w:val="24"/>
          <w:szCs w:val="24"/>
        </w:rPr>
        <w:fldChar w:fldCharType="begin"/>
      </w:r>
      <w:r w:rsidR="00CE3D6F" w:rsidRPr="001B1523">
        <w:rPr>
          <w:rFonts w:cs="Arial"/>
          <w:sz w:val="24"/>
          <w:szCs w:val="24"/>
        </w:rPr>
        <w:instrText xml:space="preserve"> ADDIN ZOTERO_ITEM CSL_CITATION {"citationID":"dSxIn2au","properties":{"formattedCitation":"[44]","plainCitation":"[44]","noteIndex":0},"citationItems":[{"id":11002,"uris":["http://zotero.org/users/2272275/items/Q6VQLHCZ"],"uri":["http://zotero.org/users/2272275/items/Q6VQLHCZ"],"itemData":{"id":11002,"type":"article-journal","abstract":"Visual Abstract\n&lt;img class=\"highwire-fragment fragment-image\" alt=\"Figure1\" src=\"https://jasn.asnjournals.org/content/jnephrol/31/4/876/F1.medium.gif\" width=\"440\" height=\"305\"/&gt;Download figureOpen in new tabDownload powerpoint\n\nBackground Identifying biomarkers to predict kidney transplant failure and to define new therapeutic targets requires more comprehensive understanding of the immune response to chronic allogeneic stimulation.\nMethods We investigated the frequency and function of CD8+ T cell subsets—including effector memory (EM) and terminally differentiated EM (TEMRA) CD8+ T cells—in blood samples from 284 kidney transplant recipients recruited 1 year post-transplant and followed for a median of 8.3 years. We also analyzed CD8+ T cell reactivity to donor-specific PBMCs in 24 patients who had received living-donor kidney transplants.\nResults Increased frequency of circulating TEMRA CD8+ T cells at 1 year post-transplant associated with increased risk of graft failure during follow-up. This association remained after adjustment for a previously reported composite of eight clinical variables, the Kidney Transplant Failure Score. In contrast, increased frequency of EM CD8+ T cells associated with reduced risk of graft failure. A distinct TEMRA CD8+ T cell subpopulation was identified that was characterized by expression of FcγRIIIA (CD16) and by high levels of proinflammatory cytokine secretion and cytotoxic activity. Although donor-specific stimulation induced a similar rapid, early response in EM and TEMRA CD8+ T cells, CD16 engagement resulted in selective activation of TEMRA CD8+ T cells, which mediated antibody-dependent cytotoxicity.\nConclusions At 1 year post-transplant, the composition of memory CD8+ T cell subsets in blood improved prediction of 8-year kidney transplant failure compared with a clinical-variables score alone. A subpopulation of TEMRA CD8+ T cells displays a novel dual mechanism of activation mediated by engagement of the T-cell receptor or of CD16. These findings suggest that TEMRA CD8+ T cells play a pivotal role in humoral and cellular rejection and reveal the potential value of memory CD8+ T cell monitoring for predicting risk of kidney transplant failure.","container-title":"Journal of the American Society of Nephrology","DOI":"10.1681/ASN.2019080847","ISSN":"1046-6673, 1533-3450","issue":"4","journalAbbreviation":"JASN","language":"en","note":"publisher: American Society of Nephrology\nsection: Clinical Research\nPMID: 32165419","page":"876-891","source":"jasn.asnjournals.org","title":"Terminally Differentiated Effector Memory CD8+ T Cells Identify Kidney Transplant Recipients at High Risk of Graft Failure","volume":"31","author":[{"family":"Jacquemont","given":"Lola"},{"family":"Tilly","given":"Gaëlle"},{"family":"Yap","given":"Michelle"},{"family":"Doan-Ngoc","given":"Tra-My"},{"family":"Danger","given":"Richard"},{"family":"Guérif","given":"Pierrick"},{"family":"Delbos","given":"Florent"},{"family":"Martinet","given":"Bernard"},{"family":"Giral","given":"Magali"},{"family":"Foucher","given":"Yohann"},{"family":"Brouard","given":"Sophie"},{"family":"Degauque","given":"Nicolas"}],"issued":{"date-parts":[["2020",4,1]]}}}],"schema":"https://github.com/citation-style-language/schema/raw/master/csl-citation.json"} </w:instrText>
      </w:r>
      <w:r w:rsidR="00971370" w:rsidRPr="001B1523">
        <w:rPr>
          <w:rFonts w:cs="Arial"/>
          <w:sz w:val="24"/>
          <w:szCs w:val="24"/>
        </w:rPr>
        <w:fldChar w:fldCharType="separate"/>
      </w:r>
      <w:r w:rsidR="00CE3D6F" w:rsidRPr="001B1523">
        <w:rPr>
          <w:rFonts w:cs="Arial"/>
          <w:sz w:val="24"/>
        </w:rPr>
        <w:t>[44]</w:t>
      </w:r>
      <w:r w:rsidR="00971370" w:rsidRPr="001B1523">
        <w:rPr>
          <w:rFonts w:cs="Arial"/>
          <w:sz w:val="24"/>
          <w:szCs w:val="24"/>
        </w:rPr>
        <w:fldChar w:fldCharType="end"/>
      </w:r>
      <w:r w:rsidR="00004E19" w:rsidRPr="001B1523">
        <w:rPr>
          <w:rFonts w:cs="Arial"/>
          <w:sz w:val="24"/>
          <w:szCs w:val="24"/>
        </w:rPr>
        <w:t>. CD8</w:t>
      </w:r>
      <w:r w:rsidR="00004E19" w:rsidRPr="001B1523">
        <w:rPr>
          <w:rFonts w:cs="Arial"/>
          <w:sz w:val="24"/>
          <w:szCs w:val="24"/>
          <w:vertAlign w:val="superscript"/>
        </w:rPr>
        <w:t>+</w:t>
      </w:r>
      <w:r w:rsidR="00004E19" w:rsidRPr="001B1523">
        <w:rPr>
          <w:rFonts w:cs="Arial"/>
          <w:sz w:val="24"/>
          <w:szCs w:val="24"/>
        </w:rPr>
        <w:t xml:space="preserve"> TEMRAs with specificity for disease relevant antigens </w:t>
      </w:r>
      <w:r w:rsidR="00082B29" w:rsidRPr="001B1523">
        <w:rPr>
          <w:rFonts w:cs="Arial"/>
          <w:sz w:val="24"/>
          <w:szCs w:val="24"/>
        </w:rPr>
        <w:t xml:space="preserve">could be </w:t>
      </w:r>
      <w:r w:rsidR="00004E19" w:rsidRPr="001B1523">
        <w:rPr>
          <w:rFonts w:cs="Arial"/>
          <w:sz w:val="24"/>
          <w:szCs w:val="24"/>
        </w:rPr>
        <w:t xml:space="preserve">sequestered </w:t>
      </w:r>
      <w:r w:rsidR="00904EB3" w:rsidRPr="001B1523">
        <w:rPr>
          <w:rFonts w:cs="Arial"/>
          <w:sz w:val="24"/>
          <w:szCs w:val="24"/>
        </w:rPr>
        <w:t xml:space="preserve">out of the blood and </w:t>
      </w:r>
      <w:r w:rsidR="00004E19" w:rsidRPr="001B1523">
        <w:rPr>
          <w:rFonts w:cs="Arial"/>
          <w:sz w:val="24"/>
          <w:szCs w:val="24"/>
        </w:rPr>
        <w:t xml:space="preserve">into the </w:t>
      </w:r>
      <w:r w:rsidR="004968BF" w:rsidRPr="001B1523">
        <w:rPr>
          <w:rFonts w:cs="Arial"/>
          <w:sz w:val="24"/>
          <w:szCs w:val="24"/>
        </w:rPr>
        <w:t>central nervous system (CNS)</w:t>
      </w:r>
      <w:r w:rsidR="00004E19" w:rsidRPr="001B1523">
        <w:rPr>
          <w:rFonts w:cs="Arial"/>
          <w:sz w:val="24"/>
          <w:szCs w:val="24"/>
        </w:rPr>
        <w:t xml:space="preserve"> in PD</w:t>
      </w:r>
      <w:r w:rsidR="00FD1D13" w:rsidRPr="001B1523">
        <w:rPr>
          <w:rFonts w:cs="Arial"/>
          <w:sz w:val="24"/>
          <w:szCs w:val="24"/>
        </w:rPr>
        <w:t>,</w:t>
      </w:r>
      <w:r w:rsidR="008F703F" w:rsidRPr="001B1523">
        <w:rPr>
          <w:rFonts w:cs="Arial"/>
          <w:sz w:val="24"/>
          <w:szCs w:val="24"/>
        </w:rPr>
        <w:t xml:space="preserve"> where they</w:t>
      </w:r>
      <w:r w:rsidR="00904EB3" w:rsidRPr="001B1523">
        <w:rPr>
          <w:rFonts w:cs="Arial"/>
          <w:sz w:val="24"/>
          <w:szCs w:val="24"/>
        </w:rPr>
        <w:t xml:space="preserve"> </w:t>
      </w:r>
      <w:r w:rsidR="00FD1D13" w:rsidRPr="001B1523">
        <w:rPr>
          <w:rFonts w:cs="Arial"/>
          <w:sz w:val="24"/>
          <w:szCs w:val="24"/>
        </w:rPr>
        <w:t xml:space="preserve">may </w:t>
      </w:r>
      <w:r w:rsidR="00904EB3" w:rsidRPr="001B1523">
        <w:rPr>
          <w:rFonts w:cs="Arial"/>
          <w:sz w:val="24"/>
          <w:szCs w:val="24"/>
        </w:rPr>
        <w:t>drive a neurotoxic response</w:t>
      </w:r>
      <w:r w:rsidR="00004E19" w:rsidRPr="001B1523">
        <w:rPr>
          <w:rFonts w:cs="Arial"/>
          <w:sz w:val="24"/>
          <w:szCs w:val="24"/>
        </w:rPr>
        <w:t xml:space="preserve">. </w:t>
      </w:r>
      <w:r w:rsidR="00684741" w:rsidRPr="001B1523">
        <w:rPr>
          <w:rFonts w:cs="Arial"/>
          <w:sz w:val="24"/>
          <w:szCs w:val="24"/>
        </w:rPr>
        <w:t>Post-mortem</w:t>
      </w:r>
      <w:r w:rsidR="005877C7" w:rsidRPr="001B1523">
        <w:rPr>
          <w:rFonts w:cs="Arial"/>
          <w:sz w:val="24"/>
          <w:szCs w:val="24"/>
        </w:rPr>
        <w:t xml:space="preserve"> studies have shown </w:t>
      </w:r>
      <w:r w:rsidR="005877C7" w:rsidRPr="001B1523">
        <w:rPr>
          <w:sz w:val="24"/>
          <w:szCs w:val="24"/>
        </w:rPr>
        <w:t>increased infiltration of both CD4</w:t>
      </w:r>
      <w:r w:rsidR="005877C7" w:rsidRPr="001B1523">
        <w:rPr>
          <w:sz w:val="24"/>
          <w:szCs w:val="24"/>
          <w:vertAlign w:val="superscript"/>
        </w:rPr>
        <w:t>+</w:t>
      </w:r>
      <w:r w:rsidR="005877C7" w:rsidRPr="001B1523">
        <w:rPr>
          <w:sz w:val="24"/>
          <w:szCs w:val="24"/>
        </w:rPr>
        <w:t xml:space="preserve"> and CD8</w:t>
      </w:r>
      <w:r w:rsidR="005877C7" w:rsidRPr="001B1523">
        <w:rPr>
          <w:sz w:val="24"/>
          <w:szCs w:val="24"/>
          <w:vertAlign w:val="superscript"/>
        </w:rPr>
        <w:t>+</w:t>
      </w:r>
      <w:r w:rsidR="005877C7" w:rsidRPr="001B1523">
        <w:rPr>
          <w:sz w:val="24"/>
          <w:szCs w:val="24"/>
        </w:rPr>
        <w:t xml:space="preserve"> T lymphocytes into the PD brain </w:t>
      </w:r>
      <w:r w:rsidR="005877C7" w:rsidRPr="001B1523">
        <w:rPr>
          <w:sz w:val="24"/>
          <w:szCs w:val="24"/>
        </w:rPr>
        <w:fldChar w:fldCharType="begin"/>
      </w:r>
      <w:r w:rsidR="00CE3D6F" w:rsidRPr="001B1523">
        <w:rPr>
          <w:sz w:val="24"/>
          <w:szCs w:val="24"/>
        </w:rPr>
        <w:instrText xml:space="preserve"> ADDIN ZOTERO_ITEM CSL_CITATION {"citationID":"95jot5wD","properties":{"unsorted":true,"formattedCitation":"[45\\uc0\\u8211{}47]","plainCitation":"[45–47]","noteIndex":0},"citationItems":[{"id":10716,"uris":["http://zotero.org/users/2272275/items/STNFHZV4"],"uri":["http://zotero.org/users/2272275/items/STNFHZV4"],"itemData":{"id":10716,"type":"article-journal","abstract":"Parkinson’s disease dementia  is neuropathologically characterized by aggregates of α-synuclein (Lewy bodies) in limbic and neocortical areas of the brain with additional involvement of Alzheimer’s disease-type pathology. Whilst immune activation is well-described in Parkinson’s disease (PD), how it links to protein aggregation and its role in PD dementia has not been explored. We hypothesized that neuroinflammatory processes are a critical contributor to the pathology of PDD. To address this hypothesis, we examined 7 brain regions at postmortem from 17 PD patients with no dementia (PDND), 11 patients with PD dementia (PDD), and 14 age and sex-matched neurologically healthy controls. Digital quantification after immunohistochemical staining showed a significant increase in the severity of α-synuclein pathology in the hippocampus, entorhinal and occipitotemporal cortex of PDD compared to PDND cases. In contrast, there was no difference in either tau or amyloid-β pathology between the groups in any of the examined regions. Importantly, we found an increase in activated microglia in the amygdala of demented PD brains compared to controls which correlated significantly with the extent of α-synuclein pathology in this region. Significant infiltration of CD4+ T lymphocytes into the brain parenchyma was commonly observed in PDND and PDD cases compared to controls, in both the substantia nigra and the amygdala. Amongst PDND/PDD cases, CD4+ T cell counts in the amygdala correlated with activated microglia, α-synuclein and tau pathology. Upregulation of the pro-inflammatory cytokine interleukin 1β was also evident in the substantia nigra as well as the frontal cortex in PDND/PDD versus controls with a concomitant upregulation in Toll-like receptor 4 (TLR4) in these regions, as well as the amygdala. The evidence presented in this study show an increased immune response in limbic and cortical brain regions, including increased microglial activation, infiltration of T lymphocytes, upregulation of pro-inflammatory cytokines and TLR gene expression, which has not been previously reported in the postmortem PDD brain.","container-title":"Acta Neuropathologica Communications","DOI":"10.1186/s40478-020-01083-5","ISSN":"2051-5960","issue":"1","journalAbbreviation":"Acta Neuropathologica Communications","page":"211","source":"BioMed Central","title":"Neuroinflammation and protein pathology in Parkinson’s disease dementia","volume":"8","author":[{"family":"Kouli","given":"Antonina"},{"family":"Camacho","given":"Marta"},{"family":"Allinson","given":"Kieren"},{"family":"Williams-Gray","given":"Caroline H."}],"issued":{"date-parts":[["2020",12,3]]}}},{"id":10942,"uris":["http://zotero.org/users/2272275/items/Y87NGGBJ"],"uri":["http://zotero.org/users/2272275/items/Y87NGGBJ"],"itemData":{"id":10942,"type":"article-journal","abstract":"There is no consensus on the exact role of the adaptive immune system in Parkinson’s disease pathogenesis, although there is increasing evidence that it is somehow involved. Moreover, T cell infiltration in the brain has not been thoroughly studied in Parkinson’s disease and no study has assessed the infiltration in incidental Lewy body diseases cases that are considered to be early presymptomatic stages of the disease. In this study, we performed an immunohistochemistry/immunofluorescence quantitative and phenotypic assessment of T cell infiltration in human substantia nigra pars compacta and analysed the correlations with neuronal death and synucleinopathy throughout different stages of the disease. We included two groups of incidental Lewy disease in the study. One of the groups, which is believed to be the earliest stage of the disease, showed α-synuclein aggregates only in the olfactory bulb. The second group also presented α-synuclein aggregates in the substantia nigra. We also assessed the formation of different α-synuclein aggregates throughout the different stages of the unified staging system for Lewy body disorders (I to IV). We found that CD8 T cells were increased in diagnosed Parkinson’s disease cases compared to the control group and their density positively correlated with neuronal death. Some of the infiltrating CD8 T cells were indeed contacting dopaminergic neurons. No differences were found regarding CD4 T cells. In the earliest stage of the disease, when substantia nigra α-synuclein aggregation is absent, we found a robust CD8 T cell infiltration and no dopaminergic neuronal death yet. Conversely, in the next stage we found neuronal loss and a milder CD8 T cell infiltration. CD8 T cell infiltration paralleled that of α-synuclein accumulation and neuronal death throughout stages II to IV. We also confirmed that CD8 T cells in charge of immune surveillance and involved in the aetiopathogenesis of the disease are equipped with cytolytic enzymes (granzyme A, B and K) and/or proinflammatory cytokines (interferon gamma), and that phenotypic differences were observed between early and late stages of the disease. We also demonstrate that a high proportion of nigral CD8 T cells are tissue resident memory T cells. Our results show that nigral cytotoxic CD8 T cell infiltration is an earlier pathogenic event than α-synuclein aggregation and neuronal death and that it parallels the progression of neuronal death and synucleinopathy in Parkinson’s disease. Overall, our study suggests that CD8 T cell cytotoxic attack may initiate and propagate neuronal death and synucleinopathy in Parkinson’s disease.","container-title":"Brain","DOI":"10.1093/brain/awaa269","ISSN":"0006-8950","issue":"12","journalAbbreviation":"Brain","page":"3717-3733","source":"Silverchair","title":"CD8 T cell nigral infiltration precedes synucleinopathy in early stages of Parkinson’s disease","volume":"143","author":[{"family":"Galiano-Landeira","given":"Jordi"},{"family":"Torra","given":"Albert"},{"family":"Vila","given":"Miquel"},{"family":"Bové","given":"Jordi"}],"issued":{"date-parts":[["2020",12,1]]}}},{"id":521,"uris":["http://zotero.org/users/2272275/items/4XGDZF6Z"],"uri":["http://zotero.org/users/2272275/items/4XGDZF6Z"],"itemData":{"id":521,"type":"article-journal","container-title":"Journal of Clinical Investigation","DOI":"10.1172/JCI36470","ISSN":"0021-9738","language":"en","source":"CrossRef","title":"Infiltration of CD4+ lymphocytes into the brain contributes to neurodegeneration in a mouse model of Parkinson disease","URL":"http://www.jci.org/articles/view/36470","author":[{"family":"Brochard","given":"Vanessa"},{"family":"Combadière","given":"Béhazine"},{"family":"Prigent","given":"Annick"},{"family":"Laouar","given":"Yasmina"},{"family":"Perrin","given":"Aline"},{"family":"Beray-Berthat","given":"Virginie"},{"family":"Bonduelle","given":"Olivia"},{"family":"Alvarez-Fischer","given":"Daniel"},{"family":"Callebert","given":"Jacques"},{"family":"Launay","given":"Jean-Marie"},{"family":"Duyckaerts","given":"Charles"},{"family":"Flavell","given":"Richard A."},{"family":"Hirsch","given":"Etienne C."},{"family":"Hunot","given":"Stéphane"}],"accessed":{"date-parts":[["2015",2,16]]},"issued":{"date-parts":[["2008",12,22]]}}}],"schema":"https://github.com/citation-style-language/schema/raw/master/csl-citation.json"} </w:instrText>
      </w:r>
      <w:r w:rsidR="005877C7" w:rsidRPr="001B1523">
        <w:rPr>
          <w:sz w:val="24"/>
          <w:szCs w:val="24"/>
        </w:rPr>
        <w:fldChar w:fldCharType="separate"/>
      </w:r>
      <w:r w:rsidR="00CE3D6F" w:rsidRPr="001B1523">
        <w:rPr>
          <w:rFonts w:cs="Arial"/>
          <w:sz w:val="24"/>
          <w:szCs w:val="24"/>
        </w:rPr>
        <w:t>[45–47]</w:t>
      </w:r>
      <w:r w:rsidR="005877C7" w:rsidRPr="001B1523">
        <w:rPr>
          <w:sz w:val="24"/>
          <w:szCs w:val="24"/>
        </w:rPr>
        <w:fldChar w:fldCharType="end"/>
      </w:r>
      <w:r w:rsidR="005877C7" w:rsidRPr="001B1523">
        <w:rPr>
          <w:sz w:val="24"/>
          <w:szCs w:val="24"/>
          <w:lang w:val="fr-FR"/>
        </w:rPr>
        <w:t xml:space="preserve">. </w:t>
      </w:r>
      <w:r w:rsidR="005877C7" w:rsidRPr="001B1523">
        <w:rPr>
          <w:sz w:val="24"/>
          <w:szCs w:val="24"/>
        </w:rPr>
        <w:t>It is therefore possible that the reduction of highly cytotoxic CD8</w:t>
      </w:r>
      <w:r w:rsidR="005877C7" w:rsidRPr="001B1523">
        <w:rPr>
          <w:sz w:val="24"/>
          <w:szCs w:val="24"/>
          <w:vertAlign w:val="superscript"/>
        </w:rPr>
        <w:t>+</w:t>
      </w:r>
      <w:r w:rsidR="005877C7" w:rsidRPr="001B1523">
        <w:rPr>
          <w:sz w:val="24"/>
          <w:szCs w:val="24"/>
        </w:rPr>
        <w:t xml:space="preserve"> TEMRA cells we observed in the PD blood might be due to their migration into the CNS and infiltration into the brain parenchyma. </w:t>
      </w:r>
      <w:r w:rsidR="009D0C1A" w:rsidRPr="001B1523">
        <w:rPr>
          <w:sz w:val="24"/>
          <w:szCs w:val="24"/>
        </w:rPr>
        <w:t>Immunophenotyping of T lymphocytes in the cerebrospinal fluid (CSF) in PD has been limited to date, and t</w:t>
      </w:r>
      <w:r w:rsidR="005E3B01" w:rsidRPr="001B1523">
        <w:rPr>
          <w:sz w:val="24"/>
          <w:szCs w:val="24"/>
        </w:rPr>
        <w:t>o</w:t>
      </w:r>
      <w:r w:rsidR="009D0C1A" w:rsidRPr="001B1523">
        <w:rPr>
          <w:sz w:val="24"/>
          <w:szCs w:val="24"/>
        </w:rPr>
        <w:t xml:space="preserve"> </w:t>
      </w:r>
      <w:r w:rsidR="005E3B01" w:rsidRPr="001B1523">
        <w:rPr>
          <w:sz w:val="24"/>
          <w:szCs w:val="24"/>
        </w:rPr>
        <w:t>our knowledge</w:t>
      </w:r>
      <w:r w:rsidR="009D0C1A" w:rsidRPr="001B1523">
        <w:rPr>
          <w:sz w:val="24"/>
          <w:szCs w:val="24"/>
        </w:rPr>
        <w:t>,</w:t>
      </w:r>
      <w:r w:rsidR="005E3B01" w:rsidRPr="001B1523">
        <w:rPr>
          <w:sz w:val="24"/>
          <w:szCs w:val="24"/>
        </w:rPr>
        <w:t xml:space="preserve"> </w:t>
      </w:r>
      <w:r w:rsidR="009D0C1A" w:rsidRPr="001B1523">
        <w:rPr>
          <w:sz w:val="24"/>
          <w:szCs w:val="24"/>
        </w:rPr>
        <w:t xml:space="preserve">neither </w:t>
      </w:r>
      <w:r w:rsidR="005E3B01" w:rsidRPr="001B1523">
        <w:rPr>
          <w:sz w:val="24"/>
          <w:szCs w:val="24"/>
        </w:rPr>
        <w:t>CD8</w:t>
      </w:r>
      <w:r w:rsidR="005E3B01" w:rsidRPr="001B1523">
        <w:rPr>
          <w:sz w:val="24"/>
          <w:szCs w:val="24"/>
          <w:vertAlign w:val="superscript"/>
        </w:rPr>
        <w:t>+</w:t>
      </w:r>
      <w:r w:rsidR="005E3B01" w:rsidRPr="001B1523">
        <w:rPr>
          <w:sz w:val="24"/>
          <w:szCs w:val="24"/>
        </w:rPr>
        <w:t xml:space="preserve"> TEMRA </w:t>
      </w:r>
      <w:r w:rsidR="00004E19" w:rsidRPr="001B1523">
        <w:rPr>
          <w:sz w:val="24"/>
          <w:szCs w:val="24"/>
        </w:rPr>
        <w:t xml:space="preserve">cells </w:t>
      </w:r>
      <w:r w:rsidR="009D0C1A" w:rsidRPr="001B1523">
        <w:rPr>
          <w:sz w:val="24"/>
          <w:szCs w:val="24"/>
        </w:rPr>
        <w:t>nor CD8</w:t>
      </w:r>
      <w:r w:rsidR="009D0C1A" w:rsidRPr="001B1523">
        <w:rPr>
          <w:sz w:val="24"/>
          <w:szCs w:val="24"/>
          <w:vertAlign w:val="superscript"/>
        </w:rPr>
        <w:t>+</w:t>
      </w:r>
      <w:r w:rsidR="009D0C1A" w:rsidRPr="001B1523">
        <w:rPr>
          <w:sz w:val="24"/>
          <w:szCs w:val="24"/>
        </w:rPr>
        <w:t xml:space="preserve"> CD28</w:t>
      </w:r>
      <w:r w:rsidR="009D0C1A" w:rsidRPr="001B1523">
        <w:rPr>
          <w:sz w:val="24"/>
          <w:szCs w:val="24"/>
          <w:vertAlign w:val="superscript"/>
        </w:rPr>
        <w:t>lo</w:t>
      </w:r>
      <w:r w:rsidR="009D0C1A" w:rsidRPr="001B1523">
        <w:rPr>
          <w:sz w:val="24"/>
          <w:szCs w:val="24"/>
        </w:rPr>
        <w:t>CD57</w:t>
      </w:r>
      <w:r w:rsidR="009D0C1A" w:rsidRPr="001B1523">
        <w:rPr>
          <w:sz w:val="24"/>
          <w:szCs w:val="24"/>
          <w:vertAlign w:val="superscript"/>
        </w:rPr>
        <w:t>hi</w:t>
      </w:r>
      <w:r w:rsidR="009D0C1A" w:rsidRPr="001B1523">
        <w:rPr>
          <w:sz w:val="24"/>
          <w:szCs w:val="24"/>
        </w:rPr>
        <w:t xml:space="preserve"> cells have</w:t>
      </w:r>
      <w:r w:rsidR="00004E19" w:rsidRPr="001B1523">
        <w:rPr>
          <w:sz w:val="24"/>
          <w:szCs w:val="24"/>
        </w:rPr>
        <w:t xml:space="preserve"> been studied</w:t>
      </w:r>
      <w:r w:rsidR="009D0C1A" w:rsidRPr="001B1523">
        <w:rPr>
          <w:sz w:val="24"/>
          <w:szCs w:val="24"/>
        </w:rPr>
        <w:t xml:space="preserve">. However, </w:t>
      </w:r>
      <w:r w:rsidR="00C77CB2" w:rsidRPr="001B1523">
        <w:rPr>
          <w:sz w:val="24"/>
          <w:szCs w:val="24"/>
        </w:rPr>
        <w:t>a recent study</w:t>
      </w:r>
      <w:r w:rsidR="00943310" w:rsidRPr="001B1523">
        <w:rPr>
          <w:sz w:val="24"/>
          <w:szCs w:val="24"/>
        </w:rPr>
        <w:t xml:space="preserve"> </w:t>
      </w:r>
      <w:r w:rsidR="009D0C1A" w:rsidRPr="001B1523">
        <w:rPr>
          <w:sz w:val="24"/>
          <w:szCs w:val="24"/>
        </w:rPr>
        <w:t xml:space="preserve">in Alzheimer’s disease </w:t>
      </w:r>
      <w:r w:rsidR="00904EB3" w:rsidRPr="001B1523">
        <w:rPr>
          <w:sz w:val="24"/>
          <w:szCs w:val="24"/>
        </w:rPr>
        <w:t xml:space="preserve">reported an increase in </w:t>
      </w:r>
      <w:r w:rsidR="00904EB3" w:rsidRPr="001B1523">
        <w:rPr>
          <w:sz w:val="24"/>
          <w:szCs w:val="24"/>
        </w:rPr>
        <w:lastRenderedPageBreak/>
        <w:t>clonally expanded CD8</w:t>
      </w:r>
      <w:r w:rsidR="00904EB3" w:rsidRPr="001B1523">
        <w:rPr>
          <w:sz w:val="24"/>
          <w:szCs w:val="24"/>
          <w:vertAlign w:val="superscript"/>
        </w:rPr>
        <w:t>+</w:t>
      </w:r>
      <w:r w:rsidR="00904EB3" w:rsidRPr="001B1523">
        <w:rPr>
          <w:sz w:val="24"/>
          <w:szCs w:val="24"/>
        </w:rPr>
        <w:t xml:space="preserve"> TEMRAs in the CSF of patients </w:t>
      </w:r>
      <w:r w:rsidR="00DB244D" w:rsidRPr="001B1523">
        <w:rPr>
          <w:sz w:val="24"/>
          <w:szCs w:val="24"/>
        </w:rPr>
        <w:t>versus</w:t>
      </w:r>
      <w:r w:rsidR="00904EB3" w:rsidRPr="001B1523">
        <w:rPr>
          <w:sz w:val="24"/>
          <w:szCs w:val="24"/>
        </w:rPr>
        <w:t xml:space="preserve"> controls. In contrast to our findings, they also reported </w:t>
      </w:r>
      <w:r w:rsidR="00943310" w:rsidRPr="001B1523">
        <w:rPr>
          <w:sz w:val="24"/>
          <w:szCs w:val="24"/>
        </w:rPr>
        <w:t>increase</w:t>
      </w:r>
      <w:r w:rsidR="00CB64F2" w:rsidRPr="001B1523">
        <w:rPr>
          <w:sz w:val="24"/>
          <w:szCs w:val="24"/>
        </w:rPr>
        <w:t>d</w:t>
      </w:r>
      <w:r w:rsidR="00943310" w:rsidRPr="001B1523">
        <w:rPr>
          <w:sz w:val="24"/>
          <w:szCs w:val="24"/>
        </w:rPr>
        <w:t xml:space="preserve"> CD8</w:t>
      </w:r>
      <w:r w:rsidR="00943310" w:rsidRPr="001B1523">
        <w:rPr>
          <w:sz w:val="24"/>
          <w:szCs w:val="24"/>
          <w:vertAlign w:val="superscript"/>
        </w:rPr>
        <w:t>+</w:t>
      </w:r>
      <w:r w:rsidR="00943310" w:rsidRPr="001B1523">
        <w:rPr>
          <w:sz w:val="24"/>
          <w:szCs w:val="24"/>
        </w:rPr>
        <w:t xml:space="preserve"> TEMRA cells (% of total PBMCs) in </w:t>
      </w:r>
      <w:r w:rsidR="00904EB3" w:rsidRPr="001B1523">
        <w:rPr>
          <w:sz w:val="24"/>
          <w:szCs w:val="24"/>
        </w:rPr>
        <w:t xml:space="preserve">the </w:t>
      </w:r>
      <w:r w:rsidR="00943310" w:rsidRPr="001B1523">
        <w:rPr>
          <w:sz w:val="24"/>
          <w:szCs w:val="24"/>
        </w:rPr>
        <w:t xml:space="preserve">blood </w:t>
      </w:r>
      <w:r w:rsidR="00C77CB2" w:rsidRPr="001B1523">
        <w:rPr>
          <w:sz w:val="24"/>
          <w:szCs w:val="24"/>
          <w:vertAlign w:val="superscript"/>
        </w:rPr>
        <w:fldChar w:fldCharType="begin"/>
      </w:r>
      <w:r w:rsidR="00CE3D6F" w:rsidRPr="001B1523">
        <w:rPr>
          <w:sz w:val="24"/>
          <w:szCs w:val="24"/>
          <w:vertAlign w:val="superscript"/>
        </w:rPr>
        <w:instrText xml:space="preserve"> ADDIN ZOTERO_ITEM CSL_CITATION {"citationID":"3sxsLzFK","properties":{"formattedCitation":"[48]","plainCitation":"[48]","noteIndex":0},"citationItems":[{"id":10952,"uris":["http://zotero.org/users/2272275/items/VAPN6IMZ"],"uri":["http://zotero.org/users/2272275/items/VAPN6IMZ"],"itemData":{"id":10952,"type":"article-journal","abstract":"Alzheimer’s disease is an incurable neurodegenerative disorder in which neuroinflammation has a critical function1. However, little is known about the contribution of the adaptive immune response in Alzheimer’s disease2. Here, using integrated analyses of multiple cohorts, we identify peripheral and central adaptive immune changes in Alzheimer’s disease. First, we performed mass cytometry of peripheral blood mononuclear cells and discovered an immune signature of Alzheimer’s disease that consists of increased numbers of CD8+ T effector memory CD45RA+ (TEMRA) cells. In a second cohort, we found that CD8+ TEMRA cells were negatively associated with cognition. Furthermore, single-cell RNA sequencing revealed that T cell receptor (TCR) signalling was enhanced in these cells. Notably, by using several strategies of single-cell TCR sequencing in a third cohort, we discovered clonally expanded CD8+ TEMRA cells in the cerebrospinal fluid of patients with Alzheimer’s disease. Finally, we used machine learning, cloning and peptide screens to demonstrate the specificity of clonally expanded TCRs in the cerebrospinal fluid of patients with Alzheimer’s disease to two separate Epstein–Barr virus antigens. These results reveal an adaptive immune response in the blood and cerebrospinal fluid in Alzheimer’s disease and provide evidence of clonal, antigen-experienced T cells patrolling the intrathecal space of brains affected by age-related neurodegeneration.","container-title":"Nature","DOI":"10.1038/s41586-019-1895-7","ISSN":"1476-4687","issue":"7790","language":"en","note":"number: 7790\npublisher: Nature Publishing Group","page":"399-404","source":"www.nature.com","title":"Clonally expanded CD8 T cells patrol the cerebrospinal fluid in Alzheimer’s disease","volume":"577","author":[{"family":"Gate","given":"David"},{"family":"Saligrama","given":"Naresha"},{"family":"Leventhal","given":"Olivia"},{"family":"Yang","given":"Andrew C."},{"family":"Unger","given":"Michael S."},{"family":"Middeldorp","given":"Jinte"},{"family":"Chen","given":"Kelly"},{"family":"Lehallier","given":"Benoit"},{"family":"Channappa","given":"Divya"},{"family":"De Los Santos","given":"Mark B."},{"family":"McBride","given":"Alisha"},{"family":"Pluvinage","given":"John"},{"family":"Elahi","given":"Fanny"},{"family":"Tam","given":"Grace Kyin-Ye"},{"family":"Kim","given":"Yongha"},{"family":"Greicius","given":"Michael"},{"family":"Wagner","given":"Anthony D."},{"family":"Aigner","given":"Ludwig"},{"family":"Galasko","given":"Douglas R."},{"family":"Davis","given":"Mark M."},{"family":"Wyss-Coray","given":"Tony"}],"issued":{"date-parts":[["2020",1]]}}}],"schema":"https://github.com/citation-style-language/schema/raw/master/csl-citation.json"} </w:instrText>
      </w:r>
      <w:r w:rsidR="00C77CB2" w:rsidRPr="001B1523">
        <w:rPr>
          <w:sz w:val="24"/>
          <w:szCs w:val="24"/>
          <w:vertAlign w:val="superscript"/>
        </w:rPr>
        <w:fldChar w:fldCharType="separate"/>
      </w:r>
      <w:r w:rsidR="00CE3D6F" w:rsidRPr="001B1523">
        <w:rPr>
          <w:rFonts w:cs="Arial"/>
          <w:sz w:val="24"/>
        </w:rPr>
        <w:t>[48]</w:t>
      </w:r>
      <w:r w:rsidR="00C77CB2" w:rsidRPr="001B1523">
        <w:rPr>
          <w:sz w:val="24"/>
          <w:szCs w:val="24"/>
          <w:vertAlign w:val="superscript"/>
        </w:rPr>
        <w:fldChar w:fldCharType="end"/>
      </w:r>
      <w:r w:rsidR="00C77CB2" w:rsidRPr="001B1523">
        <w:rPr>
          <w:sz w:val="24"/>
          <w:szCs w:val="24"/>
        </w:rPr>
        <w:t xml:space="preserve">. </w:t>
      </w:r>
      <w:r w:rsidR="00904EB3" w:rsidRPr="001B1523">
        <w:rPr>
          <w:sz w:val="24"/>
          <w:szCs w:val="24"/>
        </w:rPr>
        <w:t xml:space="preserve">However, the </w:t>
      </w:r>
      <w:r w:rsidR="005E3B01" w:rsidRPr="001B1523">
        <w:rPr>
          <w:sz w:val="24"/>
          <w:szCs w:val="24"/>
        </w:rPr>
        <w:t xml:space="preserve">TEMRA population was defined </w:t>
      </w:r>
      <w:r w:rsidR="006559D1" w:rsidRPr="001B1523">
        <w:rPr>
          <w:sz w:val="24"/>
          <w:szCs w:val="24"/>
        </w:rPr>
        <w:t>differently (</w:t>
      </w:r>
      <w:r w:rsidR="005E3B01" w:rsidRPr="001B1523">
        <w:rPr>
          <w:sz w:val="24"/>
          <w:szCs w:val="24"/>
        </w:rPr>
        <w:t>CD8</w:t>
      </w:r>
      <w:r w:rsidR="005E3B01" w:rsidRPr="001B1523">
        <w:rPr>
          <w:sz w:val="24"/>
          <w:szCs w:val="24"/>
          <w:vertAlign w:val="superscript"/>
        </w:rPr>
        <w:t>+</w:t>
      </w:r>
      <w:r w:rsidR="005E3B01" w:rsidRPr="001B1523">
        <w:rPr>
          <w:sz w:val="24"/>
          <w:szCs w:val="24"/>
        </w:rPr>
        <w:t>CD45RA</w:t>
      </w:r>
      <w:r w:rsidR="005E3B01" w:rsidRPr="001B1523">
        <w:rPr>
          <w:sz w:val="24"/>
          <w:szCs w:val="24"/>
          <w:vertAlign w:val="superscript"/>
        </w:rPr>
        <w:t>+</w:t>
      </w:r>
      <w:r w:rsidR="005E3B01" w:rsidRPr="001B1523">
        <w:rPr>
          <w:sz w:val="24"/>
          <w:szCs w:val="24"/>
        </w:rPr>
        <w:t>CD27</w:t>
      </w:r>
      <w:r w:rsidR="005E3B01" w:rsidRPr="001B1523">
        <w:rPr>
          <w:sz w:val="24"/>
          <w:szCs w:val="24"/>
          <w:vertAlign w:val="superscript"/>
        </w:rPr>
        <w:t>−</w:t>
      </w:r>
      <w:r w:rsidR="00C77CB2" w:rsidRPr="001B1523">
        <w:rPr>
          <w:sz w:val="24"/>
          <w:szCs w:val="24"/>
        </w:rPr>
        <w:t>,</w:t>
      </w:r>
      <w:r w:rsidR="00943310" w:rsidRPr="001B1523">
        <w:rPr>
          <w:sz w:val="24"/>
          <w:szCs w:val="24"/>
        </w:rPr>
        <w:t xml:space="preserve"> as opposed to CD8</w:t>
      </w:r>
      <w:r w:rsidR="00943310" w:rsidRPr="001B1523">
        <w:rPr>
          <w:sz w:val="24"/>
          <w:szCs w:val="24"/>
          <w:vertAlign w:val="superscript"/>
        </w:rPr>
        <w:t>+</w:t>
      </w:r>
      <w:r w:rsidR="00943310" w:rsidRPr="001B1523">
        <w:rPr>
          <w:sz w:val="24"/>
          <w:szCs w:val="24"/>
        </w:rPr>
        <w:t>CD45RA</w:t>
      </w:r>
      <w:r w:rsidR="00943310" w:rsidRPr="001B1523">
        <w:rPr>
          <w:sz w:val="24"/>
          <w:szCs w:val="24"/>
          <w:vertAlign w:val="superscript"/>
        </w:rPr>
        <w:t>+</w:t>
      </w:r>
      <w:r w:rsidR="00943310" w:rsidRPr="001B1523">
        <w:rPr>
          <w:sz w:val="24"/>
          <w:szCs w:val="24"/>
        </w:rPr>
        <w:t>CCR7</w:t>
      </w:r>
      <w:r w:rsidR="00943310" w:rsidRPr="001B1523">
        <w:rPr>
          <w:sz w:val="24"/>
          <w:szCs w:val="24"/>
          <w:vertAlign w:val="superscript"/>
        </w:rPr>
        <w:t>-</w:t>
      </w:r>
      <w:r w:rsidR="006559D1" w:rsidRPr="001B1523">
        <w:rPr>
          <w:sz w:val="24"/>
          <w:szCs w:val="24"/>
        </w:rPr>
        <w:t>)</w:t>
      </w:r>
      <w:r w:rsidR="00904EB3" w:rsidRPr="001B1523">
        <w:rPr>
          <w:sz w:val="24"/>
          <w:szCs w:val="24"/>
        </w:rPr>
        <w:t xml:space="preserve">; </w:t>
      </w:r>
      <w:r w:rsidR="00AF41BB" w:rsidRPr="001B1523">
        <w:rPr>
          <w:sz w:val="24"/>
          <w:szCs w:val="24"/>
        </w:rPr>
        <w:t>furthermore,</w:t>
      </w:r>
      <w:r w:rsidR="00496936" w:rsidRPr="001B1523">
        <w:rPr>
          <w:sz w:val="24"/>
          <w:szCs w:val="24"/>
        </w:rPr>
        <w:t xml:space="preserve"> </w:t>
      </w:r>
      <w:r w:rsidR="00904EB3" w:rsidRPr="001B1523">
        <w:rPr>
          <w:sz w:val="24"/>
          <w:szCs w:val="24"/>
        </w:rPr>
        <w:t xml:space="preserve">T cell </w:t>
      </w:r>
      <w:proofErr w:type="spellStart"/>
      <w:r w:rsidR="00904EB3" w:rsidRPr="001B1523">
        <w:rPr>
          <w:sz w:val="24"/>
          <w:szCs w:val="24"/>
        </w:rPr>
        <w:t>immunosenescence</w:t>
      </w:r>
      <w:proofErr w:type="spellEnd"/>
      <w:r w:rsidR="00904EB3" w:rsidRPr="001B1523">
        <w:rPr>
          <w:sz w:val="24"/>
          <w:szCs w:val="24"/>
        </w:rPr>
        <w:t xml:space="preserve"> may play </w:t>
      </w:r>
      <w:r w:rsidR="001354C6" w:rsidRPr="001B1523">
        <w:rPr>
          <w:sz w:val="24"/>
          <w:szCs w:val="24"/>
        </w:rPr>
        <w:t>differ</w:t>
      </w:r>
      <w:r w:rsidR="009D0C1A" w:rsidRPr="001B1523">
        <w:rPr>
          <w:sz w:val="24"/>
          <w:szCs w:val="24"/>
        </w:rPr>
        <w:t>ing</w:t>
      </w:r>
      <w:r w:rsidR="001354C6" w:rsidRPr="001B1523">
        <w:rPr>
          <w:sz w:val="24"/>
          <w:szCs w:val="24"/>
        </w:rPr>
        <w:t xml:space="preserve"> </w:t>
      </w:r>
      <w:r w:rsidR="00904EB3" w:rsidRPr="001B1523">
        <w:rPr>
          <w:sz w:val="24"/>
          <w:szCs w:val="24"/>
        </w:rPr>
        <w:t xml:space="preserve">roles in </w:t>
      </w:r>
      <w:r w:rsidR="001354C6" w:rsidRPr="001B1523">
        <w:rPr>
          <w:sz w:val="24"/>
          <w:szCs w:val="24"/>
        </w:rPr>
        <w:t>Alzheimer’s and Parkinson’s disease</w:t>
      </w:r>
      <w:r w:rsidR="006559D1" w:rsidRPr="001B1523">
        <w:rPr>
          <w:sz w:val="24"/>
          <w:szCs w:val="24"/>
        </w:rPr>
        <w:t>s</w:t>
      </w:r>
      <w:r w:rsidR="001354C6" w:rsidRPr="001B1523">
        <w:rPr>
          <w:sz w:val="24"/>
          <w:szCs w:val="24"/>
        </w:rPr>
        <w:t>.</w:t>
      </w:r>
      <w:r w:rsidR="00965359" w:rsidRPr="001B1523">
        <w:rPr>
          <w:sz w:val="24"/>
          <w:szCs w:val="24"/>
        </w:rPr>
        <w:t xml:space="preserve"> </w:t>
      </w:r>
    </w:p>
    <w:p w14:paraId="269F83AB" w14:textId="4DB11BD9" w:rsidR="001F60BD" w:rsidRPr="001B1523" w:rsidRDefault="00A804C3" w:rsidP="00AC4E9D">
      <w:pPr>
        <w:spacing w:line="480" w:lineRule="auto"/>
        <w:ind w:firstLine="720"/>
        <w:rPr>
          <w:sz w:val="24"/>
          <w:szCs w:val="24"/>
        </w:rPr>
      </w:pPr>
      <w:r w:rsidRPr="001B1523">
        <w:rPr>
          <w:sz w:val="24"/>
          <w:szCs w:val="24"/>
        </w:rPr>
        <w:t xml:space="preserve"> </w:t>
      </w:r>
      <w:r w:rsidR="009D0C1A" w:rsidRPr="001B1523">
        <w:rPr>
          <w:sz w:val="24"/>
          <w:szCs w:val="24"/>
        </w:rPr>
        <w:t>An important limitation of our study is that we did not perform functional characterisation of CD8</w:t>
      </w:r>
      <w:r w:rsidR="009D0C1A" w:rsidRPr="001B1523">
        <w:rPr>
          <w:sz w:val="24"/>
          <w:szCs w:val="24"/>
          <w:vertAlign w:val="superscript"/>
        </w:rPr>
        <w:t>+</w:t>
      </w:r>
      <w:r w:rsidR="009D0C1A" w:rsidRPr="001B1523">
        <w:rPr>
          <w:sz w:val="24"/>
          <w:szCs w:val="24"/>
        </w:rPr>
        <w:t xml:space="preserve"> T cell subsets to demonstrate their proliferative versus senescent capaci</w:t>
      </w:r>
      <w:r w:rsidR="001F60BD" w:rsidRPr="001B1523">
        <w:rPr>
          <w:sz w:val="24"/>
          <w:szCs w:val="24"/>
        </w:rPr>
        <w:t>ty. It would also be of interest to determine the clonal specificity of CD8</w:t>
      </w:r>
      <w:r w:rsidR="001F60BD" w:rsidRPr="001B1523">
        <w:rPr>
          <w:sz w:val="24"/>
          <w:szCs w:val="24"/>
          <w:vertAlign w:val="superscript"/>
        </w:rPr>
        <w:t>+</w:t>
      </w:r>
      <w:r w:rsidR="001F60BD" w:rsidRPr="001B1523">
        <w:rPr>
          <w:sz w:val="24"/>
          <w:szCs w:val="24"/>
        </w:rPr>
        <w:t xml:space="preserve"> senescent subtypes in PD</w:t>
      </w:r>
      <w:r w:rsidR="006559D1" w:rsidRPr="001B1523">
        <w:rPr>
          <w:sz w:val="24"/>
          <w:szCs w:val="24"/>
        </w:rPr>
        <w:t xml:space="preserve">. </w:t>
      </w:r>
      <w:r w:rsidR="001F60BD" w:rsidRPr="001B1523">
        <w:rPr>
          <w:sz w:val="24"/>
          <w:szCs w:val="24"/>
        </w:rPr>
        <w:t xml:space="preserve"> </w:t>
      </w:r>
    </w:p>
    <w:p w14:paraId="5140A906" w14:textId="77777777" w:rsidR="008F1800" w:rsidRPr="001B1523" w:rsidRDefault="008F1800" w:rsidP="00AC4E9D">
      <w:pPr>
        <w:spacing w:line="480" w:lineRule="auto"/>
        <w:ind w:firstLine="720"/>
        <w:rPr>
          <w:sz w:val="24"/>
          <w:szCs w:val="24"/>
        </w:rPr>
      </w:pPr>
    </w:p>
    <w:p w14:paraId="0A669E51" w14:textId="7498ED2F" w:rsidR="008F1800" w:rsidRPr="001B1523" w:rsidRDefault="008F1800" w:rsidP="008F1800">
      <w:pPr>
        <w:pStyle w:val="Heading1"/>
        <w:spacing w:line="480" w:lineRule="auto"/>
      </w:pPr>
      <w:r w:rsidRPr="001B1523">
        <w:t>Conclusion</w:t>
      </w:r>
    </w:p>
    <w:p w14:paraId="23478A4F" w14:textId="77777777" w:rsidR="008F1800" w:rsidRPr="001B1523" w:rsidRDefault="008F1800" w:rsidP="008F1800">
      <w:pPr>
        <w:spacing w:line="480" w:lineRule="auto"/>
        <w:rPr>
          <w:sz w:val="24"/>
          <w:szCs w:val="24"/>
        </w:rPr>
      </w:pPr>
    </w:p>
    <w:p w14:paraId="2B6ACB3F" w14:textId="2260821F" w:rsidR="00A9188A" w:rsidRPr="001B1523" w:rsidRDefault="00F33798" w:rsidP="008F1800">
      <w:pPr>
        <w:spacing w:line="480" w:lineRule="auto"/>
        <w:rPr>
          <w:sz w:val="24"/>
          <w:szCs w:val="24"/>
          <w:lang w:val="en-US"/>
        </w:rPr>
      </w:pPr>
      <w:r w:rsidRPr="001B1523">
        <w:rPr>
          <w:sz w:val="24"/>
          <w:szCs w:val="24"/>
          <w:lang w:val="en-US"/>
        </w:rPr>
        <w:t>In conclusion,</w:t>
      </w:r>
      <w:r w:rsidR="00FD1D13" w:rsidRPr="001B1523">
        <w:rPr>
          <w:sz w:val="24"/>
          <w:szCs w:val="24"/>
          <w:lang w:val="en-US"/>
        </w:rPr>
        <w:t xml:space="preserve"> </w:t>
      </w:r>
      <w:r w:rsidRPr="001B1523">
        <w:rPr>
          <w:sz w:val="24"/>
          <w:szCs w:val="24"/>
          <w:lang w:val="en-US"/>
        </w:rPr>
        <w:t>our data</w:t>
      </w:r>
      <w:r w:rsidR="002E0764" w:rsidRPr="001B1523">
        <w:rPr>
          <w:sz w:val="24"/>
          <w:szCs w:val="24"/>
          <w:lang w:val="en-US"/>
        </w:rPr>
        <w:t xml:space="preserve"> </w:t>
      </w:r>
      <w:r w:rsidRPr="001B1523">
        <w:rPr>
          <w:sz w:val="24"/>
          <w:szCs w:val="24"/>
          <w:lang w:val="en-US"/>
        </w:rPr>
        <w:t>shows a reduction in CD8</w:t>
      </w:r>
      <w:r w:rsidRPr="001B1523">
        <w:rPr>
          <w:sz w:val="24"/>
          <w:szCs w:val="24"/>
          <w:vertAlign w:val="superscript"/>
          <w:lang w:val="en-US"/>
        </w:rPr>
        <w:t>+</w:t>
      </w:r>
      <w:r w:rsidRPr="001B1523">
        <w:rPr>
          <w:sz w:val="24"/>
          <w:szCs w:val="24"/>
          <w:lang w:val="en-US"/>
        </w:rPr>
        <w:t xml:space="preserve"> T lymphocyte senescence in newly</w:t>
      </w:r>
      <w:r w:rsidR="009B219F" w:rsidRPr="001B1523">
        <w:rPr>
          <w:sz w:val="24"/>
          <w:szCs w:val="24"/>
          <w:lang w:val="en-US"/>
        </w:rPr>
        <w:t>-</w:t>
      </w:r>
      <w:r w:rsidRPr="001B1523">
        <w:rPr>
          <w:sz w:val="24"/>
          <w:szCs w:val="24"/>
          <w:lang w:val="en-US"/>
        </w:rPr>
        <w:t>diagnosed PD patients compared to age- and sex-matched controls.</w:t>
      </w:r>
      <w:r w:rsidR="00736EBF" w:rsidRPr="001B1523">
        <w:rPr>
          <w:sz w:val="24"/>
          <w:szCs w:val="24"/>
          <w:lang w:val="en-US"/>
        </w:rPr>
        <w:t xml:space="preserve"> </w:t>
      </w:r>
      <w:r w:rsidRPr="001B1523">
        <w:rPr>
          <w:sz w:val="24"/>
          <w:szCs w:val="24"/>
          <w:lang w:val="en-US"/>
        </w:rPr>
        <w:t xml:space="preserve">This is evidenced by a </w:t>
      </w:r>
      <w:r w:rsidR="00736EBF" w:rsidRPr="001B1523">
        <w:rPr>
          <w:sz w:val="24"/>
          <w:szCs w:val="24"/>
          <w:lang w:val="en-US"/>
        </w:rPr>
        <w:t>decrease</w:t>
      </w:r>
      <w:r w:rsidRPr="001B1523">
        <w:rPr>
          <w:sz w:val="24"/>
          <w:szCs w:val="24"/>
          <w:lang w:val="en-US"/>
        </w:rPr>
        <w:t xml:space="preserve"> in the CD8</w:t>
      </w:r>
      <w:r w:rsidRPr="001B1523">
        <w:rPr>
          <w:sz w:val="24"/>
          <w:szCs w:val="24"/>
          <w:vertAlign w:val="superscript"/>
          <w:lang w:val="en-US"/>
        </w:rPr>
        <w:t>+</w:t>
      </w:r>
      <w:r w:rsidRPr="001B1523">
        <w:rPr>
          <w:sz w:val="24"/>
          <w:szCs w:val="24"/>
          <w:lang w:val="en-US"/>
        </w:rPr>
        <w:t xml:space="preserve"> TEMRA subpopulation and downregulation of the </w:t>
      </w:r>
      <w:r w:rsidR="00C15220" w:rsidRPr="001B1523">
        <w:rPr>
          <w:sz w:val="24"/>
          <w:szCs w:val="24"/>
          <w:lang w:val="en-US"/>
        </w:rPr>
        <w:t xml:space="preserve">senescence </w:t>
      </w:r>
      <w:r w:rsidRPr="001B1523">
        <w:rPr>
          <w:sz w:val="24"/>
          <w:szCs w:val="24"/>
          <w:lang w:val="en-US"/>
        </w:rPr>
        <w:t xml:space="preserve">biomarker p16. </w:t>
      </w:r>
      <w:r w:rsidR="009E39BC" w:rsidRPr="001B1523">
        <w:rPr>
          <w:sz w:val="24"/>
          <w:szCs w:val="24"/>
          <w:lang w:val="en-US"/>
        </w:rPr>
        <w:t xml:space="preserve">The </w:t>
      </w:r>
      <w:r w:rsidR="002902E5" w:rsidRPr="001B1523">
        <w:rPr>
          <w:sz w:val="24"/>
          <w:szCs w:val="24"/>
          <w:lang w:val="en-US"/>
        </w:rPr>
        <w:t>reduction</w:t>
      </w:r>
      <w:r w:rsidR="002E0764" w:rsidRPr="001B1523">
        <w:rPr>
          <w:sz w:val="24"/>
          <w:szCs w:val="24"/>
          <w:lang w:val="en-US"/>
        </w:rPr>
        <w:t xml:space="preserve"> in senescent T cells</w:t>
      </w:r>
      <w:r w:rsidR="002902E5" w:rsidRPr="001B1523">
        <w:rPr>
          <w:sz w:val="24"/>
          <w:szCs w:val="24"/>
          <w:lang w:val="en-US"/>
        </w:rPr>
        <w:t xml:space="preserve"> </w:t>
      </w:r>
      <w:r w:rsidR="002E0764" w:rsidRPr="001B1523">
        <w:rPr>
          <w:sz w:val="24"/>
          <w:szCs w:val="24"/>
          <w:lang w:val="en-US"/>
        </w:rPr>
        <w:t>wa</w:t>
      </w:r>
      <w:r w:rsidR="008D356C" w:rsidRPr="001B1523">
        <w:rPr>
          <w:sz w:val="24"/>
          <w:szCs w:val="24"/>
          <w:lang w:val="en-US"/>
        </w:rPr>
        <w:t>s not related to a lower incidence of prior infection with</w:t>
      </w:r>
      <w:r w:rsidR="002902E5" w:rsidRPr="001B1523">
        <w:rPr>
          <w:sz w:val="24"/>
          <w:szCs w:val="24"/>
          <w:lang w:val="en-US"/>
        </w:rPr>
        <w:t xml:space="preserve"> </w:t>
      </w:r>
      <w:r w:rsidR="008D356C" w:rsidRPr="001B1523">
        <w:rPr>
          <w:sz w:val="24"/>
          <w:szCs w:val="24"/>
          <w:lang w:val="en-US"/>
        </w:rPr>
        <w:t xml:space="preserve">viral </w:t>
      </w:r>
      <w:r w:rsidR="002902E5" w:rsidRPr="001B1523">
        <w:rPr>
          <w:sz w:val="24"/>
          <w:szCs w:val="24"/>
          <w:lang w:val="en-US"/>
        </w:rPr>
        <w:t>pathogens such as CMV or EBV</w:t>
      </w:r>
      <w:r w:rsidR="002E0764" w:rsidRPr="001B1523">
        <w:rPr>
          <w:sz w:val="24"/>
          <w:szCs w:val="24"/>
          <w:lang w:val="en-US"/>
        </w:rPr>
        <w:t xml:space="preserve"> in PD cases</w:t>
      </w:r>
      <w:r w:rsidR="008D356C" w:rsidRPr="001B1523">
        <w:rPr>
          <w:sz w:val="24"/>
          <w:szCs w:val="24"/>
          <w:lang w:val="en-US"/>
        </w:rPr>
        <w:t xml:space="preserve">, but rather </w:t>
      </w:r>
      <w:r w:rsidR="002E0764" w:rsidRPr="001B1523">
        <w:rPr>
          <w:sz w:val="24"/>
          <w:szCs w:val="24"/>
          <w:lang w:val="en-US"/>
        </w:rPr>
        <w:t xml:space="preserve">our data indicate that </w:t>
      </w:r>
      <w:r w:rsidR="008D356C" w:rsidRPr="001B1523">
        <w:rPr>
          <w:sz w:val="24"/>
          <w:szCs w:val="24"/>
          <w:lang w:val="en-US"/>
        </w:rPr>
        <w:t>the typical viral-induced senescent shift in the CD8</w:t>
      </w:r>
      <w:r w:rsidR="008D356C" w:rsidRPr="001B1523">
        <w:rPr>
          <w:sz w:val="24"/>
          <w:szCs w:val="24"/>
          <w:vertAlign w:val="superscript"/>
          <w:lang w:val="en-US"/>
        </w:rPr>
        <w:t>+</w:t>
      </w:r>
      <w:r w:rsidR="008D356C" w:rsidRPr="001B1523">
        <w:rPr>
          <w:sz w:val="24"/>
          <w:szCs w:val="24"/>
          <w:lang w:val="en-US"/>
        </w:rPr>
        <w:t xml:space="preserve"> population </w:t>
      </w:r>
      <w:r w:rsidR="002E0764" w:rsidRPr="001B1523">
        <w:rPr>
          <w:sz w:val="24"/>
          <w:szCs w:val="24"/>
          <w:lang w:val="en-US"/>
        </w:rPr>
        <w:t>may</w:t>
      </w:r>
      <w:r w:rsidR="008D356C" w:rsidRPr="001B1523">
        <w:rPr>
          <w:sz w:val="24"/>
          <w:szCs w:val="24"/>
          <w:lang w:val="en-US"/>
        </w:rPr>
        <w:t xml:space="preserve"> be attenuated in PD</w:t>
      </w:r>
      <w:r w:rsidR="002902E5" w:rsidRPr="001B1523">
        <w:rPr>
          <w:sz w:val="24"/>
          <w:szCs w:val="24"/>
          <w:lang w:val="en-US"/>
        </w:rPr>
        <w:t>.</w:t>
      </w:r>
      <w:r w:rsidR="00F72581" w:rsidRPr="001B1523">
        <w:rPr>
          <w:sz w:val="24"/>
          <w:szCs w:val="24"/>
          <w:lang w:val="en-US"/>
        </w:rPr>
        <w:t xml:space="preserve"> </w:t>
      </w:r>
      <w:r w:rsidR="007160C5" w:rsidRPr="001B1523">
        <w:rPr>
          <w:sz w:val="24"/>
          <w:szCs w:val="24"/>
          <w:lang w:val="en-US"/>
        </w:rPr>
        <w:t>T</w:t>
      </w:r>
      <w:r w:rsidR="00F52073" w:rsidRPr="001B1523">
        <w:rPr>
          <w:sz w:val="24"/>
          <w:szCs w:val="24"/>
          <w:lang w:val="en-US"/>
        </w:rPr>
        <w:t xml:space="preserve">he </w:t>
      </w:r>
      <w:r w:rsidR="008D356C" w:rsidRPr="001B1523">
        <w:rPr>
          <w:sz w:val="24"/>
          <w:szCs w:val="24"/>
          <w:lang w:val="en-US"/>
        </w:rPr>
        <w:t>alteration</w:t>
      </w:r>
      <w:r w:rsidR="007160C5" w:rsidRPr="001B1523">
        <w:rPr>
          <w:sz w:val="24"/>
          <w:szCs w:val="24"/>
          <w:lang w:val="en-US"/>
        </w:rPr>
        <w:t>s</w:t>
      </w:r>
      <w:r w:rsidR="008D356C" w:rsidRPr="001B1523">
        <w:rPr>
          <w:sz w:val="24"/>
          <w:szCs w:val="24"/>
          <w:lang w:val="en-US"/>
        </w:rPr>
        <w:t xml:space="preserve"> </w:t>
      </w:r>
      <w:r w:rsidR="002902E5" w:rsidRPr="001B1523">
        <w:rPr>
          <w:sz w:val="24"/>
          <w:szCs w:val="24"/>
          <w:lang w:val="en-US"/>
        </w:rPr>
        <w:t>in CD8</w:t>
      </w:r>
      <w:r w:rsidR="002902E5" w:rsidRPr="001B1523">
        <w:rPr>
          <w:sz w:val="24"/>
          <w:szCs w:val="24"/>
          <w:vertAlign w:val="superscript"/>
          <w:lang w:val="en-US"/>
        </w:rPr>
        <w:t>+</w:t>
      </w:r>
      <w:r w:rsidR="002902E5" w:rsidRPr="001B1523">
        <w:rPr>
          <w:sz w:val="24"/>
          <w:szCs w:val="24"/>
          <w:lang w:val="en-US"/>
        </w:rPr>
        <w:t xml:space="preserve"> lymphocyte</w:t>
      </w:r>
      <w:r w:rsidR="007160C5" w:rsidRPr="001B1523">
        <w:rPr>
          <w:sz w:val="24"/>
          <w:szCs w:val="24"/>
          <w:lang w:val="en-US"/>
        </w:rPr>
        <w:t>s</w:t>
      </w:r>
      <w:r w:rsidR="00F52073" w:rsidRPr="001B1523">
        <w:rPr>
          <w:sz w:val="24"/>
          <w:szCs w:val="24"/>
          <w:lang w:val="en-US"/>
        </w:rPr>
        <w:t xml:space="preserve"> were </w:t>
      </w:r>
      <w:r w:rsidR="002902E5" w:rsidRPr="001B1523">
        <w:rPr>
          <w:sz w:val="24"/>
          <w:szCs w:val="24"/>
          <w:lang w:val="en-US"/>
        </w:rPr>
        <w:t xml:space="preserve">present in early </w:t>
      </w:r>
      <w:r w:rsidR="00D92D10" w:rsidRPr="001B1523">
        <w:rPr>
          <w:sz w:val="24"/>
          <w:szCs w:val="24"/>
          <w:lang w:val="en-US"/>
        </w:rPr>
        <w:t>disease and</w:t>
      </w:r>
      <w:r w:rsidR="007160C5" w:rsidRPr="001B1523">
        <w:rPr>
          <w:sz w:val="24"/>
          <w:szCs w:val="24"/>
          <w:lang w:val="en-US"/>
        </w:rPr>
        <w:t xml:space="preserve"> </w:t>
      </w:r>
      <w:r w:rsidR="009B219F" w:rsidRPr="001B1523">
        <w:rPr>
          <w:sz w:val="24"/>
          <w:szCs w:val="24"/>
          <w:lang w:val="en-US"/>
        </w:rPr>
        <w:t xml:space="preserve">were </w:t>
      </w:r>
      <w:r w:rsidR="007160C5" w:rsidRPr="001B1523">
        <w:rPr>
          <w:sz w:val="24"/>
          <w:szCs w:val="24"/>
          <w:lang w:val="en-US"/>
        </w:rPr>
        <w:t xml:space="preserve">not clearly associated with markers of disease severity, suggesting that they may have relevance to </w:t>
      </w:r>
      <w:r w:rsidR="002E0764" w:rsidRPr="001B1523">
        <w:rPr>
          <w:sz w:val="24"/>
          <w:szCs w:val="24"/>
          <w:lang w:val="en-US"/>
        </w:rPr>
        <w:t>PD</w:t>
      </w:r>
      <w:r w:rsidR="007160C5" w:rsidRPr="001B1523">
        <w:rPr>
          <w:sz w:val="24"/>
          <w:szCs w:val="24"/>
          <w:lang w:val="en-US"/>
        </w:rPr>
        <w:t xml:space="preserve"> onset rather than progression. Further investigation of markers of T cell senescence in prodromal </w:t>
      </w:r>
      <w:r w:rsidR="005E55FB" w:rsidRPr="001B1523">
        <w:rPr>
          <w:sz w:val="24"/>
          <w:szCs w:val="24"/>
          <w:lang w:val="en-US"/>
        </w:rPr>
        <w:t xml:space="preserve">and longitudinal </w:t>
      </w:r>
      <w:r w:rsidR="002E0764" w:rsidRPr="001B1523">
        <w:rPr>
          <w:sz w:val="24"/>
          <w:szCs w:val="24"/>
          <w:lang w:val="en-US"/>
        </w:rPr>
        <w:t xml:space="preserve">PD </w:t>
      </w:r>
      <w:r w:rsidR="007160C5" w:rsidRPr="001B1523">
        <w:rPr>
          <w:sz w:val="24"/>
          <w:szCs w:val="24"/>
          <w:lang w:val="en-US"/>
        </w:rPr>
        <w:t xml:space="preserve">cohorts is warranted, along with functional characterization of these senescent cell subtypes and </w:t>
      </w:r>
      <w:r w:rsidR="00EE557F" w:rsidRPr="001B1523">
        <w:rPr>
          <w:sz w:val="24"/>
          <w:szCs w:val="24"/>
          <w:lang w:val="en-US"/>
        </w:rPr>
        <w:t>measurement</w:t>
      </w:r>
      <w:r w:rsidR="007160C5" w:rsidRPr="001B1523">
        <w:rPr>
          <w:sz w:val="24"/>
          <w:szCs w:val="24"/>
          <w:lang w:val="en-US"/>
        </w:rPr>
        <w:t xml:space="preserve"> of their infiltration into the CNS.</w:t>
      </w:r>
      <w:r w:rsidR="006B746C" w:rsidRPr="001B1523">
        <w:rPr>
          <w:sz w:val="24"/>
          <w:szCs w:val="24"/>
          <w:lang w:val="en-US"/>
        </w:rPr>
        <w:t xml:space="preserve"> </w:t>
      </w:r>
      <w:r w:rsidR="003F0530" w:rsidRPr="001B1523">
        <w:rPr>
          <w:sz w:val="24"/>
          <w:szCs w:val="24"/>
          <w:lang w:val="en-US"/>
        </w:rPr>
        <w:t xml:space="preserve"> </w:t>
      </w:r>
    </w:p>
    <w:p w14:paraId="65050DC3" w14:textId="07D8AA76" w:rsidR="00F14BFA" w:rsidRPr="001B1523" w:rsidRDefault="00F14BFA" w:rsidP="008F1800">
      <w:pPr>
        <w:spacing w:line="480" w:lineRule="auto"/>
        <w:rPr>
          <w:sz w:val="24"/>
          <w:szCs w:val="24"/>
          <w:lang w:val="en-US"/>
        </w:rPr>
      </w:pPr>
    </w:p>
    <w:p w14:paraId="45F29483" w14:textId="4EFB850D" w:rsidR="00F14BFA" w:rsidRPr="001B1523" w:rsidRDefault="00F14BFA" w:rsidP="00F14BFA">
      <w:pPr>
        <w:pStyle w:val="Heading1"/>
        <w:spacing w:line="480" w:lineRule="auto"/>
      </w:pPr>
      <w:r w:rsidRPr="001B1523">
        <w:lastRenderedPageBreak/>
        <w:t>List of abbreviations</w:t>
      </w:r>
    </w:p>
    <w:p w14:paraId="79FF6961" w14:textId="77777777" w:rsidR="00E92507" w:rsidRPr="001B1523" w:rsidRDefault="00E92507" w:rsidP="00E92507">
      <w:pPr>
        <w:spacing w:line="480" w:lineRule="auto"/>
        <w:rPr>
          <w:sz w:val="24"/>
          <w:szCs w:val="24"/>
          <w:lang w:val="en-US"/>
        </w:rPr>
      </w:pPr>
    </w:p>
    <w:p w14:paraId="39963435" w14:textId="0F3832BE" w:rsidR="00E92507" w:rsidRPr="001B1523" w:rsidRDefault="00E92507" w:rsidP="00E92507">
      <w:pPr>
        <w:spacing w:line="480" w:lineRule="auto"/>
        <w:rPr>
          <w:sz w:val="24"/>
          <w:szCs w:val="24"/>
          <w:lang w:val="en-US"/>
        </w:rPr>
      </w:pPr>
      <w:r w:rsidRPr="001B1523">
        <w:rPr>
          <w:sz w:val="24"/>
          <w:szCs w:val="24"/>
          <w:lang w:val="en-US"/>
        </w:rPr>
        <w:t xml:space="preserve">ACE-III: Addenbrooke’s cognitive examination </w:t>
      </w:r>
    </w:p>
    <w:p w14:paraId="525DA667" w14:textId="77777777" w:rsidR="00E92507" w:rsidRPr="001B1523" w:rsidRDefault="00E92507" w:rsidP="00E92507">
      <w:pPr>
        <w:spacing w:line="480" w:lineRule="auto"/>
        <w:rPr>
          <w:sz w:val="24"/>
          <w:szCs w:val="24"/>
          <w:lang w:val="en-US"/>
        </w:rPr>
      </w:pPr>
      <w:r w:rsidRPr="001B1523">
        <w:rPr>
          <w:sz w:val="24"/>
          <w:szCs w:val="24"/>
          <w:lang w:val="en-US"/>
        </w:rPr>
        <w:t>CCR7: C-C chemokine receptor type 7</w:t>
      </w:r>
    </w:p>
    <w:p w14:paraId="6DC58C64" w14:textId="77777777" w:rsidR="00E92507" w:rsidRPr="001B1523" w:rsidRDefault="00E92507" w:rsidP="00E92507">
      <w:pPr>
        <w:spacing w:line="480" w:lineRule="auto"/>
        <w:rPr>
          <w:sz w:val="24"/>
          <w:szCs w:val="24"/>
          <w:lang w:val="en-US"/>
        </w:rPr>
      </w:pPr>
      <w:r w:rsidRPr="001B1523">
        <w:rPr>
          <w:sz w:val="24"/>
          <w:szCs w:val="24"/>
          <w:lang w:val="en-US"/>
        </w:rPr>
        <w:t>CD: Cluster of differentiation</w:t>
      </w:r>
    </w:p>
    <w:p w14:paraId="4EA7C366" w14:textId="77777777" w:rsidR="00E92507" w:rsidRPr="001B1523" w:rsidRDefault="00E92507" w:rsidP="00E92507">
      <w:pPr>
        <w:spacing w:line="480" w:lineRule="auto"/>
        <w:rPr>
          <w:sz w:val="24"/>
          <w:szCs w:val="24"/>
          <w:lang w:val="en-US"/>
        </w:rPr>
      </w:pPr>
      <w:r w:rsidRPr="001B1523">
        <w:rPr>
          <w:sz w:val="24"/>
          <w:szCs w:val="24"/>
          <w:lang w:val="en-US"/>
        </w:rPr>
        <w:t>CMV: Cytomegalovirus</w:t>
      </w:r>
    </w:p>
    <w:p w14:paraId="15000FA0" w14:textId="77777777" w:rsidR="00E92507" w:rsidRPr="001B1523" w:rsidRDefault="00E92507" w:rsidP="00E92507">
      <w:pPr>
        <w:spacing w:line="480" w:lineRule="auto"/>
        <w:rPr>
          <w:sz w:val="24"/>
          <w:szCs w:val="24"/>
          <w:lang w:val="en-US"/>
        </w:rPr>
      </w:pPr>
      <w:r w:rsidRPr="001B1523">
        <w:rPr>
          <w:sz w:val="24"/>
          <w:szCs w:val="24"/>
          <w:lang w:val="en-US"/>
        </w:rPr>
        <w:t>CNS: Central nervous system</w:t>
      </w:r>
    </w:p>
    <w:p w14:paraId="3E64325C" w14:textId="77777777" w:rsidR="00E92507" w:rsidRPr="001B1523" w:rsidRDefault="00E92507" w:rsidP="00E92507">
      <w:pPr>
        <w:spacing w:line="480" w:lineRule="auto"/>
        <w:rPr>
          <w:sz w:val="24"/>
          <w:szCs w:val="24"/>
          <w:lang w:val="en-US"/>
        </w:rPr>
      </w:pPr>
      <w:r w:rsidRPr="001B1523">
        <w:rPr>
          <w:sz w:val="24"/>
          <w:szCs w:val="24"/>
          <w:lang w:val="en-US"/>
        </w:rPr>
        <w:t>CRP: C-reactive protein</w:t>
      </w:r>
    </w:p>
    <w:p w14:paraId="24ECC6F8" w14:textId="77777777" w:rsidR="00E92507" w:rsidRPr="001B1523" w:rsidRDefault="00E92507" w:rsidP="00E92507">
      <w:pPr>
        <w:spacing w:line="480" w:lineRule="auto"/>
        <w:rPr>
          <w:sz w:val="24"/>
          <w:szCs w:val="24"/>
          <w:lang w:val="en-US"/>
        </w:rPr>
      </w:pPr>
      <w:r w:rsidRPr="001B1523">
        <w:rPr>
          <w:sz w:val="24"/>
          <w:szCs w:val="24"/>
          <w:lang w:val="en-US"/>
        </w:rPr>
        <w:t>CSF: Cerebrospinal fluid</w:t>
      </w:r>
    </w:p>
    <w:p w14:paraId="2A99DFE0" w14:textId="77777777" w:rsidR="00E92507" w:rsidRPr="001B1523" w:rsidRDefault="00E92507" w:rsidP="00E92507">
      <w:pPr>
        <w:spacing w:line="480" w:lineRule="auto"/>
        <w:rPr>
          <w:sz w:val="24"/>
          <w:szCs w:val="24"/>
          <w:lang w:val="en-US"/>
        </w:rPr>
      </w:pPr>
      <w:r w:rsidRPr="001B1523">
        <w:rPr>
          <w:sz w:val="24"/>
          <w:szCs w:val="24"/>
          <w:lang w:val="en-US"/>
        </w:rPr>
        <w:t>EBV: Epstein-Barr virus</w:t>
      </w:r>
    </w:p>
    <w:p w14:paraId="6C2E6EA9" w14:textId="77777777" w:rsidR="00E92507" w:rsidRPr="001B1523" w:rsidRDefault="00E92507" w:rsidP="00E92507">
      <w:pPr>
        <w:spacing w:line="480" w:lineRule="auto"/>
        <w:rPr>
          <w:sz w:val="24"/>
          <w:szCs w:val="24"/>
          <w:lang w:val="en-US"/>
        </w:rPr>
      </w:pPr>
      <w:r w:rsidRPr="001B1523">
        <w:rPr>
          <w:sz w:val="24"/>
          <w:szCs w:val="24"/>
          <w:lang w:val="en-US"/>
        </w:rPr>
        <w:t>EDTA: Ethylenediaminetetraacetic acid</w:t>
      </w:r>
    </w:p>
    <w:p w14:paraId="4C5844E0" w14:textId="77777777" w:rsidR="00E92507" w:rsidRPr="001B1523" w:rsidRDefault="00E92507" w:rsidP="00E92507">
      <w:pPr>
        <w:spacing w:line="480" w:lineRule="auto"/>
        <w:rPr>
          <w:sz w:val="24"/>
          <w:szCs w:val="24"/>
          <w:lang w:val="en-US"/>
        </w:rPr>
      </w:pPr>
      <w:r w:rsidRPr="001B1523">
        <w:rPr>
          <w:sz w:val="24"/>
          <w:szCs w:val="24"/>
          <w:lang w:val="en-US"/>
        </w:rPr>
        <w:t>FACS: Fluorescence-activated cell sorting</w:t>
      </w:r>
    </w:p>
    <w:p w14:paraId="71572C66" w14:textId="77777777" w:rsidR="00E92507" w:rsidRPr="001B1523" w:rsidRDefault="00E92507" w:rsidP="00E92507">
      <w:pPr>
        <w:spacing w:line="480" w:lineRule="auto"/>
        <w:rPr>
          <w:sz w:val="24"/>
          <w:szCs w:val="24"/>
          <w:lang w:val="en-US"/>
        </w:rPr>
      </w:pPr>
      <w:r w:rsidRPr="001B1523">
        <w:rPr>
          <w:sz w:val="24"/>
          <w:szCs w:val="24"/>
          <w:lang w:val="en-US"/>
        </w:rPr>
        <w:t xml:space="preserve">hTERT: Human Telomerase reverse transcriptase </w:t>
      </w:r>
    </w:p>
    <w:p w14:paraId="384F3BE4" w14:textId="77777777" w:rsidR="00E92507" w:rsidRPr="001B1523" w:rsidRDefault="00E92507" w:rsidP="00E92507">
      <w:pPr>
        <w:spacing w:line="480" w:lineRule="auto"/>
        <w:rPr>
          <w:sz w:val="24"/>
          <w:szCs w:val="24"/>
          <w:lang w:val="en-US"/>
        </w:rPr>
      </w:pPr>
      <w:r w:rsidRPr="001B1523">
        <w:rPr>
          <w:sz w:val="24"/>
          <w:szCs w:val="24"/>
          <w:lang w:val="en-US"/>
        </w:rPr>
        <w:t>LEDD: Levodopa equivalent daily-dose</w:t>
      </w:r>
    </w:p>
    <w:p w14:paraId="52B976F7" w14:textId="77777777" w:rsidR="00E92507" w:rsidRPr="001B1523" w:rsidRDefault="00E92507" w:rsidP="00E92507">
      <w:pPr>
        <w:spacing w:line="480" w:lineRule="auto"/>
        <w:rPr>
          <w:sz w:val="24"/>
          <w:szCs w:val="24"/>
          <w:lang w:val="en-US"/>
        </w:rPr>
      </w:pPr>
      <w:r w:rsidRPr="001B1523">
        <w:rPr>
          <w:sz w:val="24"/>
          <w:szCs w:val="24"/>
          <w:lang w:val="en-US"/>
        </w:rPr>
        <w:t xml:space="preserve">MDS-UPDRS: MDS-Unified Parkinson's Disease Rating Scale </w:t>
      </w:r>
    </w:p>
    <w:p w14:paraId="3015B31B" w14:textId="77777777" w:rsidR="00E92507" w:rsidRPr="001B1523" w:rsidRDefault="00E92507" w:rsidP="00E92507">
      <w:pPr>
        <w:spacing w:line="480" w:lineRule="auto"/>
        <w:rPr>
          <w:sz w:val="24"/>
          <w:szCs w:val="24"/>
          <w:lang w:val="en-US"/>
        </w:rPr>
      </w:pPr>
      <w:r w:rsidRPr="001B1523">
        <w:rPr>
          <w:sz w:val="24"/>
          <w:szCs w:val="24"/>
          <w:lang w:val="en-US"/>
        </w:rPr>
        <w:t>p16</w:t>
      </w:r>
      <w:r w:rsidRPr="001B1523">
        <w:rPr>
          <w:sz w:val="24"/>
          <w:szCs w:val="24"/>
          <w:vertAlign w:val="superscript"/>
          <w:lang w:val="en-US"/>
        </w:rPr>
        <w:t>INK4a</w:t>
      </w:r>
      <w:r w:rsidRPr="001B1523">
        <w:rPr>
          <w:sz w:val="24"/>
          <w:szCs w:val="24"/>
          <w:lang w:val="en-US"/>
        </w:rPr>
        <w:t>: cyclin-dependent kinase inhibitor 2A</w:t>
      </w:r>
    </w:p>
    <w:p w14:paraId="4B84D053" w14:textId="77777777" w:rsidR="00E92507" w:rsidRPr="001B1523" w:rsidRDefault="00E92507" w:rsidP="00E92507">
      <w:pPr>
        <w:spacing w:line="480" w:lineRule="auto"/>
        <w:rPr>
          <w:sz w:val="24"/>
          <w:szCs w:val="24"/>
          <w:lang w:val="en-US"/>
        </w:rPr>
      </w:pPr>
      <w:r w:rsidRPr="001B1523">
        <w:rPr>
          <w:sz w:val="24"/>
          <w:szCs w:val="24"/>
          <w:lang w:val="en-US"/>
        </w:rPr>
        <w:t>p21</w:t>
      </w:r>
      <w:r w:rsidRPr="001B1523">
        <w:rPr>
          <w:sz w:val="24"/>
          <w:szCs w:val="24"/>
          <w:vertAlign w:val="superscript"/>
          <w:lang w:val="en-US"/>
        </w:rPr>
        <w:t>CIP1/Waf1</w:t>
      </w:r>
      <w:r w:rsidRPr="001B1523">
        <w:rPr>
          <w:sz w:val="24"/>
          <w:szCs w:val="24"/>
          <w:lang w:val="en-US"/>
        </w:rPr>
        <w:t>: cyclin-dependent kinase inhibitor 1</w:t>
      </w:r>
    </w:p>
    <w:p w14:paraId="4138DEDD" w14:textId="23AD134D" w:rsidR="00E92507" w:rsidRPr="001B1523" w:rsidRDefault="00E92507" w:rsidP="00E92507">
      <w:pPr>
        <w:spacing w:line="480" w:lineRule="auto"/>
        <w:rPr>
          <w:sz w:val="24"/>
          <w:szCs w:val="24"/>
          <w:lang w:val="en-US"/>
        </w:rPr>
      </w:pPr>
      <w:r w:rsidRPr="001B1523">
        <w:rPr>
          <w:sz w:val="24"/>
          <w:szCs w:val="24"/>
          <w:lang w:val="en-US"/>
        </w:rPr>
        <w:t>PBMCs: Peripheral blood mononuclear cells</w:t>
      </w:r>
    </w:p>
    <w:p w14:paraId="3DCA8E8A" w14:textId="77777777" w:rsidR="00E92507" w:rsidRPr="001B1523" w:rsidRDefault="00E92507" w:rsidP="00E92507">
      <w:pPr>
        <w:spacing w:line="480" w:lineRule="auto"/>
        <w:rPr>
          <w:sz w:val="24"/>
          <w:szCs w:val="24"/>
          <w:lang w:val="en-US"/>
        </w:rPr>
      </w:pPr>
      <w:r w:rsidRPr="001B1523">
        <w:rPr>
          <w:sz w:val="24"/>
          <w:szCs w:val="24"/>
          <w:lang w:val="en-US"/>
        </w:rPr>
        <w:t>PD: Parkinson’s disease</w:t>
      </w:r>
    </w:p>
    <w:p w14:paraId="1ECB1E33" w14:textId="77777777" w:rsidR="00E92507" w:rsidRPr="001B1523" w:rsidRDefault="00E92507" w:rsidP="00E92507">
      <w:pPr>
        <w:spacing w:line="480" w:lineRule="auto"/>
        <w:rPr>
          <w:sz w:val="24"/>
          <w:szCs w:val="24"/>
          <w:lang w:val="en-US"/>
        </w:rPr>
      </w:pPr>
      <w:r w:rsidRPr="001B1523">
        <w:rPr>
          <w:sz w:val="24"/>
          <w:szCs w:val="24"/>
          <w:lang w:val="en-US"/>
        </w:rPr>
        <w:t>PGK1: Phosphoglycerate Kinase 1</w:t>
      </w:r>
    </w:p>
    <w:p w14:paraId="71524ABD" w14:textId="77777777" w:rsidR="00E92507" w:rsidRPr="001B1523" w:rsidRDefault="00E92507" w:rsidP="00E92507">
      <w:pPr>
        <w:spacing w:line="480" w:lineRule="auto"/>
        <w:rPr>
          <w:sz w:val="24"/>
          <w:szCs w:val="24"/>
          <w:lang w:val="en-US"/>
        </w:rPr>
      </w:pPr>
      <w:r w:rsidRPr="001B1523">
        <w:rPr>
          <w:sz w:val="24"/>
          <w:szCs w:val="24"/>
          <w:lang w:val="en-US"/>
        </w:rPr>
        <w:t>PTK7: Protein Tyrosine Kinase 7</w:t>
      </w:r>
    </w:p>
    <w:p w14:paraId="7D0A280C" w14:textId="77777777" w:rsidR="00E92507" w:rsidRPr="001B1523" w:rsidRDefault="00E92507" w:rsidP="00E92507">
      <w:pPr>
        <w:spacing w:line="480" w:lineRule="auto"/>
        <w:rPr>
          <w:sz w:val="24"/>
          <w:szCs w:val="24"/>
          <w:lang w:val="en-US"/>
        </w:rPr>
      </w:pPr>
      <w:r w:rsidRPr="001B1523">
        <w:rPr>
          <w:sz w:val="24"/>
          <w:szCs w:val="24"/>
          <w:lang w:val="en-US"/>
        </w:rPr>
        <w:t xml:space="preserve">RTE: Recent thymic emigrant </w:t>
      </w:r>
    </w:p>
    <w:p w14:paraId="09AF4A13" w14:textId="77777777" w:rsidR="00E92507" w:rsidRPr="001B1523" w:rsidRDefault="00E92507" w:rsidP="00E92507">
      <w:pPr>
        <w:spacing w:line="480" w:lineRule="auto"/>
        <w:rPr>
          <w:sz w:val="24"/>
          <w:szCs w:val="24"/>
          <w:lang w:val="en-US"/>
        </w:rPr>
      </w:pPr>
      <w:r w:rsidRPr="001B1523">
        <w:rPr>
          <w:sz w:val="24"/>
          <w:szCs w:val="24"/>
          <w:lang w:val="en-US"/>
        </w:rPr>
        <w:t>RT-qPCR: Real-time quantitative polymerase chain reaction</w:t>
      </w:r>
    </w:p>
    <w:p w14:paraId="115505BD" w14:textId="24B97C2B" w:rsidR="00F14BFA" w:rsidRPr="001B1523" w:rsidRDefault="00E92507" w:rsidP="00E92507">
      <w:pPr>
        <w:spacing w:line="480" w:lineRule="auto"/>
        <w:rPr>
          <w:sz w:val="24"/>
          <w:szCs w:val="24"/>
          <w:lang w:val="en-US"/>
        </w:rPr>
      </w:pPr>
      <w:r w:rsidRPr="001B1523">
        <w:rPr>
          <w:sz w:val="24"/>
          <w:szCs w:val="24"/>
          <w:lang w:val="en-US"/>
        </w:rPr>
        <w:t>TEMRA: Terminally differentiated effector memory cells re-expressing CD45RA</w:t>
      </w:r>
    </w:p>
    <w:p w14:paraId="7D07FDA6" w14:textId="075BEBAB" w:rsidR="00F14BFA" w:rsidRPr="001B1523" w:rsidRDefault="00F14BFA" w:rsidP="008F1800">
      <w:pPr>
        <w:spacing w:line="480" w:lineRule="auto"/>
        <w:rPr>
          <w:sz w:val="24"/>
          <w:szCs w:val="24"/>
          <w:lang w:val="en-US"/>
        </w:rPr>
      </w:pPr>
    </w:p>
    <w:p w14:paraId="242D7A2B" w14:textId="02487708" w:rsidR="006C5047" w:rsidRPr="001B1523" w:rsidRDefault="006C5047" w:rsidP="00B14D97">
      <w:pPr>
        <w:pStyle w:val="Heading1"/>
        <w:spacing w:line="480" w:lineRule="auto"/>
        <w:rPr>
          <w:szCs w:val="24"/>
          <w:lang w:val="en-US"/>
        </w:rPr>
      </w:pPr>
      <w:r w:rsidRPr="001B1523">
        <w:rPr>
          <w:szCs w:val="24"/>
          <w:lang w:val="en-US"/>
        </w:rPr>
        <w:lastRenderedPageBreak/>
        <w:t>Declarations</w:t>
      </w:r>
    </w:p>
    <w:p w14:paraId="310B1FCF" w14:textId="77777777" w:rsidR="00B14D97" w:rsidRPr="001B1523" w:rsidRDefault="00B14D97" w:rsidP="00B14D97">
      <w:pPr>
        <w:rPr>
          <w:lang w:val="en-US"/>
        </w:rPr>
      </w:pPr>
    </w:p>
    <w:p w14:paraId="7010BE66" w14:textId="1E25747C" w:rsidR="00B14D97" w:rsidRPr="001B1523" w:rsidRDefault="00B14D97" w:rsidP="00DB41A1">
      <w:pPr>
        <w:pStyle w:val="Heading1"/>
        <w:spacing w:line="480" w:lineRule="auto"/>
        <w:rPr>
          <w:szCs w:val="24"/>
          <w:lang w:val="en-US"/>
        </w:rPr>
      </w:pPr>
      <w:r w:rsidRPr="001B1523">
        <w:rPr>
          <w:szCs w:val="24"/>
          <w:lang w:val="en-US"/>
        </w:rPr>
        <w:t>Ethics approval and consent to participate</w:t>
      </w:r>
    </w:p>
    <w:p w14:paraId="1DF27E0F" w14:textId="0B83BC88" w:rsidR="00B14D97" w:rsidRPr="001B1523" w:rsidRDefault="00B14D97" w:rsidP="00DB41A1">
      <w:pPr>
        <w:spacing w:line="480" w:lineRule="auto"/>
        <w:rPr>
          <w:sz w:val="24"/>
          <w:szCs w:val="24"/>
          <w:lang w:val="en-US"/>
        </w:rPr>
      </w:pPr>
      <w:r w:rsidRPr="001B1523">
        <w:rPr>
          <w:sz w:val="24"/>
          <w:szCs w:val="24"/>
          <w:lang w:val="en-US"/>
        </w:rPr>
        <w:t>Ethical approval was obtained from the East of England - Essex Research Ethics Committee (16/EE/0445) and the East of England - Cambridge Central Research Ethics Committee (03/303).</w:t>
      </w:r>
      <w:r w:rsidR="00DB41A1" w:rsidRPr="001B1523">
        <w:rPr>
          <w:sz w:val="24"/>
          <w:szCs w:val="24"/>
        </w:rPr>
        <w:t xml:space="preserve"> </w:t>
      </w:r>
      <w:r w:rsidR="00DB41A1" w:rsidRPr="001B1523">
        <w:rPr>
          <w:sz w:val="24"/>
          <w:szCs w:val="24"/>
          <w:lang w:val="en-US"/>
        </w:rPr>
        <w:t>All participants provided written informed consent.</w:t>
      </w:r>
    </w:p>
    <w:p w14:paraId="226475A0" w14:textId="77777777" w:rsidR="00B14D97" w:rsidRPr="001B1523" w:rsidRDefault="00B14D97" w:rsidP="00B14D97">
      <w:pPr>
        <w:rPr>
          <w:lang w:val="en-US"/>
        </w:rPr>
      </w:pPr>
    </w:p>
    <w:p w14:paraId="496C7AA6" w14:textId="4DD8EC30" w:rsidR="00B14D97" w:rsidRPr="001B1523" w:rsidRDefault="00B14D97" w:rsidP="00B14D97">
      <w:pPr>
        <w:pStyle w:val="Heading1"/>
        <w:spacing w:line="480" w:lineRule="auto"/>
        <w:rPr>
          <w:szCs w:val="24"/>
          <w:lang w:val="en-US"/>
        </w:rPr>
      </w:pPr>
      <w:r w:rsidRPr="001B1523">
        <w:rPr>
          <w:szCs w:val="24"/>
          <w:lang w:val="en-US"/>
        </w:rPr>
        <w:t>Consent for publication</w:t>
      </w:r>
    </w:p>
    <w:p w14:paraId="15E9CF5F" w14:textId="0D167517" w:rsidR="00B14D97" w:rsidRPr="001B1523" w:rsidRDefault="001E6D4D" w:rsidP="001E6D4D">
      <w:pPr>
        <w:spacing w:line="480" w:lineRule="auto"/>
        <w:rPr>
          <w:sz w:val="24"/>
          <w:szCs w:val="24"/>
          <w:lang w:val="en-US"/>
        </w:rPr>
      </w:pPr>
      <w:r w:rsidRPr="001B1523">
        <w:rPr>
          <w:sz w:val="24"/>
          <w:szCs w:val="24"/>
          <w:lang w:val="en-US"/>
        </w:rPr>
        <w:t>Not applicable</w:t>
      </w:r>
    </w:p>
    <w:p w14:paraId="15AD96DB" w14:textId="77777777" w:rsidR="001E6D4D" w:rsidRPr="001B1523" w:rsidRDefault="001E6D4D" w:rsidP="001E6D4D">
      <w:pPr>
        <w:spacing w:line="480" w:lineRule="auto"/>
        <w:rPr>
          <w:sz w:val="24"/>
          <w:szCs w:val="24"/>
          <w:lang w:val="en-US"/>
        </w:rPr>
      </w:pPr>
    </w:p>
    <w:p w14:paraId="44D8911F" w14:textId="5FB61DAA" w:rsidR="00B14D97" w:rsidRDefault="00B14D97" w:rsidP="00B14D97">
      <w:pPr>
        <w:pStyle w:val="Heading1"/>
        <w:spacing w:line="480" w:lineRule="auto"/>
        <w:rPr>
          <w:szCs w:val="24"/>
          <w:lang w:val="en-US"/>
        </w:rPr>
      </w:pPr>
      <w:r w:rsidRPr="001B1523">
        <w:rPr>
          <w:szCs w:val="24"/>
          <w:lang w:val="en-US"/>
        </w:rPr>
        <w:t>Availability of data and material</w:t>
      </w:r>
    </w:p>
    <w:p w14:paraId="689CE37D" w14:textId="57AEC1AD" w:rsidR="00B14D97" w:rsidRDefault="00B14D97" w:rsidP="003E41FA">
      <w:pPr>
        <w:spacing w:line="480" w:lineRule="auto"/>
        <w:rPr>
          <w:sz w:val="24"/>
          <w:szCs w:val="24"/>
          <w:lang w:val="en-US"/>
        </w:rPr>
      </w:pPr>
      <w:r w:rsidRPr="003B2FAE">
        <w:rPr>
          <w:sz w:val="24"/>
          <w:szCs w:val="24"/>
          <w:lang w:val="en-US"/>
        </w:rPr>
        <w:t>Supporting data related to the findings of this study will be made available by the authors upon reasonable request by suitably qualified investigators.</w:t>
      </w:r>
    </w:p>
    <w:p w14:paraId="6648F990" w14:textId="77777777" w:rsidR="00B14D97" w:rsidRPr="00B14D97" w:rsidRDefault="00B14D97" w:rsidP="00B14D97">
      <w:pPr>
        <w:spacing w:line="480" w:lineRule="auto"/>
        <w:rPr>
          <w:sz w:val="24"/>
          <w:szCs w:val="24"/>
          <w:lang w:val="en-US"/>
        </w:rPr>
      </w:pPr>
    </w:p>
    <w:p w14:paraId="17EA80CE" w14:textId="58DFD595" w:rsidR="00B14D97" w:rsidRDefault="00B14D97" w:rsidP="00B14D97">
      <w:pPr>
        <w:pStyle w:val="Heading1"/>
        <w:spacing w:line="480" w:lineRule="auto"/>
        <w:rPr>
          <w:szCs w:val="24"/>
          <w:lang w:val="en-US"/>
        </w:rPr>
      </w:pPr>
      <w:r>
        <w:rPr>
          <w:szCs w:val="24"/>
          <w:lang w:val="en-US"/>
        </w:rPr>
        <w:t>Competing interests</w:t>
      </w:r>
    </w:p>
    <w:p w14:paraId="67537491" w14:textId="44180C3D" w:rsidR="00B14D97" w:rsidRDefault="00B14D97" w:rsidP="00B14D97">
      <w:pPr>
        <w:spacing w:line="480" w:lineRule="auto"/>
        <w:rPr>
          <w:sz w:val="24"/>
          <w:szCs w:val="24"/>
          <w:lang w:val="en-US"/>
        </w:rPr>
      </w:pPr>
      <w:r w:rsidRPr="00B14D97">
        <w:rPr>
          <w:sz w:val="24"/>
          <w:szCs w:val="24"/>
          <w:lang w:val="en-US"/>
        </w:rPr>
        <w:t>The authors declare that they have no competing interests</w:t>
      </w:r>
      <w:r>
        <w:rPr>
          <w:sz w:val="24"/>
          <w:szCs w:val="24"/>
          <w:lang w:val="en-US"/>
        </w:rPr>
        <w:t>.</w:t>
      </w:r>
    </w:p>
    <w:p w14:paraId="699A5726" w14:textId="77777777" w:rsidR="00B14D97" w:rsidRPr="00B14D97" w:rsidRDefault="00B14D97" w:rsidP="00B14D97">
      <w:pPr>
        <w:spacing w:line="480" w:lineRule="auto"/>
        <w:rPr>
          <w:sz w:val="24"/>
          <w:szCs w:val="24"/>
          <w:lang w:val="en-US"/>
        </w:rPr>
      </w:pPr>
    </w:p>
    <w:p w14:paraId="32315EF7" w14:textId="66DF2064" w:rsidR="00B14D97" w:rsidRPr="001E6D4D" w:rsidRDefault="00B14D97" w:rsidP="001E6D4D">
      <w:pPr>
        <w:pStyle w:val="Heading1"/>
        <w:spacing w:line="480" w:lineRule="auto"/>
        <w:rPr>
          <w:szCs w:val="24"/>
          <w:lang w:val="en-US"/>
        </w:rPr>
      </w:pPr>
      <w:r w:rsidRPr="003B2FAE">
        <w:rPr>
          <w:szCs w:val="24"/>
          <w:lang w:val="en-US"/>
        </w:rPr>
        <w:t xml:space="preserve">Funding </w:t>
      </w:r>
    </w:p>
    <w:p w14:paraId="2B150153" w14:textId="77777777" w:rsidR="00B14D97" w:rsidRDefault="00B14D97" w:rsidP="00B14D97">
      <w:pPr>
        <w:spacing w:line="480" w:lineRule="auto"/>
        <w:rPr>
          <w:sz w:val="24"/>
          <w:szCs w:val="24"/>
          <w:lang w:val="en-US"/>
        </w:rPr>
      </w:pPr>
      <w:r w:rsidRPr="003B2FAE">
        <w:rPr>
          <w:sz w:val="24"/>
          <w:szCs w:val="24"/>
          <w:lang w:val="en-US"/>
        </w:rPr>
        <w:t xml:space="preserve">This work </w:t>
      </w:r>
      <w:r>
        <w:rPr>
          <w:sz w:val="24"/>
          <w:szCs w:val="24"/>
          <w:lang w:val="en-US"/>
        </w:rPr>
        <w:t xml:space="preserve">was supported by a grant </w:t>
      </w:r>
      <w:r w:rsidRPr="003B2FAE">
        <w:rPr>
          <w:sz w:val="24"/>
          <w:szCs w:val="24"/>
          <w:lang w:val="en-US"/>
        </w:rPr>
        <w:t>from the Michael J Fox Foundation (14912)</w:t>
      </w:r>
      <w:r>
        <w:rPr>
          <w:sz w:val="24"/>
          <w:szCs w:val="24"/>
          <w:lang w:val="en-US"/>
        </w:rPr>
        <w:t>.</w:t>
      </w:r>
      <w:r w:rsidRPr="003B2FAE">
        <w:rPr>
          <w:sz w:val="24"/>
          <w:szCs w:val="24"/>
          <w:lang w:val="en-US"/>
        </w:rPr>
        <w:t xml:space="preserve"> AK was </w:t>
      </w:r>
      <w:r>
        <w:rPr>
          <w:sz w:val="24"/>
          <w:szCs w:val="24"/>
          <w:lang w:val="en-US"/>
        </w:rPr>
        <w:t>supported</w:t>
      </w:r>
      <w:r w:rsidRPr="003B2FAE">
        <w:rPr>
          <w:sz w:val="24"/>
          <w:szCs w:val="24"/>
          <w:lang w:val="en-US"/>
        </w:rPr>
        <w:t xml:space="preserve"> by the Onassis Foundation (Scholarship Program for Hellenes) and Wolfson College, Cambridge</w:t>
      </w:r>
      <w:r>
        <w:rPr>
          <w:sz w:val="24"/>
          <w:szCs w:val="24"/>
          <w:lang w:val="en-US"/>
        </w:rPr>
        <w:t xml:space="preserve"> (</w:t>
      </w:r>
      <w:proofErr w:type="spellStart"/>
      <w:r w:rsidRPr="003B2FAE">
        <w:rPr>
          <w:sz w:val="24"/>
          <w:szCs w:val="24"/>
          <w:lang w:val="en-US"/>
        </w:rPr>
        <w:t>Alborada</w:t>
      </w:r>
      <w:proofErr w:type="spellEnd"/>
      <w:r w:rsidRPr="003B2FAE">
        <w:rPr>
          <w:sz w:val="24"/>
          <w:szCs w:val="24"/>
          <w:lang w:val="en-US"/>
        </w:rPr>
        <w:t xml:space="preserve"> Studentship</w:t>
      </w:r>
      <w:r>
        <w:rPr>
          <w:sz w:val="24"/>
          <w:szCs w:val="24"/>
          <w:lang w:val="en-US"/>
        </w:rPr>
        <w:t>)</w:t>
      </w:r>
      <w:r w:rsidRPr="003B2FAE">
        <w:rPr>
          <w:sz w:val="24"/>
          <w:szCs w:val="24"/>
          <w:lang w:val="en-US"/>
        </w:rPr>
        <w:t>.</w:t>
      </w:r>
      <w:r>
        <w:rPr>
          <w:sz w:val="24"/>
          <w:szCs w:val="24"/>
          <w:lang w:val="en-US"/>
        </w:rPr>
        <w:t xml:space="preserve"> </w:t>
      </w:r>
      <w:r w:rsidRPr="003B2FAE">
        <w:rPr>
          <w:sz w:val="24"/>
          <w:szCs w:val="24"/>
          <w:lang w:val="en-US"/>
        </w:rPr>
        <w:t>CHWG was supported by a RCUK/UKRI Research Innovation Fellowship awarded by the Medical Research Council (MR/R007446/1)</w:t>
      </w:r>
      <w:r>
        <w:rPr>
          <w:sz w:val="24"/>
          <w:szCs w:val="24"/>
          <w:lang w:val="en-US"/>
        </w:rPr>
        <w:t xml:space="preserve">, and MC and CHWG were supported by the Cambridge Centre for Parkinson-Plus. KMS </w:t>
      </w:r>
      <w:r w:rsidRPr="00E01FB2">
        <w:rPr>
          <w:sz w:val="24"/>
          <w:szCs w:val="24"/>
          <w:lang w:val="en-US"/>
        </w:rPr>
        <w:t xml:space="preserve">was supported by a </w:t>
      </w:r>
      <w:proofErr w:type="spellStart"/>
      <w:r w:rsidRPr="00E01FB2">
        <w:rPr>
          <w:sz w:val="24"/>
          <w:szCs w:val="24"/>
          <w:lang w:val="en-US"/>
        </w:rPr>
        <w:t>Wellcome</w:t>
      </w:r>
      <w:proofErr w:type="spellEnd"/>
      <w:r w:rsidRPr="00E01FB2">
        <w:rPr>
          <w:sz w:val="24"/>
          <w:szCs w:val="24"/>
          <w:lang w:val="en-US"/>
        </w:rPr>
        <w:t xml:space="preserve"> Trust PhD fellowship (</w:t>
      </w:r>
      <w:bookmarkStart w:id="8" w:name="_GoBack"/>
      <w:r w:rsidRPr="00E01FB2">
        <w:rPr>
          <w:sz w:val="24"/>
          <w:szCs w:val="24"/>
          <w:lang w:val="en-US"/>
        </w:rPr>
        <w:t>106565</w:t>
      </w:r>
      <w:bookmarkEnd w:id="8"/>
      <w:r w:rsidRPr="00E01FB2">
        <w:rPr>
          <w:sz w:val="24"/>
          <w:szCs w:val="24"/>
          <w:lang w:val="en-US"/>
        </w:rPr>
        <w:t>/Z/14/Z)</w:t>
      </w:r>
      <w:r>
        <w:rPr>
          <w:sz w:val="24"/>
          <w:szCs w:val="24"/>
          <w:lang w:val="en-US"/>
        </w:rPr>
        <w:t>.</w:t>
      </w:r>
      <w:r w:rsidRPr="003B2FAE">
        <w:rPr>
          <w:sz w:val="24"/>
          <w:szCs w:val="24"/>
          <w:lang w:val="en-US"/>
        </w:rPr>
        <w:t xml:space="preserve"> </w:t>
      </w:r>
      <w:r w:rsidRPr="00273C5E">
        <w:rPr>
          <w:sz w:val="24"/>
          <w:szCs w:val="24"/>
          <w:lang w:val="en-US"/>
        </w:rPr>
        <w:t xml:space="preserve">This research was supported by the NIHR Cambridge Biomedical </w:t>
      </w:r>
      <w:r w:rsidRPr="00273C5E">
        <w:rPr>
          <w:sz w:val="24"/>
          <w:szCs w:val="24"/>
          <w:lang w:val="en-US"/>
        </w:rPr>
        <w:lastRenderedPageBreak/>
        <w:t>Research Centre (BRC-1215-20014)</w:t>
      </w:r>
      <w:r>
        <w:rPr>
          <w:sz w:val="24"/>
          <w:szCs w:val="24"/>
          <w:lang w:val="en-US"/>
        </w:rPr>
        <w:t xml:space="preserve">. </w:t>
      </w:r>
      <w:r w:rsidRPr="003B2FAE">
        <w:rPr>
          <w:sz w:val="24"/>
          <w:szCs w:val="24"/>
          <w:lang w:val="en-US"/>
        </w:rPr>
        <w:t>The views expressed are those of the authors and not necessarily those of the NHS, the NIHR or the Department of Health.</w:t>
      </w:r>
    </w:p>
    <w:p w14:paraId="6BF840D2" w14:textId="77777777" w:rsidR="00B14D97" w:rsidRPr="00B14D97" w:rsidRDefault="00B14D97" w:rsidP="00B14D97">
      <w:pPr>
        <w:rPr>
          <w:lang w:val="en-US"/>
        </w:rPr>
      </w:pPr>
    </w:p>
    <w:p w14:paraId="75F72B5D" w14:textId="55882E6A" w:rsidR="00B14D97" w:rsidRDefault="00B14D97" w:rsidP="00B14D97">
      <w:pPr>
        <w:pStyle w:val="Heading1"/>
        <w:spacing w:line="480" w:lineRule="auto"/>
        <w:rPr>
          <w:szCs w:val="24"/>
          <w:lang w:val="en-US"/>
        </w:rPr>
      </w:pPr>
      <w:r>
        <w:rPr>
          <w:szCs w:val="24"/>
          <w:lang w:val="en-US"/>
        </w:rPr>
        <w:t>Authors</w:t>
      </w:r>
      <w:r w:rsidR="00056E42">
        <w:rPr>
          <w:szCs w:val="24"/>
          <w:lang w:val="en-US"/>
        </w:rPr>
        <w:t>’</w:t>
      </w:r>
      <w:r>
        <w:rPr>
          <w:szCs w:val="24"/>
          <w:lang w:val="en-US"/>
        </w:rPr>
        <w:t xml:space="preserve"> contributions</w:t>
      </w:r>
    </w:p>
    <w:p w14:paraId="02F2E3E2" w14:textId="77706859" w:rsidR="007F5E37" w:rsidRPr="001E6D4D" w:rsidRDefault="007F5E37" w:rsidP="001E6D4D">
      <w:pPr>
        <w:spacing w:line="480" w:lineRule="auto"/>
        <w:rPr>
          <w:sz w:val="24"/>
          <w:szCs w:val="24"/>
          <w:lang w:val="en-US"/>
        </w:rPr>
      </w:pPr>
      <w:r>
        <w:rPr>
          <w:sz w:val="24"/>
          <w:szCs w:val="24"/>
          <w:lang w:val="en-US"/>
        </w:rPr>
        <w:t xml:space="preserve">CHWG and CMR conceptualized and designed the study. AK, MJ, VP, KS, performed peripheral blood mononuclear cell separation, </w:t>
      </w:r>
      <w:r w:rsidR="00AD2FC4">
        <w:rPr>
          <w:sz w:val="24"/>
          <w:szCs w:val="24"/>
          <w:lang w:val="en-US"/>
        </w:rPr>
        <w:t xml:space="preserve">fluorescent staining, and </w:t>
      </w:r>
      <w:r>
        <w:rPr>
          <w:sz w:val="24"/>
          <w:szCs w:val="24"/>
          <w:lang w:val="en-US"/>
        </w:rPr>
        <w:t>flow cytometry experiments. CK and CP performed telomere and gene expression experiments. IHS performed</w:t>
      </w:r>
      <w:r w:rsidR="00EC4D74">
        <w:rPr>
          <w:sz w:val="24"/>
          <w:szCs w:val="24"/>
          <w:lang w:val="en-US"/>
        </w:rPr>
        <w:t xml:space="preserve"> CD8</w:t>
      </w:r>
      <w:r w:rsidR="00EC4D74" w:rsidRPr="00EC4D74">
        <w:rPr>
          <w:sz w:val="24"/>
          <w:szCs w:val="24"/>
          <w:vertAlign w:val="superscript"/>
          <w:lang w:val="en-US"/>
        </w:rPr>
        <w:t>+</w:t>
      </w:r>
      <w:r>
        <w:rPr>
          <w:sz w:val="24"/>
          <w:szCs w:val="24"/>
          <w:lang w:val="en-US"/>
        </w:rPr>
        <w:t xml:space="preserve"> T cell separations</w:t>
      </w:r>
      <w:r w:rsidR="00AD2FC4">
        <w:rPr>
          <w:sz w:val="24"/>
          <w:szCs w:val="24"/>
          <w:lang w:val="en-US"/>
        </w:rPr>
        <w:t>. MC assisted in</w:t>
      </w:r>
      <w:r w:rsidR="007E1EFC">
        <w:rPr>
          <w:sz w:val="24"/>
          <w:szCs w:val="24"/>
          <w:lang w:val="en-US"/>
        </w:rPr>
        <w:t xml:space="preserve"> collection of </w:t>
      </w:r>
      <w:r w:rsidR="00AD2FC4">
        <w:rPr>
          <w:sz w:val="24"/>
          <w:szCs w:val="24"/>
          <w:lang w:val="en-US"/>
        </w:rPr>
        <w:t>sample</w:t>
      </w:r>
      <w:r w:rsidR="007E1EFC">
        <w:rPr>
          <w:sz w:val="24"/>
          <w:szCs w:val="24"/>
          <w:lang w:val="en-US"/>
        </w:rPr>
        <w:t>s, demographics, and clinical information</w:t>
      </w:r>
      <w:r>
        <w:rPr>
          <w:sz w:val="24"/>
          <w:szCs w:val="24"/>
          <w:lang w:val="en-US"/>
        </w:rPr>
        <w:t xml:space="preserve">. AK </w:t>
      </w:r>
      <w:r w:rsidR="00AD2FC4">
        <w:rPr>
          <w:sz w:val="24"/>
          <w:szCs w:val="24"/>
          <w:lang w:val="en-US"/>
        </w:rPr>
        <w:t xml:space="preserve">and MJ </w:t>
      </w:r>
      <w:r>
        <w:rPr>
          <w:sz w:val="24"/>
          <w:szCs w:val="24"/>
          <w:lang w:val="en-US"/>
        </w:rPr>
        <w:t>analyzed the data</w:t>
      </w:r>
      <w:r w:rsidR="00AD2FC4">
        <w:rPr>
          <w:sz w:val="24"/>
          <w:szCs w:val="24"/>
          <w:lang w:val="en-US"/>
        </w:rPr>
        <w:t>. AK</w:t>
      </w:r>
      <w:r>
        <w:rPr>
          <w:sz w:val="24"/>
          <w:szCs w:val="24"/>
          <w:lang w:val="en-US"/>
        </w:rPr>
        <w:t xml:space="preserve"> drafted the manuscript. AK, </w:t>
      </w:r>
      <w:r w:rsidR="00AD2FC4">
        <w:rPr>
          <w:sz w:val="24"/>
          <w:szCs w:val="24"/>
          <w:lang w:val="en-US"/>
        </w:rPr>
        <w:t xml:space="preserve">MJ, </w:t>
      </w:r>
      <w:r>
        <w:rPr>
          <w:sz w:val="24"/>
          <w:szCs w:val="24"/>
          <w:lang w:val="en-US"/>
        </w:rPr>
        <w:t>CHWG and CMR revised the manuscript.</w:t>
      </w:r>
      <w:r w:rsidR="00AD2FC4">
        <w:rPr>
          <w:sz w:val="24"/>
          <w:szCs w:val="24"/>
          <w:lang w:val="en-US"/>
        </w:rPr>
        <w:t xml:space="preserve"> </w:t>
      </w:r>
      <w:r w:rsidR="0034360A">
        <w:rPr>
          <w:sz w:val="24"/>
          <w:szCs w:val="24"/>
          <w:lang w:val="en-US"/>
        </w:rPr>
        <w:t>AK</w:t>
      </w:r>
      <w:r w:rsidR="001E6D4D" w:rsidRPr="001E6D4D">
        <w:rPr>
          <w:sz w:val="24"/>
          <w:szCs w:val="24"/>
          <w:lang w:val="en-US"/>
        </w:rPr>
        <w:t xml:space="preserve"> and M</w:t>
      </w:r>
      <w:r w:rsidR="0034360A">
        <w:rPr>
          <w:sz w:val="24"/>
          <w:szCs w:val="24"/>
          <w:lang w:val="en-US"/>
        </w:rPr>
        <w:t>J</w:t>
      </w:r>
      <w:r w:rsidR="001E6D4D" w:rsidRPr="001E6D4D">
        <w:rPr>
          <w:sz w:val="24"/>
          <w:szCs w:val="24"/>
          <w:lang w:val="en-US"/>
        </w:rPr>
        <w:t xml:space="preserve"> contributed equally to this manuscript.</w:t>
      </w:r>
      <w:r w:rsidR="0034360A">
        <w:rPr>
          <w:sz w:val="24"/>
          <w:szCs w:val="24"/>
          <w:lang w:val="en-US"/>
        </w:rPr>
        <w:t xml:space="preserve"> </w:t>
      </w:r>
      <w:r w:rsidR="0034360A" w:rsidRPr="0034360A">
        <w:rPr>
          <w:sz w:val="24"/>
          <w:szCs w:val="24"/>
          <w:lang w:val="en-US"/>
        </w:rPr>
        <w:t>All authors read and approved the final manuscript.</w:t>
      </w:r>
    </w:p>
    <w:p w14:paraId="04BFEA43" w14:textId="77777777" w:rsidR="001E6D4D" w:rsidRPr="001E6D4D" w:rsidRDefault="001E6D4D" w:rsidP="001E6D4D">
      <w:pPr>
        <w:spacing w:line="480" w:lineRule="auto"/>
        <w:rPr>
          <w:sz w:val="24"/>
          <w:szCs w:val="24"/>
          <w:lang w:val="en-US"/>
        </w:rPr>
      </w:pPr>
    </w:p>
    <w:p w14:paraId="32D1D9DF" w14:textId="71135E1A" w:rsidR="003D0CE1" w:rsidRPr="001E6D4D" w:rsidRDefault="00B14D97" w:rsidP="001E6D4D">
      <w:pPr>
        <w:pStyle w:val="Heading1"/>
        <w:spacing w:line="480" w:lineRule="auto"/>
        <w:rPr>
          <w:szCs w:val="24"/>
          <w:lang w:val="en-US"/>
        </w:rPr>
      </w:pPr>
      <w:r>
        <w:rPr>
          <w:szCs w:val="24"/>
          <w:lang w:val="en-US"/>
        </w:rPr>
        <w:t>A</w:t>
      </w:r>
      <w:r w:rsidR="00C02E6E" w:rsidRPr="003B2FAE">
        <w:rPr>
          <w:szCs w:val="24"/>
          <w:lang w:val="en-US"/>
        </w:rPr>
        <w:t>cknowledgements</w:t>
      </w:r>
    </w:p>
    <w:p w14:paraId="6FE51724" w14:textId="049F6066" w:rsidR="005877EE" w:rsidRDefault="00383C8E" w:rsidP="00B14D97">
      <w:pPr>
        <w:spacing w:line="480" w:lineRule="auto"/>
        <w:rPr>
          <w:sz w:val="24"/>
          <w:szCs w:val="24"/>
          <w:lang w:val="en-US"/>
        </w:rPr>
      </w:pPr>
      <w:r w:rsidRPr="00383C8E">
        <w:rPr>
          <w:sz w:val="24"/>
          <w:szCs w:val="24"/>
          <w:lang w:val="en-US"/>
        </w:rPr>
        <w:t>We gratefully acknowledge the participation of all our patient</w:t>
      </w:r>
      <w:r w:rsidR="004E2E0F">
        <w:rPr>
          <w:sz w:val="24"/>
          <w:szCs w:val="24"/>
          <w:lang w:val="en-US"/>
        </w:rPr>
        <w:t xml:space="preserve"> and healthy</w:t>
      </w:r>
      <w:r w:rsidRPr="00383C8E">
        <w:rPr>
          <w:sz w:val="24"/>
          <w:szCs w:val="24"/>
          <w:lang w:val="en-US"/>
        </w:rPr>
        <w:t xml:space="preserve"> volunteers.</w:t>
      </w:r>
      <w:r w:rsidR="004E2E0F">
        <w:rPr>
          <w:sz w:val="24"/>
          <w:szCs w:val="24"/>
          <w:lang w:val="en-US"/>
        </w:rPr>
        <w:t xml:space="preserve"> </w:t>
      </w:r>
      <w:r w:rsidR="004E2E0F" w:rsidRPr="004E2E0F">
        <w:rPr>
          <w:sz w:val="24"/>
          <w:szCs w:val="24"/>
          <w:lang w:val="en-US"/>
        </w:rPr>
        <w:t xml:space="preserve">We thank NIHR </w:t>
      </w:r>
      <w:proofErr w:type="spellStart"/>
      <w:r w:rsidR="004E2E0F" w:rsidRPr="004E2E0F">
        <w:rPr>
          <w:sz w:val="24"/>
          <w:szCs w:val="24"/>
          <w:lang w:val="en-US"/>
        </w:rPr>
        <w:t>BioResource</w:t>
      </w:r>
      <w:proofErr w:type="spellEnd"/>
      <w:r w:rsidR="004E2E0F" w:rsidRPr="004E2E0F">
        <w:rPr>
          <w:sz w:val="24"/>
          <w:szCs w:val="24"/>
          <w:lang w:val="en-US"/>
        </w:rPr>
        <w:t xml:space="preserve"> volunteers for their participation, and gratefully acknowledge NIHR </w:t>
      </w:r>
      <w:proofErr w:type="spellStart"/>
      <w:r w:rsidR="004E2E0F" w:rsidRPr="004E2E0F">
        <w:rPr>
          <w:sz w:val="24"/>
          <w:szCs w:val="24"/>
          <w:lang w:val="en-US"/>
        </w:rPr>
        <w:t>BioResource</w:t>
      </w:r>
      <w:proofErr w:type="spellEnd"/>
      <w:r w:rsidR="004E2E0F" w:rsidRPr="004E2E0F">
        <w:rPr>
          <w:sz w:val="24"/>
          <w:szCs w:val="24"/>
          <w:lang w:val="en-US"/>
        </w:rPr>
        <w:t xml:space="preserve"> </w:t>
      </w:r>
      <w:proofErr w:type="spellStart"/>
      <w:r w:rsidR="004E2E0F" w:rsidRPr="004E2E0F">
        <w:rPr>
          <w:sz w:val="24"/>
          <w:szCs w:val="24"/>
          <w:lang w:val="en-US"/>
        </w:rPr>
        <w:t>centres</w:t>
      </w:r>
      <w:proofErr w:type="spellEnd"/>
      <w:r w:rsidR="004E2E0F" w:rsidRPr="004E2E0F">
        <w:rPr>
          <w:sz w:val="24"/>
          <w:szCs w:val="24"/>
          <w:lang w:val="en-US"/>
        </w:rPr>
        <w:t xml:space="preserve">, NHS Trusts and staff for their contribution. We thank the National Institute for Health Research, NHS Blood and Transplant, and Health Data Research UK as part of the Digital Innovation Hub </w:t>
      </w:r>
      <w:proofErr w:type="spellStart"/>
      <w:r w:rsidR="004E2E0F" w:rsidRPr="004E2E0F">
        <w:rPr>
          <w:sz w:val="24"/>
          <w:szCs w:val="24"/>
          <w:lang w:val="en-US"/>
        </w:rPr>
        <w:t>Programme</w:t>
      </w:r>
      <w:proofErr w:type="spellEnd"/>
      <w:r w:rsidR="004E2E0F" w:rsidRPr="004E2E0F">
        <w:rPr>
          <w:sz w:val="24"/>
          <w:szCs w:val="24"/>
          <w:lang w:val="en-US"/>
        </w:rPr>
        <w:t>. The views expressed are those of the author(s) and not necessarily those of the NHS, the NIHR or the Department of Health and Social Care.</w:t>
      </w:r>
      <w:r w:rsidR="004E2E0F">
        <w:rPr>
          <w:sz w:val="24"/>
          <w:szCs w:val="24"/>
          <w:lang w:val="en-US"/>
        </w:rPr>
        <w:t xml:space="preserve"> </w:t>
      </w:r>
      <w:r w:rsidRPr="00383C8E">
        <w:rPr>
          <w:sz w:val="24"/>
          <w:szCs w:val="24"/>
          <w:lang w:val="en-US"/>
        </w:rPr>
        <w:t>We also acknowledge the support of the</w:t>
      </w:r>
      <w:r>
        <w:rPr>
          <w:sz w:val="24"/>
          <w:szCs w:val="24"/>
          <w:lang w:val="en-US"/>
        </w:rPr>
        <w:t xml:space="preserve"> </w:t>
      </w:r>
      <w:r w:rsidRPr="00383C8E">
        <w:rPr>
          <w:sz w:val="24"/>
          <w:szCs w:val="24"/>
          <w:lang w:val="en-US"/>
        </w:rPr>
        <w:t xml:space="preserve">Cambridge NIHR BRC Cell Phenotyping Hub and the </w:t>
      </w:r>
      <w:r w:rsidR="004C12FD">
        <w:rPr>
          <w:sz w:val="24"/>
          <w:szCs w:val="24"/>
          <w:lang w:val="en-US"/>
        </w:rPr>
        <w:t>pathology laboratories</w:t>
      </w:r>
      <w:r w:rsidRPr="00383C8E">
        <w:rPr>
          <w:sz w:val="24"/>
          <w:szCs w:val="24"/>
          <w:lang w:val="en-US"/>
        </w:rPr>
        <w:t xml:space="preserve"> at </w:t>
      </w:r>
      <w:r w:rsidR="004C12FD">
        <w:rPr>
          <w:sz w:val="24"/>
          <w:szCs w:val="24"/>
          <w:lang w:val="en-US"/>
        </w:rPr>
        <w:t>Addenbrooke’s hospital</w:t>
      </w:r>
      <w:r>
        <w:rPr>
          <w:sz w:val="24"/>
          <w:szCs w:val="24"/>
          <w:lang w:val="en-US"/>
        </w:rPr>
        <w:t>.</w:t>
      </w:r>
    </w:p>
    <w:p w14:paraId="64F79BF9" w14:textId="79632632" w:rsidR="003571B0" w:rsidRDefault="003571B0" w:rsidP="00AC4E9D">
      <w:pPr>
        <w:spacing w:line="480" w:lineRule="auto"/>
        <w:ind w:firstLine="720"/>
      </w:pPr>
    </w:p>
    <w:p w14:paraId="6BBD4BC4" w14:textId="72EFB5FB" w:rsidR="00760068" w:rsidRDefault="00760068" w:rsidP="00AC4E9D">
      <w:pPr>
        <w:spacing w:line="480" w:lineRule="auto"/>
        <w:ind w:firstLine="720"/>
      </w:pPr>
    </w:p>
    <w:p w14:paraId="7125504C" w14:textId="77777777" w:rsidR="00760068" w:rsidRDefault="00760068" w:rsidP="00AC4E9D">
      <w:pPr>
        <w:spacing w:line="480" w:lineRule="auto"/>
        <w:ind w:firstLine="720"/>
      </w:pPr>
    </w:p>
    <w:p w14:paraId="632C0F40" w14:textId="4EB99546" w:rsidR="0000076D" w:rsidRPr="001A6060" w:rsidRDefault="0000076D" w:rsidP="0036380A">
      <w:pPr>
        <w:pStyle w:val="Heading1"/>
        <w:spacing w:line="480" w:lineRule="auto"/>
      </w:pPr>
      <w:r>
        <w:lastRenderedPageBreak/>
        <w:t>References</w:t>
      </w:r>
    </w:p>
    <w:p w14:paraId="0967837D" w14:textId="16EBD627" w:rsidR="0000076D" w:rsidRDefault="0000076D" w:rsidP="00AF1B02">
      <w:pPr>
        <w:ind w:left="720" w:hanging="720"/>
      </w:pPr>
    </w:p>
    <w:p w14:paraId="3F6F6180" w14:textId="77777777" w:rsidR="00430995" w:rsidRPr="00430995" w:rsidRDefault="0000076D" w:rsidP="00430995">
      <w:pPr>
        <w:pStyle w:val="Bibliography"/>
      </w:pPr>
      <w:r>
        <w:fldChar w:fldCharType="begin"/>
      </w:r>
      <w:r w:rsidR="003D3539">
        <w:instrText xml:space="preserve"> ADDIN ZOTERO_BIBL {"uncited":[],"omitted":[],"custom":[]} CSL_BIBLIOGRAPHY </w:instrText>
      </w:r>
      <w:r>
        <w:fldChar w:fldCharType="separate"/>
      </w:r>
      <w:r w:rsidR="00430995" w:rsidRPr="00430995">
        <w:t xml:space="preserve">1. Mosley RL, Hutter-Saunders JA, Stone DK, Gendelman HE. Inflammation and Adaptive Immunity in Parkinson’s Disease. Cold Spring Harbor Perspectives in Medicine. 2012;2:a009381–a009381. </w:t>
      </w:r>
    </w:p>
    <w:p w14:paraId="2EFC336F" w14:textId="77777777" w:rsidR="00430995" w:rsidRPr="00430995" w:rsidRDefault="00430995" w:rsidP="00430995">
      <w:pPr>
        <w:pStyle w:val="Bibliography"/>
      </w:pPr>
      <w:r w:rsidRPr="00430995">
        <w:t xml:space="preserve">2. Chou JP, Effros RB. T CELL REPLICATIVE SENESCENCE IN HUMAN AGING. Curr Pharm Des. 2013;19:1680–98. </w:t>
      </w:r>
    </w:p>
    <w:p w14:paraId="1C4DEB30" w14:textId="77777777" w:rsidR="00430995" w:rsidRPr="00430995" w:rsidRDefault="00430995" w:rsidP="00430995">
      <w:pPr>
        <w:pStyle w:val="Bibliography"/>
      </w:pPr>
      <w:r w:rsidRPr="00430995">
        <w:t xml:space="preserve">3. Brenchley JM, Karandikar NJ, Betts MR, Ambrozak DR, Hill BJ, Crotty LE, et al. Expression of CD57 defines replicative senescence and antigen-induced apoptotic death of CD8+ T cells. Blood. 2003;101:2711–20. </w:t>
      </w:r>
    </w:p>
    <w:p w14:paraId="74445D50" w14:textId="77777777" w:rsidR="00430995" w:rsidRPr="00430995" w:rsidRDefault="00430995" w:rsidP="00430995">
      <w:pPr>
        <w:pStyle w:val="Bibliography"/>
      </w:pPr>
      <w:r w:rsidRPr="00430995">
        <w:t xml:space="preserve">4. Tarazona R, DelaRosa O, Alonso C, Ostos B, Espejo J, Peña J, et al. Increased expression of NK cell markers on T lymphocytes in aging and chronic activation of the immune system reflects the accumulation of effector/senescent T cells. Mechanisms of Ageing and Development. 2001;121:77–88. </w:t>
      </w:r>
    </w:p>
    <w:p w14:paraId="7DBCADD6" w14:textId="77777777" w:rsidR="00430995" w:rsidRPr="00430995" w:rsidRDefault="00430995" w:rsidP="00430995">
      <w:pPr>
        <w:pStyle w:val="Bibliography"/>
      </w:pPr>
      <w:r w:rsidRPr="00430995">
        <w:t xml:space="preserve">5. Effros RB, Boucher N, Porter V, Zhu X, Spaulding C, Walford RL, et al. Decline in CD28+ T cells in centenarians and in long-term T cell cultures: A possible cause for both in vivo and in vitro immunosenescence. Experimental Gerontology. 1994;29:601–9. </w:t>
      </w:r>
    </w:p>
    <w:p w14:paraId="4A65DA9C" w14:textId="77777777" w:rsidR="00430995" w:rsidRPr="00430995" w:rsidRDefault="00430995" w:rsidP="00430995">
      <w:pPr>
        <w:pStyle w:val="Bibliography"/>
      </w:pPr>
      <w:r w:rsidRPr="00430995">
        <w:t xml:space="preserve">6. Larbi A, Fulop T. From “truly naïve” to “exhausted senescent” T cells: When markers predict functionality. Cytometry Part A. 2014;85:25–35. </w:t>
      </w:r>
    </w:p>
    <w:p w14:paraId="408073DB" w14:textId="77777777" w:rsidR="00430995" w:rsidRPr="00430995" w:rsidRDefault="00430995" w:rsidP="00430995">
      <w:pPr>
        <w:pStyle w:val="Bibliography"/>
      </w:pPr>
      <w:r w:rsidRPr="00430995">
        <w:t>7. Herndler</w:t>
      </w:r>
      <w:r w:rsidRPr="00430995">
        <w:rPr>
          <w:rFonts w:ascii="Cambria Math" w:hAnsi="Cambria Math" w:cs="Cambria Math"/>
        </w:rPr>
        <w:t>‐</w:t>
      </w:r>
      <w:r w:rsidRPr="00430995">
        <w:t xml:space="preserve">Brandstetter D, Landgraf K, Tzankov A, Jenewein B, Brunauer R, Laschober GT, et al. The impact of aging on memory T cell phenotype and function in the human bone marrow. Journal of Leukocyte Biology. 2012;91:197–205. </w:t>
      </w:r>
    </w:p>
    <w:p w14:paraId="1AE96297" w14:textId="77777777" w:rsidR="00430995" w:rsidRPr="00430995" w:rsidRDefault="00430995" w:rsidP="00430995">
      <w:pPr>
        <w:pStyle w:val="Bibliography"/>
      </w:pPr>
      <w:r w:rsidRPr="00430995">
        <w:t>8. van der Heiden M, van Zelm MC, Bartol SJW, de Rond LGH, Berbers GAM, Boots AMH, et al. Differential effects of Cytomegalovirus carriage on the immune phenotype of middle-aged males and females. Sci Rep [Internet]. 2016 [cited 2021 Feb 22];6. Available from: https://www.ncbi.nlm.nih.gov/pmc/articles/PMC4886678/</w:t>
      </w:r>
    </w:p>
    <w:p w14:paraId="06780005" w14:textId="77777777" w:rsidR="00430995" w:rsidRPr="00430995" w:rsidRDefault="00430995" w:rsidP="00430995">
      <w:pPr>
        <w:pStyle w:val="Bibliography"/>
      </w:pPr>
      <w:r w:rsidRPr="00430995">
        <w:t xml:space="preserve">9. Derhovanessian E, Maier AB, Hähnel K, Beck R, de Craen AJM, Slagboom EP, et al. Infection with cytomegalovirus but not herpes simplex virus induces the accumulation of late-differentiated CD4+ and CD8+ T-cells in humans. Journal of General Virology. Microbiology Society,; 92:2746–56. </w:t>
      </w:r>
    </w:p>
    <w:p w14:paraId="44A56608" w14:textId="77777777" w:rsidR="00430995" w:rsidRPr="00430995" w:rsidRDefault="00430995" w:rsidP="00430995">
      <w:pPr>
        <w:pStyle w:val="Bibliography"/>
      </w:pPr>
      <w:r w:rsidRPr="00430995">
        <w:t>10. Moro-García MA, Alonso-Arias R, Lopez-Larrea C. When Aging Reaches CD4+ T-Cells: Phenotypic and Functional Changes. Front Immunol [Internet]. Frontiers; 2013 [cited 2021 Feb 22];4. Available from: https://www.frontiersin.org/articles/10.3389/fimmu.2013.00107/full</w:t>
      </w:r>
    </w:p>
    <w:p w14:paraId="18480CD0" w14:textId="77777777" w:rsidR="00430995" w:rsidRPr="00430995" w:rsidRDefault="00430995" w:rsidP="00430995">
      <w:pPr>
        <w:pStyle w:val="Bibliography"/>
      </w:pPr>
      <w:r w:rsidRPr="00430995">
        <w:t>11. Palmer DB. The Effect of Age on Thymic Function. Front Immunol [Internet]. Frontiers; 2013 [cited 2021 Feb 22];4. Available from: https://www.frontiersin.org/articles/10.3389/fimmu.2013.00316/full</w:t>
      </w:r>
    </w:p>
    <w:p w14:paraId="1F203B1E" w14:textId="77777777" w:rsidR="00430995" w:rsidRPr="00430995" w:rsidRDefault="00430995" w:rsidP="00430995">
      <w:pPr>
        <w:pStyle w:val="Bibliography"/>
      </w:pPr>
      <w:r w:rsidRPr="00430995">
        <w:t xml:space="preserve">12. Lynch HE, Goldberg GL, Chidgey A, Van den Brink MRM, Boyd R, Sempowski GD. Thymic involution and immune reconstitution. Trends in Immunology. 2009;30:366–73. </w:t>
      </w:r>
    </w:p>
    <w:p w14:paraId="3288A02D" w14:textId="77777777" w:rsidR="00430995" w:rsidRPr="00430995" w:rsidRDefault="00430995" w:rsidP="00430995">
      <w:pPr>
        <w:pStyle w:val="Bibliography"/>
      </w:pPr>
      <w:r w:rsidRPr="00430995">
        <w:t xml:space="preserve">13. Duggal NA, Pollock RD, Lazarus NR, Harridge S, Lord JM. Major features of immunesenescence, including reduced thymic output, are ameliorated by high levels of physical activity in adulthood. Aging Cell. 2018;17:e12750. </w:t>
      </w:r>
    </w:p>
    <w:p w14:paraId="3E75B39E" w14:textId="77777777" w:rsidR="00430995" w:rsidRPr="00430995" w:rsidRDefault="00430995" w:rsidP="00430995">
      <w:pPr>
        <w:pStyle w:val="Bibliography"/>
      </w:pPr>
      <w:r w:rsidRPr="00430995">
        <w:lastRenderedPageBreak/>
        <w:t xml:space="preserve">14. Haines CJ, Giffon TD, Lu L-S, Lu X, Tessier-Lavigne M, Ross DT, et al. Human CD4+ T cell recent thymic emigrants are identified by protein tyrosine kinase 7 and have reduced immune function. Journal of Experimental Medicine. 2009;206:275–85. </w:t>
      </w:r>
    </w:p>
    <w:p w14:paraId="44788300" w14:textId="77777777" w:rsidR="00430995" w:rsidRPr="00430995" w:rsidRDefault="00430995" w:rsidP="00430995">
      <w:pPr>
        <w:pStyle w:val="Bibliography"/>
      </w:pPr>
      <w:r w:rsidRPr="00430995">
        <w:t xml:space="preserve">15. McFarland RD, Douek DC, Koup RA, Picker LJ. Identification of a human recent thymic emigrant phenotype. PNAS. National Academy of Sciences; 2000;97:4215–20. </w:t>
      </w:r>
    </w:p>
    <w:p w14:paraId="5E465F3B" w14:textId="77777777" w:rsidR="00430995" w:rsidRPr="00430995" w:rsidRDefault="00430995" w:rsidP="00430995">
      <w:pPr>
        <w:pStyle w:val="Bibliography"/>
      </w:pPr>
      <w:r w:rsidRPr="00430995">
        <w:t xml:space="preserve">16. Mather KA, Jorm AF, Parslow RA, Christensen H. Is Telomere Length a Biomarker of Aging? A Review. The Journals of Gerontology: Series A. 2011;66A:202–13. </w:t>
      </w:r>
    </w:p>
    <w:p w14:paraId="4CC0382B" w14:textId="77777777" w:rsidR="00430995" w:rsidRPr="00430995" w:rsidRDefault="00430995" w:rsidP="00430995">
      <w:pPr>
        <w:pStyle w:val="Bibliography"/>
      </w:pPr>
      <w:r w:rsidRPr="00430995">
        <w:t xml:space="preserve">17. Vallejo AN. CD28 extinction in human T cells: altered functions and the program of T-cell senescence. Immunological Reviews. 2005;205:158–69. </w:t>
      </w:r>
    </w:p>
    <w:p w14:paraId="0537AC61" w14:textId="77777777" w:rsidR="00430995" w:rsidRPr="00430995" w:rsidRDefault="00430995" w:rsidP="00430995">
      <w:pPr>
        <w:pStyle w:val="Bibliography"/>
      </w:pPr>
      <w:r w:rsidRPr="00430995">
        <w:t>18. Patrick MS, Cheng N-L, Kim J, An J, Dong F, Yang Q, et al. Human T Cell Differentiation Negatively Regulates Telomerase Expression Resulting in Reduced Activation-Induced Proliferation and Survival. Front Immunol [Internet]. Frontiers; 2019 [cited 2021 Feb 22];10. Available from: https://www.frontiersin.org/articles/10.3389/fimmu.2019.01993/full</w:t>
      </w:r>
    </w:p>
    <w:p w14:paraId="43DCC826" w14:textId="77777777" w:rsidR="00430995" w:rsidRPr="00430995" w:rsidRDefault="00430995" w:rsidP="00430995">
      <w:pPr>
        <w:pStyle w:val="Bibliography"/>
      </w:pPr>
      <w:r w:rsidRPr="00430995">
        <w:t xml:space="preserve">19. Pustavoitau A, Barodka V, Sharpless NE, Torrice C, Nyhan D, Berkowitz DE, et al. Role of senescence marker p16INK4a measured in peripheral blood T-lymphocytes in predicting length of hospital stay after coronary artery bypass surgery in older adults. Experimental Gerontology. 2016;74:29–36. </w:t>
      </w:r>
    </w:p>
    <w:p w14:paraId="07F73B84" w14:textId="77777777" w:rsidR="00430995" w:rsidRPr="00430995" w:rsidRDefault="00430995" w:rsidP="00430995">
      <w:pPr>
        <w:pStyle w:val="Bibliography"/>
      </w:pPr>
      <w:r w:rsidRPr="00430995">
        <w:t xml:space="preserve">20. Rutten EPA, Gopal P, Wouters EFM, Franssen FME, Hageman GJ, Vanfleteren LE, et al. Various Mechanistic Pathways Representing the Aging Process Are Altered in COPD. Chest. 2016;149:53–61. </w:t>
      </w:r>
    </w:p>
    <w:p w14:paraId="32B2E509" w14:textId="77777777" w:rsidR="00430995" w:rsidRPr="00430995" w:rsidRDefault="00430995" w:rsidP="00430995">
      <w:pPr>
        <w:pStyle w:val="Bibliography"/>
      </w:pPr>
      <w:r w:rsidRPr="00430995">
        <w:t xml:space="preserve">21. Williams-Gray CH, Wijeyekoon RS, Scott KM, Hayat S, Barker RA, Jones JL. Abnormalities of age-related T cell senescence in Parkinson’s disease. Journal of Neuroinflammation. 2018;15:166. </w:t>
      </w:r>
    </w:p>
    <w:p w14:paraId="140958F2" w14:textId="77777777" w:rsidR="00430995" w:rsidRPr="00430995" w:rsidRDefault="00430995" w:rsidP="00430995">
      <w:pPr>
        <w:pStyle w:val="Bibliography"/>
      </w:pPr>
      <w:r w:rsidRPr="00430995">
        <w:t xml:space="preserve">22. Williams-Gray CH, Wijeyekoon R, Yarnall AJ, Lawson RA, Breen DP, Evans JR, et al. Serum immune markers and disease progression in an incident Parkinson’s disease cohort (ICICLE-PD). Mov Disord. 2016;31:995–1003. </w:t>
      </w:r>
    </w:p>
    <w:p w14:paraId="45A60B1D" w14:textId="77777777" w:rsidR="00430995" w:rsidRPr="00430995" w:rsidRDefault="00430995" w:rsidP="00430995">
      <w:pPr>
        <w:pStyle w:val="Bibliography"/>
      </w:pPr>
      <w:r w:rsidRPr="00430995">
        <w:t xml:space="preserve">23. Hirsch EC, Hunot S. Neuroinflammation in Parkinson’s disease: a target for neuroprotection? The Lancet Neurology. 2009;8:382–97. </w:t>
      </w:r>
    </w:p>
    <w:p w14:paraId="0E053127" w14:textId="77777777" w:rsidR="00430995" w:rsidRPr="00430995" w:rsidRDefault="00430995" w:rsidP="00430995">
      <w:pPr>
        <w:pStyle w:val="Bibliography"/>
      </w:pPr>
      <w:r w:rsidRPr="00430995">
        <w:t xml:space="preserve">24. Saunders JAH, Estes KA, Kosloski LM, Allen HE, Dempsey KM, Torres-Russotto DR, et al. CD4+ Regulatory and Effector/Memory T Cell Subsets Profile Motor Dysfunction in Parkinson’s Disease. J Neuroimmune Pharmacol. 2012;7:927–38. </w:t>
      </w:r>
    </w:p>
    <w:p w14:paraId="783B61EF" w14:textId="77777777" w:rsidR="00430995" w:rsidRPr="00430995" w:rsidRDefault="00430995" w:rsidP="00430995">
      <w:pPr>
        <w:pStyle w:val="Bibliography"/>
      </w:pPr>
      <w:r w:rsidRPr="00430995">
        <w:t xml:space="preserve">25. Baba Y, Kuroiwa A, Uitti RJ, Wszolek ZK, Yamada T. Alterations of T-lymphocyte populations in Parkinson disease. Parkinsonism &amp; Related Disorders. 2005;11:493–8. </w:t>
      </w:r>
    </w:p>
    <w:p w14:paraId="1928F394" w14:textId="77777777" w:rsidR="00430995" w:rsidRPr="00430995" w:rsidRDefault="00430995" w:rsidP="00430995">
      <w:pPr>
        <w:pStyle w:val="Bibliography"/>
      </w:pPr>
      <w:r w:rsidRPr="00430995">
        <w:t xml:space="preserve">26. Bas J, Calopa M, Mestre M, Mollevı́ DG, Cutillas B, Ambrosio S, et al. Lymphocyte populations in Parkinson’s disease and in rat models of parkinsonism. Journal of Neuroimmunology. 2001;113:146–52. </w:t>
      </w:r>
    </w:p>
    <w:p w14:paraId="53154204" w14:textId="77777777" w:rsidR="00430995" w:rsidRPr="00430995" w:rsidRDefault="00430995" w:rsidP="00430995">
      <w:pPr>
        <w:pStyle w:val="Bibliography"/>
      </w:pPr>
      <w:r w:rsidRPr="00430995">
        <w:t xml:space="preserve">27. Forero DA, González-Giraldo Y, López-Quintero C, Castro-Vega LJ, Barreto GE, Perry G. Telomere length in Parkinson’s disease: A meta-analysis. Experimental Gerontology. 2016;75:53–5. </w:t>
      </w:r>
    </w:p>
    <w:p w14:paraId="719277B4" w14:textId="77777777" w:rsidR="00430995" w:rsidRPr="00430995" w:rsidRDefault="00430995" w:rsidP="00430995">
      <w:pPr>
        <w:pStyle w:val="Bibliography"/>
      </w:pPr>
      <w:r w:rsidRPr="00430995">
        <w:lastRenderedPageBreak/>
        <w:t xml:space="preserve">28. Hudson G, Faini D, Stutt A, Eccles M, Robinson L, Burn DJ, et al. No evidence of substantia nigra telomere shortening in Parkinson’s disease. Neurobiol Aging. 2011;32:2107.e3-5. </w:t>
      </w:r>
    </w:p>
    <w:p w14:paraId="1B0735F2" w14:textId="77777777" w:rsidR="00430995" w:rsidRPr="00430995" w:rsidRDefault="00430995" w:rsidP="00430995">
      <w:pPr>
        <w:pStyle w:val="Bibliography"/>
      </w:pPr>
      <w:r w:rsidRPr="00430995">
        <w:t xml:space="preserve">29. Degerman S, Domellöf M, Landfors M, Linder J, Lundin M, Haraldsson S, et al. Long Leukocyte Telomere Length at Diagnosis Is a Risk Factor for Dementia Progression in Idiopathic Parkinsonism. PLOS ONE. Public Library of Science; 2014;9:e113387. </w:t>
      </w:r>
    </w:p>
    <w:p w14:paraId="7EAD3AA2" w14:textId="77777777" w:rsidR="00430995" w:rsidRPr="00430995" w:rsidRDefault="00430995" w:rsidP="00430995">
      <w:pPr>
        <w:pStyle w:val="Bibliography"/>
      </w:pPr>
      <w:r w:rsidRPr="00430995">
        <w:t xml:space="preserve">30. Martin-Ruiz C, Williams-Gray CH, Yarnall AJ, Boucher JJ, Lawson RA, Wijeyekoon RS, et al. Senescence and Inflammatory Markers for Predicting Clinical Progression in Parkinson’s Disease: The ICICLE-PD Study. Journal of Parkinson’s Disease. IOS Press; 2020;10:193–206. </w:t>
      </w:r>
    </w:p>
    <w:p w14:paraId="56AF621E" w14:textId="77777777" w:rsidR="00430995" w:rsidRPr="00430995" w:rsidRDefault="00430995" w:rsidP="00430995">
      <w:pPr>
        <w:pStyle w:val="Bibliography"/>
      </w:pPr>
      <w:r w:rsidRPr="00430995">
        <w:t xml:space="preserve">31. Tomlinson CL, Stowe R, Patel S, Rick C, Gray R, Clarke CE. Systematic review of levodopa dose equivalency reporting in Parkinson’s disease. Movement Disorders. 2010;25:2649–53. </w:t>
      </w:r>
    </w:p>
    <w:p w14:paraId="2154101D" w14:textId="77777777" w:rsidR="00430995" w:rsidRPr="00430995" w:rsidRDefault="00430995" w:rsidP="00430995">
      <w:pPr>
        <w:pStyle w:val="Bibliography"/>
      </w:pPr>
      <w:r w:rsidRPr="00430995">
        <w:t xml:space="preserve">32. Velseboer DC, de Bie RMA, Wieske L, Evans JR, Mason SL, Foltynie T, et al. Development and external validation of a prognostic model in newly diagnosed Parkinson disease. Neurology. 2016;86:986–93. </w:t>
      </w:r>
    </w:p>
    <w:p w14:paraId="30FADBA3" w14:textId="77777777" w:rsidR="00430995" w:rsidRPr="00430995" w:rsidRDefault="00430995" w:rsidP="00430995">
      <w:pPr>
        <w:pStyle w:val="Bibliography"/>
      </w:pPr>
      <w:r w:rsidRPr="00430995">
        <w:t xml:space="preserve">33. Arai Y, Martin-Ruiz CM, Takayama M, Abe Y, Takebayashi T, Koyasu S, et al. Inflammation, But Not Telomere Length, Predicts Successful Ageing at Extreme Old Age: A Longitudinal Study of Semi-supercentenarians. EBioMedicine. 2015;2:1549–58. </w:t>
      </w:r>
    </w:p>
    <w:p w14:paraId="22C8D169" w14:textId="77777777" w:rsidR="00430995" w:rsidRPr="00430995" w:rsidRDefault="00430995" w:rsidP="00430995">
      <w:pPr>
        <w:pStyle w:val="Bibliography"/>
      </w:pPr>
      <w:r w:rsidRPr="00430995">
        <w:t>34. Jensen MP, Jacobs BM, Dobson R, Bandres</w:t>
      </w:r>
      <w:r w:rsidRPr="00430995">
        <w:rPr>
          <w:rFonts w:ascii="Cambria Math" w:hAnsi="Cambria Math" w:cs="Cambria Math"/>
        </w:rPr>
        <w:t>‐</w:t>
      </w:r>
      <w:r w:rsidRPr="00430995">
        <w:t xml:space="preserve">Ciga S, Blauwendraat C, Schrag A, et al. Lower Lymphocyte Count is Associated With Increased Risk of Parkinson’s Disease. Annals of Neurology. 2021;89:803–12. </w:t>
      </w:r>
    </w:p>
    <w:p w14:paraId="0D1670C8" w14:textId="77777777" w:rsidR="00430995" w:rsidRPr="00430995" w:rsidRDefault="00430995" w:rsidP="00430995">
      <w:pPr>
        <w:pStyle w:val="Bibliography"/>
      </w:pPr>
      <w:r w:rsidRPr="00430995">
        <w:t xml:space="preserve">35. Pfaffl MW. A new mathematical model for  relative quantification in real-time RT–PCR. Nucleic Acids Res. 2001;29:e45. </w:t>
      </w:r>
    </w:p>
    <w:p w14:paraId="30F14EA5" w14:textId="77777777" w:rsidR="00430995" w:rsidRPr="00430995" w:rsidRDefault="00430995" w:rsidP="00430995">
      <w:pPr>
        <w:pStyle w:val="Bibliography"/>
      </w:pPr>
      <w:r w:rsidRPr="00430995">
        <w:t xml:space="preserve">36. Hadrup SR, Strindhall J, Køllgaard T, Seremet T, Johansson B, Pawelec G, et al. Longitudinal Studies of Clonally Expanded CD8 T Cells Reveal a Repertoire Shrinkage Predicting Mortality and an Increased Number of Dysfunctional Cytomegalovirus-Specific T Cells in the Very Elderly. The Journal of Immunology. American Association of Immunologists; 2006;176:2645–53. </w:t>
      </w:r>
    </w:p>
    <w:p w14:paraId="3462ED4E" w14:textId="77777777" w:rsidR="00430995" w:rsidRPr="00430995" w:rsidRDefault="00430995" w:rsidP="00430995">
      <w:pPr>
        <w:pStyle w:val="Bibliography"/>
      </w:pPr>
      <w:r w:rsidRPr="00430995">
        <w:t xml:space="preserve">37. Khan N, Shariff N, Cobbold M, Bruton R, Ainsworth JA, Sinclair AJ, et al. Cytomegalovirus Seropositivity Drives the CD8 T Cell Repertoire Toward Greater Clonality in Healthy Elderly Individuals. The Journal of Immunology. American Association of Immunologists; 2002;169:1984–92. </w:t>
      </w:r>
    </w:p>
    <w:p w14:paraId="52368940" w14:textId="77777777" w:rsidR="00430995" w:rsidRPr="00430995" w:rsidRDefault="00430995" w:rsidP="00430995">
      <w:pPr>
        <w:pStyle w:val="Bibliography"/>
      </w:pPr>
      <w:r w:rsidRPr="00430995">
        <w:t xml:space="preserve">38. Bernadotte A, Mikhelson VM, Spivak IM. Markers of cellular senescence. Telomere shortening as a marker of cellular senescence. Aging. 2016;8:3–11. </w:t>
      </w:r>
    </w:p>
    <w:p w14:paraId="113C33C5" w14:textId="77777777" w:rsidR="00430995" w:rsidRPr="00430995" w:rsidRDefault="00430995" w:rsidP="00430995">
      <w:pPr>
        <w:pStyle w:val="Bibliography"/>
      </w:pPr>
      <w:r w:rsidRPr="00430995">
        <w:t xml:space="preserve">39. Sturmlechner I, Durik M, Sieben CJ, Baker DJ, van Deursen JM. Cellular senescence in renal ageing and disease. Nature Reviews Nephrology. Nature Publishing Group; 2017;13:77–89. </w:t>
      </w:r>
    </w:p>
    <w:p w14:paraId="4D9AC609" w14:textId="77777777" w:rsidR="00430995" w:rsidRPr="00430995" w:rsidRDefault="00430995" w:rsidP="00430995">
      <w:pPr>
        <w:pStyle w:val="Bibliography"/>
      </w:pPr>
      <w:r w:rsidRPr="00430995">
        <w:t xml:space="preserve">40. Baker DJ, Childs BG, Durik M, Wijers ME, Sieben CJ, Zhong J, et al. Naturally occurring p16 Ink4a -positive cells shorten healthy lifespan. Nature. Nature Publishing Group; 2016;530:184–9. </w:t>
      </w:r>
    </w:p>
    <w:p w14:paraId="45AC2D52" w14:textId="77777777" w:rsidR="00430995" w:rsidRPr="00430995" w:rsidRDefault="00430995" w:rsidP="00430995">
      <w:pPr>
        <w:pStyle w:val="Bibliography"/>
      </w:pPr>
      <w:r w:rsidRPr="00430995">
        <w:lastRenderedPageBreak/>
        <w:t xml:space="preserve">41. Hochstrasser T, Marksteiner J, Defrancesco M, Deisenhammer EA, Kemmler G, Humpel C. Two Blood Monocytic Biomarkers (CCL15 and p21) Combined with the Mini-Mental State Examination Discriminate Alzheimer’s Disease Patients from Healthy Subjects. DEE. Karger Publishers; 2011;1:297–309. </w:t>
      </w:r>
    </w:p>
    <w:p w14:paraId="79538BC3" w14:textId="77777777" w:rsidR="00430995" w:rsidRPr="00430995" w:rsidRDefault="00430995" w:rsidP="00430995">
      <w:pPr>
        <w:pStyle w:val="Bibliography"/>
      </w:pPr>
      <w:r w:rsidRPr="00430995">
        <w:t xml:space="preserve">42. Chen S, Pawelec G, Trompet S, Goldeck D, Mortensen LH, Slagboom PE, et al. Associations of Cytomegalovirus Infection With All-Cause and Cardiovascular Mortality in Multiple Observational Cohort Studies of Older Adults. The Journal of Infectious Diseases. 2021;223:238–46. </w:t>
      </w:r>
    </w:p>
    <w:p w14:paraId="1525A40A" w14:textId="77777777" w:rsidR="00430995" w:rsidRPr="00430995" w:rsidRDefault="00430995" w:rsidP="00430995">
      <w:pPr>
        <w:pStyle w:val="Bibliography"/>
      </w:pPr>
      <w:r w:rsidRPr="00430995">
        <w:t xml:space="preserve">43. Sulzer D, Alcalay RN, Garretti F, Cote L, Kanter E, Agin-Liebes J, et al. T cells from patients with Parkinson’s disease recognize α-synuclein peptides. Nature. 2017;546:656. </w:t>
      </w:r>
    </w:p>
    <w:p w14:paraId="6012D232" w14:textId="77777777" w:rsidR="00430995" w:rsidRPr="00430995" w:rsidRDefault="00430995" w:rsidP="00430995">
      <w:pPr>
        <w:pStyle w:val="Bibliography"/>
      </w:pPr>
      <w:r w:rsidRPr="00430995">
        <w:t xml:space="preserve">44. Jacquemont L, Tilly G, Yap M, Doan-Ngoc T-M, Danger R, Guérif P, et al. Terminally Differentiated Effector Memory CD8+ T Cells Identify Kidney Transplant Recipients at High Risk of Graft Failure. JASN. American Society of Nephrology; 2020;31:876–91. </w:t>
      </w:r>
    </w:p>
    <w:p w14:paraId="4D16BBB4" w14:textId="77777777" w:rsidR="00430995" w:rsidRPr="00430995" w:rsidRDefault="00430995" w:rsidP="00430995">
      <w:pPr>
        <w:pStyle w:val="Bibliography"/>
      </w:pPr>
      <w:r w:rsidRPr="00430995">
        <w:t xml:space="preserve">45. Kouli A, Camacho M, Allinson K, Williams-Gray CH. Neuroinflammation and protein pathology in Parkinson’s disease dementia. Acta Neuropathologica Communications. 2020;8:211. </w:t>
      </w:r>
    </w:p>
    <w:p w14:paraId="7C2BC5AC" w14:textId="77777777" w:rsidR="00430995" w:rsidRPr="00430995" w:rsidRDefault="00430995" w:rsidP="00430995">
      <w:pPr>
        <w:pStyle w:val="Bibliography"/>
      </w:pPr>
      <w:r w:rsidRPr="00430995">
        <w:t xml:space="preserve">46. Galiano-Landeira J, Torra A, Vila M, Bové J. CD8 T cell nigral infiltration precedes synucleinopathy in early stages of Parkinson’s disease. Brain. 2020;143:3717–33. </w:t>
      </w:r>
    </w:p>
    <w:p w14:paraId="364B5D28" w14:textId="77777777" w:rsidR="00430995" w:rsidRPr="00430995" w:rsidRDefault="00430995" w:rsidP="00430995">
      <w:pPr>
        <w:pStyle w:val="Bibliography"/>
      </w:pPr>
      <w:r w:rsidRPr="00430995">
        <w:t>47. Brochard V, Combadière B, Prigent A, Laouar Y, Perrin A, Beray-Berthat V, et al. Infiltration of CD4+ lymphocytes into the brain contributes to neurodegeneration in a mouse model of Parkinson disease. Journal of Clinical Investigation [Internet]. 2008 [cited 2015 Feb 16]; Available from: http://www.jci.org/articles/view/36470</w:t>
      </w:r>
    </w:p>
    <w:p w14:paraId="0441A32C" w14:textId="77777777" w:rsidR="00430995" w:rsidRPr="00430995" w:rsidRDefault="00430995" w:rsidP="00430995">
      <w:pPr>
        <w:pStyle w:val="Bibliography"/>
      </w:pPr>
      <w:r w:rsidRPr="00430995">
        <w:t xml:space="preserve">48. Gate D, Saligrama N, Leventhal O, Yang AC, Unger MS, Middeldorp J, et al. Clonally expanded CD8 T cells patrol the cerebrospinal fluid in Alzheimer’s disease. Nature. Nature Publishing Group; 2020;577:399–404. </w:t>
      </w:r>
    </w:p>
    <w:p w14:paraId="22FE3DF6" w14:textId="38FA50D7" w:rsidR="004216A4" w:rsidRPr="0002267A" w:rsidRDefault="0000076D" w:rsidP="00CF219B">
      <w:pPr>
        <w:pStyle w:val="Bibliography"/>
      </w:pPr>
      <w:r>
        <w:fldChar w:fldCharType="end"/>
      </w:r>
    </w:p>
    <w:sectPr w:rsidR="004216A4" w:rsidRPr="0002267A" w:rsidSect="00EF312B">
      <w:footerReference w:type="default" r:id="rId14"/>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47E9BF5" w14:textId="77777777" w:rsidR="00B24168" w:rsidRDefault="00B24168" w:rsidP="00923196">
      <w:pPr>
        <w:spacing w:line="240" w:lineRule="auto"/>
      </w:pPr>
      <w:r>
        <w:separator/>
      </w:r>
    </w:p>
  </w:endnote>
  <w:endnote w:type="continuationSeparator" w:id="0">
    <w:p w14:paraId="1A264D02" w14:textId="77777777" w:rsidR="00B24168" w:rsidRDefault="00B24168" w:rsidP="0092319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AdvOT7fb33346.I">
    <w:altName w:val="Cambria"/>
    <w:panose1 w:val="00000000000000000000"/>
    <w:charset w:val="00"/>
    <w:family w:val="roman"/>
    <w:notTrueType/>
    <w:pitch w:val="default"/>
  </w:font>
  <w:font w:name="LucidaConsole">
    <w:altName w:val="Cambria"/>
    <w:panose1 w:val="00000000000000000000"/>
    <w:charset w:val="00"/>
    <w:family w:val="roman"/>
    <w:notTrueType/>
    <w:pitch w:val="default"/>
  </w:font>
  <w:font w:name="Lucida Bright">
    <w:panose1 w:val="020406020505050203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12267796"/>
      <w:docPartObj>
        <w:docPartGallery w:val="Page Numbers (Bottom of Page)"/>
        <w:docPartUnique/>
      </w:docPartObj>
    </w:sdtPr>
    <w:sdtEndPr>
      <w:rPr>
        <w:noProof/>
      </w:rPr>
    </w:sdtEndPr>
    <w:sdtContent>
      <w:p w14:paraId="22CDCA08" w14:textId="1FC2E045" w:rsidR="008D6C65" w:rsidRDefault="008D6C65">
        <w:pPr>
          <w:pStyle w:val="Footer"/>
          <w:jc w:val="right"/>
        </w:pPr>
        <w:r>
          <w:fldChar w:fldCharType="begin"/>
        </w:r>
        <w:r>
          <w:instrText xml:space="preserve"> PAGE   \* MERGEFORMAT </w:instrText>
        </w:r>
        <w:r>
          <w:fldChar w:fldCharType="separate"/>
        </w:r>
        <w:r w:rsidR="005E55FB">
          <w:rPr>
            <w:noProof/>
          </w:rPr>
          <w:t>25</w:t>
        </w:r>
        <w:r>
          <w:rPr>
            <w:noProof/>
          </w:rPr>
          <w:fldChar w:fldCharType="end"/>
        </w:r>
      </w:p>
    </w:sdtContent>
  </w:sdt>
  <w:p w14:paraId="41B95A83" w14:textId="77777777" w:rsidR="008D6C65" w:rsidRDefault="008D6C6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D1EA029" w14:textId="77777777" w:rsidR="00B24168" w:rsidRDefault="00B24168" w:rsidP="00923196">
      <w:pPr>
        <w:spacing w:line="240" w:lineRule="auto"/>
      </w:pPr>
      <w:r>
        <w:separator/>
      </w:r>
    </w:p>
  </w:footnote>
  <w:footnote w:type="continuationSeparator" w:id="0">
    <w:p w14:paraId="6D8711AD" w14:textId="77777777" w:rsidR="00B24168" w:rsidRDefault="00B24168" w:rsidP="0092319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9B6BD6"/>
    <w:multiLevelType w:val="hybridMultilevel"/>
    <w:tmpl w:val="8EF4C2A4"/>
    <w:lvl w:ilvl="0" w:tplc="04090001">
      <w:start w:val="1"/>
      <w:numFmt w:val="bullet"/>
      <w:lvlText w:val=""/>
      <w:lvlJc w:val="left"/>
      <w:pPr>
        <w:ind w:left="2988" w:hanging="360"/>
      </w:pPr>
      <w:rPr>
        <w:rFonts w:ascii="Symbol" w:hAnsi="Symbol" w:hint="default"/>
      </w:rPr>
    </w:lvl>
    <w:lvl w:ilvl="1" w:tplc="08090003" w:tentative="1">
      <w:start w:val="1"/>
      <w:numFmt w:val="bullet"/>
      <w:lvlText w:val="o"/>
      <w:lvlJc w:val="left"/>
      <w:pPr>
        <w:ind w:left="3708" w:hanging="360"/>
      </w:pPr>
      <w:rPr>
        <w:rFonts w:ascii="Courier New" w:hAnsi="Courier New" w:cs="Courier New" w:hint="default"/>
      </w:rPr>
    </w:lvl>
    <w:lvl w:ilvl="2" w:tplc="08090005" w:tentative="1">
      <w:start w:val="1"/>
      <w:numFmt w:val="bullet"/>
      <w:lvlText w:val=""/>
      <w:lvlJc w:val="left"/>
      <w:pPr>
        <w:ind w:left="4428" w:hanging="360"/>
      </w:pPr>
      <w:rPr>
        <w:rFonts w:ascii="Wingdings" w:hAnsi="Wingdings" w:hint="default"/>
      </w:rPr>
    </w:lvl>
    <w:lvl w:ilvl="3" w:tplc="08090001" w:tentative="1">
      <w:start w:val="1"/>
      <w:numFmt w:val="bullet"/>
      <w:lvlText w:val=""/>
      <w:lvlJc w:val="left"/>
      <w:pPr>
        <w:ind w:left="5148" w:hanging="360"/>
      </w:pPr>
      <w:rPr>
        <w:rFonts w:ascii="Symbol" w:hAnsi="Symbol" w:hint="default"/>
      </w:rPr>
    </w:lvl>
    <w:lvl w:ilvl="4" w:tplc="08090003" w:tentative="1">
      <w:start w:val="1"/>
      <w:numFmt w:val="bullet"/>
      <w:lvlText w:val="o"/>
      <w:lvlJc w:val="left"/>
      <w:pPr>
        <w:ind w:left="5868" w:hanging="360"/>
      </w:pPr>
      <w:rPr>
        <w:rFonts w:ascii="Courier New" w:hAnsi="Courier New" w:cs="Courier New" w:hint="default"/>
      </w:rPr>
    </w:lvl>
    <w:lvl w:ilvl="5" w:tplc="08090005" w:tentative="1">
      <w:start w:val="1"/>
      <w:numFmt w:val="bullet"/>
      <w:lvlText w:val=""/>
      <w:lvlJc w:val="left"/>
      <w:pPr>
        <w:ind w:left="6588" w:hanging="360"/>
      </w:pPr>
      <w:rPr>
        <w:rFonts w:ascii="Wingdings" w:hAnsi="Wingdings" w:hint="default"/>
      </w:rPr>
    </w:lvl>
    <w:lvl w:ilvl="6" w:tplc="08090001" w:tentative="1">
      <w:start w:val="1"/>
      <w:numFmt w:val="bullet"/>
      <w:lvlText w:val=""/>
      <w:lvlJc w:val="left"/>
      <w:pPr>
        <w:ind w:left="7308" w:hanging="360"/>
      </w:pPr>
      <w:rPr>
        <w:rFonts w:ascii="Symbol" w:hAnsi="Symbol" w:hint="default"/>
      </w:rPr>
    </w:lvl>
    <w:lvl w:ilvl="7" w:tplc="08090003" w:tentative="1">
      <w:start w:val="1"/>
      <w:numFmt w:val="bullet"/>
      <w:lvlText w:val="o"/>
      <w:lvlJc w:val="left"/>
      <w:pPr>
        <w:ind w:left="8028" w:hanging="360"/>
      </w:pPr>
      <w:rPr>
        <w:rFonts w:ascii="Courier New" w:hAnsi="Courier New" w:cs="Courier New" w:hint="default"/>
      </w:rPr>
    </w:lvl>
    <w:lvl w:ilvl="8" w:tplc="08090005" w:tentative="1">
      <w:start w:val="1"/>
      <w:numFmt w:val="bullet"/>
      <w:lvlText w:val=""/>
      <w:lvlJc w:val="left"/>
      <w:pPr>
        <w:ind w:left="8748" w:hanging="360"/>
      </w:pPr>
      <w:rPr>
        <w:rFonts w:ascii="Wingdings" w:hAnsi="Wingdings" w:hint="default"/>
      </w:rPr>
    </w:lvl>
  </w:abstractNum>
  <w:abstractNum w:abstractNumId="1" w15:restartNumberingAfterBreak="0">
    <w:nsid w:val="21C9580A"/>
    <w:multiLevelType w:val="multilevel"/>
    <w:tmpl w:val="1E9A6010"/>
    <w:lvl w:ilvl="0">
      <w:start w:val="1"/>
      <w:numFmt w:val="decimal"/>
      <w:lvlText w:val="%1."/>
      <w:lvlJc w:val="left"/>
      <w:pPr>
        <w:ind w:left="360" w:hanging="360"/>
      </w:pPr>
      <w:rPr>
        <w:rFonts w:hint="default"/>
      </w:rPr>
    </w:lvl>
    <w:lvl w:ilvl="1">
      <w:start w:val="4"/>
      <w:numFmt w:val="decimal"/>
      <w:isLgl/>
      <w:lvlText w:val="%1.%2"/>
      <w:lvlJc w:val="left"/>
      <w:pPr>
        <w:ind w:left="370" w:hanging="37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6FC63DAD"/>
    <w:multiLevelType w:val="multilevel"/>
    <w:tmpl w:val="CFFA3F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3036"/>
    <w:rsid w:val="0000076D"/>
    <w:rsid w:val="0000287B"/>
    <w:rsid w:val="00002904"/>
    <w:rsid w:val="00003E9D"/>
    <w:rsid w:val="00004E19"/>
    <w:rsid w:val="0000516F"/>
    <w:rsid w:val="00005E34"/>
    <w:rsid w:val="000132E4"/>
    <w:rsid w:val="00014432"/>
    <w:rsid w:val="00015148"/>
    <w:rsid w:val="00015662"/>
    <w:rsid w:val="000165A6"/>
    <w:rsid w:val="000215DD"/>
    <w:rsid w:val="000216BA"/>
    <w:rsid w:val="0002267A"/>
    <w:rsid w:val="0002738A"/>
    <w:rsid w:val="0002773B"/>
    <w:rsid w:val="0003085B"/>
    <w:rsid w:val="00030A4C"/>
    <w:rsid w:val="00042449"/>
    <w:rsid w:val="0004405C"/>
    <w:rsid w:val="0004680C"/>
    <w:rsid w:val="0005433E"/>
    <w:rsid w:val="000551C6"/>
    <w:rsid w:val="00056E42"/>
    <w:rsid w:val="0006288D"/>
    <w:rsid w:val="000638C5"/>
    <w:rsid w:val="00063CF5"/>
    <w:rsid w:val="000647E1"/>
    <w:rsid w:val="00064D10"/>
    <w:rsid w:val="000659F7"/>
    <w:rsid w:val="0006782A"/>
    <w:rsid w:val="00071406"/>
    <w:rsid w:val="0007258E"/>
    <w:rsid w:val="00073DAB"/>
    <w:rsid w:val="000805CE"/>
    <w:rsid w:val="00080A5A"/>
    <w:rsid w:val="00082B29"/>
    <w:rsid w:val="00083AD1"/>
    <w:rsid w:val="000845EA"/>
    <w:rsid w:val="00084EB7"/>
    <w:rsid w:val="00086546"/>
    <w:rsid w:val="00090530"/>
    <w:rsid w:val="00091E1A"/>
    <w:rsid w:val="000927C5"/>
    <w:rsid w:val="00092B1F"/>
    <w:rsid w:val="00094BCF"/>
    <w:rsid w:val="00095D71"/>
    <w:rsid w:val="00097CF8"/>
    <w:rsid w:val="000A02A7"/>
    <w:rsid w:val="000A142A"/>
    <w:rsid w:val="000A24B8"/>
    <w:rsid w:val="000A33D6"/>
    <w:rsid w:val="000A4E10"/>
    <w:rsid w:val="000A69D1"/>
    <w:rsid w:val="000B14C9"/>
    <w:rsid w:val="000B295E"/>
    <w:rsid w:val="000B2C16"/>
    <w:rsid w:val="000B2E02"/>
    <w:rsid w:val="000B6767"/>
    <w:rsid w:val="000B6CB3"/>
    <w:rsid w:val="000C5992"/>
    <w:rsid w:val="000D548F"/>
    <w:rsid w:val="000E2E08"/>
    <w:rsid w:val="000E3371"/>
    <w:rsid w:val="000F0668"/>
    <w:rsid w:val="000F1084"/>
    <w:rsid w:val="000F1848"/>
    <w:rsid w:val="000F664C"/>
    <w:rsid w:val="000F6DC6"/>
    <w:rsid w:val="001002F2"/>
    <w:rsid w:val="00100BF1"/>
    <w:rsid w:val="00103D6A"/>
    <w:rsid w:val="00104137"/>
    <w:rsid w:val="001116E7"/>
    <w:rsid w:val="00112BC1"/>
    <w:rsid w:val="00112C1D"/>
    <w:rsid w:val="00112E31"/>
    <w:rsid w:val="00113AA7"/>
    <w:rsid w:val="00114862"/>
    <w:rsid w:val="001149FB"/>
    <w:rsid w:val="00114BE5"/>
    <w:rsid w:val="00114CE9"/>
    <w:rsid w:val="0012134D"/>
    <w:rsid w:val="0012231F"/>
    <w:rsid w:val="0012239F"/>
    <w:rsid w:val="001247A9"/>
    <w:rsid w:val="001315BC"/>
    <w:rsid w:val="0013536F"/>
    <w:rsid w:val="001354C6"/>
    <w:rsid w:val="001359B4"/>
    <w:rsid w:val="001365A5"/>
    <w:rsid w:val="00136669"/>
    <w:rsid w:val="00141D31"/>
    <w:rsid w:val="00141EAE"/>
    <w:rsid w:val="00142EE6"/>
    <w:rsid w:val="001440C0"/>
    <w:rsid w:val="00144E68"/>
    <w:rsid w:val="00150A0E"/>
    <w:rsid w:val="00153911"/>
    <w:rsid w:val="00153C07"/>
    <w:rsid w:val="001541E3"/>
    <w:rsid w:val="00154DD0"/>
    <w:rsid w:val="001602AD"/>
    <w:rsid w:val="001603F3"/>
    <w:rsid w:val="00163B9D"/>
    <w:rsid w:val="00164CC5"/>
    <w:rsid w:val="00166D0E"/>
    <w:rsid w:val="00167765"/>
    <w:rsid w:val="00172468"/>
    <w:rsid w:val="001768B6"/>
    <w:rsid w:val="00182105"/>
    <w:rsid w:val="0018402F"/>
    <w:rsid w:val="001A45FE"/>
    <w:rsid w:val="001A5D33"/>
    <w:rsid w:val="001A6060"/>
    <w:rsid w:val="001A781C"/>
    <w:rsid w:val="001B1523"/>
    <w:rsid w:val="001B1CAE"/>
    <w:rsid w:val="001B70EA"/>
    <w:rsid w:val="001B7B4E"/>
    <w:rsid w:val="001C285D"/>
    <w:rsid w:val="001C291A"/>
    <w:rsid w:val="001C30E2"/>
    <w:rsid w:val="001C43FF"/>
    <w:rsid w:val="001D3286"/>
    <w:rsid w:val="001D34BD"/>
    <w:rsid w:val="001E6D4D"/>
    <w:rsid w:val="001F0369"/>
    <w:rsid w:val="001F131D"/>
    <w:rsid w:val="001F36B9"/>
    <w:rsid w:val="001F43D2"/>
    <w:rsid w:val="001F4F65"/>
    <w:rsid w:val="001F60BD"/>
    <w:rsid w:val="00204B0E"/>
    <w:rsid w:val="00204F37"/>
    <w:rsid w:val="0020569E"/>
    <w:rsid w:val="00211FA9"/>
    <w:rsid w:val="0021320F"/>
    <w:rsid w:val="002148A7"/>
    <w:rsid w:val="00214A23"/>
    <w:rsid w:val="00214E80"/>
    <w:rsid w:val="00215C5E"/>
    <w:rsid w:val="00220AA6"/>
    <w:rsid w:val="00222453"/>
    <w:rsid w:val="002317F2"/>
    <w:rsid w:val="00232E40"/>
    <w:rsid w:val="00237C88"/>
    <w:rsid w:val="00240C50"/>
    <w:rsid w:val="00240FD3"/>
    <w:rsid w:val="00242E56"/>
    <w:rsid w:val="00243C25"/>
    <w:rsid w:val="00245764"/>
    <w:rsid w:val="00252298"/>
    <w:rsid w:val="00252D83"/>
    <w:rsid w:val="00254830"/>
    <w:rsid w:val="002601F6"/>
    <w:rsid w:val="0026616C"/>
    <w:rsid w:val="002674E2"/>
    <w:rsid w:val="00272149"/>
    <w:rsid w:val="002723BE"/>
    <w:rsid w:val="00273C5E"/>
    <w:rsid w:val="002741B7"/>
    <w:rsid w:val="00275FC8"/>
    <w:rsid w:val="00282745"/>
    <w:rsid w:val="00285292"/>
    <w:rsid w:val="002902E5"/>
    <w:rsid w:val="002908F2"/>
    <w:rsid w:val="0029336B"/>
    <w:rsid w:val="00297DD8"/>
    <w:rsid w:val="002A3009"/>
    <w:rsid w:val="002A5371"/>
    <w:rsid w:val="002A67F9"/>
    <w:rsid w:val="002B11C6"/>
    <w:rsid w:val="002B3D07"/>
    <w:rsid w:val="002B4E7B"/>
    <w:rsid w:val="002B5A4D"/>
    <w:rsid w:val="002B5D3B"/>
    <w:rsid w:val="002B5E51"/>
    <w:rsid w:val="002B6A1A"/>
    <w:rsid w:val="002B6C17"/>
    <w:rsid w:val="002C0891"/>
    <w:rsid w:val="002C4743"/>
    <w:rsid w:val="002C7A2E"/>
    <w:rsid w:val="002D0AA9"/>
    <w:rsid w:val="002D459C"/>
    <w:rsid w:val="002D5582"/>
    <w:rsid w:val="002E0764"/>
    <w:rsid w:val="002F3875"/>
    <w:rsid w:val="002F63F3"/>
    <w:rsid w:val="00300F18"/>
    <w:rsid w:val="00305397"/>
    <w:rsid w:val="00307EA8"/>
    <w:rsid w:val="003118E9"/>
    <w:rsid w:val="00314B59"/>
    <w:rsid w:val="003204E7"/>
    <w:rsid w:val="0032388A"/>
    <w:rsid w:val="00323EEA"/>
    <w:rsid w:val="00334B40"/>
    <w:rsid w:val="003400D3"/>
    <w:rsid w:val="0034360A"/>
    <w:rsid w:val="003466D6"/>
    <w:rsid w:val="003476F7"/>
    <w:rsid w:val="00353864"/>
    <w:rsid w:val="0035605A"/>
    <w:rsid w:val="003571B0"/>
    <w:rsid w:val="00360DBD"/>
    <w:rsid w:val="00360F81"/>
    <w:rsid w:val="00362433"/>
    <w:rsid w:val="003624FE"/>
    <w:rsid w:val="0036380A"/>
    <w:rsid w:val="00364486"/>
    <w:rsid w:val="00365A6C"/>
    <w:rsid w:val="00371E15"/>
    <w:rsid w:val="00372336"/>
    <w:rsid w:val="00374E74"/>
    <w:rsid w:val="00375191"/>
    <w:rsid w:val="0037617E"/>
    <w:rsid w:val="00380F3D"/>
    <w:rsid w:val="00382273"/>
    <w:rsid w:val="0038305B"/>
    <w:rsid w:val="003839E8"/>
    <w:rsid w:val="00383C8E"/>
    <w:rsid w:val="0039532B"/>
    <w:rsid w:val="003958CA"/>
    <w:rsid w:val="003B2FAE"/>
    <w:rsid w:val="003C5C41"/>
    <w:rsid w:val="003C7D2B"/>
    <w:rsid w:val="003D0CE1"/>
    <w:rsid w:val="003D101B"/>
    <w:rsid w:val="003D26C1"/>
    <w:rsid w:val="003D33D0"/>
    <w:rsid w:val="003D3539"/>
    <w:rsid w:val="003D3E1D"/>
    <w:rsid w:val="003E38A2"/>
    <w:rsid w:val="003E3A19"/>
    <w:rsid w:val="003E41FA"/>
    <w:rsid w:val="003E4972"/>
    <w:rsid w:val="003E5085"/>
    <w:rsid w:val="003F0368"/>
    <w:rsid w:val="003F0530"/>
    <w:rsid w:val="003F062C"/>
    <w:rsid w:val="003F2AB5"/>
    <w:rsid w:val="003F4454"/>
    <w:rsid w:val="003F50BE"/>
    <w:rsid w:val="00401440"/>
    <w:rsid w:val="004039DC"/>
    <w:rsid w:val="00410D22"/>
    <w:rsid w:val="004156F4"/>
    <w:rsid w:val="00415824"/>
    <w:rsid w:val="00416BFB"/>
    <w:rsid w:val="004216A4"/>
    <w:rsid w:val="00421887"/>
    <w:rsid w:val="00421BEF"/>
    <w:rsid w:val="00421C3A"/>
    <w:rsid w:val="0042522E"/>
    <w:rsid w:val="0042564F"/>
    <w:rsid w:val="00425830"/>
    <w:rsid w:val="004263A8"/>
    <w:rsid w:val="00430995"/>
    <w:rsid w:val="00430FCD"/>
    <w:rsid w:val="004322DF"/>
    <w:rsid w:val="00436458"/>
    <w:rsid w:val="00440543"/>
    <w:rsid w:val="00444D16"/>
    <w:rsid w:val="0044515F"/>
    <w:rsid w:val="004462EE"/>
    <w:rsid w:val="004464D9"/>
    <w:rsid w:val="004510B3"/>
    <w:rsid w:val="004512D7"/>
    <w:rsid w:val="00452703"/>
    <w:rsid w:val="0045386D"/>
    <w:rsid w:val="00453C5D"/>
    <w:rsid w:val="0046388D"/>
    <w:rsid w:val="00465F84"/>
    <w:rsid w:val="00467749"/>
    <w:rsid w:val="00472294"/>
    <w:rsid w:val="004722D3"/>
    <w:rsid w:val="00473A14"/>
    <w:rsid w:val="00477E6E"/>
    <w:rsid w:val="0048414E"/>
    <w:rsid w:val="004844B4"/>
    <w:rsid w:val="00486591"/>
    <w:rsid w:val="00492C5A"/>
    <w:rsid w:val="004968BF"/>
    <w:rsid w:val="00496936"/>
    <w:rsid w:val="00496B29"/>
    <w:rsid w:val="004A0FA8"/>
    <w:rsid w:val="004A4028"/>
    <w:rsid w:val="004A5163"/>
    <w:rsid w:val="004A775F"/>
    <w:rsid w:val="004B1123"/>
    <w:rsid w:val="004B570A"/>
    <w:rsid w:val="004C0843"/>
    <w:rsid w:val="004C0CA1"/>
    <w:rsid w:val="004C12FD"/>
    <w:rsid w:val="004C15B9"/>
    <w:rsid w:val="004C3E3E"/>
    <w:rsid w:val="004C43E1"/>
    <w:rsid w:val="004C508C"/>
    <w:rsid w:val="004C5A38"/>
    <w:rsid w:val="004C6B0C"/>
    <w:rsid w:val="004D17DF"/>
    <w:rsid w:val="004D18A8"/>
    <w:rsid w:val="004D5EFA"/>
    <w:rsid w:val="004D7185"/>
    <w:rsid w:val="004D72D8"/>
    <w:rsid w:val="004D78A9"/>
    <w:rsid w:val="004E1D0E"/>
    <w:rsid w:val="004E2E0F"/>
    <w:rsid w:val="004E30C5"/>
    <w:rsid w:val="004E4B34"/>
    <w:rsid w:val="004E5549"/>
    <w:rsid w:val="004E77EB"/>
    <w:rsid w:val="004F1F2C"/>
    <w:rsid w:val="004F2D92"/>
    <w:rsid w:val="004F3883"/>
    <w:rsid w:val="0050560D"/>
    <w:rsid w:val="00506891"/>
    <w:rsid w:val="00510EA9"/>
    <w:rsid w:val="00512ED2"/>
    <w:rsid w:val="005136FE"/>
    <w:rsid w:val="005145B8"/>
    <w:rsid w:val="00515CCE"/>
    <w:rsid w:val="00516A52"/>
    <w:rsid w:val="00516A56"/>
    <w:rsid w:val="005206CE"/>
    <w:rsid w:val="005376EB"/>
    <w:rsid w:val="00537AAB"/>
    <w:rsid w:val="00547B53"/>
    <w:rsid w:val="0055368F"/>
    <w:rsid w:val="00555537"/>
    <w:rsid w:val="00555674"/>
    <w:rsid w:val="00564EB4"/>
    <w:rsid w:val="005668F9"/>
    <w:rsid w:val="00567375"/>
    <w:rsid w:val="005712C3"/>
    <w:rsid w:val="0057163F"/>
    <w:rsid w:val="005779AF"/>
    <w:rsid w:val="00577A3D"/>
    <w:rsid w:val="00582D74"/>
    <w:rsid w:val="00584FEC"/>
    <w:rsid w:val="005850FD"/>
    <w:rsid w:val="005877C7"/>
    <w:rsid w:val="005877EE"/>
    <w:rsid w:val="00587B71"/>
    <w:rsid w:val="00592B79"/>
    <w:rsid w:val="00592FC1"/>
    <w:rsid w:val="00593338"/>
    <w:rsid w:val="005956D0"/>
    <w:rsid w:val="00596144"/>
    <w:rsid w:val="0059781B"/>
    <w:rsid w:val="005A08F2"/>
    <w:rsid w:val="005A1A93"/>
    <w:rsid w:val="005A4C03"/>
    <w:rsid w:val="005A79AA"/>
    <w:rsid w:val="005B3ED5"/>
    <w:rsid w:val="005B74E7"/>
    <w:rsid w:val="005C0351"/>
    <w:rsid w:val="005C0F5E"/>
    <w:rsid w:val="005C249F"/>
    <w:rsid w:val="005C46F5"/>
    <w:rsid w:val="005C4C4E"/>
    <w:rsid w:val="005D0F69"/>
    <w:rsid w:val="005D0FA3"/>
    <w:rsid w:val="005D73D5"/>
    <w:rsid w:val="005D73D8"/>
    <w:rsid w:val="005E07BE"/>
    <w:rsid w:val="005E0D0E"/>
    <w:rsid w:val="005E17BA"/>
    <w:rsid w:val="005E2021"/>
    <w:rsid w:val="005E2903"/>
    <w:rsid w:val="005E3B01"/>
    <w:rsid w:val="005E55FB"/>
    <w:rsid w:val="005F18C0"/>
    <w:rsid w:val="005F2883"/>
    <w:rsid w:val="005F5957"/>
    <w:rsid w:val="0060341D"/>
    <w:rsid w:val="00603D6B"/>
    <w:rsid w:val="00607770"/>
    <w:rsid w:val="00610D27"/>
    <w:rsid w:val="00610EEA"/>
    <w:rsid w:val="00612C26"/>
    <w:rsid w:val="006238FB"/>
    <w:rsid w:val="006248DD"/>
    <w:rsid w:val="0062641F"/>
    <w:rsid w:val="006266F6"/>
    <w:rsid w:val="00627AFA"/>
    <w:rsid w:val="0064156B"/>
    <w:rsid w:val="00642365"/>
    <w:rsid w:val="006427E0"/>
    <w:rsid w:val="00646118"/>
    <w:rsid w:val="006477D4"/>
    <w:rsid w:val="0065043B"/>
    <w:rsid w:val="00652838"/>
    <w:rsid w:val="00652C89"/>
    <w:rsid w:val="00654D0F"/>
    <w:rsid w:val="006559D1"/>
    <w:rsid w:val="006614F0"/>
    <w:rsid w:val="006616B8"/>
    <w:rsid w:val="006617DD"/>
    <w:rsid w:val="00662CCD"/>
    <w:rsid w:val="00664EB4"/>
    <w:rsid w:val="00667B4E"/>
    <w:rsid w:val="006718A5"/>
    <w:rsid w:val="00672566"/>
    <w:rsid w:val="0068074E"/>
    <w:rsid w:val="00681CE7"/>
    <w:rsid w:val="0068294B"/>
    <w:rsid w:val="00682BBC"/>
    <w:rsid w:val="00684741"/>
    <w:rsid w:val="00687360"/>
    <w:rsid w:val="006900F5"/>
    <w:rsid w:val="00692358"/>
    <w:rsid w:val="006955EE"/>
    <w:rsid w:val="00695C33"/>
    <w:rsid w:val="0069742E"/>
    <w:rsid w:val="006A12F4"/>
    <w:rsid w:val="006A198D"/>
    <w:rsid w:val="006A6FF2"/>
    <w:rsid w:val="006B59BC"/>
    <w:rsid w:val="006B5AA3"/>
    <w:rsid w:val="006B746C"/>
    <w:rsid w:val="006C03E2"/>
    <w:rsid w:val="006C1C5B"/>
    <w:rsid w:val="006C5047"/>
    <w:rsid w:val="006C6076"/>
    <w:rsid w:val="006D0C51"/>
    <w:rsid w:val="006D6C2B"/>
    <w:rsid w:val="006D7202"/>
    <w:rsid w:val="006D7582"/>
    <w:rsid w:val="006E5626"/>
    <w:rsid w:val="006E71B7"/>
    <w:rsid w:val="006F44E5"/>
    <w:rsid w:val="00701466"/>
    <w:rsid w:val="00702C6B"/>
    <w:rsid w:val="00705EE5"/>
    <w:rsid w:val="00706164"/>
    <w:rsid w:val="00706A83"/>
    <w:rsid w:val="00707393"/>
    <w:rsid w:val="00710639"/>
    <w:rsid w:val="007129EC"/>
    <w:rsid w:val="00712EDC"/>
    <w:rsid w:val="00712F8C"/>
    <w:rsid w:val="00715578"/>
    <w:rsid w:val="007160C5"/>
    <w:rsid w:val="0071662F"/>
    <w:rsid w:val="0072033E"/>
    <w:rsid w:val="00723A17"/>
    <w:rsid w:val="0073147C"/>
    <w:rsid w:val="0073222F"/>
    <w:rsid w:val="0073517A"/>
    <w:rsid w:val="00736EBF"/>
    <w:rsid w:val="00737321"/>
    <w:rsid w:val="00737715"/>
    <w:rsid w:val="00737C9B"/>
    <w:rsid w:val="00741DAA"/>
    <w:rsid w:val="0074610F"/>
    <w:rsid w:val="0075178A"/>
    <w:rsid w:val="00755C4E"/>
    <w:rsid w:val="00760068"/>
    <w:rsid w:val="0076158D"/>
    <w:rsid w:val="00762BFC"/>
    <w:rsid w:val="00765824"/>
    <w:rsid w:val="0077083C"/>
    <w:rsid w:val="00771DAC"/>
    <w:rsid w:val="00772AC5"/>
    <w:rsid w:val="00775257"/>
    <w:rsid w:val="007763E7"/>
    <w:rsid w:val="00781A33"/>
    <w:rsid w:val="00781E59"/>
    <w:rsid w:val="00786F9A"/>
    <w:rsid w:val="00787784"/>
    <w:rsid w:val="00790CAB"/>
    <w:rsid w:val="0079152F"/>
    <w:rsid w:val="0079215C"/>
    <w:rsid w:val="00792A16"/>
    <w:rsid w:val="00795747"/>
    <w:rsid w:val="0079647A"/>
    <w:rsid w:val="007979A1"/>
    <w:rsid w:val="007A3FB4"/>
    <w:rsid w:val="007A56D9"/>
    <w:rsid w:val="007A7550"/>
    <w:rsid w:val="007B3C20"/>
    <w:rsid w:val="007B4069"/>
    <w:rsid w:val="007B5FF2"/>
    <w:rsid w:val="007B7076"/>
    <w:rsid w:val="007B711E"/>
    <w:rsid w:val="007C061A"/>
    <w:rsid w:val="007C0938"/>
    <w:rsid w:val="007C31E3"/>
    <w:rsid w:val="007C31E5"/>
    <w:rsid w:val="007C386B"/>
    <w:rsid w:val="007C737C"/>
    <w:rsid w:val="007D05B7"/>
    <w:rsid w:val="007D0866"/>
    <w:rsid w:val="007D4A05"/>
    <w:rsid w:val="007D619D"/>
    <w:rsid w:val="007D7806"/>
    <w:rsid w:val="007E1663"/>
    <w:rsid w:val="007E1EFC"/>
    <w:rsid w:val="007F07FD"/>
    <w:rsid w:val="007F1F9C"/>
    <w:rsid w:val="007F42DB"/>
    <w:rsid w:val="007F5817"/>
    <w:rsid w:val="007F5E37"/>
    <w:rsid w:val="007F6849"/>
    <w:rsid w:val="007F77BE"/>
    <w:rsid w:val="007F7937"/>
    <w:rsid w:val="00800979"/>
    <w:rsid w:val="008036EA"/>
    <w:rsid w:val="00804244"/>
    <w:rsid w:val="00804E72"/>
    <w:rsid w:val="0080522F"/>
    <w:rsid w:val="00806A06"/>
    <w:rsid w:val="00807D45"/>
    <w:rsid w:val="008108CA"/>
    <w:rsid w:val="00813933"/>
    <w:rsid w:val="00813C8C"/>
    <w:rsid w:val="00817CA4"/>
    <w:rsid w:val="00821444"/>
    <w:rsid w:val="008236DA"/>
    <w:rsid w:val="0082388E"/>
    <w:rsid w:val="008260FB"/>
    <w:rsid w:val="00835E4D"/>
    <w:rsid w:val="00836478"/>
    <w:rsid w:val="00836FFB"/>
    <w:rsid w:val="0083787A"/>
    <w:rsid w:val="0084053D"/>
    <w:rsid w:val="00842552"/>
    <w:rsid w:val="00842FE8"/>
    <w:rsid w:val="00843596"/>
    <w:rsid w:val="00843BD6"/>
    <w:rsid w:val="00845582"/>
    <w:rsid w:val="008505BE"/>
    <w:rsid w:val="008513C4"/>
    <w:rsid w:val="00852F44"/>
    <w:rsid w:val="00856670"/>
    <w:rsid w:val="0086544D"/>
    <w:rsid w:val="00865C86"/>
    <w:rsid w:val="00866C26"/>
    <w:rsid w:val="0087024F"/>
    <w:rsid w:val="00870EC0"/>
    <w:rsid w:val="00872796"/>
    <w:rsid w:val="008744B2"/>
    <w:rsid w:val="00881D54"/>
    <w:rsid w:val="00891CD7"/>
    <w:rsid w:val="00892947"/>
    <w:rsid w:val="00893604"/>
    <w:rsid w:val="00894043"/>
    <w:rsid w:val="00895683"/>
    <w:rsid w:val="00896511"/>
    <w:rsid w:val="0089666A"/>
    <w:rsid w:val="00897EAF"/>
    <w:rsid w:val="008A1487"/>
    <w:rsid w:val="008B3354"/>
    <w:rsid w:val="008B450C"/>
    <w:rsid w:val="008B4F45"/>
    <w:rsid w:val="008B51A5"/>
    <w:rsid w:val="008B666D"/>
    <w:rsid w:val="008C11AB"/>
    <w:rsid w:val="008C3383"/>
    <w:rsid w:val="008C3B77"/>
    <w:rsid w:val="008D01BF"/>
    <w:rsid w:val="008D074D"/>
    <w:rsid w:val="008D356C"/>
    <w:rsid w:val="008D3F6B"/>
    <w:rsid w:val="008D4DB9"/>
    <w:rsid w:val="008D6C65"/>
    <w:rsid w:val="008E1D87"/>
    <w:rsid w:val="008E3651"/>
    <w:rsid w:val="008E7DE9"/>
    <w:rsid w:val="008F03B4"/>
    <w:rsid w:val="008F1800"/>
    <w:rsid w:val="008F2A78"/>
    <w:rsid w:val="008F6818"/>
    <w:rsid w:val="008F703F"/>
    <w:rsid w:val="009024AA"/>
    <w:rsid w:val="009044FB"/>
    <w:rsid w:val="00904905"/>
    <w:rsid w:val="00904EB3"/>
    <w:rsid w:val="009078BD"/>
    <w:rsid w:val="0091035E"/>
    <w:rsid w:val="00912579"/>
    <w:rsid w:val="00915757"/>
    <w:rsid w:val="00923196"/>
    <w:rsid w:val="00927C1A"/>
    <w:rsid w:val="00935C1F"/>
    <w:rsid w:val="009361F9"/>
    <w:rsid w:val="00937C99"/>
    <w:rsid w:val="00943310"/>
    <w:rsid w:val="00946639"/>
    <w:rsid w:val="00951B68"/>
    <w:rsid w:val="00952508"/>
    <w:rsid w:val="00954B58"/>
    <w:rsid w:val="00955259"/>
    <w:rsid w:val="00962543"/>
    <w:rsid w:val="00965359"/>
    <w:rsid w:val="0096544E"/>
    <w:rsid w:val="00965E2B"/>
    <w:rsid w:val="00966C2B"/>
    <w:rsid w:val="0096781A"/>
    <w:rsid w:val="0096790B"/>
    <w:rsid w:val="00970C4B"/>
    <w:rsid w:val="00971370"/>
    <w:rsid w:val="00973A62"/>
    <w:rsid w:val="0097413B"/>
    <w:rsid w:val="009824E2"/>
    <w:rsid w:val="00983A7C"/>
    <w:rsid w:val="00985356"/>
    <w:rsid w:val="009873B9"/>
    <w:rsid w:val="00991684"/>
    <w:rsid w:val="009940A6"/>
    <w:rsid w:val="00996BDA"/>
    <w:rsid w:val="00996FF8"/>
    <w:rsid w:val="009A3568"/>
    <w:rsid w:val="009A5216"/>
    <w:rsid w:val="009A57F7"/>
    <w:rsid w:val="009B17F6"/>
    <w:rsid w:val="009B219F"/>
    <w:rsid w:val="009B2516"/>
    <w:rsid w:val="009B2B5A"/>
    <w:rsid w:val="009B2F7F"/>
    <w:rsid w:val="009B46D8"/>
    <w:rsid w:val="009B5624"/>
    <w:rsid w:val="009B6467"/>
    <w:rsid w:val="009C2541"/>
    <w:rsid w:val="009C34DC"/>
    <w:rsid w:val="009C3715"/>
    <w:rsid w:val="009C5260"/>
    <w:rsid w:val="009D0915"/>
    <w:rsid w:val="009D0C1A"/>
    <w:rsid w:val="009D265E"/>
    <w:rsid w:val="009D2E7E"/>
    <w:rsid w:val="009D5561"/>
    <w:rsid w:val="009D6D17"/>
    <w:rsid w:val="009E12FA"/>
    <w:rsid w:val="009E1700"/>
    <w:rsid w:val="009E39BC"/>
    <w:rsid w:val="009F1967"/>
    <w:rsid w:val="009F282D"/>
    <w:rsid w:val="009F39D7"/>
    <w:rsid w:val="009F3D04"/>
    <w:rsid w:val="009F7376"/>
    <w:rsid w:val="00A012ED"/>
    <w:rsid w:val="00A01456"/>
    <w:rsid w:val="00A02331"/>
    <w:rsid w:val="00A10C1E"/>
    <w:rsid w:val="00A12A97"/>
    <w:rsid w:val="00A13CB3"/>
    <w:rsid w:val="00A14F02"/>
    <w:rsid w:val="00A16742"/>
    <w:rsid w:val="00A17139"/>
    <w:rsid w:val="00A229A8"/>
    <w:rsid w:val="00A2306B"/>
    <w:rsid w:val="00A25948"/>
    <w:rsid w:val="00A310E4"/>
    <w:rsid w:val="00A31190"/>
    <w:rsid w:val="00A33941"/>
    <w:rsid w:val="00A35F50"/>
    <w:rsid w:val="00A36FAD"/>
    <w:rsid w:val="00A432BD"/>
    <w:rsid w:val="00A50624"/>
    <w:rsid w:val="00A51A42"/>
    <w:rsid w:val="00A61365"/>
    <w:rsid w:val="00A61D6F"/>
    <w:rsid w:val="00A66C1C"/>
    <w:rsid w:val="00A67901"/>
    <w:rsid w:val="00A70AC7"/>
    <w:rsid w:val="00A725D9"/>
    <w:rsid w:val="00A72D68"/>
    <w:rsid w:val="00A74D4F"/>
    <w:rsid w:val="00A75196"/>
    <w:rsid w:val="00A75507"/>
    <w:rsid w:val="00A776D6"/>
    <w:rsid w:val="00A804C3"/>
    <w:rsid w:val="00A84731"/>
    <w:rsid w:val="00A860D5"/>
    <w:rsid w:val="00A876A1"/>
    <w:rsid w:val="00A91772"/>
    <w:rsid w:val="00A9188A"/>
    <w:rsid w:val="00A937E2"/>
    <w:rsid w:val="00A94D39"/>
    <w:rsid w:val="00AA1F16"/>
    <w:rsid w:val="00AA2523"/>
    <w:rsid w:val="00AA29F4"/>
    <w:rsid w:val="00AA2E24"/>
    <w:rsid w:val="00AB41E0"/>
    <w:rsid w:val="00AC0055"/>
    <w:rsid w:val="00AC30C2"/>
    <w:rsid w:val="00AC4E9D"/>
    <w:rsid w:val="00AC5BC5"/>
    <w:rsid w:val="00AC61D3"/>
    <w:rsid w:val="00AC6D60"/>
    <w:rsid w:val="00AC6E78"/>
    <w:rsid w:val="00AC7442"/>
    <w:rsid w:val="00AD29A3"/>
    <w:rsid w:val="00AD2FC4"/>
    <w:rsid w:val="00AD4D64"/>
    <w:rsid w:val="00AD6E64"/>
    <w:rsid w:val="00AE1234"/>
    <w:rsid w:val="00AE19B5"/>
    <w:rsid w:val="00AE266A"/>
    <w:rsid w:val="00AF0739"/>
    <w:rsid w:val="00AF1B02"/>
    <w:rsid w:val="00AF3FA3"/>
    <w:rsid w:val="00AF41BB"/>
    <w:rsid w:val="00AF49C7"/>
    <w:rsid w:val="00B0084D"/>
    <w:rsid w:val="00B0165B"/>
    <w:rsid w:val="00B02AC1"/>
    <w:rsid w:val="00B03BDF"/>
    <w:rsid w:val="00B1319E"/>
    <w:rsid w:val="00B14D97"/>
    <w:rsid w:val="00B150CB"/>
    <w:rsid w:val="00B21645"/>
    <w:rsid w:val="00B22EBA"/>
    <w:rsid w:val="00B2349D"/>
    <w:rsid w:val="00B234B4"/>
    <w:rsid w:val="00B24168"/>
    <w:rsid w:val="00B2528B"/>
    <w:rsid w:val="00B308C5"/>
    <w:rsid w:val="00B3134F"/>
    <w:rsid w:val="00B349CC"/>
    <w:rsid w:val="00B34D21"/>
    <w:rsid w:val="00B35FE1"/>
    <w:rsid w:val="00B47BA9"/>
    <w:rsid w:val="00B5064B"/>
    <w:rsid w:val="00B5264D"/>
    <w:rsid w:val="00B53336"/>
    <w:rsid w:val="00B534F2"/>
    <w:rsid w:val="00B535D2"/>
    <w:rsid w:val="00B53F53"/>
    <w:rsid w:val="00B60184"/>
    <w:rsid w:val="00B60D41"/>
    <w:rsid w:val="00B60E7A"/>
    <w:rsid w:val="00B62D5C"/>
    <w:rsid w:val="00B63AD6"/>
    <w:rsid w:val="00B66B6D"/>
    <w:rsid w:val="00B72EA8"/>
    <w:rsid w:val="00B75AAF"/>
    <w:rsid w:val="00B761A1"/>
    <w:rsid w:val="00B8203C"/>
    <w:rsid w:val="00B84A98"/>
    <w:rsid w:val="00B859AF"/>
    <w:rsid w:val="00B85A25"/>
    <w:rsid w:val="00B86081"/>
    <w:rsid w:val="00B86982"/>
    <w:rsid w:val="00B8705A"/>
    <w:rsid w:val="00B8788B"/>
    <w:rsid w:val="00B90011"/>
    <w:rsid w:val="00B9116B"/>
    <w:rsid w:val="00B93534"/>
    <w:rsid w:val="00B93B13"/>
    <w:rsid w:val="00B93D7B"/>
    <w:rsid w:val="00B949A2"/>
    <w:rsid w:val="00B972F2"/>
    <w:rsid w:val="00BA02C3"/>
    <w:rsid w:val="00BA32E0"/>
    <w:rsid w:val="00BA4994"/>
    <w:rsid w:val="00BA50C7"/>
    <w:rsid w:val="00BA6E95"/>
    <w:rsid w:val="00BB0DF4"/>
    <w:rsid w:val="00BB16A4"/>
    <w:rsid w:val="00BB6D27"/>
    <w:rsid w:val="00BC14C0"/>
    <w:rsid w:val="00BC44E6"/>
    <w:rsid w:val="00BD448F"/>
    <w:rsid w:val="00BD4671"/>
    <w:rsid w:val="00BE6BA9"/>
    <w:rsid w:val="00BF377D"/>
    <w:rsid w:val="00BF394B"/>
    <w:rsid w:val="00BF7773"/>
    <w:rsid w:val="00BF7A02"/>
    <w:rsid w:val="00C006D8"/>
    <w:rsid w:val="00C02E6E"/>
    <w:rsid w:val="00C1069B"/>
    <w:rsid w:val="00C1098E"/>
    <w:rsid w:val="00C10D4D"/>
    <w:rsid w:val="00C11FA6"/>
    <w:rsid w:val="00C15220"/>
    <w:rsid w:val="00C17692"/>
    <w:rsid w:val="00C17C8B"/>
    <w:rsid w:val="00C25D8E"/>
    <w:rsid w:val="00C26348"/>
    <w:rsid w:val="00C273EA"/>
    <w:rsid w:val="00C274DD"/>
    <w:rsid w:val="00C27EC4"/>
    <w:rsid w:val="00C30058"/>
    <w:rsid w:val="00C33219"/>
    <w:rsid w:val="00C34341"/>
    <w:rsid w:val="00C40BB4"/>
    <w:rsid w:val="00C417CE"/>
    <w:rsid w:val="00C438D4"/>
    <w:rsid w:val="00C43BB4"/>
    <w:rsid w:val="00C4444E"/>
    <w:rsid w:val="00C4498A"/>
    <w:rsid w:val="00C502FA"/>
    <w:rsid w:val="00C50834"/>
    <w:rsid w:val="00C53F0F"/>
    <w:rsid w:val="00C561D8"/>
    <w:rsid w:val="00C579BD"/>
    <w:rsid w:val="00C61DFE"/>
    <w:rsid w:val="00C65AE0"/>
    <w:rsid w:val="00C66396"/>
    <w:rsid w:val="00C67946"/>
    <w:rsid w:val="00C718C9"/>
    <w:rsid w:val="00C71F66"/>
    <w:rsid w:val="00C73CC5"/>
    <w:rsid w:val="00C74C57"/>
    <w:rsid w:val="00C75265"/>
    <w:rsid w:val="00C77CB2"/>
    <w:rsid w:val="00C8099D"/>
    <w:rsid w:val="00C80E0E"/>
    <w:rsid w:val="00C83C25"/>
    <w:rsid w:val="00C83EFF"/>
    <w:rsid w:val="00C8473D"/>
    <w:rsid w:val="00C9073C"/>
    <w:rsid w:val="00C91082"/>
    <w:rsid w:val="00C933D5"/>
    <w:rsid w:val="00C938D6"/>
    <w:rsid w:val="00C93E72"/>
    <w:rsid w:val="00C93FE1"/>
    <w:rsid w:val="00C9401C"/>
    <w:rsid w:val="00C9557E"/>
    <w:rsid w:val="00C9598D"/>
    <w:rsid w:val="00C96BFB"/>
    <w:rsid w:val="00C97C5B"/>
    <w:rsid w:val="00CA0765"/>
    <w:rsid w:val="00CA1008"/>
    <w:rsid w:val="00CA5430"/>
    <w:rsid w:val="00CB0305"/>
    <w:rsid w:val="00CB0968"/>
    <w:rsid w:val="00CB1E8C"/>
    <w:rsid w:val="00CB64F2"/>
    <w:rsid w:val="00CC234C"/>
    <w:rsid w:val="00CC445C"/>
    <w:rsid w:val="00CC4F53"/>
    <w:rsid w:val="00CD2242"/>
    <w:rsid w:val="00CD6BE9"/>
    <w:rsid w:val="00CE07E7"/>
    <w:rsid w:val="00CE1ABC"/>
    <w:rsid w:val="00CE2046"/>
    <w:rsid w:val="00CE3D6F"/>
    <w:rsid w:val="00CE47BD"/>
    <w:rsid w:val="00CE703B"/>
    <w:rsid w:val="00CE762E"/>
    <w:rsid w:val="00CF219B"/>
    <w:rsid w:val="00CF323A"/>
    <w:rsid w:val="00CF38D6"/>
    <w:rsid w:val="00CF447A"/>
    <w:rsid w:val="00D07A91"/>
    <w:rsid w:val="00D12ECF"/>
    <w:rsid w:val="00D15205"/>
    <w:rsid w:val="00D15554"/>
    <w:rsid w:val="00D15F81"/>
    <w:rsid w:val="00D16AA3"/>
    <w:rsid w:val="00D274F7"/>
    <w:rsid w:val="00D30D06"/>
    <w:rsid w:val="00D35819"/>
    <w:rsid w:val="00D40444"/>
    <w:rsid w:val="00D40731"/>
    <w:rsid w:val="00D43353"/>
    <w:rsid w:val="00D43F26"/>
    <w:rsid w:val="00D45039"/>
    <w:rsid w:val="00D47B4A"/>
    <w:rsid w:val="00D5086D"/>
    <w:rsid w:val="00D53CA2"/>
    <w:rsid w:val="00D55179"/>
    <w:rsid w:val="00D55E6A"/>
    <w:rsid w:val="00D56550"/>
    <w:rsid w:val="00D62A45"/>
    <w:rsid w:val="00D637E3"/>
    <w:rsid w:val="00D67634"/>
    <w:rsid w:val="00D70925"/>
    <w:rsid w:val="00D72FF1"/>
    <w:rsid w:val="00D73E38"/>
    <w:rsid w:val="00D81F29"/>
    <w:rsid w:val="00D82B62"/>
    <w:rsid w:val="00D91B1E"/>
    <w:rsid w:val="00D92D10"/>
    <w:rsid w:val="00D93EF5"/>
    <w:rsid w:val="00DA000D"/>
    <w:rsid w:val="00DA1D9B"/>
    <w:rsid w:val="00DB0FA1"/>
    <w:rsid w:val="00DB244D"/>
    <w:rsid w:val="00DB3E30"/>
    <w:rsid w:val="00DB41A1"/>
    <w:rsid w:val="00DB5EAA"/>
    <w:rsid w:val="00DC432C"/>
    <w:rsid w:val="00DC53C7"/>
    <w:rsid w:val="00DC68EF"/>
    <w:rsid w:val="00DC704B"/>
    <w:rsid w:val="00DC76C4"/>
    <w:rsid w:val="00DC7AF3"/>
    <w:rsid w:val="00DD0D5E"/>
    <w:rsid w:val="00DD4103"/>
    <w:rsid w:val="00DD4B4A"/>
    <w:rsid w:val="00DD70C0"/>
    <w:rsid w:val="00DD74E3"/>
    <w:rsid w:val="00DD7CE0"/>
    <w:rsid w:val="00DE094F"/>
    <w:rsid w:val="00DE0FED"/>
    <w:rsid w:val="00DE103E"/>
    <w:rsid w:val="00DE3E3C"/>
    <w:rsid w:val="00DE4F61"/>
    <w:rsid w:val="00DE5A9C"/>
    <w:rsid w:val="00DE6173"/>
    <w:rsid w:val="00DE6AF2"/>
    <w:rsid w:val="00DF561D"/>
    <w:rsid w:val="00DF57F4"/>
    <w:rsid w:val="00E01FB2"/>
    <w:rsid w:val="00E027C7"/>
    <w:rsid w:val="00E04191"/>
    <w:rsid w:val="00E049A7"/>
    <w:rsid w:val="00E06961"/>
    <w:rsid w:val="00E074FD"/>
    <w:rsid w:val="00E101D9"/>
    <w:rsid w:val="00E118BA"/>
    <w:rsid w:val="00E11C04"/>
    <w:rsid w:val="00E12FC2"/>
    <w:rsid w:val="00E15370"/>
    <w:rsid w:val="00E31E43"/>
    <w:rsid w:val="00E32EDE"/>
    <w:rsid w:val="00E40ACA"/>
    <w:rsid w:val="00E41B7F"/>
    <w:rsid w:val="00E42D06"/>
    <w:rsid w:val="00E430FF"/>
    <w:rsid w:val="00E46B14"/>
    <w:rsid w:val="00E5204E"/>
    <w:rsid w:val="00E5211A"/>
    <w:rsid w:val="00E54889"/>
    <w:rsid w:val="00E55756"/>
    <w:rsid w:val="00E60182"/>
    <w:rsid w:val="00E63036"/>
    <w:rsid w:val="00E64004"/>
    <w:rsid w:val="00E6464B"/>
    <w:rsid w:val="00E65860"/>
    <w:rsid w:val="00E65F07"/>
    <w:rsid w:val="00E670A3"/>
    <w:rsid w:val="00E7284E"/>
    <w:rsid w:val="00E7542D"/>
    <w:rsid w:val="00E774F1"/>
    <w:rsid w:val="00E8092D"/>
    <w:rsid w:val="00E814FB"/>
    <w:rsid w:val="00E825B5"/>
    <w:rsid w:val="00E8287D"/>
    <w:rsid w:val="00E84FA1"/>
    <w:rsid w:val="00E87D33"/>
    <w:rsid w:val="00E92052"/>
    <w:rsid w:val="00E92507"/>
    <w:rsid w:val="00E95807"/>
    <w:rsid w:val="00E978BF"/>
    <w:rsid w:val="00EA185D"/>
    <w:rsid w:val="00EA6945"/>
    <w:rsid w:val="00EB1955"/>
    <w:rsid w:val="00EB1BC9"/>
    <w:rsid w:val="00EB2D27"/>
    <w:rsid w:val="00EC4D74"/>
    <w:rsid w:val="00EC4F88"/>
    <w:rsid w:val="00ED0DEC"/>
    <w:rsid w:val="00ED2007"/>
    <w:rsid w:val="00ED322D"/>
    <w:rsid w:val="00ED363F"/>
    <w:rsid w:val="00EE1401"/>
    <w:rsid w:val="00EE1A01"/>
    <w:rsid w:val="00EE1CB6"/>
    <w:rsid w:val="00EE1FF8"/>
    <w:rsid w:val="00EE505B"/>
    <w:rsid w:val="00EE557F"/>
    <w:rsid w:val="00EE604C"/>
    <w:rsid w:val="00EE6E49"/>
    <w:rsid w:val="00EF084C"/>
    <w:rsid w:val="00EF25A3"/>
    <w:rsid w:val="00EF312B"/>
    <w:rsid w:val="00EF44B8"/>
    <w:rsid w:val="00EF6D0C"/>
    <w:rsid w:val="00F032F5"/>
    <w:rsid w:val="00F03BB3"/>
    <w:rsid w:val="00F04907"/>
    <w:rsid w:val="00F06DFE"/>
    <w:rsid w:val="00F14BFA"/>
    <w:rsid w:val="00F20EFB"/>
    <w:rsid w:val="00F20EFF"/>
    <w:rsid w:val="00F20FD2"/>
    <w:rsid w:val="00F22E9C"/>
    <w:rsid w:val="00F24849"/>
    <w:rsid w:val="00F307E9"/>
    <w:rsid w:val="00F3164B"/>
    <w:rsid w:val="00F31D40"/>
    <w:rsid w:val="00F333C4"/>
    <w:rsid w:val="00F335E8"/>
    <w:rsid w:val="00F33798"/>
    <w:rsid w:val="00F34D75"/>
    <w:rsid w:val="00F35F8B"/>
    <w:rsid w:val="00F40369"/>
    <w:rsid w:val="00F40FA6"/>
    <w:rsid w:val="00F426DF"/>
    <w:rsid w:val="00F42D54"/>
    <w:rsid w:val="00F43639"/>
    <w:rsid w:val="00F47513"/>
    <w:rsid w:val="00F47FE1"/>
    <w:rsid w:val="00F50D20"/>
    <w:rsid w:val="00F52073"/>
    <w:rsid w:val="00F53341"/>
    <w:rsid w:val="00F537C3"/>
    <w:rsid w:val="00F54816"/>
    <w:rsid w:val="00F55D96"/>
    <w:rsid w:val="00F60F24"/>
    <w:rsid w:val="00F61B74"/>
    <w:rsid w:val="00F61F3E"/>
    <w:rsid w:val="00F63C73"/>
    <w:rsid w:val="00F65636"/>
    <w:rsid w:val="00F67DC1"/>
    <w:rsid w:val="00F70849"/>
    <w:rsid w:val="00F72581"/>
    <w:rsid w:val="00F76D95"/>
    <w:rsid w:val="00F771E4"/>
    <w:rsid w:val="00F800E1"/>
    <w:rsid w:val="00F80557"/>
    <w:rsid w:val="00F81DEC"/>
    <w:rsid w:val="00F823D6"/>
    <w:rsid w:val="00F83748"/>
    <w:rsid w:val="00F83902"/>
    <w:rsid w:val="00F910AC"/>
    <w:rsid w:val="00F93C08"/>
    <w:rsid w:val="00F959F0"/>
    <w:rsid w:val="00F9633A"/>
    <w:rsid w:val="00F97462"/>
    <w:rsid w:val="00FA00C4"/>
    <w:rsid w:val="00FA09D7"/>
    <w:rsid w:val="00FA269D"/>
    <w:rsid w:val="00FA4572"/>
    <w:rsid w:val="00FB1DD8"/>
    <w:rsid w:val="00FB53C1"/>
    <w:rsid w:val="00FB5BE5"/>
    <w:rsid w:val="00FB5F72"/>
    <w:rsid w:val="00FB63E4"/>
    <w:rsid w:val="00FB77DC"/>
    <w:rsid w:val="00FC4F6E"/>
    <w:rsid w:val="00FD1D13"/>
    <w:rsid w:val="00FD445C"/>
    <w:rsid w:val="00FD6066"/>
    <w:rsid w:val="00FD6DF6"/>
    <w:rsid w:val="00FD77D3"/>
    <w:rsid w:val="00FD7C55"/>
    <w:rsid w:val="00FE0722"/>
    <w:rsid w:val="00FE0D0E"/>
    <w:rsid w:val="00FE353A"/>
    <w:rsid w:val="00FE3D25"/>
    <w:rsid w:val="00FE5E75"/>
    <w:rsid w:val="00FF0273"/>
    <w:rsid w:val="00FF0A41"/>
    <w:rsid w:val="00FF4C9F"/>
    <w:rsid w:val="00FF5BA0"/>
    <w:rsid w:val="00FF7366"/>
    <w:rsid w:val="00FF7DB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9D6FDD"/>
  <w15:chartTrackingRefBased/>
  <w15:docId w15:val="{E5635130-003F-49D8-B4E1-4BD077B65C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ja-JP"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23196"/>
    <w:pPr>
      <w:spacing w:after="0" w:line="360" w:lineRule="auto"/>
      <w:jc w:val="both"/>
    </w:pPr>
    <w:rPr>
      <w:rFonts w:ascii="Arial" w:hAnsi="Arial"/>
    </w:rPr>
  </w:style>
  <w:style w:type="paragraph" w:styleId="Heading1">
    <w:name w:val="heading 1"/>
    <w:basedOn w:val="Normal"/>
    <w:next w:val="Normal"/>
    <w:link w:val="Heading1Char"/>
    <w:uiPriority w:val="9"/>
    <w:qFormat/>
    <w:rsid w:val="00FF0273"/>
    <w:pPr>
      <w:keepNext/>
      <w:keepLines/>
      <w:outlineLvl w:val="0"/>
    </w:pPr>
    <w:rPr>
      <w:rFonts w:eastAsiaTheme="majorEastAsia" w:cstheme="majorBidi"/>
      <w:b/>
      <w:sz w:val="24"/>
      <w:szCs w:val="32"/>
    </w:rPr>
  </w:style>
  <w:style w:type="paragraph" w:styleId="Heading2">
    <w:name w:val="heading 2"/>
    <w:basedOn w:val="Normal"/>
    <w:next w:val="Normal"/>
    <w:link w:val="Heading2Char"/>
    <w:uiPriority w:val="9"/>
    <w:unhideWhenUsed/>
    <w:qFormat/>
    <w:rsid w:val="00923196"/>
    <w:pPr>
      <w:keepNext/>
      <w:keepLines/>
      <w:outlineLvl w:val="1"/>
    </w:pPr>
    <w:rPr>
      <w:rFonts w:eastAsiaTheme="majorEastAsia" w:cstheme="majorBidi"/>
      <w:b/>
      <w:szCs w:val="26"/>
    </w:rPr>
  </w:style>
  <w:style w:type="paragraph" w:styleId="Heading3">
    <w:name w:val="heading 3"/>
    <w:basedOn w:val="Normal"/>
    <w:next w:val="Normal"/>
    <w:link w:val="Heading3Char"/>
    <w:uiPriority w:val="9"/>
    <w:semiHidden/>
    <w:unhideWhenUsed/>
    <w:qFormat/>
    <w:rsid w:val="002B5D3B"/>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01">
    <w:name w:val="fontstyle01"/>
    <w:basedOn w:val="DefaultParagraphFont"/>
    <w:rsid w:val="00E63036"/>
    <w:rPr>
      <w:rFonts w:ascii="AdvOT7fb33346.I" w:hAnsi="AdvOT7fb33346.I" w:hint="default"/>
      <w:b w:val="0"/>
      <w:bCs w:val="0"/>
      <w:i w:val="0"/>
      <w:iCs w:val="0"/>
      <w:color w:val="000000"/>
      <w:sz w:val="14"/>
      <w:szCs w:val="14"/>
    </w:rPr>
  </w:style>
  <w:style w:type="character" w:styleId="Hyperlink">
    <w:name w:val="Hyperlink"/>
    <w:basedOn w:val="DefaultParagraphFont"/>
    <w:uiPriority w:val="99"/>
    <w:unhideWhenUsed/>
    <w:rsid w:val="00FF0273"/>
    <w:rPr>
      <w:color w:val="0563C1" w:themeColor="hyperlink"/>
      <w:u w:val="single"/>
    </w:rPr>
  </w:style>
  <w:style w:type="character" w:customStyle="1" w:styleId="Heading1Char">
    <w:name w:val="Heading 1 Char"/>
    <w:basedOn w:val="DefaultParagraphFont"/>
    <w:link w:val="Heading1"/>
    <w:uiPriority w:val="9"/>
    <w:rsid w:val="00FF0273"/>
    <w:rPr>
      <w:rFonts w:ascii="Arial" w:eastAsiaTheme="majorEastAsia" w:hAnsi="Arial" w:cstheme="majorBidi"/>
      <w:b/>
      <w:sz w:val="24"/>
      <w:szCs w:val="32"/>
    </w:rPr>
  </w:style>
  <w:style w:type="character" w:customStyle="1" w:styleId="fontstyle21">
    <w:name w:val="fontstyle21"/>
    <w:basedOn w:val="DefaultParagraphFont"/>
    <w:rsid w:val="0007258E"/>
    <w:rPr>
      <w:rFonts w:ascii="LucidaConsole" w:hAnsi="LucidaConsole" w:hint="default"/>
      <w:b w:val="0"/>
      <w:bCs w:val="0"/>
      <w:i w:val="0"/>
      <w:iCs w:val="0"/>
      <w:color w:val="000000"/>
      <w:sz w:val="20"/>
      <w:szCs w:val="20"/>
    </w:rPr>
  </w:style>
  <w:style w:type="character" w:customStyle="1" w:styleId="Heading2Char">
    <w:name w:val="Heading 2 Char"/>
    <w:basedOn w:val="DefaultParagraphFont"/>
    <w:link w:val="Heading2"/>
    <w:uiPriority w:val="9"/>
    <w:rsid w:val="00923196"/>
    <w:rPr>
      <w:rFonts w:ascii="Arial" w:eastAsiaTheme="majorEastAsia" w:hAnsi="Arial" w:cstheme="majorBidi"/>
      <w:b/>
      <w:szCs w:val="26"/>
    </w:rPr>
  </w:style>
  <w:style w:type="paragraph" w:styleId="Header">
    <w:name w:val="header"/>
    <w:basedOn w:val="Normal"/>
    <w:link w:val="HeaderChar"/>
    <w:uiPriority w:val="99"/>
    <w:unhideWhenUsed/>
    <w:rsid w:val="00923196"/>
    <w:pPr>
      <w:tabs>
        <w:tab w:val="center" w:pos="4513"/>
        <w:tab w:val="right" w:pos="9026"/>
      </w:tabs>
      <w:spacing w:line="240" w:lineRule="auto"/>
    </w:pPr>
  </w:style>
  <w:style w:type="character" w:customStyle="1" w:styleId="HeaderChar">
    <w:name w:val="Header Char"/>
    <w:basedOn w:val="DefaultParagraphFont"/>
    <w:link w:val="Header"/>
    <w:uiPriority w:val="99"/>
    <w:rsid w:val="00923196"/>
    <w:rPr>
      <w:rFonts w:ascii="Arial" w:hAnsi="Arial"/>
    </w:rPr>
  </w:style>
  <w:style w:type="paragraph" w:styleId="Footer">
    <w:name w:val="footer"/>
    <w:basedOn w:val="Normal"/>
    <w:link w:val="FooterChar"/>
    <w:uiPriority w:val="99"/>
    <w:unhideWhenUsed/>
    <w:rsid w:val="00923196"/>
    <w:pPr>
      <w:tabs>
        <w:tab w:val="center" w:pos="4513"/>
        <w:tab w:val="right" w:pos="9026"/>
      </w:tabs>
      <w:spacing w:line="240" w:lineRule="auto"/>
    </w:pPr>
  </w:style>
  <w:style w:type="character" w:customStyle="1" w:styleId="FooterChar">
    <w:name w:val="Footer Char"/>
    <w:basedOn w:val="DefaultParagraphFont"/>
    <w:link w:val="Footer"/>
    <w:uiPriority w:val="99"/>
    <w:rsid w:val="00923196"/>
    <w:rPr>
      <w:rFonts w:ascii="Arial" w:hAnsi="Arial"/>
    </w:rPr>
  </w:style>
  <w:style w:type="table" w:styleId="TableGrid">
    <w:name w:val="Table Grid"/>
    <w:basedOn w:val="TableNormal"/>
    <w:uiPriority w:val="39"/>
    <w:rsid w:val="00095D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71406"/>
    <w:pPr>
      <w:ind w:left="720"/>
      <w:contextualSpacing/>
    </w:pPr>
    <w:rPr>
      <w:rFonts w:ascii="Lucida Bright" w:hAnsi="Lucida Bright"/>
      <w:sz w:val="20"/>
      <w:lang w:eastAsia="en-US"/>
    </w:rPr>
  </w:style>
  <w:style w:type="character" w:customStyle="1" w:styleId="UnresolvedMention1">
    <w:name w:val="Unresolved Mention1"/>
    <w:basedOn w:val="DefaultParagraphFont"/>
    <w:uiPriority w:val="99"/>
    <w:semiHidden/>
    <w:unhideWhenUsed/>
    <w:rsid w:val="00CA1008"/>
    <w:rPr>
      <w:color w:val="605E5C"/>
      <w:shd w:val="clear" w:color="auto" w:fill="E1DFDD"/>
    </w:rPr>
  </w:style>
  <w:style w:type="character" w:styleId="PlaceholderText">
    <w:name w:val="Placeholder Text"/>
    <w:basedOn w:val="DefaultParagraphFont"/>
    <w:uiPriority w:val="99"/>
    <w:semiHidden/>
    <w:rsid w:val="004322DF"/>
    <w:rPr>
      <w:color w:val="808080"/>
    </w:rPr>
  </w:style>
  <w:style w:type="table" w:styleId="PlainTable5">
    <w:name w:val="Plain Table 5"/>
    <w:basedOn w:val="TableNormal"/>
    <w:uiPriority w:val="45"/>
    <w:rsid w:val="0084053D"/>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Bibliography">
    <w:name w:val="Bibliography"/>
    <w:basedOn w:val="Normal"/>
    <w:next w:val="Normal"/>
    <w:uiPriority w:val="37"/>
    <w:unhideWhenUsed/>
    <w:rsid w:val="006C6076"/>
    <w:pPr>
      <w:spacing w:after="240" w:line="240" w:lineRule="auto"/>
    </w:pPr>
  </w:style>
  <w:style w:type="character" w:styleId="CommentReference">
    <w:name w:val="annotation reference"/>
    <w:basedOn w:val="DefaultParagraphFont"/>
    <w:uiPriority w:val="99"/>
    <w:semiHidden/>
    <w:unhideWhenUsed/>
    <w:rsid w:val="009A57F7"/>
    <w:rPr>
      <w:sz w:val="16"/>
      <w:szCs w:val="16"/>
    </w:rPr>
  </w:style>
  <w:style w:type="paragraph" w:styleId="CommentText">
    <w:name w:val="annotation text"/>
    <w:basedOn w:val="Normal"/>
    <w:link w:val="CommentTextChar"/>
    <w:uiPriority w:val="99"/>
    <w:unhideWhenUsed/>
    <w:rsid w:val="009A57F7"/>
    <w:pPr>
      <w:spacing w:line="240" w:lineRule="auto"/>
    </w:pPr>
    <w:rPr>
      <w:sz w:val="20"/>
      <w:szCs w:val="20"/>
    </w:rPr>
  </w:style>
  <w:style w:type="character" w:customStyle="1" w:styleId="CommentTextChar">
    <w:name w:val="Comment Text Char"/>
    <w:basedOn w:val="DefaultParagraphFont"/>
    <w:link w:val="CommentText"/>
    <w:uiPriority w:val="99"/>
    <w:rsid w:val="009A57F7"/>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9A57F7"/>
    <w:rPr>
      <w:b/>
      <w:bCs/>
    </w:rPr>
  </w:style>
  <w:style w:type="character" w:customStyle="1" w:styleId="CommentSubjectChar">
    <w:name w:val="Comment Subject Char"/>
    <w:basedOn w:val="CommentTextChar"/>
    <w:link w:val="CommentSubject"/>
    <w:uiPriority w:val="99"/>
    <w:semiHidden/>
    <w:rsid w:val="009A57F7"/>
    <w:rPr>
      <w:rFonts w:ascii="Arial" w:hAnsi="Arial"/>
      <w:b/>
      <w:bCs/>
      <w:sz w:val="20"/>
      <w:szCs w:val="20"/>
    </w:rPr>
  </w:style>
  <w:style w:type="paragraph" w:styleId="BalloonText">
    <w:name w:val="Balloon Text"/>
    <w:basedOn w:val="Normal"/>
    <w:link w:val="BalloonTextChar"/>
    <w:uiPriority w:val="99"/>
    <w:semiHidden/>
    <w:unhideWhenUsed/>
    <w:rsid w:val="00781E59"/>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81E59"/>
    <w:rPr>
      <w:rFonts w:ascii="Segoe UI" w:hAnsi="Segoe UI" w:cs="Segoe UI"/>
      <w:sz w:val="18"/>
      <w:szCs w:val="18"/>
    </w:rPr>
  </w:style>
  <w:style w:type="paragraph" w:customStyle="1" w:styleId="EndNoteBibliography">
    <w:name w:val="EndNote Bibliography"/>
    <w:basedOn w:val="Normal"/>
    <w:link w:val="EndNoteBibliographyChar"/>
    <w:rsid w:val="00AF3FA3"/>
    <w:pPr>
      <w:spacing w:after="200" w:line="240" w:lineRule="auto"/>
      <w:jc w:val="left"/>
    </w:pPr>
    <w:rPr>
      <w:rFonts w:ascii="Calibri" w:eastAsiaTheme="minorHAnsi" w:hAnsi="Calibri" w:cs="Calibri"/>
      <w:noProof/>
      <w:lang w:val="en-US" w:eastAsia="en-US"/>
    </w:rPr>
  </w:style>
  <w:style w:type="character" w:customStyle="1" w:styleId="EndNoteBibliographyChar">
    <w:name w:val="EndNote Bibliography Char"/>
    <w:basedOn w:val="DefaultParagraphFont"/>
    <w:link w:val="EndNoteBibliography"/>
    <w:rsid w:val="00AF3FA3"/>
    <w:rPr>
      <w:rFonts w:ascii="Calibri" w:eastAsiaTheme="minorHAnsi" w:hAnsi="Calibri" w:cs="Calibri"/>
      <w:noProof/>
      <w:lang w:val="en-US" w:eastAsia="en-US"/>
    </w:rPr>
  </w:style>
  <w:style w:type="paragraph" w:styleId="Revision">
    <w:name w:val="Revision"/>
    <w:hidden/>
    <w:uiPriority w:val="99"/>
    <w:semiHidden/>
    <w:rsid w:val="00B72EA8"/>
    <w:pPr>
      <w:spacing w:after="0" w:line="240" w:lineRule="auto"/>
    </w:pPr>
    <w:rPr>
      <w:rFonts w:ascii="Arial" w:hAnsi="Arial"/>
    </w:rPr>
  </w:style>
  <w:style w:type="character" w:styleId="Emphasis">
    <w:name w:val="Emphasis"/>
    <w:basedOn w:val="DefaultParagraphFont"/>
    <w:uiPriority w:val="20"/>
    <w:qFormat/>
    <w:rsid w:val="0012231F"/>
    <w:rPr>
      <w:i/>
      <w:iCs/>
    </w:rPr>
  </w:style>
  <w:style w:type="character" w:customStyle="1" w:styleId="mixed-citation">
    <w:name w:val="mixed-citation"/>
    <w:basedOn w:val="DefaultParagraphFont"/>
    <w:rsid w:val="0012231F"/>
  </w:style>
  <w:style w:type="character" w:customStyle="1" w:styleId="ref-title">
    <w:name w:val="ref-title"/>
    <w:basedOn w:val="DefaultParagraphFont"/>
    <w:rsid w:val="0012231F"/>
  </w:style>
  <w:style w:type="character" w:customStyle="1" w:styleId="ref-journal">
    <w:name w:val="ref-journal"/>
    <w:basedOn w:val="DefaultParagraphFont"/>
    <w:rsid w:val="0012231F"/>
  </w:style>
  <w:style w:type="character" w:customStyle="1" w:styleId="ref-vol">
    <w:name w:val="ref-vol"/>
    <w:basedOn w:val="DefaultParagraphFont"/>
    <w:rsid w:val="0012231F"/>
  </w:style>
  <w:style w:type="character" w:customStyle="1" w:styleId="nowrap">
    <w:name w:val="nowrap"/>
    <w:basedOn w:val="DefaultParagraphFont"/>
    <w:rsid w:val="0012231F"/>
  </w:style>
  <w:style w:type="character" w:customStyle="1" w:styleId="Heading3Char">
    <w:name w:val="Heading 3 Char"/>
    <w:basedOn w:val="DefaultParagraphFont"/>
    <w:link w:val="Heading3"/>
    <w:uiPriority w:val="9"/>
    <w:semiHidden/>
    <w:rsid w:val="002B5D3B"/>
    <w:rPr>
      <w:rFonts w:asciiTheme="majorHAnsi" w:eastAsiaTheme="majorEastAsia" w:hAnsiTheme="majorHAnsi" w:cstheme="majorBidi"/>
      <w:color w:val="1F3763" w:themeColor="accent1" w:themeShade="7F"/>
      <w:sz w:val="24"/>
      <w:szCs w:val="24"/>
    </w:rPr>
  </w:style>
  <w:style w:type="character" w:styleId="LineNumber">
    <w:name w:val="line number"/>
    <w:basedOn w:val="DefaultParagraphFont"/>
    <w:uiPriority w:val="99"/>
    <w:semiHidden/>
    <w:unhideWhenUsed/>
    <w:rsid w:val="00EF31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0094281">
      <w:bodyDiv w:val="1"/>
      <w:marLeft w:val="0"/>
      <w:marRight w:val="0"/>
      <w:marTop w:val="0"/>
      <w:marBottom w:val="0"/>
      <w:divBdr>
        <w:top w:val="none" w:sz="0" w:space="0" w:color="auto"/>
        <w:left w:val="none" w:sz="0" w:space="0" w:color="auto"/>
        <w:bottom w:val="none" w:sz="0" w:space="0" w:color="auto"/>
        <w:right w:val="none" w:sz="0" w:space="0" w:color="auto"/>
      </w:divBdr>
    </w:div>
    <w:div w:id="1463579346">
      <w:bodyDiv w:val="1"/>
      <w:marLeft w:val="0"/>
      <w:marRight w:val="0"/>
      <w:marTop w:val="0"/>
      <w:marBottom w:val="0"/>
      <w:divBdr>
        <w:top w:val="none" w:sz="0" w:space="0" w:color="auto"/>
        <w:left w:val="none" w:sz="0" w:space="0" w:color="auto"/>
        <w:bottom w:val="none" w:sz="0" w:space="0" w:color="auto"/>
        <w:right w:val="none" w:sz="0" w:space="0" w:color="auto"/>
      </w:divBdr>
      <w:divsChild>
        <w:div w:id="468670516">
          <w:marLeft w:val="0"/>
          <w:marRight w:val="0"/>
          <w:marTop w:val="0"/>
          <w:marBottom w:val="0"/>
          <w:divBdr>
            <w:top w:val="none" w:sz="0" w:space="0" w:color="auto"/>
            <w:left w:val="none" w:sz="0" w:space="0" w:color="auto"/>
            <w:bottom w:val="none" w:sz="0" w:space="0" w:color="auto"/>
            <w:right w:val="none" w:sz="0" w:space="0" w:color="auto"/>
          </w:divBdr>
          <w:divsChild>
            <w:div w:id="273755630">
              <w:marLeft w:val="0"/>
              <w:marRight w:val="0"/>
              <w:marTop w:val="0"/>
              <w:marBottom w:val="0"/>
              <w:divBdr>
                <w:top w:val="single" w:sz="6" w:space="0" w:color="5B616B"/>
                <w:left w:val="single" w:sz="6" w:space="0" w:color="5B616B"/>
                <w:bottom w:val="single" w:sz="6" w:space="0" w:color="5B616B"/>
                <w:right w:val="single" w:sz="6" w:space="0" w:color="5B616B"/>
              </w:divBdr>
            </w:div>
          </w:divsChild>
        </w:div>
        <w:div w:id="1690058803">
          <w:marLeft w:val="0"/>
          <w:marRight w:val="0"/>
          <w:marTop w:val="0"/>
          <w:marBottom w:val="0"/>
          <w:divBdr>
            <w:top w:val="none" w:sz="0" w:space="0" w:color="auto"/>
            <w:left w:val="none" w:sz="0" w:space="0" w:color="auto"/>
            <w:bottom w:val="none" w:sz="0" w:space="0" w:color="auto"/>
            <w:right w:val="none" w:sz="0" w:space="0" w:color="auto"/>
          </w:divBdr>
        </w:div>
      </w:divsChild>
    </w:div>
    <w:div w:id="1740403113">
      <w:bodyDiv w:val="1"/>
      <w:marLeft w:val="0"/>
      <w:marRight w:val="0"/>
      <w:marTop w:val="0"/>
      <w:marBottom w:val="0"/>
      <w:divBdr>
        <w:top w:val="none" w:sz="0" w:space="0" w:color="auto"/>
        <w:left w:val="none" w:sz="0" w:space="0" w:color="auto"/>
        <w:bottom w:val="none" w:sz="0" w:space="0" w:color="auto"/>
        <w:right w:val="none" w:sz="0" w:space="0" w:color="auto"/>
      </w:divBdr>
    </w:div>
    <w:div w:id="1946767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k950@cam.ac.uk" TargetMode="External"/><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www.cambridgebioresource.org.uk"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5340ED-8B08-4B5A-A7E1-1941FDA093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29</Pages>
  <Words>27425</Words>
  <Characters>156329</Characters>
  <Application>Microsoft Office Word</Application>
  <DocSecurity>4</DocSecurity>
  <Lines>1302</Lines>
  <Paragraphs>366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183388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Antonina Kouli</dc:creator>
  <cp:keywords/>
  <dc:description/>
  <cp:lastModifiedBy>Jacqui Davidson</cp:lastModifiedBy>
  <cp:revision>2</cp:revision>
  <cp:lastPrinted>2021-02-04T12:07:00Z</cp:lastPrinted>
  <dcterms:created xsi:type="dcterms:W3CDTF">2021-10-06T13:48:00Z</dcterms:created>
  <dcterms:modified xsi:type="dcterms:W3CDTF">2021-10-06T13:48:00Z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zotero-version="5.0.96.3"&gt;&lt;session id="0uzFytl4"/&gt;&lt;style id="http://www.zotero.org/styles/journal-of-neuroinflammation" hasBibliography="1" bibliographyStyleHasBeenSet="1"/&gt;&lt;prefs&gt;&lt;pref name="fieldType" value="Field"/&gt;&lt;/prefs&gt;&lt;/data</vt:lpwstr>
  </property>
  <property fmtid="{D5CDD505-2E9C-101B-9397-08002B2CF9AE}" pid="3" name="ZOTERO_PREF_2">
    <vt:lpwstr>&gt;</vt:lpwstr>
  </property>
</Properties>
</file>