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AA5CF4" w14:textId="408502D5" w:rsidR="006227E3" w:rsidRDefault="005C3636" w:rsidP="005C363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Response to Letter to T</w:t>
      </w:r>
      <w:r w:rsidR="00E61061">
        <w:rPr>
          <w:rFonts w:ascii="Times New Roman" w:hAnsi="Times New Roman" w:cs="Times New Roman"/>
          <w:b/>
          <w:bCs/>
          <w:sz w:val="26"/>
          <w:szCs w:val="26"/>
        </w:rPr>
        <w:t>he</w:t>
      </w:r>
      <w:r w:rsidR="006227E3">
        <w:rPr>
          <w:rFonts w:ascii="Times New Roman" w:hAnsi="Times New Roman" w:cs="Times New Roman"/>
          <w:b/>
          <w:bCs/>
          <w:sz w:val="26"/>
          <w:szCs w:val="26"/>
        </w:rPr>
        <w:t xml:space="preserve"> Editor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on article </w:t>
      </w:r>
      <w:r w:rsidR="006227E3">
        <w:rPr>
          <w:rFonts w:ascii="Times New Roman" w:hAnsi="Times New Roman" w:cs="Times New Roman"/>
          <w:b/>
          <w:bCs/>
          <w:sz w:val="26"/>
          <w:szCs w:val="26"/>
        </w:rPr>
        <w:t>“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Preferential interaction of MHC class I with TAPBPR in the absence of glycosylation”. </w:t>
      </w:r>
    </w:p>
    <w:p w14:paraId="7CBCBF19" w14:textId="77777777" w:rsidR="005C3636" w:rsidRDefault="005C3636" w:rsidP="005C363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14:paraId="6FFC26B4" w14:textId="77777777" w:rsidR="005C3636" w:rsidRDefault="005C3636" w:rsidP="005C3636">
      <w:pPr>
        <w:autoSpaceDE w:val="0"/>
        <w:autoSpaceDN w:val="0"/>
        <w:adjustRightInd w:val="0"/>
        <w:spacing w:after="0" w:line="240" w:lineRule="auto"/>
      </w:pPr>
      <w:r>
        <w:t>Louise H. Boyle, University of Cambridge, UK.</w:t>
      </w:r>
    </w:p>
    <w:p w14:paraId="3765B4B6" w14:textId="77777777" w:rsidR="00D34B7C" w:rsidRDefault="00D34B7C" w:rsidP="005C3636">
      <w:pPr>
        <w:autoSpaceDE w:val="0"/>
        <w:autoSpaceDN w:val="0"/>
        <w:adjustRightInd w:val="0"/>
        <w:spacing w:after="0" w:line="240" w:lineRule="auto"/>
      </w:pPr>
    </w:p>
    <w:p w14:paraId="0A16D36C" w14:textId="1093E0A2" w:rsidR="00E61061" w:rsidRDefault="005C3636" w:rsidP="005C3636">
      <w:pPr>
        <w:autoSpaceDE w:val="0"/>
        <w:autoSpaceDN w:val="0"/>
        <w:adjustRightInd w:val="0"/>
        <w:spacing w:after="0" w:line="240" w:lineRule="auto"/>
      </w:pPr>
      <w:r>
        <w:t>In the</w:t>
      </w:r>
      <w:r w:rsidR="00E61061">
        <w:t xml:space="preserve"> Letter</w:t>
      </w:r>
      <w:r>
        <w:t xml:space="preserve"> by </w:t>
      </w:r>
      <w:r w:rsidR="006227E3">
        <w:t>Cho &amp; Kang</w:t>
      </w:r>
      <w:r>
        <w:t xml:space="preserve">, </w:t>
      </w:r>
      <w:r w:rsidR="00E61061">
        <w:t xml:space="preserve">it was suggested </w:t>
      </w:r>
      <w:r w:rsidR="00D34B7C">
        <w:t>that our</w:t>
      </w:r>
      <w:r>
        <w:t xml:space="preserve"> pulse chase </w:t>
      </w:r>
      <w:r w:rsidR="00D34B7C">
        <w:t xml:space="preserve">data in Fig. 4D </w:t>
      </w:r>
      <w:r>
        <w:t xml:space="preserve">was inconsistent </w:t>
      </w:r>
      <w:r w:rsidR="00E61061">
        <w:t>with</w:t>
      </w:r>
      <w:r>
        <w:t xml:space="preserve"> other</w:t>
      </w:r>
      <w:r w:rsidR="00E61061">
        <w:t xml:space="preserve"> data presented</w:t>
      </w:r>
      <w:r w:rsidR="00D34B7C">
        <w:t xml:space="preserve"> </w:t>
      </w:r>
      <w:r w:rsidR="00E61061">
        <w:t xml:space="preserve">in </w:t>
      </w:r>
      <w:r w:rsidR="00D34B7C">
        <w:t xml:space="preserve">our </w:t>
      </w:r>
      <w:r w:rsidR="00E61061">
        <w:t>manuscript</w:t>
      </w:r>
      <w:r w:rsidR="00D34B7C">
        <w:t xml:space="preserve">. </w:t>
      </w:r>
      <w:r w:rsidR="00EB44F7">
        <w:t>Cho</w:t>
      </w:r>
      <w:r w:rsidR="00E61061">
        <w:t xml:space="preserve"> &amp; </w:t>
      </w:r>
      <w:r w:rsidR="00EB44F7">
        <w:t xml:space="preserve">Kang </w:t>
      </w:r>
      <w:r w:rsidR="00D34B7C">
        <w:t>addressed</w:t>
      </w:r>
      <w:r>
        <w:t xml:space="preserve"> </w:t>
      </w:r>
      <w:r w:rsidR="00EB44F7">
        <w:t xml:space="preserve">this </w:t>
      </w:r>
      <w:r>
        <w:t>by scanning</w:t>
      </w:r>
      <w:r w:rsidR="00D34B7C">
        <w:t xml:space="preserve"> Fig</w:t>
      </w:r>
      <w:r w:rsidR="006F7D34">
        <w:t>.</w:t>
      </w:r>
      <w:r w:rsidR="00D34B7C">
        <w:t xml:space="preserve"> 4D of our paper</w:t>
      </w:r>
      <w:r w:rsidR="00E61061">
        <w:t xml:space="preserve"> followed by </w:t>
      </w:r>
      <w:r w:rsidR="00D34B7C">
        <w:t xml:space="preserve">fitting a first-order kinetic equation. </w:t>
      </w:r>
      <w:r w:rsidR="00EB44F7">
        <w:t xml:space="preserve">Their analysis </w:t>
      </w:r>
      <w:r w:rsidR="00D34B7C">
        <w:t xml:space="preserve">subsequently </w:t>
      </w:r>
      <w:r w:rsidR="00E61061">
        <w:t xml:space="preserve">suggested that </w:t>
      </w:r>
      <w:r w:rsidR="00D34B7C">
        <w:t>“glycosylated HLA-A2</w:t>
      </w:r>
      <w:r w:rsidR="00D34B7C" w:rsidRPr="001047EF">
        <w:rPr>
          <w:vertAlign w:val="superscript"/>
        </w:rPr>
        <w:t>WT</w:t>
      </w:r>
      <w:r w:rsidR="00D34B7C">
        <w:t xml:space="preserve"> is 1.7 times more stable than its non-glycosylated mutants”</w:t>
      </w:r>
      <w:r w:rsidR="00043A7C">
        <w:t xml:space="preserve">.  We agree that our original data </w:t>
      </w:r>
      <w:r w:rsidR="006F7D34">
        <w:t xml:space="preserve">hinted </w:t>
      </w:r>
      <w:r w:rsidR="00043A7C">
        <w:t>that HLA-A2</w:t>
      </w:r>
      <w:r w:rsidR="00043A7C" w:rsidRPr="001047EF">
        <w:rPr>
          <w:vertAlign w:val="superscript"/>
        </w:rPr>
        <w:t xml:space="preserve">N86Q </w:t>
      </w:r>
      <w:r w:rsidR="00043A7C">
        <w:t>and HLA-A2</w:t>
      </w:r>
      <w:r w:rsidR="00043A7C" w:rsidRPr="001047EF">
        <w:rPr>
          <w:vertAlign w:val="superscript"/>
        </w:rPr>
        <w:t>S88R</w:t>
      </w:r>
      <w:r w:rsidR="00043A7C">
        <w:t xml:space="preserve"> dissociate from TAPBPR </w:t>
      </w:r>
      <w:r w:rsidR="00797087">
        <w:t xml:space="preserve">faster </w:t>
      </w:r>
      <w:r w:rsidR="00043A7C">
        <w:t>than HLA-A2</w:t>
      </w:r>
      <w:r w:rsidR="00043A7C" w:rsidRPr="001047EF">
        <w:rPr>
          <w:vertAlign w:val="superscript"/>
        </w:rPr>
        <w:t>WT</w:t>
      </w:r>
      <w:r w:rsidR="00043A7C">
        <w:t>.  However, given the</w:t>
      </w:r>
      <w:r w:rsidR="006D1E18">
        <w:t xml:space="preserve"> sizeable </w:t>
      </w:r>
      <w:r w:rsidR="00043A7C">
        <w:t>error bars in Fig</w:t>
      </w:r>
      <w:r w:rsidR="006F7D34">
        <w:t>.</w:t>
      </w:r>
      <w:r w:rsidR="00043A7C">
        <w:t xml:space="preserve"> 4D, we did not feel </w:t>
      </w:r>
      <w:r w:rsidR="001D032B">
        <w:t>the d</w:t>
      </w:r>
      <w:r w:rsidR="00043A7C">
        <w:t xml:space="preserve">ata </w:t>
      </w:r>
      <w:r w:rsidR="006938A5">
        <w:t xml:space="preserve">we </w:t>
      </w:r>
      <w:r w:rsidR="001D032B">
        <w:t>presented</w:t>
      </w:r>
      <w:r w:rsidR="006938A5">
        <w:t xml:space="preserve"> in our manuscript </w:t>
      </w:r>
      <w:r w:rsidR="00043A7C">
        <w:t xml:space="preserve">was strong enough to </w:t>
      </w:r>
      <w:r w:rsidR="001D032B">
        <w:t>make this</w:t>
      </w:r>
      <w:r w:rsidR="00043A7C">
        <w:t xml:space="preserve"> claim. </w:t>
      </w:r>
      <w:r w:rsidR="000346FB">
        <w:t>Nevertheless</w:t>
      </w:r>
      <w:r w:rsidR="00043A7C">
        <w:t>, the data in Fig. 4D do support our claim that the non-glycosylat</w:t>
      </w:r>
      <w:r w:rsidR="001047EF">
        <w:t>ed HLA-A2 molecule</w:t>
      </w:r>
      <w:r w:rsidR="001D032B">
        <w:t>s</w:t>
      </w:r>
      <w:r w:rsidR="001047EF">
        <w:t xml:space="preserve"> are not retained on</w:t>
      </w:r>
      <w:r w:rsidR="001D032B">
        <w:t xml:space="preserve"> TAPBPR, </w:t>
      </w:r>
      <w:r w:rsidR="001047EF">
        <w:t xml:space="preserve">and that they do indeed </w:t>
      </w:r>
      <w:r w:rsidR="00E61061">
        <w:t>dissociate</w:t>
      </w:r>
      <w:r w:rsidR="001047EF">
        <w:t xml:space="preserve"> from TAPBPR</w:t>
      </w:r>
      <w:r w:rsidR="006938A5">
        <w:t>. W</w:t>
      </w:r>
      <w:r w:rsidR="001047EF">
        <w:t>e</w:t>
      </w:r>
      <w:r w:rsidR="001D032B">
        <w:t xml:space="preserve"> do not believe </w:t>
      </w:r>
      <w:r w:rsidR="001047EF">
        <w:t>that the data provided in Fig. 4D is inconsistent with the other data in our paper</w:t>
      </w:r>
      <w:r w:rsidR="001D032B">
        <w:t xml:space="preserve">. </w:t>
      </w:r>
      <w:r w:rsidR="001047EF">
        <w:t xml:space="preserve">  </w:t>
      </w:r>
    </w:p>
    <w:p w14:paraId="70B9BEBA" w14:textId="77777777" w:rsidR="00E61061" w:rsidRDefault="00E61061" w:rsidP="005C3636">
      <w:pPr>
        <w:autoSpaceDE w:val="0"/>
        <w:autoSpaceDN w:val="0"/>
        <w:adjustRightInd w:val="0"/>
        <w:spacing w:after="0" w:line="240" w:lineRule="auto"/>
      </w:pPr>
    </w:p>
    <w:p w14:paraId="4E341EA4" w14:textId="3DDF7E49" w:rsidR="00FD5E3D" w:rsidRDefault="00FD5E3D" w:rsidP="005C3636">
      <w:pPr>
        <w:autoSpaceDE w:val="0"/>
        <w:autoSpaceDN w:val="0"/>
        <w:adjustRightInd w:val="0"/>
        <w:spacing w:after="0" w:line="240" w:lineRule="auto"/>
      </w:pPr>
      <w:r>
        <w:t xml:space="preserve">It </w:t>
      </w:r>
      <w:r w:rsidR="001D032B">
        <w:t xml:space="preserve">is important to recognise </w:t>
      </w:r>
      <w:r w:rsidR="000346FB">
        <w:t>that w</w:t>
      </w:r>
      <w:r w:rsidR="001D032B">
        <w:t xml:space="preserve">hile our </w:t>
      </w:r>
      <w:r w:rsidR="006938A5">
        <w:t xml:space="preserve">pulse chase analysis can </w:t>
      </w:r>
      <w:r w:rsidR="001D032B">
        <w:t xml:space="preserve">be ultilised </w:t>
      </w:r>
      <w:r w:rsidR="006938A5">
        <w:t>to identify association and dissociation rates, the interaction</w:t>
      </w:r>
      <w:r w:rsidR="001D032B">
        <w:t>s</w:t>
      </w:r>
      <w:r w:rsidR="006938A5">
        <w:t xml:space="preserve"> between TAPBPR and MHC class I are not being an</w:t>
      </w:r>
      <w:r w:rsidR="00797087">
        <w:t xml:space="preserve">alysed in isolation but </w:t>
      </w:r>
      <w:r w:rsidR="001D032B">
        <w:t>rather within</w:t>
      </w:r>
      <w:r w:rsidR="006938A5">
        <w:t xml:space="preserve"> </w:t>
      </w:r>
      <w:r>
        <w:t>living cells incubated at 37</w:t>
      </w:r>
      <w:r w:rsidRPr="00FD5E3D">
        <w:rPr>
          <w:vertAlign w:val="superscript"/>
        </w:rPr>
        <w:t>o</w:t>
      </w:r>
      <w:r>
        <w:t>C</w:t>
      </w:r>
      <w:r w:rsidR="000346FB">
        <w:t xml:space="preserve">. Thus, this interaction is tested </w:t>
      </w:r>
      <w:r>
        <w:t xml:space="preserve">in </w:t>
      </w:r>
      <w:r w:rsidR="006D1E18">
        <w:t xml:space="preserve">a </w:t>
      </w:r>
      <w:r w:rsidR="006938A5">
        <w:t>complex</w:t>
      </w:r>
      <w:r>
        <w:t xml:space="preserve">, </w:t>
      </w:r>
      <w:r w:rsidR="006938A5">
        <w:t>dynamic biolog</w:t>
      </w:r>
      <w:r w:rsidR="006F7D34">
        <w:t>ical</w:t>
      </w:r>
      <w:r>
        <w:t xml:space="preserve"> </w:t>
      </w:r>
      <w:r w:rsidR="000346FB">
        <w:t xml:space="preserve">system </w:t>
      </w:r>
      <w:r w:rsidR="00324303">
        <w:t>subject</w:t>
      </w:r>
      <w:r>
        <w:t xml:space="preserve"> to </w:t>
      </w:r>
      <w:r w:rsidR="006938A5">
        <w:t xml:space="preserve">competitive interactions. </w:t>
      </w:r>
      <w:r>
        <w:t xml:space="preserve">While the </w:t>
      </w:r>
      <w:r w:rsidR="006938A5">
        <w:t>potential</w:t>
      </w:r>
      <w:r w:rsidR="00FB3F2E">
        <w:t>ly</w:t>
      </w:r>
      <w:r w:rsidR="006938A5">
        <w:t xml:space="preserve"> faster dissociation of non-glycosylated forms of TAPBPR from MHC class I</w:t>
      </w:r>
      <w:r w:rsidR="000346FB">
        <w:t xml:space="preserve"> may indeed</w:t>
      </w:r>
      <w:r>
        <w:t xml:space="preserve"> have a thermodynamic basis</w:t>
      </w:r>
      <w:r w:rsidR="006938A5">
        <w:t>,</w:t>
      </w:r>
      <w:r>
        <w:t xml:space="preserve"> in our </w:t>
      </w:r>
      <w:r w:rsidR="006F7D34">
        <w:t xml:space="preserve">cellular </w:t>
      </w:r>
      <w:r>
        <w:t>experimental systems</w:t>
      </w:r>
      <w:r w:rsidR="006F7D34">
        <w:t>, particularly pulse chase studies,</w:t>
      </w:r>
      <w:r>
        <w:t xml:space="preserve"> </w:t>
      </w:r>
      <w:r w:rsidR="00324303">
        <w:t xml:space="preserve">faster dissociation </w:t>
      </w:r>
      <w:r>
        <w:t xml:space="preserve">could also be a </w:t>
      </w:r>
      <w:r w:rsidR="006938A5">
        <w:t xml:space="preserve">consequence of </w:t>
      </w:r>
      <w:r>
        <w:t xml:space="preserve">other </w:t>
      </w:r>
      <w:r w:rsidR="006938A5">
        <w:t>factors</w:t>
      </w:r>
      <w:r w:rsidR="001D032B">
        <w:t xml:space="preserve">, that are not present in biophysical techniques used by other investigators. </w:t>
      </w:r>
      <w:r w:rsidR="00797087">
        <w:t xml:space="preserve">  </w:t>
      </w:r>
    </w:p>
    <w:p w14:paraId="4088585D" w14:textId="77777777" w:rsidR="00FD5E3D" w:rsidRDefault="00FD5E3D" w:rsidP="005C3636">
      <w:pPr>
        <w:autoSpaceDE w:val="0"/>
        <w:autoSpaceDN w:val="0"/>
        <w:adjustRightInd w:val="0"/>
        <w:spacing w:after="0" w:line="240" w:lineRule="auto"/>
      </w:pPr>
    </w:p>
    <w:p w14:paraId="40EB02E3" w14:textId="24880005" w:rsidR="00EB44F7" w:rsidRDefault="00FD5E3D" w:rsidP="005C3636">
      <w:pPr>
        <w:autoSpaceDE w:val="0"/>
        <w:autoSpaceDN w:val="0"/>
        <w:adjustRightInd w:val="0"/>
        <w:spacing w:after="0" w:line="240" w:lineRule="auto"/>
      </w:pPr>
      <w:r>
        <w:t>For example, a</w:t>
      </w:r>
      <w:r w:rsidR="00797087">
        <w:t xml:space="preserve">s the non-glycosylated MHC class I molecules are not efficiently incorporated into the peptide-loading complex, it is likely that a larger pool of non-glycosylated MHC class I are loaded with low affinity peptides. This could explain the increased binding of TAPBPR to non-glycosylated MHC class I.  </w:t>
      </w:r>
      <w:r w:rsidR="001D032B">
        <w:t>This may also</w:t>
      </w:r>
      <w:r w:rsidR="00797087">
        <w:t xml:space="preserve"> explain the potential</w:t>
      </w:r>
      <w:r w:rsidR="001D032B">
        <w:t xml:space="preserve"> for</w:t>
      </w:r>
      <w:r w:rsidR="00797087">
        <w:t xml:space="preserve"> faster dissociation</w:t>
      </w:r>
      <w:r w:rsidR="00C77D24">
        <w:t>,</w:t>
      </w:r>
      <w:r w:rsidR="00797087">
        <w:t xml:space="preserve"> as TAPBPR would be able to dissociate peptides from the non-glycosylated MHC class I molecules more </w:t>
      </w:r>
      <w:r w:rsidR="001D032B">
        <w:t xml:space="preserve">readily. </w:t>
      </w:r>
      <w:r>
        <w:t>Furthermore, we have previously demonstrated</w:t>
      </w:r>
      <w:r w:rsidR="00FB3F2E">
        <w:t xml:space="preserve"> in Neerincx et al 2017</w:t>
      </w:r>
      <w:r>
        <w:t xml:space="preserve"> that TAPBPR interacts with UGT1 to promote reglucosylation of </w:t>
      </w:r>
      <w:r w:rsidR="00DB0529">
        <w:t xml:space="preserve">MHC class I. Therefore, while </w:t>
      </w:r>
      <w:r w:rsidR="00324303">
        <w:t xml:space="preserve">a pool </w:t>
      </w:r>
      <w:r w:rsidR="00DB0529">
        <w:t>HLA-A2</w:t>
      </w:r>
      <w:r w:rsidR="00DB0529" w:rsidRPr="00A6040E">
        <w:rPr>
          <w:vertAlign w:val="superscript"/>
        </w:rPr>
        <w:t>WT</w:t>
      </w:r>
      <w:r w:rsidR="00DB0529">
        <w:t xml:space="preserve"> will be subjected to</w:t>
      </w:r>
      <w:r w:rsidR="00324303">
        <w:t xml:space="preserve"> recycling back and forth between TAPBPR and the peptide loading complex, non-glycosylated forms are not subjected to such recycling. Therefore, the potential for faster dissociation of non-glycosylated forms of MHC I from TAPBPR in the pulse chase</w:t>
      </w:r>
      <w:r w:rsidR="00A6040E">
        <w:t xml:space="preserve"> are also r</w:t>
      </w:r>
      <w:r w:rsidR="00324303">
        <w:t xml:space="preserve">eflective of a lack of recycling. </w:t>
      </w:r>
    </w:p>
    <w:p w14:paraId="4E742CD9" w14:textId="536775D4" w:rsidR="00324303" w:rsidRDefault="00324303" w:rsidP="005C3636">
      <w:pPr>
        <w:autoSpaceDE w:val="0"/>
        <w:autoSpaceDN w:val="0"/>
        <w:adjustRightInd w:val="0"/>
        <w:spacing w:after="0" w:line="240" w:lineRule="auto"/>
      </w:pPr>
    </w:p>
    <w:p w14:paraId="43203AD4" w14:textId="77777777" w:rsidR="00324303" w:rsidRDefault="00324303" w:rsidP="005C3636">
      <w:pPr>
        <w:autoSpaceDE w:val="0"/>
        <w:autoSpaceDN w:val="0"/>
        <w:adjustRightInd w:val="0"/>
        <w:spacing w:after="0" w:line="240" w:lineRule="auto"/>
      </w:pPr>
    </w:p>
    <w:p w14:paraId="61FF8F89" w14:textId="652D8D3D" w:rsidR="006227E3" w:rsidRDefault="00A6040E">
      <w:r>
        <w:t>There is a s</w:t>
      </w:r>
      <w:r w:rsidR="006D1E18">
        <w:t xml:space="preserve">trong </w:t>
      </w:r>
      <w:r>
        <w:t xml:space="preserve">suggestion </w:t>
      </w:r>
      <w:r w:rsidR="001D45DF">
        <w:t>throughout in the Letter to the Editor that our data indicate the complex of TAPBPR with MHC class I is more stable when MHC class I lacks N-linked glycosylation. While this may indeed be the case, the data we provided in our manuscript does not specifically test this or</w:t>
      </w:r>
      <w:r w:rsidR="006D1E18">
        <w:t xml:space="preserve"> directly</w:t>
      </w:r>
      <w:r w:rsidR="001D45DF">
        <w:t xml:space="preserve"> support this suggestion.  Rather, our study suggests that a large proportion of the total cellular pool of MHC class I interacts with TAPBPR in the absence of glycosylation i.e. TAPBPR can more readily </w:t>
      </w:r>
      <w:r w:rsidR="006D1E18">
        <w:t xml:space="preserve">interact with the MHC class I. The reasons behind this are likely to be multifactorial and </w:t>
      </w:r>
      <w:r w:rsidR="00FB3F2E">
        <w:t>undoubtedly</w:t>
      </w:r>
      <w:r w:rsidR="006D1E18">
        <w:t xml:space="preserve"> will be strongly influenced by the decreased association with tapasin and consequently lower affinity peptides loaded onto the MHC class I in the </w:t>
      </w:r>
      <w:r w:rsidR="00FB3F2E">
        <w:t>absence of any</w:t>
      </w:r>
      <w:r w:rsidR="006D1E18">
        <w:t xml:space="preserve"> glycan.  </w:t>
      </w:r>
      <w:r>
        <w:t xml:space="preserve">It is also worth remembering that all MHC class I molecules contain and NxS/T motif. </w:t>
      </w:r>
      <w:r w:rsidR="00FB3F2E">
        <w:t xml:space="preserve">While </w:t>
      </w:r>
      <w:r>
        <w:t xml:space="preserve">removing the moiety provided insight to reveal differences in the forms of MHC class I accessible to tapasin and TAPBPR, </w:t>
      </w:r>
      <w:r w:rsidR="00FB3F2E">
        <w:t>there is</w:t>
      </w:r>
      <w:r w:rsidR="006F7D34">
        <w:t xml:space="preserve"> likely to be very little biological relevance given that the natural</w:t>
      </w:r>
      <w:r>
        <w:t xml:space="preserve"> conformations of MHC class I </w:t>
      </w:r>
      <w:r w:rsidR="006F7D34">
        <w:t xml:space="preserve">that interact with TAPBPR will ever be devoid of a glycan attachment. </w:t>
      </w:r>
      <w:r>
        <w:t xml:space="preserve"> </w:t>
      </w:r>
    </w:p>
    <w:p w14:paraId="5378BDB9" w14:textId="7F0561B0" w:rsidR="00D523F0" w:rsidRDefault="00D523F0"/>
    <w:p w14:paraId="173069DA" w14:textId="7D795613" w:rsidR="00D523F0" w:rsidRDefault="00D523F0">
      <w:r>
        <w:lastRenderedPageBreak/>
        <w:t xml:space="preserve">The letter to the editor does highlight </w:t>
      </w:r>
      <w:r w:rsidR="000346FB">
        <w:t xml:space="preserve">an </w:t>
      </w:r>
      <w:r>
        <w:t>important point</w:t>
      </w:r>
      <w:r w:rsidR="000346FB">
        <w:t>,</w:t>
      </w:r>
      <w:r>
        <w:t xml:space="preserve"> namely </w:t>
      </w:r>
      <w:r w:rsidR="000346FB">
        <w:t xml:space="preserve">that complex biological questions require a myriad of experimental techniques to address them fully. </w:t>
      </w:r>
      <w:r>
        <w:t>It is</w:t>
      </w:r>
      <w:r w:rsidR="000346FB">
        <w:t xml:space="preserve"> therefore</w:t>
      </w:r>
      <w:r>
        <w:t xml:space="preserve"> important to recognise the strengths, limitations and specific questions being addressed by different experimental approaches.</w:t>
      </w:r>
    </w:p>
    <w:p w14:paraId="32E81F46" w14:textId="24972BA3" w:rsidR="000346FB" w:rsidRDefault="001D1CD6">
      <w:r>
        <w:t>We</w:t>
      </w:r>
      <w:r w:rsidR="006F7D34">
        <w:t xml:space="preserve"> </w:t>
      </w:r>
      <w:r w:rsidR="00C77D24">
        <w:t>welcome</w:t>
      </w:r>
      <w:r w:rsidR="006F7D34">
        <w:t xml:space="preserve"> Cho &amp; Kang </w:t>
      </w:r>
      <w:r w:rsidR="00C77D24">
        <w:t xml:space="preserve">to </w:t>
      </w:r>
      <w:r w:rsidR="006F7D34">
        <w:t xml:space="preserve">test their two </w:t>
      </w:r>
      <w:r w:rsidR="00AF542C">
        <w:t>intere</w:t>
      </w:r>
      <w:bookmarkStart w:id="0" w:name="_GoBack"/>
      <w:bookmarkEnd w:id="0"/>
      <w:r w:rsidR="00AF542C">
        <w:t xml:space="preserve">sting </w:t>
      </w:r>
      <w:r w:rsidR="006F7D34">
        <w:t>predictions experimental</w:t>
      </w:r>
      <w:r w:rsidR="00FB3F2E">
        <w:t>ly</w:t>
      </w:r>
      <w:r>
        <w:t>, a</w:t>
      </w:r>
      <w:r>
        <w:t xml:space="preserve">s suggested in their letter, using appropriate techniques.  </w:t>
      </w:r>
    </w:p>
    <w:p w14:paraId="5E1AA1B0" w14:textId="3D367EC4" w:rsidR="000346FB" w:rsidRDefault="000346FB"/>
    <w:p w14:paraId="6EA9F7D9" w14:textId="77777777" w:rsidR="000346FB" w:rsidRDefault="000346FB"/>
    <w:sectPr w:rsidR="000346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7E3"/>
    <w:rsid w:val="000346FB"/>
    <w:rsid w:val="00043A7C"/>
    <w:rsid w:val="001047EF"/>
    <w:rsid w:val="001D032B"/>
    <w:rsid w:val="001D1CD6"/>
    <w:rsid w:val="001D45DF"/>
    <w:rsid w:val="00324303"/>
    <w:rsid w:val="005C3636"/>
    <w:rsid w:val="006227E3"/>
    <w:rsid w:val="006938A5"/>
    <w:rsid w:val="006D1E18"/>
    <w:rsid w:val="006F7D34"/>
    <w:rsid w:val="00797087"/>
    <w:rsid w:val="00A6040E"/>
    <w:rsid w:val="00AF542C"/>
    <w:rsid w:val="00C77D24"/>
    <w:rsid w:val="00D34B7C"/>
    <w:rsid w:val="00D523F0"/>
    <w:rsid w:val="00DB0529"/>
    <w:rsid w:val="00E61061"/>
    <w:rsid w:val="00EB44F7"/>
    <w:rsid w:val="00EF5207"/>
    <w:rsid w:val="00FB3F2E"/>
    <w:rsid w:val="00FD5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5C8242"/>
  <w15:chartTrackingRefBased/>
  <w15:docId w15:val="{11D82B4F-7A91-481C-8CAC-9545DF975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2</Pages>
  <Words>662</Words>
  <Characters>3777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lhb22</dc:creator>
  <cp:keywords/>
  <dc:description/>
  <cp:lastModifiedBy>lhb22</cp:lastModifiedBy>
  <cp:revision>5</cp:revision>
  <dcterms:created xsi:type="dcterms:W3CDTF">2019-05-01T20:27:00Z</dcterms:created>
  <dcterms:modified xsi:type="dcterms:W3CDTF">2019-05-01T23:49:00Z</dcterms:modified>
</cp:coreProperties>
</file>