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AFCC56" w14:textId="77777777" w:rsidR="006E1863" w:rsidRPr="00274EAE" w:rsidRDefault="006E1863" w:rsidP="006E1863">
      <w:pPr>
        <w:spacing w:after="0" w:line="360" w:lineRule="auto"/>
        <w:jc w:val="center"/>
        <w:rPr>
          <w:rFonts w:ascii="Arial" w:hAnsi="Arial" w:cs="Arial"/>
          <w:sz w:val="24"/>
          <w:szCs w:val="24"/>
        </w:rPr>
      </w:pPr>
      <w:r w:rsidRPr="00274EAE">
        <w:rPr>
          <w:rFonts w:ascii="Arial" w:hAnsi="Arial" w:cs="Arial"/>
          <w:sz w:val="24"/>
          <w:szCs w:val="24"/>
        </w:rPr>
        <w:t>- Original Research Article -</w:t>
      </w:r>
    </w:p>
    <w:p w14:paraId="673EB9CC" w14:textId="77777777" w:rsidR="006E1863" w:rsidRPr="00500384" w:rsidRDefault="006E1863" w:rsidP="006E1863">
      <w:pPr>
        <w:spacing w:after="0" w:line="360" w:lineRule="auto"/>
        <w:rPr>
          <w:rFonts w:ascii="Arial" w:hAnsi="Arial" w:cs="Arial"/>
          <w:b/>
          <w:sz w:val="28"/>
          <w:szCs w:val="24"/>
        </w:rPr>
      </w:pPr>
      <w:r w:rsidRPr="00500384">
        <w:rPr>
          <w:rFonts w:ascii="Arial" w:hAnsi="Arial" w:cs="Arial"/>
          <w:b/>
          <w:sz w:val="28"/>
          <w:szCs w:val="24"/>
        </w:rPr>
        <w:t xml:space="preserve">Effect of a calcium </w:t>
      </w:r>
      <w:proofErr w:type="spellStart"/>
      <w:r w:rsidRPr="00500384">
        <w:rPr>
          <w:rFonts w:ascii="Arial" w:hAnsi="Arial" w:cs="Arial"/>
          <w:b/>
          <w:sz w:val="28"/>
          <w:szCs w:val="24"/>
        </w:rPr>
        <w:t>deblooming</w:t>
      </w:r>
      <w:proofErr w:type="spellEnd"/>
      <w:r w:rsidRPr="00500384">
        <w:rPr>
          <w:rFonts w:ascii="Arial" w:hAnsi="Arial" w:cs="Arial"/>
          <w:b/>
          <w:sz w:val="28"/>
          <w:szCs w:val="24"/>
        </w:rPr>
        <w:t xml:space="preserve"> algorithm on accuracy of coronary computed tomography angiography.</w:t>
      </w:r>
    </w:p>
    <w:p w14:paraId="6C6AB24B" w14:textId="77777777" w:rsidR="006E1863" w:rsidRPr="00274EAE" w:rsidRDefault="006E1863" w:rsidP="006E1863">
      <w:pPr>
        <w:spacing w:after="0" w:line="360" w:lineRule="auto"/>
        <w:rPr>
          <w:rFonts w:ascii="Arial" w:hAnsi="Arial" w:cs="Arial"/>
          <w:sz w:val="24"/>
          <w:szCs w:val="24"/>
        </w:rPr>
      </w:pPr>
    </w:p>
    <w:p w14:paraId="5446CE0C" w14:textId="18D32C7E" w:rsidR="006E1863" w:rsidRPr="00274EAE" w:rsidRDefault="006E1863" w:rsidP="006E1863">
      <w:pPr>
        <w:spacing w:after="0" w:line="360" w:lineRule="auto"/>
        <w:rPr>
          <w:rFonts w:ascii="Arial" w:hAnsi="Arial" w:cs="Arial"/>
          <w:sz w:val="24"/>
          <w:szCs w:val="24"/>
        </w:rPr>
      </w:pPr>
      <w:r w:rsidRPr="00274EAE">
        <w:rPr>
          <w:rFonts w:ascii="Arial" w:hAnsi="Arial" w:cs="Arial"/>
          <w:sz w:val="24"/>
          <w:szCs w:val="24"/>
        </w:rPr>
        <w:t>Jonathan R Weir-McCall</w:t>
      </w:r>
      <w:r w:rsidRPr="00274EAE">
        <w:rPr>
          <w:rFonts w:ascii="Arial" w:hAnsi="Arial" w:cs="Arial"/>
          <w:sz w:val="24"/>
          <w:szCs w:val="24"/>
          <w:vertAlign w:val="superscript"/>
        </w:rPr>
        <w:t>1</w:t>
      </w:r>
      <w:r w:rsidRPr="00274EAE">
        <w:rPr>
          <w:rFonts w:ascii="Arial" w:hAnsi="Arial" w:cs="Arial"/>
          <w:sz w:val="24"/>
          <w:szCs w:val="24"/>
        </w:rPr>
        <w:t>, Rui Wang</w:t>
      </w:r>
      <w:r w:rsidRPr="00274EAE">
        <w:rPr>
          <w:rFonts w:ascii="Arial" w:hAnsi="Arial" w:cs="Arial"/>
          <w:sz w:val="24"/>
          <w:szCs w:val="24"/>
          <w:vertAlign w:val="superscript"/>
        </w:rPr>
        <w:t>2</w:t>
      </w:r>
      <w:r w:rsidRPr="00274EAE">
        <w:rPr>
          <w:rFonts w:ascii="Arial" w:hAnsi="Arial" w:cs="Arial"/>
          <w:sz w:val="24"/>
          <w:szCs w:val="24"/>
        </w:rPr>
        <w:t>, Jaydeep Halankar</w:t>
      </w:r>
      <w:r w:rsidRPr="00274EAE">
        <w:rPr>
          <w:rFonts w:ascii="Arial" w:hAnsi="Arial" w:cs="Arial"/>
          <w:sz w:val="24"/>
          <w:szCs w:val="24"/>
          <w:vertAlign w:val="superscript"/>
        </w:rPr>
        <w:t>3</w:t>
      </w:r>
      <w:r w:rsidRPr="00274EAE">
        <w:rPr>
          <w:rFonts w:ascii="Arial" w:hAnsi="Arial" w:cs="Arial"/>
          <w:sz w:val="24"/>
          <w:szCs w:val="24"/>
        </w:rPr>
        <w:t>, Jiang Hsieh</w:t>
      </w:r>
      <w:r w:rsidRPr="00274EAE">
        <w:rPr>
          <w:rFonts w:ascii="Arial" w:hAnsi="Arial" w:cs="Arial"/>
          <w:sz w:val="24"/>
          <w:szCs w:val="24"/>
          <w:vertAlign w:val="superscript"/>
        </w:rPr>
        <w:t>4</w:t>
      </w:r>
      <w:r w:rsidRPr="00274EAE">
        <w:rPr>
          <w:rFonts w:ascii="Arial" w:hAnsi="Arial" w:cs="Arial"/>
          <w:sz w:val="24"/>
          <w:szCs w:val="24"/>
        </w:rPr>
        <w:t xml:space="preserve">, Cameron </w:t>
      </w:r>
      <w:r w:rsidR="00BF606B">
        <w:rPr>
          <w:rFonts w:ascii="Arial" w:hAnsi="Arial" w:cs="Arial"/>
          <w:sz w:val="24"/>
          <w:szCs w:val="24"/>
        </w:rPr>
        <w:t xml:space="preserve">J </w:t>
      </w:r>
      <w:r w:rsidRPr="00274EAE">
        <w:rPr>
          <w:rFonts w:ascii="Arial" w:hAnsi="Arial" w:cs="Arial"/>
          <w:sz w:val="24"/>
          <w:szCs w:val="24"/>
        </w:rPr>
        <w:t>Hague</w:t>
      </w:r>
      <w:r w:rsidRPr="00274EAE">
        <w:rPr>
          <w:rFonts w:ascii="Arial" w:hAnsi="Arial" w:cs="Arial"/>
          <w:sz w:val="24"/>
          <w:szCs w:val="24"/>
          <w:vertAlign w:val="superscript"/>
        </w:rPr>
        <w:t>3</w:t>
      </w:r>
      <w:r w:rsidRPr="00274EAE">
        <w:rPr>
          <w:rFonts w:ascii="Arial" w:hAnsi="Arial" w:cs="Arial"/>
          <w:sz w:val="24"/>
          <w:szCs w:val="24"/>
        </w:rPr>
        <w:t>, S</w:t>
      </w:r>
      <w:r>
        <w:rPr>
          <w:rFonts w:ascii="Arial" w:hAnsi="Arial" w:cs="Arial"/>
          <w:sz w:val="24"/>
          <w:szCs w:val="24"/>
        </w:rPr>
        <w:t>a</w:t>
      </w:r>
      <w:r w:rsidRPr="00274EAE">
        <w:rPr>
          <w:rFonts w:ascii="Arial" w:hAnsi="Arial" w:cs="Arial"/>
          <w:sz w:val="24"/>
          <w:szCs w:val="24"/>
        </w:rPr>
        <w:t>muel Rosenblatt</w:t>
      </w:r>
      <w:r w:rsidRPr="00274EAE">
        <w:rPr>
          <w:rFonts w:ascii="Arial" w:hAnsi="Arial" w:cs="Arial"/>
          <w:sz w:val="24"/>
          <w:szCs w:val="24"/>
          <w:vertAlign w:val="superscript"/>
        </w:rPr>
        <w:t>3</w:t>
      </w:r>
      <w:r w:rsidRPr="00274EAE">
        <w:rPr>
          <w:rFonts w:ascii="Arial" w:hAnsi="Arial" w:cs="Arial"/>
          <w:sz w:val="24"/>
          <w:szCs w:val="24"/>
        </w:rPr>
        <w:t xml:space="preserve">, </w:t>
      </w:r>
      <w:proofErr w:type="spellStart"/>
      <w:r w:rsidRPr="00274EAE">
        <w:rPr>
          <w:rFonts w:ascii="Arial" w:hAnsi="Arial" w:cs="Arial"/>
          <w:sz w:val="24"/>
          <w:szCs w:val="24"/>
        </w:rPr>
        <w:t>Zhanming</w:t>
      </w:r>
      <w:proofErr w:type="spellEnd"/>
      <w:r w:rsidRPr="00274EAE">
        <w:rPr>
          <w:rFonts w:ascii="Arial" w:hAnsi="Arial" w:cs="Arial"/>
          <w:sz w:val="24"/>
          <w:szCs w:val="24"/>
        </w:rPr>
        <w:t xml:space="preserve"> Fan</w:t>
      </w:r>
      <w:r w:rsidRPr="00274EAE">
        <w:rPr>
          <w:rFonts w:ascii="Arial" w:hAnsi="Arial" w:cs="Arial"/>
          <w:sz w:val="24"/>
          <w:szCs w:val="24"/>
          <w:vertAlign w:val="superscript"/>
        </w:rPr>
        <w:t>2</w:t>
      </w:r>
      <w:r w:rsidRPr="00274EAE">
        <w:rPr>
          <w:rFonts w:ascii="Arial" w:hAnsi="Arial" w:cs="Arial"/>
          <w:sz w:val="24"/>
          <w:szCs w:val="24"/>
        </w:rPr>
        <w:t>,</w:t>
      </w:r>
      <w:r w:rsidR="00B17C73">
        <w:rPr>
          <w:rFonts w:ascii="Arial" w:hAnsi="Arial" w:cs="Arial"/>
          <w:sz w:val="24"/>
          <w:szCs w:val="24"/>
        </w:rPr>
        <w:t xml:space="preserve"> Stephanie Sellers</w:t>
      </w:r>
      <w:r w:rsidR="00B17C73" w:rsidRPr="00B17C73">
        <w:rPr>
          <w:rFonts w:ascii="Arial" w:hAnsi="Arial" w:cs="Arial"/>
          <w:sz w:val="24"/>
          <w:szCs w:val="24"/>
          <w:vertAlign w:val="superscript"/>
        </w:rPr>
        <w:t>3</w:t>
      </w:r>
      <w:r w:rsidR="00B17C73">
        <w:rPr>
          <w:rFonts w:ascii="Arial" w:hAnsi="Arial" w:cs="Arial"/>
          <w:sz w:val="24"/>
          <w:szCs w:val="24"/>
        </w:rPr>
        <w:t>,</w:t>
      </w:r>
      <w:r w:rsidRPr="00274EAE">
        <w:rPr>
          <w:rFonts w:ascii="Arial" w:hAnsi="Arial" w:cs="Arial"/>
          <w:sz w:val="24"/>
          <w:szCs w:val="24"/>
        </w:rPr>
        <w:t xml:space="preserve"> </w:t>
      </w:r>
      <w:r w:rsidR="00832670">
        <w:rPr>
          <w:rFonts w:ascii="Arial" w:hAnsi="Arial" w:cs="Arial"/>
          <w:sz w:val="24"/>
          <w:szCs w:val="24"/>
        </w:rPr>
        <w:t>Darra T Murphy</w:t>
      </w:r>
      <w:r w:rsidR="00832670" w:rsidRPr="00832670">
        <w:rPr>
          <w:rFonts w:ascii="Arial" w:hAnsi="Arial" w:cs="Arial"/>
          <w:sz w:val="24"/>
          <w:szCs w:val="24"/>
          <w:vertAlign w:val="superscript"/>
        </w:rPr>
        <w:t>3</w:t>
      </w:r>
      <w:r w:rsidR="00832670">
        <w:rPr>
          <w:rFonts w:ascii="Arial" w:hAnsi="Arial" w:cs="Arial"/>
          <w:sz w:val="24"/>
          <w:szCs w:val="24"/>
        </w:rPr>
        <w:t xml:space="preserve">, </w:t>
      </w:r>
      <w:r w:rsidR="004E2C27">
        <w:rPr>
          <w:rFonts w:ascii="Arial" w:hAnsi="Arial" w:cs="Arial"/>
          <w:sz w:val="24"/>
          <w:szCs w:val="24"/>
        </w:rPr>
        <w:t>Philipp Blanke</w:t>
      </w:r>
      <w:r w:rsidR="004E2C27" w:rsidRPr="004E2C27">
        <w:rPr>
          <w:rFonts w:ascii="Arial" w:hAnsi="Arial" w:cs="Arial"/>
          <w:sz w:val="24"/>
          <w:szCs w:val="24"/>
          <w:vertAlign w:val="superscript"/>
        </w:rPr>
        <w:t>3</w:t>
      </w:r>
      <w:r w:rsidR="004E2C27">
        <w:rPr>
          <w:rFonts w:ascii="Arial" w:hAnsi="Arial" w:cs="Arial"/>
          <w:sz w:val="24"/>
          <w:szCs w:val="24"/>
        </w:rPr>
        <w:t xml:space="preserve">, </w:t>
      </w:r>
      <w:r w:rsidRPr="00274EAE">
        <w:rPr>
          <w:rFonts w:ascii="Arial" w:hAnsi="Arial" w:cs="Arial"/>
          <w:sz w:val="24"/>
          <w:szCs w:val="24"/>
        </w:rPr>
        <w:t>Lei Xu</w:t>
      </w:r>
      <w:r w:rsidRPr="00274EAE">
        <w:rPr>
          <w:rFonts w:ascii="Arial" w:hAnsi="Arial" w:cs="Arial"/>
          <w:sz w:val="24"/>
          <w:szCs w:val="24"/>
          <w:vertAlign w:val="superscript"/>
        </w:rPr>
        <w:t>2</w:t>
      </w:r>
      <w:r w:rsidRPr="00274EAE">
        <w:rPr>
          <w:rFonts w:ascii="Arial" w:hAnsi="Arial" w:cs="Arial"/>
          <w:sz w:val="24"/>
          <w:szCs w:val="24"/>
        </w:rPr>
        <w:t>*, Jonathon A Leipsic</w:t>
      </w:r>
      <w:r w:rsidRPr="00274EAE">
        <w:rPr>
          <w:rFonts w:ascii="Arial" w:hAnsi="Arial" w:cs="Arial"/>
          <w:sz w:val="24"/>
          <w:szCs w:val="24"/>
          <w:vertAlign w:val="superscript"/>
        </w:rPr>
        <w:t>3</w:t>
      </w:r>
    </w:p>
    <w:p w14:paraId="3B5B844B" w14:textId="77777777" w:rsidR="006E1863" w:rsidRPr="00274EAE" w:rsidRDefault="006E1863" w:rsidP="006E1863">
      <w:pPr>
        <w:spacing w:after="0" w:line="360" w:lineRule="auto"/>
        <w:rPr>
          <w:rFonts w:ascii="Arial" w:hAnsi="Arial" w:cs="Arial"/>
        </w:rPr>
      </w:pPr>
    </w:p>
    <w:p w14:paraId="40EEF43B" w14:textId="77777777" w:rsidR="006E1863" w:rsidRPr="00274EAE" w:rsidRDefault="006E1863" w:rsidP="006E1863">
      <w:pPr>
        <w:spacing w:after="0" w:line="360" w:lineRule="auto"/>
        <w:rPr>
          <w:rFonts w:ascii="Arial" w:hAnsi="Arial" w:cs="Arial"/>
        </w:rPr>
      </w:pPr>
      <w:r w:rsidRPr="00274EAE">
        <w:rPr>
          <w:rFonts w:ascii="Arial" w:hAnsi="Arial" w:cs="Arial"/>
        </w:rPr>
        <w:t xml:space="preserve">    1.Department of Radiology, University of Cambridge, Cambridge</w:t>
      </w:r>
    </w:p>
    <w:p w14:paraId="2A1C641C" w14:textId="77777777" w:rsidR="006E1863" w:rsidRPr="00274EAE" w:rsidRDefault="006E1863" w:rsidP="006E1863">
      <w:pPr>
        <w:spacing w:after="0" w:line="360" w:lineRule="auto"/>
        <w:rPr>
          <w:rFonts w:ascii="Arial" w:hAnsi="Arial" w:cs="Arial"/>
        </w:rPr>
      </w:pPr>
      <w:r w:rsidRPr="00274EAE">
        <w:rPr>
          <w:rFonts w:ascii="Arial" w:hAnsi="Arial" w:cs="Arial"/>
        </w:rPr>
        <w:t xml:space="preserve">    2. Department of Radiology, Beijing </w:t>
      </w:r>
      <w:proofErr w:type="spellStart"/>
      <w:r w:rsidRPr="00274EAE">
        <w:rPr>
          <w:rFonts w:ascii="Arial" w:hAnsi="Arial" w:cs="Arial"/>
        </w:rPr>
        <w:t>Anzhen</w:t>
      </w:r>
      <w:proofErr w:type="spellEnd"/>
      <w:r w:rsidRPr="00274EAE">
        <w:rPr>
          <w:rFonts w:ascii="Arial" w:hAnsi="Arial" w:cs="Arial"/>
        </w:rPr>
        <w:t xml:space="preserve"> Hospital, Capital Medical University, Beijing</w:t>
      </w:r>
    </w:p>
    <w:p w14:paraId="1E39567F" w14:textId="77777777" w:rsidR="006E1863" w:rsidRPr="00274EAE" w:rsidRDefault="006E1863" w:rsidP="006E1863">
      <w:pPr>
        <w:spacing w:after="0" w:line="360" w:lineRule="auto"/>
        <w:rPr>
          <w:rFonts w:ascii="Arial" w:hAnsi="Arial" w:cs="Arial"/>
        </w:rPr>
      </w:pPr>
      <w:r w:rsidRPr="00274EAE">
        <w:rPr>
          <w:rFonts w:ascii="Arial" w:hAnsi="Arial" w:cs="Arial"/>
        </w:rPr>
        <w:t xml:space="preserve">    3. St </w:t>
      </w:r>
      <w:proofErr w:type="spellStart"/>
      <w:r w:rsidRPr="00274EAE">
        <w:rPr>
          <w:rFonts w:ascii="Arial" w:hAnsi="Arial" w:cs="Arial"/>
        </w:rPr>
        <w:t>Pauls</w:t>
      </w:r>
      <w:proofErr w:type="spellEnd"/>
      <w:r w:rsidRPr="00274EAE">
        <w:rPr>
          <w:rFonts w:ascii="Arial" w:hAnsi="Arial" w:cs="Arial"/>
        </w:rPr>
        <w:t xml:space="preserve"> Hospital, Vancouver</w:t>
      </w:r>
    </w:p>
    <w:p w14:paraId="18B81530" w14:textId="77777777" w:rsidR="006E1863" w:rsidRPr="00274EAE" w:rsidRDefault="006E1863" w:rsidP="006E1863">
      <w:pPr>
        <w:spacing w:after="0" w:line="360" w:lineRule="auto"/>
        <w:rPr>
          <w:rFonts w:ascii="Arial" w:hAnsi="Arial" w:cs="Arial"/>
          <w:sz w:val="24"/>
          <w:szCs w:val="24"/>
        </w:rPr>
      </w:pPr>
      <w:r w:rsidRPr="00274EAE">
        <w:rPr>
          <w:rFonts w:ascii="Arial" w:hAnsi="Arial" w:cs="Arial"/>
        </w:rPr>
        <w:t xml:space="preserve">    4. GE Healthcare Technologies, Waukesha, Wisconsin</w:t>
      </w:r>
    </w:p>
    <w:p w14:paraId="69119E1D" w14:textId="77777777" w:rsidR="006E1863" w:rsidRPr="00274EAE" w:rsidRDefault="006E1863" w:rsidP="006E1863">
      <w:pPr>
        <w:spacing w:after="0" w:line="360" w:lineRule="auto"/>
        <w:rPr>
          <w:rFonts w:ascii="Arial" w:hAnsi="Arial" w:cs="Arial"/>
          <w:sz w:val="24"/>
          <w:szCs w:val="24"/>
        </w:rPr>
      </w:pPr>
    </w:p>
    <w:p w14:paraId="63EBA9E8" w14:textId="77777777" w:rsidR="006E1863" w:rsidRPr="00274EAE" w:rsidRDefault="006E1863" w:rsidP="006E1863">
      <w:pPr>
        <w:spacing w:after="0" w:line="360" w:lineRule="auto"/>
        <w:rPr>
          <w:rFonts w:ascii="Arial" w:hAnsi="Arial" w:cs="Arial"/>
          <w:sz w:val="24"/>
          <w:szCs w:val="24"/>
        </w:rPr>
      </w:pPr>
      <w:r w:rsidRPr="00274EAE">
        <w:rPr>
          <w:rFonts w:ascii="Arial" w:hAnsi="Arial" w:cs="Arial"/>
          <w:sz w:val="24"/>
          <w:szCs w:val="24"/>
        </w:rPr>
        <w:t xml:space="preserve">Short title: Effect of calcium </w:t>
      </w:r>
      <w:proofErr w:type="spellStart"/>
      <w:r w:rsidRPr="00274EAE">
        <w:rPr>
          <w:rFonts w:ascii="Arial" w:hAnsi="Arial" w:cs="Arial"/>
          <w:sz w:val="24"/>
          <w:szCs w:val="24"/>
        </w:rPr>
        <w:t>deblooming</w:t>
      </w:r>
      <w:proofErr w:type="spellEnd"/>
      <w:r w:rsidRPr="00274EAE">
        <w:rPr>
          <w:rFonts w:ascii="Arial" w:hAnsi="Arial" w:cs="Arial"/>
          <w:sz w:val="24"/>
          <w:szCs w:val="24"/>
        </w:rPr>
        <w:t xml:space="preserve"> on CTA accuracy</w:t>
      </w:r>
    </w:p>
    <w:p w14:paraId="62E20E48" w14:textId="77777777" w:rsidR="006E1863" w:rsidRPr="00274EAE" w:rsidRDefault="006E1863" w:rsidP="006E1863">
      <w:pPr>
        <w:spacing w:after="0" w:line="360" w:lineRule="auto"/>
        <w:rPr>
          <w:rFonts w:ascii="Arial" w:hAnsi="Arial" w:cs="Arial"/>
          <w:sz w:val="24"/>
          <w:szCs w:val="24"/>
        </w:rPr>
      </w:pPr>
    </w:p>
    <w:p w14:paraId="154ADAAB" w14:textId="77777777" w:rsidR="006E1863" w:rsidRPr="00274EAE" w:rsidRDefault="006E1863" w:rsidP="006E1863">
      <w:pPr>
        <w:widowControl w:val="0"/>
        <w:autoSpaceDE w:val="0"/>
        <w:autoSpaceDN w:val="0"/>
        <w:adjustRightInd w:val="0"/>
        <w:spacing w:after="0" w:line="360" w:lineRule="auto"/>
        <w:rPr>
          <w:rFonts w:ascii="Arial" w:eastAsia="Arial Unicode MS" w:hAnsi="Arial" w:cs="Arial"/>
          <w:sz w:val="24"/>
          <w:szCs w:val="24"/>
        </w:rPr>
      </w:pPr>
      <w:r w:rsidRPr="00274EAE">
        <w:rPr>
          <w:rFonts w:ascii="Arial" w:eastAsia="Arial Unicode MS" w:hAnsi="Arial" w:cs="Arial"/>
          <w:b/>
          <w:sz w:val="24"/>
          <w:szCs w:val="24"/>
        </w:rPr>
        <w:t xml:space="preserve">Funding: </w:t>
      </w:r>
      <w:r w:rsidRPr="00274EAE">
        <w:rPr>
          <w:rFonts w:ascii="Arial" w:eastAsia="Arial Unicode MS" w:hAnsi="Arial" w:cs="Arial"/>
          <w:sz w:val="24"/>
          <w:szCs w:val="24"/>
        </w:rPr>
        <w:t>This study was supported by grant from National Key R&amp;D Program of China (2016YFC1300300) and grant from</w:t>
      </w:r>
      <w:r w:rsidRPr="00274EAE">
        <w:rPr>
          <w:rFonts w:ascii="Arial" w:eastAsia="Arial Unicode MS" w:hAnsi="Arial" w:cs="Arial"/>
          <w:sz w:val="24"/>
          <w:szCs w:val="24"/>
          <w:lang w:eastAsia="zh-CN"/>
        </w:rPr>
        <w:t xml:space="preserve"> </w:t>
      </w:r>
      <w:r w:rsidRPr="00274EAE">
        <w:rPr>
          <w:rFonts w:ascii="Arial" w:eastAsia="Arial Unicode MS" w:hAnsi="Arial" w:cs="Arial"/>
          <w:sz w:val="24"/>
          <w:szCs w:val="24"/>
        </w:rPr>
        <w:t>Natural Science Foundation of China (81641069).</w:t>
      </w:r>
    </w:p>
    <w:p w14:paraId="73B384EB" w14:textId="77777777" w:rsidR="006E1863" w:rsidRPr="00274EAE" w:rsidRDefault="006E1863" w:rsidP="006E1863">
      <w:pPr>
        <w:adjustRightInd w:val="0"/>
        <w:spacing w:after="0" w:line="360" w:lineRule="auto"/>
        <w:rPr>
          <w:rFonts w:ascii="Arial" w:hAnsi="Arial" w:cs="Arial"/>
          <w:sz w:val="24"/>
          <w:szCs w:val="24"/>
        </w:rPr>
      </w:pPr>
    </w:p>
    <w:p w14:paraId="48FF316B" w14:textId="77777777" w:rsidR="006E1863" w:rsidRPr="00274EAE" w:rsidRDefault="006E1863" w:rsidP="006E1863">
      <w:pPr>
        <w:adjustRightInd w:val="0"/>
        <w:spacing w:after="0" w:line="360" w:lineRule="auto"/>
        <w:rPr>
          <w:rFonts w:ascii="Arial" w:hAnsi="Arial" w:cs="Arial"/>
          <w:sz w:val="24"/>
          <w:szCs w:val="24"/>
        </w:rPr>
      </w:pPr>
      <w:r w:rsidRPr="00274EAE">
        <w:rPr>
          <w:rFonts w:ascii="Arial" w:hAnsi="Arial" w:cs="Arial"/>
          <w:b/>
          <w:sz w:val="24"/>
          <w:szCs w:val="24"/>
        </w:rPr>
        <w:t xml:space="preserve">Disclosures: </w:t>
      </w:r>
      <w:r w:rsidRPr="00274EAE">
        <w:rPr>
          <w:rFonts w:ascii="Arial" w:hAnsi="Arial" w:cs="Arial"/>
          <w:sz w:val="24"/>
          <w:szCs w:val="24"/>
        </w:rPr>
        <w:t xml:space="preserve">Dr. Leipsic serves as a consultant and has stock options in </w:t>
      </w:r>
      <w:proofErr w:type="spellStart"/>
      <w:r w:rsidRPr="00274EAE">
        <w:rPr>
          <w:rFonts w:ascii="Arial" w:hAnsi="Arial" w:cs="Arial"/>
          <w:sz w:val="24"/>
          <w:szCs w:val="24"/>
        </w:rPr>
        <w:t>HeartFlow</w:t>
      </w:r>
      <w:proofErr w:type="spellEnd"/>
      <w:r w:rsidRPr="00274EAE">
        <w:rPr>
          <w:rFonts w:ascii="Arial" w:hAnsi="Arial" w:cs="Arial"/>
          <w:sz w:val="24"/>
          <w:szCs w:val="24"/>
        </w:rPr>
        <w:t xml:space="preserve"> and Circle Cardiovascular Imaging, and receives speaking fees from GE Healthcare. All other authors have no conflicts of interest to disclose.</w:t>
      </w:r>
    </w:p>
    <w:p w14:paraId="0117AE11" w14:textId="77777777" w:rsidR="006E1863" w:rsidRPr="00274EAE" w:rsidRDefault="006E1863" w:rsidP="006E1863">
      <w:pPr>
        <w:spacing w:after="0" w:line="360" w:lineRule="auto"/>
        <w:rPr>
          <w:rFonts w:ascii="Arial" w:hAnsi="Arial" w:cs="Arial"/>
          <w:sz w:val="24"/>
          <w:szCs w:val="24"/>
        </w:rPr>
      </w:pPr>
    </w:p>
    <w:p w14:paraId="047D6DA3" w14:textId="77777777" w:rsidR="006E1863" w:rsidRPr="00274EAE" w:rsidRDefault="006E1863" w:rsidP="006E1863">
      <w:pPr>
        <w:spacing w:after="0" w:line="360" w:lineRule="auto"/>
        <w:rPr>
          <w:rFonts w:ascii="Arial" w:hAnsi="Arial" w:cs="Arial"/>
          <w:sz w:val="24"/>
          <w:szCs w:val="24"/>
        </w:rPr>
      </w:pPr>
      <w:r w:rsidRPr="00274EAE">
        <w:rPr>
          <w:rFonts w:ascii="Arial" w:hAnsi="Arial" w:cs="Arial"/>
          <w:b/>
          <w:sz w:val="24"/>
          <w:szCs w:val="24"/>
        </w:rPr>
        <w:t>Word Count:</w:t>
      </w:r>
      <w:r w:rsidRPr="00274EAE">
        <w:rPr>
          <w:rFonts w:ascii="Arial" w:hAnsi="Arial" w:cs="Arial"/>
          <w:sz w:val="24"/>
          <w:szCs w:val="24"/>
        </w:rPr>
        <w:t xml:space="preserve"> </w:t>
      </w:r>
      <w:r>
        <w:rPr>
          <w:rFonts w:ascii="Arial" w:hAnsi="Arial" w:cs="Arial"/>
          <w:sz w:val="24"/>
          <w:szCs w:val="24"/>
        </w:rPr>
        <w:t>2347</w:t>
      </w:r>
    </w:p>
    <w:p w14:paraId="5AE3C72D" w14:textId="77777777" w:rsidR="006E1863" w:rsidRPr="00274EAE" w:rsidRDefault="006E1863" w:rsidP="006E1863">
      <w:pPr>
        <w:spacing w:after="0" w:line="360" w:lineRule="auto"/>
        <w:rPr>
          <w:rFonts w:ascii="Arial" w:hAnsi="Arial" w:cs="Arial"/>
          <w:b/>
          <w:sz w:val="24"/>
          <w:szCs w:val="24"/>
        </w:rPr>
      </w:pPr>
    </w:p>
    <w:p w14:paraId="6F5D0130" w14:textId="77777777" w:rsidR="006E1863" w:rsidRPr="00274EAE" w:rsidRDefault="006E1863" w:rsidP="006E1863">
      <w:pPr>
        <w:spacing w:after="0" w:line="360" w:lineRule="auto"/>
        <w:rPr>
          <w:rFonts w:ascii="Arial" w:hAnsi="Arial" w:cs="Arial"/>
          <w:b/>
          <w:sz w:val="24"/>
          <w:szCs w:val="24"/>
        </w:rPr>
      </w:pPr>
      <w:r w:rsidRPr="00274EAE">
        <w:rPr>
          <w:rFonts w:ascii="Arial" w:hAnsi="Arial" w:cs="Arial"/>
          <w:b/>
          <w:sz w:val="24"/>
          <w:szCs w:val="24"/>
        </w:rPr>
        <w:t xml:space="preserve">Corresponding Author*: </w:t>
      </w:r>
    </w:p>
    <w:p w14:paraId="5E038858" w14:textId="77777777" w:rsidR="006E1863" w:rsidRPr="00274EAE" w:rsidRDefault="006E1863" w:rsidP="006E1863">
      <w:pPr>
        <w:spacing w:after="0" w:line="360" w:lineRule="auto"/>
        <w:rPr>
          <w:rFonts w:ascii="Arial" w:hAnsi="Arial" w:cs="Arial"/>
          <w:sz w:val="24"/>
          <w:szCs w:val="24"/>
          <w:lang w:eastAsia="zh-CN"/>
        </w:rPr>
      </w:pPr>
      <w:r w:rsidRPr="00274EAE">
        <w:rPr>
          <w:rFonts w:ascii="Arial" w:hAnsi="Arial" w:cs="Arial"/>
          <w:sz w:val="24"/>
          <w:szCs w:val="24"/>
          <w:lang w:eastAsia="zh-CN"/>
        </w:rPr>
        <w:t xml:space="preserve">Lei Xu, </w:t>
      </w:r>
      <w:proofErr w:type="gramStart"/>
      <w:r w:rsidRPr="00274EAE">
        <w:rPr>
          <w:rFonts w:ascii="Arial" w:hAnsi="Arial" w:cs="Arial"/>
          <w:sz w:val="24"/>
          <w:szCs w:val="24"/>
          <w:lang w:eastAsia="zh-CN"/>
        </w:rPr>
        <w:t>M.D.,PH</w:t>
      </w:r>
      <w:proofErr w:type="gramEnd"/>
      <w:r w:rsidRPr="00274EAE">
        <w:rPr>
          <w:rFonts w:ascii="Arial" w:hAnsi="Arial" w:cs="Arial"/>
          <w:sz w:val="24"/>
          <w:szCs w:val="24"/>
          <w:lang w:eastAsia="zh-CN"/>
        </w:rPr>
        <w:t>.D</w:t>
      </w:r>
    </w:p>
    <w:p w14:paraId="48928630" w14:textId="77777777" w:rsidR="006E1863" w:rsidRPr="00274EAE" w:rsidRDefault="006E1863" w:rsidP="006E1863">
      <w:pPr>
        <w:spacing w:after="0" w:line="360" w:lineRule="auto"/>
        <w:rPr>
          <w:rFonts w:ascii="Arial" w:hAnsi="Arial" w:cs="Arial"/>
          <w:sz w:val="24"/>
          <w:szCs w:val="24"/>
          <w:lang w:eastAsia="zh-CN"/>
        </w:rPr>
      </w:pPr>
      <w:r w:rsidRPr="00274EAE">
        <w:rPr>
          <w:rFonts w:ascii="Arial" w:hAnsi="Arial" w:cs="Arial"/>
          <w:sz w:val="24"/>
          <w:szCs w:val="24"/>
          <w:lang w:eastAsia="zh-CN"/>
        </w:rPr>
        <w:t xml:space="preserve">Department of Radiology, Beijing </w:t>
      </w:r>
      <w:proofErr w:type="spellStart"/>
      <w:r w:rsidRPr="00274EAE">
        <w:rPr>
          <w:rFonts w:ascii="Arial" w:hAnsi="Arial" w:cs="Arial"/>
          <w:sz w:val="24"/>
          <w:szCs w:val="24"/>
          <w:lang w:eastAsia="zh-CN"/>
        </w:rPr>
        <w:t>Anzhen</w:t>
      </w:r>
      <w:proofErr w:type="spellEnd"/>
      <w:r w:rsidRPr="00274EAE">
        <w:rPr>
          <w:rFonts w:ascii="Arial" w:hAnsi="Arial" w:cs="Arial"/>
          <w:sz w:val="24"/>
          <w:szCs w:val="24"/>
          <w:lang w:eastAsia="zh-CN"/>
        </w:rPr>
        <w:t xml:space="preserve"> Hospital, Capital Medical University.</w:t>
      </w:r>
    </w:p>
    <w:p w14:paraId="3832C0B2" w14:textId="77777777" w:rsidR="006E1863" w:rsidRPr="00274EAE" w:rsidRDefault="006E1863" w:rsidP="006E1863">
      <w:pPr>
        <w:spacing w:after="0" w:line="360" w:lineRule="auto"/>
        <w:rPr>
          <w:rFonts w:ascii="Arial" w:hAnsi="Arial" w:cs="Arial"/>
          <w:sz w:val="24"/>
          <w:szCs w:val="24"/>
          <w:lang w:eastAsia="zh-CN"/>
        </w:rPr>
      </w:pPr>
      <w:r w:rsidRPr="00274EAE">
        <w:rPr>
          <w:rFonts w:ascii="Arial" w:hAnsi="Arial" w:cs="Arial"/>
          <w:sz w:val="24"/>
          <w:szCs w:val="24"/>
          <w:lang w:eastAsia="zh-CN"/>
        </w:rPr>
        <w:t xml:space="preserve">No 2, </w:t>
      </w:r>
      <w:proofErr w:type="spellStart"/>
      <w:r w:rsidRPr="00274EAE">
        <w:rPr>
          <w:rFonts w:ascii="Arial" w:hAnsi="Arial" w:cs="Arial"/>
          <w:sz w:val="24"/>
          <w:szCs w:val="24"/>
          <w:lang w:eastAsia="zh-CN"/>
        </w:rPr>
        <w:t>Anzhen</w:t>
      </w:r>
      <w:proofErr w:type="spellEnd"/>
      <w:r w:rsidRPr="00274EAE">
        <w:rPr>
          <w:rFonts w:ascii="Arial" w:hAnsi="Arial" w:cs="Arial"/>
          <w:sz w:val="24"/>
          <w:szCs w:val="24"/>
          <w:lang w:eastAsia="zh-CN"/>
        </w:rPr>
        <w:t xml:space="preserve"> Road, Chaoyang District, Beijing 100029, China</w:t>
      </w:r>
    </w:p>
    <w:p w14:paraId="0E173DAA" w14:textId="77777777" w:rsidR="006E1863" w:rsidRPr="00274EAE" w:rsidRDefault="006E1863" w:rsidP="006E1863">
      <w:pPr>
        <w:spacing w:after="0" w:line="360" w:lineRule="auto"/>
        <w:rPr>
          <w:rFonts w:ascii="Arial" w:hAnsi="Arial" w:cs="Arial"/>
          <w:sz w:val="24"/>
          <w:szCs w:val="24"/>
          <w:lang w:eastAsia="zh-CN"/>
        </w:rPr>
      </w:pPr>
      <w:r w:rsidRPr="00274EAE">
        <w:rPr>
          <w:rFonts w:ascii="Arial" w:hAnsi="Arial" w:cs="Arial"/>
          <w:sz w:val="24"/>
          <w:szCs w:val="24"/>
          <w:lang w:eastAsia="zh-CN"/>
        </w:rPr>
        <w:t xml:space="preserve">Email: </w:t>
      </w:r>
      <w:hyperlink r:id="rId7" w:history="1">
        <w:r w:rsidRPr="00274EAE">
          <w:rPr>
            <w:rStyle w:val="Hyperlink"/>
            <w:rFonts w:ascii="Arial" w:hAnsi="Arial" w:cs="Arial"/>
            <w:sz w:val="24"/>
            <w:szCs w:val="24"/>
            <w:lang w:eastAsia="zh-CN"/>
          </w:rPr>
          <w:t>leixu2001@hotmail.com</w:t>
        </w:r>
      </w:hyperlink>
    </w:p>
    <w:p w14:paraId="2CA563CC" w14:textId="77777777" w:rsidR="006E1863" w:rsidRPr="00274EAE" w:rsidRDefault="006E1863" w:rsidP="006E1863">
      <w:pPr>
        <w:spacing w:after="0" w:line="360" w:lineRule="auto"/>
        <w:rPr>
          <w:rFonts w:ascii="Arial" w:hAnsi="Arial" w:cs="Arial"/>
          <w:b/>
          <w:sz w:val="24"/>
          <w:szCs w:val="24"/>
        </w:rPr>
      </w:pPr>
      <w:r w:rsidRPr="00274EAE">
        <w:rPr>
          <w:rFonts w:ascii="Arial" w:hAnsi="Arial" w:cs="Arial"/>
          <w:sz w:val="24"/>
          <w:szCs w:val="24"/>
          <w:lang w:eastAsia="zh-CN"/>
        </w:rPr>
        <w:t>Tel:</w:t>
      </w:r>
      <w:r>
        <w:rPr>
          <w:rFonts w:ascii="Arial" w:hAnsi="Arial" w:cs="Arial"/>
          <w:sz w:val="24"/>
          <w:szCs w:val="24"/>
          <w:lang w:eastAsia="zh-CN"/>
        </w:rPr>
        <w:t xml:space="preserve"> </w:t>
      </w:r>
      <w:r w:rsidRPr="00274EAE">
        <w:rPr>
          <w:rFonts w:ascii="Arial" w:hAnsi="Arial" w:cs="Arial"/>
          <w:sz w:val="24"/>
          <w:szCs w:val="24"/>
          <w:lang w:eastAsia="zh-CN"/>
        </w:rPr>
        <w:t>86-10-64456071</w:t>
      </w:r>
    </w:p>
    <w:p w14:paraId="54B877BC" w14:textId="32DDDE8E" w:rsidR="00E47873" w:rsidRDefault="00E47873" w:rsidP="00E47873">
      <w:pPr>
        <w:spacing w:after="0" w:line="360" w:lineRule="auto"/>
        <w:rPr>
          <w:rFonts w:ascii="Arial" w:hAnsi="Arial" w:cs="Arial"/>
          <w:sz w:val="24"/>
          <w:szCs w:val="24"/>
        </w:rPr>
      </w:pPr>
    </w:p>
    <w:p w14:paraId="2C6476D9" w14:textId="77777777" w:rsidR="00E47873" w:rsidRDefault="00E47873" w:rsidP="00E47873">
      <w:pPr>
        <w:spacing w:after="0" w:line="360" w:lineRule="auto"/>
        <w:rPr>
          <w:rFonts w:ascii="Arial" w:hAnsi="Arial" w:cs="Arial"/>
          <w:sz w:val="24"/>
          <w:szCs w:val="24"/>
        </w:rPr>
      </w:pPr>
    </w:p>
    <w:p w14:paraId="586BDA96" w14:textId="1D87564C" w:rsidR="00E47873" w:rsidRPr="00E47873" w:rsidRDefault="00716311" w:rsidP="00E47873">
      <w:pPr>
        <w:spacing w:after="0" w:line="360" w:lineRule="auto"/>
        <w:rPr>
          <w:rFonts w:ascii="Arial" w:hAnsi="Arial" w:cs="Arial"/>
          <w:b/>
          <w:sz w:val="24"/>
          <w:szCs w:val="24"/>
        </w:rPr>
      </w:pPr>
      <w:r>
        <w:rPr>
          <w:rFonts w:ascii="Arial" w:hAnsi="Arial" w:cs="Arial"/>
          <w:b/>
          <w:sz w:val="24"/>
          <w:szCs w:val="24"/>
        </w:rPr>
        <w:t xml:space="preserve">TOC </w:t>
      </w:r>
      <w:r w:rsidR="00E47873" w:rsidRPr="00E47873">
        <w:rPr>
          <w:rFonts w:ascii="Arial" w:hAnsi="Arial" w:cs="Arial"/>
          <w:b/>
          <w:sz w:val="24"/>
          <w:szCs w:val="24"/>
        </w:rPr>
        <w:t xml:space="preserve">Summary: </w:t>
      </w:r>
      <w:r w:rsidR="00E47873" w:rsidRPr="00716311">
        <w:rPr>
          <w:rFonts w:ascii="Arial" w:hAnsi="Arial" w:cs="Arial"/>
          <w:sz w:val="24"/>
          <w:szCs w:val="24"/>
        </w:rPr>
        <w:t xml:space="preserve">Coronary calcification </w:t>
      </w:r>
      <w:proofErr w:type="spellStart"/>
      <w:r w:rsidR="00E47873" w:rsidRPr="00716311">
        <w:rPr>
          <w:rFonts w:ascii="Arial" w:hAnsi="Arial" w:cs="Arial"/>
          <w:sz w:val="24"/>
          <w:szCs w:val="24"/>
        </w:rPr>
        <w:t>deblooming</w:t>
      </w:r>
      <w:proofErr w:type="spellEnd"/>
      <w:r w:rsidR="00E47873" w:rsidRPr="00716311">
        <w:rPr>
          <w:rFonts w:ascii="Arial" w:hAnsi="Arial" w:cs="Arial"/>
          <w:sz w:val="24"/>
          <w:szCs w:val="24"/>
        </w:rPr>
        <w:t xml:space="preserve"> using a prototype post-processing algorithm is feasible and significantly reduces calcium blooming with an improvement of the specificity of the CTA exam.</w:t>
      </w:r>
      <w:r w:rsidR="00E47873" w:rsidRPr="00E47873">
        <w:rPr>
          <w:rFonts w:ascii="Arial" w:hAnsi="Arial" w:cs="Arial"/>
          <w:b/>
          <w:sz w:val="24"/>
          <w:szCs w:val="24"/>
        </w:rPr>
        <w:t xml:space="preserve">  </w:t>
      </w:r>
    </w:p>
    <w:p w14:paraId="7938274A" w14:textId="77777777" w:rsidR="00E47873" w:rsidRDefault="00E47873" w:rsidP="00E47873">
      <w:pPr>
        <w:spacing w:after="0" w:line="360" w:lineRule="auto"/>
        <w:rPr>
          <w:rFonts w:ascii="Arial" w:hAnsi="Arial" w:cs="Arial"/>
          <w:sz w:val="24"/>
          <w:szCs w:val="24"/>
        </w:rPr>
      </w:pPr>
    </w:p>
    <w:p w14:paraId="3ED48183" w14:textId="77777777" w:rsidR="00E47873" w:rsidRDefault="00E47873" w:rsidP="00252392">
      <w:pPr>
        <w:spacing w:line="360" w:lineRule="auto"/>
        <w:rPr>
          <w:rFonts w:ascii="Arial" w:hAnsi="Arial" w:cs="Arial"/>
          <w:sz w:val="24"/>
          <w:szCs w:val="24"/>
        </w:rPr>
      </w:pPr>
    </w:p>
    <w:p w14:paraId="228FB820" w14:textId="77777777" w:rsidR="00E47873" w:rsidRPr="00274EAE" w:rsidRDefault="00E47873" w:rsidP="00252392">
      <w:pPr>
        <w:spacing w:line="360" w:lineRule="auto"/>
        <w:rPr>
          <w:rFonts w:ascii="Arial" w:hAnsi="Arial" w:cs="Arial"/>
          <w:b/>
          <w:sz w:val="24"/>
          <w:szCs w:val="24"/>
        </w:rPr>
      </w:pPr>
    </w:p>
    <w:p w14:paraId="10F3368A" w14:textId="77777777" w:rsidR="005D2DDD" w:rsidRPr="00274EAE" w:rsidRDefault="005D2DDD" w:rsidP="00252392">
      <w:pPr>
        <w:spacing w:line="360" w:lineRule="auto"/>
        <w:rPr>
          <w:rFonts w:ascii="Arial" w:hAnsi="Arial" w:cs="Arial"/>
          <w:b/>
          <w:sz w:val="24"/>
          <w:szCs w:val="24"/>
        </w:rPr>
      </w:pPr>
      <w:r w:rsidRPr="00274EAE">
        <w:rPr>
          <w:rFonts w:ascii="Arial" w:hAnsi="Arial" w:cs="Arial"/>
          <w:b/>
          <w:sz w:val="24"/>
          <w:szCs w:val="24"/>
        </w:rPr>
        <w:br w:type="page"/>
      </w:r>
    </w:p>
    <w:p w14:paraId="6EA13A53" w14:textId="45BA2390" w:rsidR="005D2DDD" w:rsidRPr="00274EAE" w:rsidRDefault="005D2DDD" w:rsidP="00252392">
      <w:pPr>
        <w:spacing w:after="0" w:line="360" w:lineRule="auto"/>
        <w:rPr>
          <w:rFonts w:ascii="Arial" w:hAnsi="Arial" w:cs="Arial"/>
          <w:b/>
          <w:sz w:val="24"/>
          <w:szCs w:val="24"/>
        </w:rPr>
      </w:pPr>
      <w:r w:rsidRPr="00274EAE">
        <w:rPr>
          <w:rFonts w:ascii="Arial" w:hAnsi="Arial" w:cs="Arial"/>
          <w:b/>
          <w:sz w:val="24"/>
          <w:szCs w:val="24"/>
        </w:rPr>
        <w:lastRenderedPageBreak/>
        <w:t>Abstract</w:t>
      </w:r>
    </w:p>
    <w:p w14:paraId="3A476E46" w14:textId="505F295A" w:rsidR="005D2DDD" w:rsidRPr="00274EAE" w:rsidRDefault="004A073E" w:rsidP="00252392">
      <w:pPr>
        <w:spacing w:after="0" w:line="360" w:lineRule="auto"/>
        <w:rPr>
          <w:rFonts w:ascii="Arial" w:hAnsi="Arial" w:cs="Arial"/>
          <w:sz w:val="24"/>
          <w:szCs w:val="24"/>
        </w:rPr>
      </w:pPr>
      <w:r>
        <w:rPr>
          <w:rFonts w:ascii="Arial" w:hAnsi="Arial" w:cs="Arial"/>
          <w:b/>
          <w:sz w:val="24"/>
          <w:szCs w:val="24"/>
        </w:rPr>
        <w:t>Background</w:t>
      </w:r>
      <w:r w:rsidR="005D2DDD" w:rsidRPr="00274EAE">
        <w:rPr>
          <w:rFonts w:ascii="Arial" w:hAnsi="Arial" w:cs="Arial"/>
          <w:b/>
          <w:sz w:val="24"/>
          <w:szCs w:val="24"/>
        </w:rPr>
        <w:t>:</w:t>
      </w:r>
      <w:r w:rsidR="005D2DDD" w:rsidRPr="00274EAE">
        <w:rPr>
          <w:rFonts w:ascii="Arial" w:hAnsi="Arial" w:cs="Arial"/>
          <w:sz w:val="24"/>
          <w:szCs w:val="24"/>
        </w:rPr>
        <w:t xml:space="preserve"> </w:t>
      </w:r>
      <w:r w:rsidR="00F80E7D" w:rsidRPr="00274EAE">
        <w:rPr>
          <w:rFonts w:ascii="Arial" w:hAnsi="Arial" w:cs="Arial"/>
          <w:sz w:val="24"/>
          <w:szCs w:val="24"/>
        </w:rPr>
        <w:t>Coronary artery calcification is a significant contributor to reduced accuracy of coronary computed tomographic angiography (CTA) in the assessment of coronary artery disease severity.  The aim of the current study is to assess the impact of a</w:t>
      </w:r>
      <w:r w:rsidR="007A4099" w:rsidRPr="00274EAE">
        <w:rPr>
          <w:rFonts w:ascii="Arial" w:hAnsi="Arial" w:cs="Arial"/>
          <w:sz w:val="24"/>
          <w:szCs w:val="24"/>
        </w:rPr>
        <w:t xml:space="preserve"> prototype</w:t>
      </w:r>
      <w:r w:rsidR="00F80E7D" w:rsidRPr="00274EAE">
        <w:rPr>
          <w:rFonts w:ascii="Arial" w:hAnsi="Arial" w:cs="Arial"/>
          <w:sz w:val="24"/>
          <w:szCs w:val="24"/>
        </w:rPr>
        <w:t xml:space="preserve"> calcium </w:t>
      </w:r>
      <w:proofErr w:type="spellStart"/>
      <w:r w:rsidR="00F80E7D" w:rsidRPr="00274EAE">
        <w:rPr>
          <w:rFonts w:ascii="Arial" w:hAnsi="Arial" w:cs="Arial"/>
          <w:sz w:val="24"/>
          <w:szCs w:val="24"/>
        </w:rPr>
        <w:t>deblooming</w:t>
      </w:r>
      <w:proofErr w:type="spellEnd"/>
      <w:r w:rsidR="00F80E7D" w:rsidRPr="00274EAE">
        <w:rPr>
          <w:rFonts w:ascii="Arial" w:hAnsi="Arial" w:cs="Arial"/>
          <w:sz w:val="24"/>
          <w:szCs w:val="24"/>
        </w:rPr>
        <w:t xml:space="preserve"> algorithm on the diagnostic accuracy of CTA.</w:t>
      </w:r>
    </w:p>
    <w:p w14:paraId="11D8D23D" w14:textId="0F9DD735" w:rsidR="00ED0C94" w:rsidRPr="00274EAE" w:rsidRDefault="005D2DDD" w:rsidP="00252392">
      <w:pPr>
        <w:spacing w:after="0" w:line="360" w:lineRule="auto"/>
        <w:rPr>
          <w:rFonts w:ascii="Arial" w:hAnsi="Arial" w:cs="Arial"/>
          <w:sz w:val="24"/>
          <w:szCs w:val="24"/>
        </w:rPr>
      </w:pPr>
      <w:r w:rsidRPr="00274EAE">
        <w:rPr>
          <w:rFonts w:ascii="Arial" w:hAnsi="Arial" w:cs="Arial"/>
          <w:b/>
          <w:sz w:val="24"/>
          <w:szCs w:val="24"/>
        </w:rPr>
        <w:t>Methods:</w:t>
      </w:r>
      <w:r w:rsidRPr="00274EAE">
        <w:rPr>
          <w:rFonts w:ascii="Arial" w:hAnsi="Arial" w:cs="Arial"/>
          <w:sz w:val="24"/>
          <w:szCs w:val="24"/>
        </w:rPr>
        <w:t xml:space="preserve"> </w:t>
      </w:r>
      <w:r w:rsidR="00F80E7D" w:rsidRPr="00274EAE">
        <w:rPr>
          <w:rFonts w:ascii="Arial" w:hAnsi="Arial" w:cs="Arial"/>
          <w:sz w:val="24"/>
          <w:szCs w:val="24"/>
        </w:rPr>
        <w:t>40 patients referred for invasive catheter angiography underwent CTA and invasive catheter angiography</w:t>
      </w:r>
      <w:r w:rsidR="00ED0C94" w:rsidRPr="00274EAE">
        <w:rPr>
          <w:rFonts w:ascii="Arial" w:hAnsi="Arial" w:cs="Arial"/>
          <w:sz w:val="24"/>
          <w:szCs w:val="24"/>
        </w:rPr>
        <w:t>.</w:t>
      </w:r>
      <w:r w:rsidR="00F22A52">
        <w:rPr>
          <w:rFonts w:ascii="Arial" w:hAnsi="Arial" w:cs="Arial"/>
          <w:sz w:val="24"/>
          <w:szCs w:val="24"/>
        </w:rPr>
        <w:t xml:space="preserve"> The CTA were reconstructed using a standard soft tissue kernel (CTA</w:t>
      </w:r>
      <w:r w:rsidR="00F22A52" w:rsidRPr="00F22A52">
        <w:rPr>
          <w:rFonts w:ascii="Arial" w:hAnsi="Arial" w:cs="Arial"/>
          <w:sz w:val="24"/>
          <w:szCs w:val="24"/>
          <w:vertAlign w:val="subscript"/>
        </w:rPr>
        <w:t>STAND</w:t>
      </w:r>
      <w:r w:rsidR="00F22A52">
        <w:rPr>
          <w:rFonts w:ascii="Arial" w:hAnsi="Arial" w:cs="Arial"/>
          <w:sz w:val="24"/>
          <w:szCs w:val="24"/>
        </w:rPr>
        <w:t xml:space="preserve">) and a </w:t>
      </w:r>
      <w:proofErr w:type="spellStart"/>
      <w:r w:rsidR="00F22A52">
        <w:rPr>
          <w:rFonts w:ascii="Arial" w:hAnsi="Arial" w:cs="Arial"/>
          <w:sz w:val="24"/>
          <w:szCs w:val="24"/>
        </w:rPr>
        <w:t>deblooming</w:t>
      </w:r>
      <w:proofErr w:type="spellEnd"/>
      <w:r w:rsidR="00F22A52">
        <w:rPr>
          <w:rFonts w:ascii="Arial" w:hAnsi="Arial" w:cs="Arial"/>
          <w:sz w:val="24"/>
          <w:szCs w:val="24"/>
        </w:rPr>
        <w:t xml:space="preserve"> algorithm (CTA</w:t>
      </w:r>
      <w:r w:rsidR="00F22A52" w:rsidRPr="00F22A52">
        <w:rPr>
          <w:rFonts w:ascii="Arial" w:hAnsi="Arial" w:cs="Arial"/>
          <w:sz w:val="24"/>
          <w:szCs w:val="24"/>
          <w:vertAlign w:val="subscript"/>
        </w:rPr>
        <w:t>DEBLOOM</w:t>
      </w:r>
      <w:r w:rsidR="00F22A52">
        <w:rPr>
          <w:rFonts w:ascii="Arial" w:hAnsi="Arial" w:cs="Arial"/>
          <w:sz w:val="24"/>
          <w:szCs w:val="24"/>
        </w:rPr>
        <w:t>).</w:t>
      </w:r>
      <w:r w:rsidR="00F80E7D" w:rsidRPr="00274EAE">
        <w:rPr>
          <w:rFonts w:ascii="Arial" w:hAnsi="Arial" w:cs="Arial"/>
          <w:sz w:val="24"/>
          <w:szCs w:val="24"/>
        </w:rPr>
        <w:t xml:space="preserve">  CTA studies were read with and without the </w:t>
      </w:r>
      <w:proofErr w:type="spellStart"/>
      <w:r w:rsidR="00F80E7D" w:rsidRPr="00274EAE">
        <w:rPr>
          <w:rFonts w:ascii="Arial" w:hAnsi="Arial" w:cs="Arial"/>
          <w:sz w:val="24"/>
          <w:szCs w:val="24"/>
        </w:rPr>
        <w:t>deblooming</w:t>
      </w:r>
      <w:proofErr w:type="spellEnd"/>
      <w:r w:rsidR="00F80E7D" w:rsidRPr="00274EAE">
        <w:rPr>
          <w:rFonts w:ascii="Arial" w:hAnsi="Arial" w:cs="Arial"/>
          <w:sz w:val="24"/>
          <w:szCs w:val="24"/>
        </w:rPr>
        <w:t xml:space="preserve"> algorithm </w:t>
      </w:r>
      <w:r w:rsidR="00973ED9" w:rsidRPr="00274EAE">
        <w:rPr>
          <w:rFonts w:ascii="Arial" w:hAnsi="Arial" w:cs="Arial"/>
          <w:sz w:val="24"/>
          <w:szCs w:val="24"/>
        </w:rPr>
        <w:t>blinded to the invasive coronary angiogram findings</w:t>
      </w:r>
      <w:r w:rsidR="00F80E7D" w:rsidRPr="00274EAE">
        <w:rPr>
          <w:rFonts w:ascii="Arial" w:hAnsi="Arial" w:cs="Arial"/>
          <w:sz w:val="24"/>
          <w:szCs w:val="24"/>
        </w:rPr>
        <w:t>.  Sensitivity, specificity, accuracy, positive predictive value and negative predictive value for the detection of stenosis ≥50%</w:t>
      </w:r>
      <w:r w:rsidR="00930F3F">
        <w:rPr>
          <w:rFonts w:ascii="Arial" w:hAnsi="Arial" w:cs="Arial"/>
          <w:sz w:val="24"/>
          <w:szCs w:val="24"/>
        </w:rPr>
        <w:t xml:space="preserve"> or </w:t>
      </w:r>
      <w:r w:rsidR="00930F3F" w:rsidRPr="00274EAE">
        <w:rPr>
          <w:rFonts w:ascii="Arial" w:hAnsi="Arial" w:cs="Arial"/>
          <w:sz w:val="24"/>
          <w:szCs w:val="24"/>
        </w:rPr>
        <w:t>≥</w:t>
      </w:r>
      <w:r w:rsidR="00930F3F">
        <w:rPr>
          <w:rFonts w:ascii="Arial" w:hAnsi="Arial" w:cs="Arial"/>
          <w:sz w:val="24"/>
          <w:szCs w:val="24"/>
        </w:rPr>
        <w:t>70%</w:t>
      </w:r>
      <w:r w:rsidR="00F80E7D" w:rsidRPr="00274EAE">
        <w:rPr>
          <w:rFonts w:ascii="Arial" w:hAnsi="Arial" w:cs="Arial"/>
          <w:sz w:val="24"/>
          <w:szCs w:val="24"/>
        </w:rPr>
        <w:t xml:space="preserve"> were evaluated using quantitative coronary angiography as the </w:t>
      </w:r>
      <w:r w:rsidR="007E2EB3">
        <w:rPr>
          <w:rFonts w:ascii="Arial" w:hAnsi="Arial" w:cs="Arial"/>
          <w:sz w:val="24"/>
          <w:szCs w:val="24"/>
        </w:rPr>
        <w:t>reference</w:t>
      </w:r>
      <w:r w:rsidR="00F80E7D" w:rsidRPr="00274EAE">
        <w:rPr>
          <w:rFonts w:ascii="Arial" w:hAnsi="Arial" w:cs="Arial"/>
          <w:sz w:val="24"/>
          <w:szCs w:val="24"/>
        </w:rPr>
        <w:t xml:space="preserve"> standard.  </w:t>
      </w:r>
      <w:r w:rsidR="00E501E4">
        <w:rPr>
          <w:rFonts w:ascii="Arial" w:hAnsi="Arial" w:cs="Arial"/>
          <w:sz w:val="24"/>
          <w:szCs w:val="24"/>
        </w:rPr>
        <w:t>Image quality was assessed using a 5-point scale, and the presence of image artifact recorded.</w:t>
      </w:r>
      <w:r w:rsidR="00913CB0" w:rsidRPr="00274EAE">
        <w:rPr>
          <w:rFonts w:ascii="Arial" w:hAnsi="Arial" w:cs="Arial"/>
          <w:sz w:val="24"/>
          <w:szCs w:val="24"/>
        </w:rPr>
        <w:t xml:space="preserve"> </w:t>
      </w:r>
    </w:p>
    <w:p w14:paraId="10AAC93F" w14:textId="1CAFA805" w:rsidR="00F80E7D" w:rsidRPr="00274EAE" w:rsidRDefault="00173F31" w:rsidP="004A073E">
      <w:pPr>
        <w:spacing w:after="0" w:line="360" w:lineRule="auto"/>
        <w:rPr>
          <w:rFonts w:ascii="Arial" w:hAnsi="Arial" w:cs="Arial"/>
          <w:sz w:val="24"/>
          <w:szCs w:val="24"/>
        </w:rPr>
      </w:pPr>
      <w:r w:rsidRPr="00274EAE">
        <w:rPr>
          <w:rFonts w:ascii="Arial" w:hAnsi="Arial" w:cs="Arial"/>
          <w:b/>
          <w:sz w:val="24"/>
          <w:szCs w:val="24"/>
        </w:rPr>
        <w:t>Results:</w:t>
      </w:r>
      <w:r w:rsidR="00ED0C94" w:rsidRPr="00274EAE">
        <w:rPr>
          <w:rFonts w:ascii="Arial" w:hAnsi="Arial" w:cs="Arial"/>
          <w:sz w:val="24"/>
          <w:szCs w:val="24"/>
        </w:rPr>
        <w:t xml:space="preserve"> </w:t>
      </w:r>
      <w:r w:rsidR="00F80E7D" w:rsidRPr="00274EAE">
        <w:rPr>
          <w:rFonts w:ascii="Arial" w:hAnsi="Arial" w:cs="Arial"/>
          <w:sz w:val="24"/>
          <w:szCs w:val="24"/>
        </w:rPr>
        <w:t xml:space="preserve">All studies were diagnostic with </w:t>
      </w:r>
      <w:r w:rsidR="001E7940" w:rsidRPr="00274EAE">
        <w:rPr>
          <w:rFonts w:ascii="Arial" w:hAnsi="Arial" w:cs="Arial"/>
          <w:sz w:val="24"/>
          <w:szCs w:val="24"/>
        </w:rPr>
        <w:t>5</w:t>
      </w:r>
      <w:r w:rsidR="008E4D58">
        <w:rPr>
          <w:rFonts w:ascii="Arial" w:hAnsi="Arial" w:cs="Arial"/>
          <w:sz w:val="24"/>
          <w:szCs w:val="24"/>
        </w:rPr>
        <w:t>4</w:t>
      </w:r>
      <w:r w:rsidR="0046376B">
        <w:rPr>
          <w:rFonts w:ascii="Arial" w:hAnsi="Arial" w:cs="Arial"/>
          <w:sz w:val="24"/>
          <w:szCs w:val="24"/>
        </w:rPr>
        <w:t>8</w:t>
      </w:r>
      <w:r w:rsidR="00F80E7D" w:rsidRPr="00274EAE">
        <w:rPr>
          <w:rFonts w:ascii="Arial" w:hAnsi="Arial" w:cs="Arial"/>
          <w:sz w:val="24"/>
          <w:szCs w:val="24"/>
        </w:rPr>
        <w:t xml:space="preserve"> segments </w:t>
      </w:r>
      <w:r w:rsidR="001E7940" w:rsidRPr="00274EAE">
        <w:rPr>
          <w:rFonts w:ascii="Arial" w:hAnsi="Arial" w:cs="Arial"/>
          <w:sz w:val="24"/>
          <w:szCs w:val="24"/>
        </w:rPr>
        <w:t>available for evaluation</w:t>
      </w:r>
      <w:r w:rsidR="008E4D58">
        <w:rPr>
          <w:rFonts w:ascii="Arial" w:hAnsi="Arial" w:cs="Arial"/>
          <w:sz w:val="24"/>
          <w:szCs w:val="24"/>
        </w:rPr>
        <w:t>.</w:t>
      </w:r>
      <w:r w:rsidR="00F80E7D" w:rsidRPr="00274EAE">
        <w:rPr>
          <w:rFonts w:ascii="Arial" w:hAnsi="Arial" w:cs="Arial"/>
          <w:sz w:val="24"/>
          <w:szCs w:val="24"/>
        </w:rPr>
        <w:t xml:space="preserve">  Image score was </w:t>
      </w:r>
      <w:r w:rsidR="001E7940" w:rsidRPr="00274EAE">
        <w:rPr>
          <w:rFonts w:ascii="Arial" w:hAnsi="Arial" w:cs="Arial"/>
          <w:bCs/>
          <w:sz w:val="24"/>
          <w:szCs w:val="24"/>
        </w:rPr>
        <w:t>3.64±0.72 with CTA</w:t>
      </w:r>
      <w:r w:rsidR="001E7940" w:rsidRPr="00274EAE">
        <w:rPr>
          <w:rFonts w:ascii="Arial" w:hAnsi="Arial" w:cs="Arial"/>
          <w:bCs/>
          <w:sz w:val="24"/>
          <w:szCs w:val="24"/>
          <w:vertAlign w:val="subscript"/>
        </w:rPr>
        <w:t>DEBLOOM</w:t>
      </w:r>
      <w:r w:rsidR="00B17772">
        <w:rPr>
          <w:rFonts w:ascii="Arial" w:hAnsi="Arial" w:cs="Arial"/>
          <w:bCs/>
          <w:sz w:val="24"/>
          <w:szCs w:val="24"/>
        </w:rPr>
        <w:t>, versus</w:t>
      </w:r>
      <w:r w:rsidR="001E7940" w:rsidRPr="00274EAE">
        <w:rPr>
          <w:rFonts w:ascii="Arial" w:hAnsi="Arial" w:cs="Arial"/>
          <w:bCs/>
          <w:sz w:val="24"/>
          <w:szCs w:val="24"/>
        </w:rPr>
        <w:t xml:space="preserve"> 3.56±0.72 with CTA</w:t>
      </w:r>
      <w:r w:rsidR="001E7940" w:rsidRPr="00F22A52">
        <w:rPr>
          <w:rFonts w:ascii="Arial" w:hAnsi="Arial" w:cs="Arial"/>
          <w:bCs/>
          <w:sz w:val="24"/>
          <w:szCs w:val="24"/>
          <w:vertAlign w:val="subscript"/>
        </w:rPr>
        <w:t>STAND</w:t>
      </w:r>
      <w:r w:rsidR="001E7940" w:rsidRPr="00274EAE">
        <w:rPr>
          <w:rFonts w:ascii="Arial" w:hAnsi="Arial" w:cs="Arial"/>
          <w:bCs/>
          <w:sz w:val="24"/>
          <w:szCs w:val="24"/>
        </w:rPr>
        <w:t xml:space="preserve"> (p=0.38). CTA</w:t>
      </w:r>
      <w:r w:rsidR="001E7940" w:rsidRPr="00F22A52">
        <w:rPr>
          <w:rFonts w:ascii="Arial" w:hAnsi="Arial" w:cs="Arial"/>
          <w:bCs/>
          <w:sz w:val="24"/>
          <w:szCs w:val="24"/>
          <w:vertAlign w:val="subscript"/>
        </w:rPr>
        <w:t>DEBLOOM</w:t>
      </w:r>
      <w:r w:rsidR="001E7940" w:rsidRPr="00274EAE">
        <w:rPr>
          <w:rFonts w:ascii="Arial" w:hAnsi="Arial" w:cs="Arial"/>
          <w:bCs/>
          <w:sz w:val="24"/>
          <w:szCs w:val="24"/>
        </w:rPr>
        <w:t xml:space="preserve"> had significantly less calcium blooming artifact than CTA</w:t>
      </w:r>
      <w:r w:rsidR="001E7940" w:rsidRPr="00F22A52">
        <w:rPr>
          <w:rFonts w:ascii="Arial" w:hAnsi="Arial" w:cs="Arial"/>
          <w:bCs/>
          <w:sz w:val="24"/>
          <w:szCs w:val="24"/>
          <w:vertAlign w:val="subscript"/>
        </w:rPr>
        <w:t>STAND</w:t>
      </w:r>
      <w:r w:rsidR="001E7940" w:rsidRPr="00274EAE">
        <w:rPr>
          <w:rFonts w:ascii="Arial" w:hAnsi="Arial" w:cs="Arial"/>
          <w:bCs/>
          <w:sz w:val="24"/>
          <w:szCs w:val="24"/>
        </w:rPr>
        <w:t xml:space="preserve"> (12.5% vs. 47.5%, p=0.001).  </w:t>
      </w:r>
      <w:r w:rsidR="0058744B">
        <w:rPr>
          <w:rFonts w:ascii="Arial" w:hAnsi="Arial" w:cs="Arial"/>
          <w:bCs/>
          <w:sz w:val="24"/>
          <w:szCs w:val="24"/>
        </w:rPr>
        <w:t>Based on a 50% stenosis threshold for defining significant disease, t</w:t>
      </w:r>
      <w:r w:rsidR="001E7940" w:rsidRPr="00274EAE">
        <w:rPr>
          <w:rFonts w:ascii="Arial" w:hAnsi="Arial" w:cs="Arial"/>
          <w:bCs/>
          <w:sz w:val="24"/>
          <w:szCs w:val="24"/>
        </w:rPr>
        <w:t xml:space="preserve">he Sensitivity/Specificity/PPV/NPV/Accuracy were </w:t>
      </w:r>
      <w:r w:rsidR="001E7940" w:rsidRPr="009B0CB8">
        <w:rPr>
          <w:rFonts w:ascii="Arial" w:hAnsi="Arial" w:cs="Arial"/>
          <w:bCs/>
          <w:sz w:val="24"/>
          <w:szCs w:val="24"/>
        </w:rPr>
        <w:t>6</w:t>
      </w:r>
      <w:r w:rsidR="009B0CB8" w:rsidRPr="009B0CB8">
        <w:rPr>
          <w:rFonts w:ascii="Arial" w:hAnsi="Arial" w:cs="Arial"/>
          <w:bCs/>
          <w:sz w:val="24"/>
          <w:szCs w:val="24"/>
        </w:rPr>
        <w:t>5.9</w:t>
      </w:r>
      <w:r w:rsidR="001E7940" w:rsidRPr="009B0CB8">
        <w:rPr>
          <w:rFonts w:ascii="Arial" w:hAnsi="Arial" w:cs="Arial"/>
          <w:bCs/>
          <w:sz w:val="24"/>
          <w:szCs w:val="24"/>
        </w:rPr>
        <w:t>/8</w:t>
      </w:r>
      <w:r w:rsidR="009B0CB8" w:rsidRPr="009B0CB8">
        <w:rPr>
          <w:rFonts w:ascii="Arial" w:hAnsi="Arial" w:cs="Arial"/>
          <w:bCs/>
          <w:sz w:val="24"/>
          <w:szCs w:val="24"/>
        </w:rPr>
        <w:t>4.9</w:t>
      </w:r>
      <w:r w:rsidR="001E7940" w:rsidRPr="009B0CB8">
        <w:rPr>
          <w:rFonts w:ascii="Arial" w:hAnsi="Arial" w:cs="Arial"/>
          <w:bCs/>
          <w:sz w:val="24"/>
          <w:szCs w:val="24"/>
        </w:rPr>
        <w:t>/27.6/96.</w:t>
      </w:r>
      <w:r w:rsidR="009B0CB8" w:rsidRPr="009B0CB8">
        <w:rPr>
          <w:rFonts w:ascii="Arial" w:hAnsi="Arial" w:cs="Arial"/>
          <w:bCs/>
          <w:sz w:val="24"/>
          <w:szCs w:val="24"/>
        </w:rPr>
        <w:t>6</w:t>
      </w:r>
      <w:r w:rsidR="001E7940" w:rsidRPr="009B0CB8">
        <w:rPr>
          <w:rFonts w:ascii="Arial" w:hAnsi="Arial" w:cs="Arial"/>
          <w:bCs/>
          <w:sz w:val="24"/>
          <w:szCs w:val="24"/>
        </w:rPr>
        <w:t>/83.</w:t>
      </w:r>
      <w:r w:rsidR="009B0CB8" w:rsidRPr="009B0CB8">
        <w:rPr>
          <w:rFonts w:ascii="Arial" w:hAnsi="Arial" w:cs="Arial"/>
          <w:bCs/>
          <w:sz w:val="24"/>
          <w:szCs w:val="24"/>
        </w:rPr>
        <w:t>4</w:t>
      </w:r>
      <w:r w:rsidR="001E7940" w:rsidRPr="009B0CB8">
        <w:rPr>
          <w:rFonts w:ascii="Arial" w:hAnsi="Arial" w:cs="Arial"/>
          <w:bCs/>
          <w:sz w:val="24"/>
          <w:szCs w:val="24"/>
        </w:rPr>
        <w:t xml:space="preserve"> for </w:t>
      </w:r>
      <w:r w:rsidR="00252392" w:rsidRPr="009B0CB8">
        <w:rPr>
          <w:rFonts w:ascii="Arial" w:hAnsi="Arial" w:cs="Arial"/>
          <w:bCs/>
          <w:sz w:val="24"/>
          <w:szCs w:val="24"/>
        </w:rPr>
        <w:t>CTA</w:t>
      </w:r>
      <w:r w:rsidR="00252392" w:rsidRPr="009B0CB8">
        <w:rPr>
          <w:rFonts w:ascii="Arial" w:hAnsi="Arial" w:cs="Arial"/>
          <w:bCs/>
          <w:sz w:val="24"/>
          <w:szCs w:val="24"/>
          <w:vertAlign w:val="subscript"/>
        </w:rPr>
        <w:t>DEBLOOM</w:t>
      </w:r>
      <w:r w:rsidR="001E7940" w:rsidRPr="009B0CB8">
        <w:rPr>
          <w:rFonts w:ascii="Arial" w:hAnsi="Arial" w:cs="Arial"/>
          <w:bCs/>
          <w:sz w:val="24"/>
          <w:szCs w:val="24"/>
        </w:rPr>
        <w:t xml:space="preserve"> and 75.0/81.</w:t>
      </w:r>
      <w:r w:rsidR="0060674E">
        <w:rPr>
          <w:rFonts w:ascii="Arial" w:hAnsi="Arial" w:cs="Arial"/>
          <w:bCs/>
          <w:sz w:val="24"/>
          <w:szCs w:val="24"/>
        </w:rPr>
        <w:t>9</w:t>
      </w:r>
      <w:r w:rsidR="001E7940" w:rsidRPr="009B0CB8">
        <w:rPr>
          <w:rFonts w:ascii="Arial" w:hAnsi="Arial" w:cs="Arial"/>
          <w:bCs/>
          <w:sz w:val="24"/>
          <w:szCs w:val="24"/>
        </w:rPr>
        <w:t>/2</w:t>
      </w:r>
      <w:r w:rsidR="009B0CB8" w:rsidRPr="009B0CB8">
        <w:rPr>
          <w:rFonts w:ascii="Arial" w:hAnsi="Arial" w:cs="Arial"/>
          <w:bCs/>
          <w:sz w:val="24"/>
          <w:szCs w:val="24"/>
        </w:rPr>
        <w:t>6.</w:t>
      </w:r>
      <w:r w:rsidR="0060674E">
        <w:rPr>
          <w:rFonts w:ascii="Arial" w:hAnsi="Arial" w:cs="Arial"/>
          <w:bCs/>
          <w:sz w:val="24"/>
          <w:szCs w:val="24"/>
        </w:rPr>
        <w:t>6</w:t>
      </w:r>
      <w:r w:rsidR="001E7940" w:rsidRPr="009B0CB8">
        <w:rPr>
          <w:rFonts w:ascii="Arial" w:hAnsi="Arial" w:cs="Arial"/>
          <w:bCs/>
          <w:sz w:val="24"/>
          <w:szCs w:val="24"/>
        </w:rPr>
        <w:t>/97.</w:t>
      </w:r>
      <w:r w:rsidR="009B0CB8" w:rsidRPr="009B0CB8">
        <w:rPr>
          <w:rFonts w:ascii="Arial" w:hAnsi="Arial" w:cs="Arial"/>
          <w:bCs/>
          <w:sz w:val="24"/>
          <w:szCs w:val="24"/>
        </w:rPr>
        <w:t>4</w:t>
      </w:r>
      <w:r w:rsidR="001E7940" w:rsidRPr="009B0CB8">
        <w:rPr>
          <w:rFonts w:ascii="Arial" w:hAnsi="Arial" w:cs="Arial"/>
          <w:bCs/>
          <w:sz w:val="24"/>
          <w:szCs w:val="24"/>
        </w:rPr>
        <w:t>/81.</w:t>
      </w:r>
      <w:r w:rsidR="0060674E">
        <w:rPr>
          <w:rFonts w:ascii="Arial" w:hAnsi="Arial" w:cs="Arial"/>
          <w:bCs/>
          <w:sz w:val="24"/>
          <w:szCs w:val="24"/>
        </w:rPr>
        <w:t>4</w:t>
      </w:r>
      <w:r w:rsidR="001E7940" w:rsidRPr="009B0CB8">
        <w:rPr>
          <w:rFonts w:ascii="Arial" w:hAnsi="Arial" w:cs="Arial"/>
          <w:bCs/>
          <w:sz w:val="24"/>
          <w:szCs w:val="24"/>
        </w:rPr>
        <w:t xml:space="preserve"> for CTA</w:t>
      </w:r>
      <w:r w:rsidR="001E7940" w:rsidRPr="00F22A52">
        <w:rPr>
          <w:rFonts w:ascii="Arial" w:hAnsi="Arial" w:cs="Arial"/>
          <w:bCs/>
          <w:sz w:val="24"/>
          <w:szCs w:val="24"/>
          <w:vertAlign w:val="subscript"/>
        </w:rPr>
        <w:t>STAND</w:t>
      </w:r>
      <w:r w:rsidR="00930F3F">
        <w:rPr>
          <w:rFonts w:ascii="Arial" w:hAnsi="Arial" w:cs="Arial"/>
          <w:bCs/>
          <w:sz w:val="24"/>
          <w:szCs w:val="24"/>
        </w:rPr>
        <w:t xml:space="preserve"> using a </w:t>
      </w:r>
      <w:r w:rsidR="00930F3F" w:rsidRPr="00274EAE">
        <w:rPr>
          <w:rFonts w:ascii="Arial" w:hAnsi="Arial" w:cs="Arial"/>
          <w:sz w:val="24"/>
          <w:szCs w:val="24"/>
        </w:rPr>
        <w:t>≥</w:t>
      </w:r>
      <w:r w:rsidR="00930F3F">
        <w:rPr>
          <w:rFonts w:ascii="Arial" w:hAnsi="Arial" w:cs="Arial"/>
          <w:sz w:val="24"/>
          <w:szCs w:val="24"/>
        </w:rPr>
        <w:t>50% threshold</w:t>
      </w:r>
      <w:r w:rsidR="001E7940" w:rsidRPr="009B0CB8">
        <w:rPr>
          <w:rFonts w:ascii="Arial" w:hAnsi="Arial" w:cs="Arial"/>
          <w:bCs/>
          <w:sz w:val="24"/>
          <w:szCs w:val="24"/>
        </w:rPr>
        <w:t xml:space="preserve">.  </w:t>
      </w:r>
      <w:r w:rsidR="00252392" w:rsidRPr="009B0CB8">
        <w:rPr>
          <w:rFonts w:ascii="Arial" w:hAnsi="Arial" w:cs="Arial"/>
          <w:bCs/>
          <w:sz w:val="24"/>
          <w:szCs w:val="24"/>
        </w:rPr>
        <w:t>CTA</w:t>
      </w:r>
      <w:r w:rsidR="00252392" w:rsidRPr="009B0CB8">
        <w:rPr>
          <w:rFonts w:ascii="Arial" w:hAnsi="Arial" w:cs="Arial"/>
          <w:bCs/>
          <w:sz w:val="24"/>
          <w:szCs w:val="24"/>
          <w:vertAlign w:val="subscript"/>
        </w:rPr>
        <w:t>DEBLOOM</w:t>
      </w:r>
      <w:r w:rsidR="001E7940" w:rsidRPr="009B0CB8">
        <w:rPr>
          <w:rFonts w:ascii="Arial" w:hAnsi="Arial" w:cs="Arial"/>
          <w:bCs/>
          <w:sz w:val="24"/>
          <w:szCs w:val="24"/>
        </w:rPr>
        <w:t xml:space="preserve"> specificity was significantly higher than CTA</w:t>
      </w:r>
      <w:r w:rsidR="001E7940" w:rsidRPr="00F22A52">
        <w:rPr>
          <w:rFonts w:ascii="Arial" w:hAnsi="Arial" w:cs="Arial"/>
          <w:bCs/>
          <w:sz w:val="24"/>
          <w:szCs w:val="24"/>
          <w:vertAlign w:val="subscript"/>
        </w:rPr>
        <w:t>STAND</w:t>
      </w:r>
      <w:r w:rsidR="001E7940" w:rsidRPr="009B0CB8">
        <w:rPr>
          <w:rFonts w:ascii="Arial" w:hAnsi="Arial" w:cs="Arial"/>
          <w:bCs/>
          <w:sz w:val="24"/>
          <w:szCs w:val="24"/>
        </w:rPr>
        <w:t xml:space="preserve"> (8</w:t>
      </w:r>
      <w:r w:rsidR="009B0CB8" w:rsidRPr="009B0CB8">
        <w:rPr>
          <w:rFonts w:ascii="Arial" w:hAnsi="Arial" w:cs="Arial"/>
          <w:bCs/>
          <w:sz w:val="24"/>
          <w:szCs w:val="24"/>
        </w:rPr>
        <w:t>4.9</w:t>
      </w:r>
      <w:r w:rsidR="001E7940" w:rsidRPr="009B0CB8">
        <w:rPr>
          <w:rFonts w:ascii="Arial" w:hAnsi="Arial" w:cs="Arial"/>
          <w:bCs/>
          <w:sz w:val="24"/>
          <w:szCs w:val="24"/>
        </w:rPr>
        <w:t>% vs. 81.</w:t>
      </w:r>
      <w:r w:rsidR="009B0CB8" w:rsidRPr="009B0CB8">
        <w:rPr>
          <w:rFonts w:ascii="Arial" w:hAnsi="Arial" w:cs="Arial"/>
          <w:bCs/>
          <w:sz w:val="24"/>
          <w:szCs w:val="24"/>
        </w:rPr>
        <w:t>5</w:t>
      </w:r>
      <w:r w:rsidR="001E7940" w:rsidRPr="009B0CB8">
        <w:rPr>
          <w:rFonts w:ascii="Arial" w:hAnsi="Arial" w:cs="Arial"/>
          <w:bCs/>
          <w:sz w:val="24"/>
          <w:szCs w:val="24"/>
        </w:rPr>
        <w:t>%,</w:t>
      </w:r>
      <w:r w:rsidR="001E7940" w:rsidRPr="00274EAE">
        <w:rPr>
          <w:rFonts w:ascii="Arial" w:hAnsi="Arial" w:cs="Arial"/>
          <w:bCs/>
          <w:sz w:val="24"/>
          <w:szCs w:val="24"/>
        </w:rPr>
        <w:t xml:space="preserve"> p=0.0</w:t>
      </w:r>
      <w:r w:rsidR="0060674E">
        <w:rPr>
          <w:rFonts w:ascii="Arial" w:hAnsi="Arial" w:cs="Arial"/>
          <w:bCs/>
          <w:sz w:val="24"/>
          <w:szCs w:val="24"/>
        </w:rPr>
        <w:t>3</w:t>
      </w:r>
      <w:r w:rsidR="001E7940" w:rsidRPr="00274EAE">
        <w:rPr>
          <w:rFonts w:ascii="Arial" w:hAnsi="Arial" w:cs="Arial"/>
          <w:bCs/>
          <w:sz w:val="24"/>
          <w:szCs w:val="24"/>
        </w:rPr>
        <w:t>), with no difference between the algorithms in sensitivity (p=0.22), or accuracy (p= 0.</w:t>
      </w:r>
      <w:r w:rsidR="0060674E">
        <w:rPr>
          <w:rFonts w:ascii="Arial" w:hAnsi="Arial" w:cs="Arial"/>
          <w:bCs/>
          <w:sz w:val="24"/>
          <w:szCs w:val="24"/>
        </w:rPr>
        <w:t>15</w:t>
      </w:r>
      <w:r w:rsidR="001E7940" w:rsidRPr="00274EAE">
        <w:rPr>
          <w:rFonts w:ascii="Arial" w:hAnsi="Arial" w:cs="Arial"/>
          <w:bCs/>
          <w:sz w:val="24"/>
          <w:szCs w:val="24"/>
        </w:rPr>
        <w:t>).</w:t>
      </w:r>
      <w:r w:rsidR="00997148">
        <w:rPr>
          <w:rFonts w:ascii="Arial" w:hAnsi="Arial" w:cs="Arial"/>
          <w:bCs/>
          <w:sz w:val="24"/>
          <w:szCs w:val="24"/>
        </w:rPr>
        <w:t xml:space="preserve"> These results remained unchanged when a stenosis threshold of ≥70% was used.</w:t>
      </w:r>
      <w:r w:rsidR="001E7940" w:rsidRPr="00274EAE">
        <w:rPr>
          <w:rFonts w:ascii="Arial" w:hAnsi="Arial" w:cs="Arial"/>
          <w:bCs/>
          <w:sz w:val="24"/>
          <w:szCs w:val="24"/>
        </w:rPr>
        <w:t xml:space="preserve"> </w:t>
      </w:r>
      <w:r w:rsidR="00CA3F8F" w:rsidRPr="00274EAE">
        <w:rPr>
          <w:rFonts w:ascii="Arial" w:hAnsi="Arial" w:cs="Arial"/>
          <w:sz w:val="24"/>
          <w:szCs w:val="24"/>
        </w:rPr>
        <w:t>Interobserver agreement was</w:t>
      </w:r>
      <w:r w:rsidR="001E7940" w:rsidRPr="00274EAE">
        <w:rPr>
          <w:rFonts w:ascii="Arial" w:hAnsi="Arial" w:cs="Arial"/>
          <w:sz w:val="24"/>
          <w:szCs w:val="24"/>
        </w:rPr>
        <w:t xml:space="preserve"> fair </w:t>
      </w:r>
      <w:r w:rsidR="008D467A" w:rsidRPr="00274EAE">
        <w:rPr>
          <w:rFonts w:ascii="Arial" w:hAnsi="Arial" w:cs="Arial"/>
          <w:sz w:val="24"/>
          <w:szCs w:val="24"/>
        </w:rPr>
        <w:t>with</w:t>
      </w:r>
      <w:r w:rsidR="001E7940" w:rsidRPr="00274EAE">
        <w:rPr>
          <w:rFonts w:ascii="Arial" w:hAnsi="Arial" w:cs="Arial"/>
          <w:sz w:val="24"/>
          <w:szCs w:val="24"/>
        </w:rPr>
        <w:t xml:space="preserve"> both</w:t>
      </w:r>
      <w:r w:rsidR="00CA3F8F" w:rsidRPr="00274EAE">
        <w:rPr>
          <w:rFonts w:ascii="Arial" w:hAnsi="Arial" w:cs="Arial"/>
          <w:sz w:val="24"/>
          <w:szCs w:val="24"/>
        </w:rPr>
        <w:t xml:space="preserve"> techniques (</w:t>
      </w:r>
      <w:r w:rsidR="00252392" w:rsidRPr="00274EAE">
        <w:rPr>
          <w:rFonts w:ascii="Arial" w:hAnsi="Arial" w:cs="Arial"/>
          <w:bCs/>
          <w:sz w:val="24"/>
          <w:szCs w:val="24"/>
        </w:rPr>
        <w:t>CTA</w:t>
      </w:r>
      <w:r w:rsidR="00252392" w:rsidRPr="00274EAE">
        <w:rPr>
          <w:rFonts w:ascii="Arial" w:hAnsi="Arial" w:cs="Arial"/>
          <w:bCs/>
          <w:sz w:val="24"/>
          <w:szCs w:val="24"/>
          <w:vertAlign w:val="subscript"/>
        </w:rPr>
        <w:t>DEBLOOM</w:t>
      </w:r>
      <w:r w:rsidR="00CA3F8F" w:rsidRPr="00274EAE">
        <w:rPr>
          <w:rFonts w:ascii="Arial" w:hAnsi="Arial" w:cs="Arial"/>
          <w:sz w:val="24"/>
          <w:szCs w:val="24"/>
        </w:rPr>
        <w:t xml:space="preserve"> k= </w:t>
      </w:r>
      <w:r w:rsidR="008D467A" w:rsidRPr="00274EAE">
        <w:rPr>
          <w:rFonts w:ascii="Arial" w:hAnsi="Arial" w:cs="Arial"/>
          <w:sz w:val="24"/>
          <w:szCs w:val="24"/>
        </w:rPr>
        <w:t>0.38</w:t>
      </w:r>
      <w:r w:rsidR="00CA3F8F" w:rsidRPr="00274EAE">
        <w:rPr>
          <w:rFonts w:ascii="Arial" w:hAnsi="Arial" w:cs="Arial"/>
          <w:sz w:val="24"/>
          <w:szCs w:val="24"/>
        </w:rPr>
        <w:t>, CTA</w:t>
      </w:r>
      <w:r w:rsidR="00CA3F8F" w:rsidRPr="00F22A52">
        <w:rPr>
          <w:rFonts w:ascii="Arial" w:hAnsi="Arial" w:cs="Arial"/>
          <w:sz w:val="24"/>
          <w:szCs w:val="24"/>
          <w:vertAlign w:val="subscript"/>
        </w:rPr>
        <w:t>STAND</w:t>
      </w:r>
      <w:r w:rsidR="00CA3F8F" w:rsidRPr="00274EAE">
        <w:rPr>
          <w:rFonts w:ascii="Arial" w:hAnsi="Arial" w:cs="Arial"/>
          <w:sz w:val="24"/>
          <w:szCs w:val="24"/>
        </w:rPr>
        <w:t xml:space="preserve"> k= </w:t>
      </w:r>
      <w:r w:rsidR="008D467A" w:rsidRPr="00274EAE">
        <w:rPr>
          <w:rFonts w:ascii="Arial" w:hAnsi="Arial" w:cs="Arial"/>
          <w:sz w:val="24"/>
          <w:szCs w:val="24"/>
        </w:rPr>
        <w:t>0.37</w:t>
      </w:r>
      <w:r w:rsidR="00CA3F8F" w:rsidRPr="00274EAE">
        <w:rPr>
          <w:rFonts w:ascii="Arial" w:hAnsi="Arial" w:cs="Arial"/>
          <w:sz w:val="24"/>
          <w:szCs w:val="24"/>
        </w:rPr>
        <w:t>).</w:t>
      </w:r>
    </w:p>
    <w:p w14:paraId="18008346" w14:textId="3829BFCD" w:rsidR="001E7940" w:rsidRPr="00274EAE" w:rsidRDefault="001E7940" w:rsidP="004A073E">
      <w:pPr>
        <w:spacing w:line="360" w:lineRule="auto"/>
        <w:rPr>
          <w:rFonts w:ascii="Arial" w:hAnsi="Arial" w:cs="Arial"/>
          <w:sz w:val="24"/>
          <w:szCs w:val="24"/>
        </w:rPr>
      </w:pPr>
      <w:r w:rsidRPr="00274EAE">
        <w:rPr>
          <w:rFonts w:ascii="Arial" w:hAnsi="Arial" w:cs="Arial"/>
          <w:b/>
          <w:bCs/>
          <w:sz w:val="24"/>
          <w:szCs w:val="24"/>
        </w:rPr>
        <w:t>Conclusion</w:t>
      </w:r>
      <w:r w:rsidR="00B84505">
        <w:rPr>
          <w:rFonts w:ascii="Arial" w:hAnsi="Arial" w:cs="Arial"/>
          <w:b/>
          <w:bCs/>
          <w:sz w:val="24"/>
          <w:szCs w:val="24"/>
        </w:rPr>
        <w:t>:</w:t>
      </w:r>
      <w:r w:rsidR="004A073E">
        <w:rPr>
          <w:rFonts w:ascii="Arial" w:hAnsi="Arial" w:cs="Arial"/>
          <w:b/>
          <w:bCs/>
          <w:sz w:val="24"/>
          <w:szCs w:val="24"/>
        </w:rPr>
        <w:t xml:space="preserve"> </w:t>
      </w:r>
      <w:r w:rsidR="00D036AC" w:rsidRPr="00D036AC">
        <w:rPr>
          <w:rFonts w:ascii="Arial" w:hAnsi="Arial" w:cs="Arial"/>
          <w:bCs/>
          <w:sz w:val="24"/>
          <w:szCs w:val="24"/>
        </w:rPr>
        <w:t>In this proof of concept study, c</w:t>
      </w:r>
      <w:r w:rsidRPr="00D036AC">
        <w:rPr>
          <w:rFonts w:ascii="Arial" w:hAnsi="Arial" w:cs="Arial"/>
          <w:sz w:val="24"/>
          <w:szCs w:val="24"/>
        </w:rPr>
        <w:t>oronary</w:t>
      </w:r>
      <w:r w:rsidRPr="00274EAE">
        <w:rPr>
          <w:rFonts w:ascii="Arial" w:hAnsi="Arial" w:cs="Arial"/>
          <w:sz w:val="24"/>
          <w:szCs w:val="24"/>
        </w:rPr>
        <w:t xml:space="preserve"> calcification </w:t>
      </w:r>
      <w:proofErr w:type="spellStart"/>
      <w:r w:rsidRPr="00274EAE">
        <w:rPr>
          <w:rFonts w:ascii="Arial" w:hAnsi="Arial" w:cs="Arial"/>
          <w:sz w:val="24"/>
          <w:szCs w:val="24"/>
        </w:rPr>
        <w:t>deblooming</w:t>
      </w:r>
      <w:proofErr w:type="spellEnd"/>
      <w:r w:rsidRPr="00274EAE">
        <w:rPr>
          <w:rFonts w:ascii="Arial" w:hAnsi="Arial" w:cs="Arial"/>
          <w:sz w:val="24"/>
          <w:szCs w:val="24"/>
        </w:rPr>
        <w:t xml:space="preserve"> using a</w:t>
      </w:r>
      <w:r w:rsidR="007A4099" w:rsidRPr="00274EAE">
        <w:rPr>
          <w:rFonts w:ascii="Arial" w:hAnsi="Arial" w:cs="Arial"/>
          <w:sz w:val="24"/>
          <w:szCs w:val="24"/>
        </w:rPr>
        <w:t xml:space="preserve"> prototype</w:t>
      </w:r>
      <w:r w:rsidRPr="00274EAE">
        <w:rPr>
          <w:rFonts w:ascii="Arial" w:hAnsi="Arial" w:cs="Arial"/>
          <w:sz w:val="24"/>
          <w:szCs w:val="24"/>
        </w:rPr>
        <w:t xml:space="preserve"> post-processing algorithm is feasible and reduces calcium blooming with an improvement of the </w:t>
      </w:r>
      <w:r w:rsidR="00BD065C" w:rsidRPr="00274EAE">
        <w:rPr>
          <w:rFonts w:ascii="Arial" w:hAnsi="Arial" w:cs="Arial"/>
          <w:sz w:val="24"/>
          <w:szCs w:val="24"/>
        </w:rPr>
        <w:t>specificity</w:t>
      </w:r>
      <w:r w:rsidRPr="00274EAE">
        <w:rPr>
          <w:rFonts w:ascii="Arial" w:hAnsi="Arial" w:cs="Arial"/>
          <w:sz w:val="24"/>
          <w:szCs w:val="24"/>
        </w:rPr>
        <w:t xml:space="preserve"> of the CTA exam.  </w:t>
      </w:r>
    </w:p>
    <w:p w14:paraId="19C989A7" w14:textId="77777777" w:rsidR="003F15E6" w:rsidRPr="00274EAE" w:rsidRDefault="003F15E6" w:rsidP="00252392">
      <w:pPr>
        <w:spacing w:after="0" w:line="360" w:lineRule="auto"/>
        <w:rPr>
          <w:rFonts w:ascii="Arial" w:hAnsi="Arial" w:cs="Arial"/>
          <w:sz w:val="24"/>
          <w:szCs w:val="24"/>
        </w:rPr>
      </w:pPr>
    </w:p>
    <w:p w14:paraId="23BF3BD7" w14:textId="097CAC13" w:rsidR="005D2DDD" w:rsidRPr="00274EAE" w:rsidRDefault="005D2DDD" w:rsidP="003F3FE8">
      <w:pPr>
        <w:tabs>
          <w:tab w:val="left" w:pos="8222"/>
        </w:tabs>
        <w:spacing w:line="360" w:lineRule="auto"/>
        <w:rPr>
          <w:rFonts w:ascii="Arial" w:hAnsi="Arial" w:cs="Arial"/>
          <w:b/>
          <w:bCs/>
          <w:sz w:val="24"/>
          <w:szCs w:val="24"/>
        </w:rPr>
      </w:pPr>
      <w:r w:rsidRPr="00274EAE">
        <w:rPr>
          <w:rFonts w:ascii="Arial" w:hAnsi="Arial" w:cs="Arial"/>
          <w:b/>
          <w:bCs/>
          <w:sz w:val="24"/>
          <w:szCs w:val="24"/>
        </w:rPr>
        <w:br w:type="page"/>
      </w:r>
    </w:p>
    <w:p w14:paraId="6BB7DFD5" w14:textId="7A0FC6B7" w:rsidR="00D14CE9" w:rsidRPr="00274EAE" w:rsidRDefault="000E493D" w:rsidP="00252392">
      <w:pPr>
        <w:tabs>
          <w:tab w:val="left" w:pos="8222"/>
        </w:tabs>
        <w:spacing w:line="360" w:lineRule="auto"/>
        <w:rPr>
          <w:rFonts w:ascii="Arial" w:hAnsi="Arial" w:cs="Arial"/>
          <w:b/>
          <w:bCs/>
          <w:sz w:val="24"/>
          <w:szCs w:val="24"/>
        </w:rPr>
      </w:pPr>
      <w:r w:rsidRPr="00274EAE">
        <w:rPr>
          <w:rFonts w:ascii="Arial" w:hAnsi="Arial" w:cs="Arial"/>
          <w:b/>
          <w:bCs/>
          <w:sz w:val="24"/>
          <w:szCs w:val="24"/>
        </w:rPr>
        <w:lastRenderedPageBreak/>
        <w:t>Introduction</w:t>
      </w:r>
    </w:p>
    <w:p w14:paraId="61F759D7" w14:textId="5FDFEB72" w:rsidR="00B20803" w:rsidRPr="00274EAE" w:rsidRDefault="00973ED9" w:rsidP="00252392">
      <w:pPr>
        <w:spacing w:line="360" w:lineRule="auto"/>
        <w:rPr>
          <w:rFonts w:ascii="Arial" w:hAnsi="Arial" w:cs="Arial"/>
          <w:bCs/>
          <w:sz w:val="24"/>
          <w:szCs w:val="24"/>
        </w:rPr>
      </w:pPr>
      <w:r w:rsidRPr="00274EAE">
        <w:rPr>
          <w:rFonts w:ascii="Arial" w:hAnsi="Arial" w:cs="Arial"/>
          <w:bCs/>
          <w:sz w:val="24"/>
          <w:szCs w:val="24"/>
        </w:rPr>
        <w:t>Coronary compute</w:t>
      </w:r>
      <w:r w:rsidR="00BF606B">
        <w:rPr>
          <w:rFonts w:ascii="Arial" w:hAnsi="Arial" w:cs="Arial"/>
          <w:bCs/>
          <w:sz w:val="24"/>
          <w:szCs w:val="24"/>
        </w:rPr>
        <w:t>d</w:t>
      </w:r>
      <w:r w:rsidR="006A5BD5" w:rsidRPr="00274EAE">
        <w:rPr>
          <w:rFonts w:ascii="Arial" w:hAnsi="Arial" w:cs="Arial"/>
          <w:bCs/>
          <w:sz w:val="24"/>
          <w:szCs w:val="24"/>
        </w:rPr>
        <w:t xml:space="preserve"> tomographic angiography (CTA) is currently </w:t>
      </w:r>
      <w:r w:rsidR="003D6D2C" w:rsidRPr="00274EAE">
        <w:rPr>
          <w:rFonts w:ascii="Arial" w:hAnsi="Arial" w:cs="Arial"/>
          <w:bCs/>
          <w:sz w:val="24"/>
          <w:szCs w:val="24"/>
        </w:rPr>
        <w:t>indicated</w:t>
      </w:r>
      <w:r w:rsidR="006A5BD5" w:rsidRPr="00274EAE">
        <w:rPr>
          <w:rFonts w:ascii="Arial" w:hAnsi="Arial" w:cs="Arial"/>
          <w:bCs/>
          <w:sz w:val="24"/>
          <w:szCs w:val="24"/>
        </w:rPr>
        <w:t xml:space="preserve"> for the investigation of stable chest pain in low</w:t>
      </w:r>
      <w:r w:rsidR="00F45F10">
        <w:rPr>
          <w:rFonts w:ascii="Arial" w:hAnsi="Arial" w:cs="Arial"/>
          <w:bCs/>
          <w:sz w:val="24"/>
          <w:szCs w:val="24"/>
        </w:rPr>
        <w:t>-</w:t>
      </w:r>
      <w:r w:rsidR="003019BA" w:rsidRPr="00274EAE">
        <w:rPr>
          <w:rFonts w:ascii="Arial" w:hAnsi="Arial" w:cs="Arial"/>
          <w:bCs/>
          <w:sz w:val="24"/>
          <w:szCs w:val="24"/>
        </w:rPr>
        <w:t>intermediate</w:t>
      </w:r>
      <w:r w:rsidR="006A5BD5" w:rsidRPr="00274EAE">
        <w:rPr>
          <w:rFonts w:ascii="Arial" w:hAnsi="Arial" w:cs="Arial"/>
          <w:bCs/>
          <w:sz w:val="24"/>
          <w:szCs w:val="24"/>
        </w:rPr>
        <w:t xml:space="preserve"> risk patients </w:t>
      </w:r>
      <w:r w:rsidR="00C94DD5" w:rsidRPr="00274EAE">
        <w:rPr>
          <w:rFonts w:ascii="Arial" w:hAnsi="Arial" w:cs="Arial"/>
          <w:bCs/>
          <w:sz w:val="24"/>
          <w:szCs w:val="24"/>
        </w:rPr>
        <w:t>in</w:t>
      </w:r>
      <w:r w:rsidR="006A5BD5" w:rsidRPr="00274EAE">
        <w:rPr>
          <w:rFonts w:ascii="Arial" w:hAnsi="Arial" w:cs="Arial"/>
          <w:bCs/>
          <w:sz w:val="24"/>
          <w:szCs w:val="24"/>
        </w:rPr>
        <w:t xml:space="preserve"> the </w:t>
      </w:r>
      <w:r w:rsidR="003D6D2C" w:rsidRPr="00274EAE">
        <w:rPr>
          <w:rFonts w:ascii="Arial" w:hAnsi="Arial" w:cs="Arial"/>
          <w:bCs/>
          <w:sz w:val="24"/>
          <w:szCs w:val="24"/>
        </w:rPr>
        <w:t>Ameri</w:t>
      </w:r>
      <w:r w:rsidR="006A5BD5" w:rsidRPr="00274EAE">
        <w:rPr>
          <w:rFonts w:ascii="Arial" w:hAnsi="Arial" w:cs="Arial"/>
          <w:bCs/>
          <w:sz w:val="24"/>
          <w:szCs w:val="24"/>
        </w:rPr>
        <w:t>can College of Cardiology and European Society of Cardiology guidelines.</w:t>
      </w:r>
      <w:r w:rsidR="003D6D2C" w:rsidRPr="00274EAE">
        <w:rPr>
          <w:rFonts w:ascii="Arial" w:hAnsi="Arial" w:cs="Arial"/>
          <w:bCs/>
          <w:sz w:val="24"/>
          <w:szCs w:val="24"/>
        </w:rPr>
        <w:fldChar w:fldCharType="begin" w:fldLock="1"/>
      </w:r>
      <w:r w:rsidR="00455D00">
        <w:rPr>
          <w:rFonts w:ascii="Arial" w:hAnsi="Arial" w:cs="Arial"/>
          <w:bCs/>
          <w:sz w:val="24"/>
          <w:szCs w:val="24"/>
        </w:rPr>
        <w:instrText>ADDIN CSL_CITATION {"citationItems":[{"id":"ITEM-1","itemData":{"DOI":"10.1016/j.jacc.2012.07.013","ISBN":"0735-1097","ISSN":"07351097","PMID":"23182125","abstract":"General Considerations......e70 Risk Assessment Using Clinical Parameters......e71 Advanced Testing: Resting and Stress Noninvasive Testing......e72 Resting Imaging to Assess Cardiac Structure and Function: Recommendations......e72 Stress Testing and Advanced Imaging in Patients With Known SIHD Who Require Noninvasive Testing for Risk Assessment: Recommendations......e74 Risk Assessment in Patients Able to Exercise......e74 Risk Assessment in Patients Unable to Exercise......e74 Risk Assessment Regardless of Patients' Ability to Exercise......e74 Exercise ECG......e75 Exercise Echocardiography and Exercise Nuclear MPI......e76 Dobutamine Stress Echocardiography and Pharmacological Stress Nuclear MPI......e77 Pharmacological Stress CMR Imaging......e77 Special Patient Group: Risk Assessment in Patients Who Have an Uninterpretable ECG Because of LBBB or Ventricular Pacing......e77 Prognostic Accuracy of Anatomic Testing to Assess Risk in Patients With Known CAD......e78 Coronary CT Angiography......e78 Coronary Angiography......e78 Coronary Angiography as an Initial Testing Strategy to Assess Risk: Recommendations......e78 Coronary Angiography to Assess Risk After Initial Workup With Noninvasive Testing: Recommendations......e78 Treatment......e80 Definition of Successful Treatment......e80 General Approach to Therapy......e82 Factors That Should Not Influence Treatment Decisions......e83 Assessing Patients' Quality of Life......e84 Patient Education: Recommendations......e84 Guideline-Directed Medical Therapy......e86 Risk Factor Modification: Recommendations......e86 Lipid Management......e86 Blood Pressure Management......e88 Diabetes Management......e89 Physical Activity......e91 Weight Management......e92 Smoking Cessation Counseling......e92 Management of Psychological Factors......e93 Alcohol Consumption......e94 Avoiding Exposure to Air Pollution......e94 Additional Medical Therapy to Prevent MI and Death: Recommendations......e95 Antiplatelet Therapy......e95 Beta-Blocker Therapy......e96 Renin-Angiotensin-Aldosterone Blocker Therapy......e97 Influenza Vaccination......e98 Additional Therapy to Reduce Risk of MI and Death......e99 Medical Therapy for Relief of Symptoms......e100 Use of Anti-ischemic Medications: Recommendations......e100 Alternative Therapies for Relief of Symptoms in Patients With Refractory Angina: Recommendations......e104 Enhanced External Counterpulsation......e104 Spinal Cord Stimulation......e105 Acupuncture......e105 CAD …","author":[{"dropping-particle":"","family":"Fihn","given":"Stephan D.","non-dropping-particle":"","parse-names":false,"suffix":""},{"dropping-particle":"","family":"Gardin","given":"Julius M.","non-dropping-particle":"","parse-names":false,"suffix":""},{"dropping-particle":"","family":"Abrams","given":"Jonathan","non-dropping-particle":"","parse-names":false,"suffix":""},{"dropping-particle":"","family":"Berra","given":"Kathleen","non-dropping-particle":"","parse-names":false,"suffix":""},{"dropping-particle":"","family":"Blankenship","given":"James C.","non-dropping-particle":"","parse-names":false,"suffix":""},{"dropping-particle":"","family":"Dallas","given":"Apostolos P.","non-dropping-particle":"","parse-names":false,"suffix":""},{"dropping-particle":"","family":"Douglas","given":"Pamela S.","non-dropping-particle":"","parse-names":false,"suffix":""},{"dropping-particle":"","family":"Foody","given":"Joanne M.","non-dropping-particle":"","parse-names":false,"suffix":""},{"dropping-particle":"","family":"Gerber","given":"Thomas C.","non-dropping-particle":"","parse-names":false,"suffix":""},{"dropping-particle":"","family":"Hinderliter","given":"Alan L.","non-dropping-particle":"","parse-names":false,"suffix":""},{"dropping-particle":"","family":"King","given":"Spencer B.","non-dropping-particle":"","parse-names":false,"suffix":""},{"dropping-particle":"","family":"Kligfield","given":"Paul D.","non-dropping-particle":"","parse-names":false,"suffix":""},{"dropping-particle":"","family":"Krumholz","given":"Harlan M.","non-dropping-particle":"","parse-names":false,"suffix":""},{"dropping-particle":"","family":"Kwong","given":"Raymond Y.K.","non-dropping-particle":"","parse-names":false,"suffix":""},{"dropping-particle":"","family":"Lim","given":"Michael J.","non-dropping-particle":"","parse-names":false,"suffix":""},{"dropping-particle":"","family":"Linderbaum","given":"Jane A.","non-dropping-particle":"","parse-names":false,"suffix":""},{"dropping-particle":"","family":"MacK","given":"Michael J.","non-dropping-particle":"","parse-names":false,"suffix":""},{"dropping-particle":"","family":"Munger","given":"Mark A.","non-dropping-particle":"","parse-names":false,"suffix":""},{"dropping-particle":"","family":"Prager","given":"Richard L.","non-dropping-particle":"","parse-names":false,"suffix":""},{"dropping-particle":"","family":"Sabik","given":"Joseph F.","non-dropping-particle":"","parse-names":false,"suffix":""},{"dropping-particle":"","family":"Shaw","given":"Leslee J.","non-dropping-particle":"","parse-names":false,"suffix":""},{"dropping-particle":"","family":"Sikkema","given":"Joanna D.","non-dropping-particle":"","parse-names":false,"suffix":""},{"dropping-particle":"","family":"Smith","given":"Craig R.","non-dropping-particle":"","parse-names":false,"suffix":""},{"dropping-particle":"","family":"Smith","given":"Sidney C.","non-dropping-particle":"","parse-names":false,"suffix":""},{"dropping-particle":"","family":"Spertus","given":"John A.","non-dropping-particle":"","parse-names":false,"suffix":""},{"dropping-particle":"V.","family":"Williams","given":"Sankey","non-dropping-particle":"","parse-names":false,"suffix":""}],"container-title":"Journal of the American College of Cardiology","id":"ITEM-1","issue":"24","issued":{"date-parts":[["2012"]]},"page":"e44-e164","publisher":"Elsevier Inc.","title":"2012 ACCF/AHA/ACP/AATS/PCNA/SCAI/STS guideline for the diagnosis and management of patients with stable ischemic heart disease","type":"article-journal","volume":"60"},"uris":["http://www.mendeley.com/documents/?uuid=a3cc4f02-c30e-4592-a2e1-c6d44a55dcc1"]},{"id":"ITEM-2","itemData":{"DOI":"10.1093/eurheartj/eht296","ISBN":"0195-668x","ISSN":"0195668X","PMID":"23996286","abstract":"Guidelines summarize and evaluate all evidence available, at the time of the writing process, on a particular issue with the aim of assisting physicians in selecting the best management strategies for an individual patient with a given condition, taking into account the impact on outcome, as well as the risk–benefit ratio of particular diagnostic or therapeutic means. Guidelines are not substitutes but are complements for textbooks, and cover the ESC Core Curriculum topics. Guidelines and recommendations should help physicians to make decisions in their daily practice: however, the final decisions concerning an individual patient must be made by the responsible physician(s). A great number of Guidelines have been issued in recent years by the European Society of Cardiology (ESC) as well as by other societies and organisations. Because of the impact on clinical practice, quality criteria for the development of guidelines have been established in order to make all decisions transparent to the user. The recommendations for formulating and issuing ESC Guidelines can be found on the ESC website (http://www.escardio.org/guidelines-surveys/esc-guidelines/about/Pages/rules-writing.aspx). ESC Guidelines represent the official position of the ESC on a given topic and are regularly updated. Members of this Task Force were selected by the ESC to represent professionals involved with the medical care of patients with this pathology. Selected experts in the field undertook a comprehensive review of the published evidence for the diagnosis, management and/or prevention of a given condition according to the ESC Committee for Practice Guidelines (CPG) policy. A critical evaluation of diagnostic and therapeutic procedures was performed, including assessment of the risk–benefit ratio. Estimates of expected health outcomes for larger populations were included, where data exist. The level of evidence and the strength of recommendation of particular treatment options were weighed and graded according to predefined scales, as outlined in Tables 1 and 2. The experts of the writing and reviewing panels completed Declaration of Interest forms where real or potential sources of conflicts of interest might be perceived. These forms were compiled into one file and can be found on the ESC website (http://www.escardio.org/guidelines). Any changes in declarations of interest that arise during the writing period must be notified to the ESC and updated. The Task Force received its entir…","author":[{"dropping-particle":"","family":"Montalescot","given":"Gilles","non-dropping-particle":"","parse-names":false,"suffix":""},{"dropping-particle":"","family":"Sechtem","given":"Udo","non-dropping-particle":"","parse-names":false,"suffix":""},{"dropping-particle":"","family":"Achenbach","given":"Stephan","non-dropping-particle":"","parse-names":false,"suffix":""},{"dropping-particle":"","family":"Andreotti","given":"Felicita","non-dropping-particle":"","parse-names":false,"suffix":""},{"dropping-particle":"","family":"Arden","given":"Chris","non-dropping-particle":"","parse-names":false,"suffix":""},{"dropping-particle":"","family":"Budaj","given":"Andrzej","non-dropping-particle":"","parse-names":false,"suffix":""},{"dropping-particle":"","family":"Bugiardini","given":"Raffaele","non-dropping-particle":"","parse-names":false,"suffix":""},{"dropping-particle":"","family":"Crea","given":"Filippo","non-dropping-particle":"","parse-names":false,"suffix":""},{"dropping-particle":"","family":"Cuisset","given":"Thomas","non-dropping-particle":"","parse-names":false,"suffix":""},{"dropping-particle":"","family":"Mario","given":"Carlo","non-dropping-particle":"Di","parse-names":false,"suffix":""},{"dropping-particle":"","family":"Ferreira","given":"J. Rafael","non-dropping-particle":"","parse-names":false,"suffix":""},{"dropping-particle":"","family":"Gersh","given":"Bernard J.","non-dropping-particle":"","parse-names":false,"suffix":""},{"dropping-particle":"","family":"Gitt","given":"Anselm K.","non-dropping-particle":"","parse-names":false,"suffix":""},{"dropping-particle":"","family":"Hulot","given":"Jean Sebastien","non-dropping-particle":"","parse-names":false,"suffix":""},{"dropping-particle":"","family":"Marx","given":"Nikolaus","non-dropping-particle":"","parse-names":false,"suffix":""},{"dropping-particle":"","family":"Opie","given":"Lionel H.","non-dropping-particle":"","parse-names":false,"suffix":""},{"dropping-particle":"","family":"Pfisterer","given":"Matthias","non-dropping-particle":"","parse-names":false,"suffix":""},{"dropping-particle":"","family":"Prescott","given":"Eva","non-dropping-particle":"","parse-names":false,"suffix":""},{"dropping-particle":"","family":"Ruschitzka","given":"Frank","non-dropping-particle":"","parse-names":false,"suffix":""},{"dropping-particle":"","family":"Sabaté","given":"Manel","non-dropping-particle":"","parse-names":false,"suffix":""},{"dropping-particle":"","family":"Senior","given":"Roxy","non-dropping-particle":"","parse-names":false,"suffix":""},{"dropping-particle":"","family":"Taggart","given":"David Paul","non-dropping-particle":"","parse-names":false,"suffix":""},{"dropping-particle":"","family":"Wall","given":"Ernst E.","non-dropping-particle":"Van Der","parse-names":false,"suffix":""},{"dropping-particle":"","family":"Vrints","given":"Christiaan J.M.","non-dropping-particle":"","parse-names":false,"suffix":""},{"dropping-particle":"","family":"Zamorano","given":"Jose Luis","non-dropping-particle":"","parse-names":false,"suffix":""},{"dropping-particle":"","family":"Baumgartner","given":"Helmut","non-dropping-particle":"","parse-names":false,"suffix":""},{"dropping-particle":"","family":"Bax","given":"Jeroen J.","non-dropping-particle":"","parse-names":false,"suffix":""},{"dropping-particle":"","family":"Bueno","given":"Héctor","non-dropping-particle":"","parse-names":false,"suffix":""},{"dropping-particle":"","family":"Dean","given":"Veronica","non-dropping-particle":"","parse-names":false,"suffix":""},{"dropping-particle":"","family":"Deaton","given":"Christi","non-dropping-particle":"","parse-names":false,"suffix":""},{"dropping-particle":"","family":"Erol","given":"Cetin","non-dropping-particle":"","parse-names":false,"suffix":""},{"dropping-particle":"","family":"Fagard","given":"Robert","non-dropping-particle":"","parse-names":false,"suffix":""},{"dropping-particle":"","family":"Ferrari","given":"Roberto","non-dropping-particle":"","parse-names":false,"suffix":""},{"dropping-particle":"","family":"Hasdai","given":"David","non-dropping-particle":"","parse-names":false,"suffix":""},{"dropping-particle":"","family":"Hoes","given":"Arno W.","non-dropping-particle":"","parse-names":false,"suffix":""},{"dropping-particle":"","family":"Kirchhof","given":"Paulus","non-dropping-particle":"","parse-names":false,"suffix":""},{"dropping-particle":"","family":"Knuuti","given":"Juhani","non-dropping-particle":"","parse-names":false,"suffix":""},{"dropping-particle":"","family":"Kolh","given":"Philippe","non-dropping-particle":"","parse-names":false,"suffix":""},{"dropping-particle":"","family":"Lancellotti","given":"Patrizio","non-dropping-particle":"","parse-names":false,"suffix":""},{"dropping-particle":"","family":"Linhart","given":"Ales","non-dropping-particle":"","parse-names":false,"suffix":""},{"dropping-particle":"","family":"Nihoyannopoulos","given":"Petros","non-dropping-particle":"","parse-names":false,"suffix":""},{"dropping-particle":"","family":"Piepoli","given":"Massimo F.","non-dropping-particle":"","parse-names":false,"suffix":""},{"dropping-particle":"","family":"Ponikowski","given":"Piotr","non-dropping-particle":"","parse-names":false,"suffix":""},{"dropping-particle":"","family":"Sirnes","given":"Per Anton","non-dropping-particle":"","parse-names":false,"suffix":""},{"dropping-particle":"","family":"Tamargo","given":"Juan Luis","non-dropping-particle":"","parse-names":false,"suffix":""},{"dropping-particle":"","family":"Tendera","given":"Michal","non-dropping-particle":"","parse-names":false,"suffix":""},{"dropping-particle":"","family":"Torbicki","given":"Adam","non-dropping-particle":"","parse-names":false,"suffix":""},{"dropping-particle":"","family":"Wijns","given":"William","non-dropping-particle":"","parse-names":false,"suffix":""},{"dropping-particle":"","family":"Windecker","given":"Stephan","non-dropping-particle":"","parse-names":false,"suffix":""},{"dropping-particle":"","family":"Valgimigli","given":"Marco","non-dropping-particle":"","parse-names":false,"suffix":""},{"dropping-particle":"","family":"Claeys","given":"Marc J.","non-dropping-particle":"","parse-names":false,"suffix":""},{"dropping-particle":"","family":"Donner-Banzhoff","given":"Norbert","non-dropping-particle":"","parse-names":false,"suffix":""},{"dropping-particle":"","family":"Frank","given":"Herbert","non-dropping-particle":"","parse-names":false,"suffix":""},{"dropping-particle":"","family":"Funck-Brentano","given":"Christian","non-dropping-particle":"","parse-names":false,"suffix":""},{"dropping-particle":"","family":"Gaemperli","given":"Oliver","non-dropping-particle":"","parse-names":false,"suffix":""},{"dropping-particle":"","family":"Gonzalez-Juanatey","given":"José R.","non-dropping-particle":"","parse-names":false,"suffix":""},{"dropping-particle":"","family":"Hamilos","given":"Michalis","non-dropping-particle":"","parse-names":false,"suffix":""},{"dropping-particle":"","family":"Husted","given":"Steen","non-dropping-particle":"","parse-names":false,"suffix":""},{"dropping-particle":"","family":"James","given":"Stefan K.","non-dropping-particle":"","parse-names":false,"suffix":""},{"dropping-particle":"","family":"Kervinen","given":"Kari","non-dropping-particle":"","parse-names":false,"suffix":""},{"dropping-particle":"","family":"Kristensen","given":"Steen Dalby","non-dropping-particle":"","parse-names":false,"suffix":""},{"dropping-particle":"Pietro","family":"Maggioni","given":"Aldo","non-dropping-particle":"","parse-names":false,"suffix":""},{"dropping-particle":"","family":"Romeo","given":"Francesco","non-dropping-particle":"","parse-names":false,"suffix":""},{"dropping-particle":"","family":"Rydén","given":"Lars","non-dropping-particle":"","parse-names":false,"suffix":""},{"dropping-particle":"","family":"Simoons","given":"Maarten L.","non-dropping-particle":"","parse-names":false,"suffix":""},{"dropping-particle":"","family":"Steg","given":"Ph Gabriel","non-dropping-particle":"","parse-names":false,"suffix":""},{"dropping-particle":"","family":"Timmis","given":"Adam","non-dropping-particle":"","parse-names":false,"suffix":""},{"dropping-particle":"","family":"Yildirir","given":"Aylin","non-dropping-particle":"","parse-names":false,"suffix":""}],"container-title":"European Heart Journal","id":"ITEM-2","issue":"38","issued":{"date-parts":[["2013"]]},"page":"2949-3003","title":"2013 ESC guidelines on the management of stable coronary artery disease","type":"article-journal","volume":"34"},"uris":["http://www.mendeley.com/documents/?uuid=c486aed2-918b-453b-ac74-6066b87f9ef5"]}],"mendeley":{"formattedCitation":"&lt;sup&gt;1,2&lt;/sup&gt;","plainTextFormattedCitation":"1,2","previouslyFormattedCitation":"&lt;sup&gt;1,2&lt;/sup&gt;"},"properties":{"noteIndex":0},"schema":"https://github.com/citation-style-language/schema/raw/master/csl-citation.json"}</w:instrText>
      </w:r>
      <w:r w:rsidR="003D6D2C" w:rsidRPr="00274EAE">
        <w:rPr>
          <w:rFonts w:ascii="Arial" w:hAnsi="Arial" w:cs="Arial"/>
          <w:bCs/>
          <w:sz w:val="24"/>
          <w:szCs w:val="24"/>
        </w:rPr>
        <w:fldChar w:fldCharType="separate"/>
      </w:r>
      <w:r w:rsidR="003D6D2C" w:rsidRPr="00274EAE">
        <w:rPr>
          <w:rFonts w:ascii="Arial" w:hAnsi="Arial" w:cs="Arial"/>
          <w:bCs/>
          <w:noProof/>
          <w:sz w:val="24"/>
          <w:szCs w:val="24"/>
          <w:vertAlign w:val="superscript"/>
        </w:rPr>
        <w:t>1,2</w:t>
      </w:r>
      <w:r w:rsidR="003D6D2C" w:rsidRPr="00274EAE">
        <w:rPr>
          <w:rFonts w:ascii="Arial" w:hAnsi="Arial" w:cs="Arial"/>
          <w:bCs/>
          <w:sz w:val="24"/>
          <w:szCs w:val="24"/>
        </w:rPr>
        <w:fldChar w:fldCharType="end"/>
      </w:r>
      <w:r w:rsidR="003D6D2C" w:rsidRPr="00274EAE">
        <w:rPr>
          <w:rFonts w:ascii="Arial" w:hAnsi="Arial" w:cs="Arial"/>
          <w:bCs/>
          <w:sz w:val="24"/>
          <w:szCs w:val="24"/>
        </w:rPr>
        <w:t xml:space="preserve">  This is due to the high sensitivity and negative predictive value </w:t>
      </w:r>
      <w:r w:rsidR="00470020" w:rsidRPr="00274EAE">
        <w:rPr>
          <w:rFonts w:ascii="Arial" w:hAnsi="Arial" w:cs="Arial"/>
          <w:bCs/>
          <w:sz w:val="24"/>
          <w:szCs w:val="24"/>
        </w:rPr>
        <w:t>evidenced</w:t>
      </w:r>
      <w:r w:rsidR="003D6D2C" w:rsidRPr="00274EAE">
        <w:rPr>
          <w:rFonts w:ascii="Arial" w:hAnsi="Arial" w:cs="Arial"/>
          <w:bCs/>
          <w:sz w:val="24"/>
          <w:szCs w:val="24"/>
        </w:rPr>
        <w:t xml:space="preserve"> in multiple diagnostic accuracy studies, allowing for the effective exclusion of coronary artery disease following a negative test.</w:t>
      </w:r>
      <w:r w:rsidR="001817D1" w:rsidRPr="00274EAE">
        <w:rPr>
          <w:rFonts w:ascii="Arial" w:hAnsi="Arial" w:cs="Arial"/>
          <w:bCs/>
          <w:sz w:val="24"/>
          <w:szCs w:val="24"/>
        </w:rPr>
        <w:fldChar w:fldCharType="begin" w:fldLock="1"/>
      </w:r>
      <w:r w:rsidR="00455D00">
        <w:rPr>
          <w:rFonts w:ascii="Arial" w:hAnsi="Arial" w:cs="Arial"/>
          <w:bCs/>
          <w:sz w:val="24"/>
          <w:szCs w:val="24"/>
        </w:rPr>
        <w:instrText xml:space="preserve">ADDIN CSL_CITATION {"citationItems":[{"id":"ITEM-1","itemData":{"DOI":"10.1016/j.acra.2016.09.008","ISSN":"18784046","PMID":"27771227","abstract":"Rationale and Objectives Although multiple studies have shown excellent accuracy statistics for noninvasive angiography by coronary computed tomographic angiography (CCTA), most studies comparing nuclear imaging to CCTA were performed on patients already referred for cardiac catheterization, introducing referral and selection bias. This prospective trial evaluated the diagnostic accuracy of 64-row CCTA to detect obstructive coronary stenosis compared to myocardial perfusion imaging (MPI), using quantitative coronary angiography (QCA) as a reference standard. Materials and Methods Twelve sites prospectively enrolled 230 patients (49% male, 57.8 years) with chest pain. All patients underwent MPI and CCTA (Lightspeed VCT/Visipaque 320, GE Healthcare, Milwaukee, WI, USA) prior to invasive coronary angiography (ICA). All patients were evaluated, and those found to have either an abnormal MPI or CCTA were clinically referred for ICA. CCTAs were graded on a 15-segment American Heart Association model by three blinded readers for presence of obstructive stenosis (&gt;50% or &gt;70%); MPI was graded by two blinded readers using a 17-segment model for estimation of the % myocardium ischemic or with stress defects. ICAs were independently graded for % stenosis by QCA. The efficacies of MPI and CCTA were assessed including all vessel segments for per-patient and per-vessel analyses. Results The prevalence of stenosis </w:instrText>
      </w:r>
      <w:r w:rsidR="00455D00">
        <w:rPr>
          <w:rFonts w:ascii="Arial" w:hAnsi="Arial" w:cs="Arial" w:hint="eastAsia"/>
          <w:bCs/>
          <w:sz w:val="24"/>
          <w:szCs w:val="24"/>
        </w:rPr>
        <w:instrText>≥</w:instrText>
      </w:r>
      <w:r w:rsidR="00455D00">
        <w:rPr>
          <w:rFonts w:ascii="Arial" w:hAnsi="Arial" w:cs="Arial"/>
          <w:bCs/>
          <w:sz w:val="24"/>
          <w:szCs w:val="24"/>
        </w:rPr>
        <w:instrText xml:space="preserve">50% by ICA was 52.1% (25 of 48). The sensitivity of CCTA was significantly higher than nuclear imaging (92.0% vs 54.5%, P &lt; 0.001), with similar specificity (87.0% vs 78.3%) when obstructive disease was defined as </w:instrText>
      </w:r>
      <w:r w:rsidR="00455D00">
        <w:rPr>
          <w:rFonts w:ascii="Arial" w:hAnsi="Arial" w:cs="Arial" w:hint="eastAsia"/>
          <w:bCs/>
          <w:sz w:val="24"/>
          <w:szCs w:val="24"/>
        </w:rPr>
        <w:instrText>≥</w:instrText>
      </w:r>
      <w:r w:rsidR="00455D00">
        <w:rPr>
          <w:rFonts w:ascii="Arial" w:hAnsi="Arial" w:cs="Arial"/>
          <w:bCs/>
          <w:sz w:val="24"/>
          <w:szCs w:val="24"/>
        </w:rPr>
        <w:instrText xml:space="preserve">50%. CCTA provided superior sensitivity (92.6% vs 59.3%, P &lt; 0.001) and similar specificity (88.9% vs 81.5%) using QCA stenosis </w:instrText>
      </w:r>
      <w:r w:rsidR="00455D00">
        <w:rPr>
          <w:rFonts w:ascii="Arial" w:hAnsi="Arial" w:cs="Arial" w:hint="eastAsia"/>
          <w:bCs/>
          <w:sz w:val="24"/>
          <w:szCs w:val="24"/>
        </w:rPr>
        <w:instrText>≥</w:instrText>
      </w:r>
      <w:r w:rsidR="00455D00">
        <w:rPr>
          <w:rFonts w:ascii="Arial" w:hAnsi="Arial" w:cs="Arial"/>
          <w:bCs/>
          <w:sz w:val="24"/>
          <w:szCs w:val="24"/>
        </w:rPr>
        <w:instrText xml:space="preserve">70%. For </w:instrText>
      </w:r>
      <w:r w:rsidR="00455D00">
        <w:rPr>
          <w:rFonts w:ascii="Arial" w:hAnsi="Arial" w:cs="Arial" w:hint="eastAsia"/>
          <w:bCs/>
          <w:sz w:val="24"/>
          <w:szCs w:val="24"/>
        </w:rPr>
        <w:instrText>≥</w:instrText>
      </w:r>
      <w:r w:rsidR="00455D00">
        <w:rPr>
          <w:rFonts w:ascii="Arial" w:hAnsi="Arial" w:cs="Arial"/>
          <w:bCs/>
          <w:sz w:val="24"/>
          <w:szCs w:val="24"/>
        </w:rPr>
        <w:instrText xml:space="preserve">50% stenosis, the computed tomographic angiography odds ratio for ICA disease was 51.75 (95% CI = 8.50–314.94, P &lt; 0.001). For summed stress score </w:instrText>
      </w:r>
      <w:r w:rsidR="00455D00">
        <w:rPr>
          <w:rFonts w:ascii="Arial" w:hAnsi="Arial" w:cs="Arial" w:hint="eastAsia"/>
          <w:bCs/>
          <w:sz w:val="24"/>
          <w:szCs w:val="24"/>
        </w:rPr>
        <w:instrText>≥</w:instrText>
      </w:r>
      <w:r w:rsidR="00455D00">
        <w:rPr>
          <w:rFonts w:ascii="Arial" w:hAnsi="Arial" w:cs="Arial"/>
          <w:bCs/>
          <w:sz w:val="24"/>
          <w:szCs w:val="24"/>
        </w:rPr>
        <w:instrText>5%, the odds ratio for ICA CAD was 12.73 (95% CI = 2.43–66.55, P &lt; 0.001). Using receiver operating characteristic curve analysis, CCTA was better at classifying obstructive coronary artery disease when compared to MPI (area = 0.85 vs 0.71, P &lt; 0.0001). Conclusions This study represents one of the first prospective multicenter, controlled clinical trials comparing 64-row CCTA to MPI in the same patients, demonstrating superior diagnostic accuracy of CCTA over myocardial perfusion single photon emission computed tomography (MPS) to reliably detect &gt;50% and &gt;70% sten…","author":[{"dropping-particle":"","family":"Budoff","given":"Matthew J.","non-dropping-particle":"","parse-names":false,"suffix":""},{"dropping-particle":"","family":"Li","given":"Dong","non-dropping-particle":"","parse-names":false,"suffix":""},{"dropping-particle":"","family":"Kazerooni","given":"Ella A.","non-dropping-particle":"","parse-names":false,"suffix":""},{"dropping-particle":"","family":"Thomas","given":"Gregory S.","non-dropping-particle":"","parse-names":false,"suffix":""},{"dropping-particle":"","family":"Mieres","given":"Jennifer H.","non-dropping-particle":"","parse-names":false,"suffix":""},{"dropping-particle":"","family":"Shaw","given":"Leslee J.","non-dropping-particle":"","parse-names":false,"suffix":""}],"container-title":"Academic Radiology","id":"ITEM-1","issue":"1","issued":{"date-parts":[["2017"]]},"page":"22-29","publisher":"Elsevier Inc.","title":"Diagnostic Accuracy of Noninvasive 64-row Computed Tomographic Coronary Angiography (CCTA) Compared with Myocardial Perfusion Imaging (MPI): The PICTURE Study, A Prospective Multicenter Trial","type":"article-journal","volume":"24"},"uris":["http://www.mendeley.com/documents/?uuid=564f7b0c-eb1c-4cad-951c-a9a66b8104a8"]},{"id":"ITEM-2","itemData":{"DOI":"10.1161/CIRCIMAGING.114.002179","ISBN":"1941-9651","ISSN":"1942-0080","PMID":"25711274","abstract":"BACKGROUND The choice of imaging techniques in patients with suspected coronary artery disease (CAD) varies between countries, regions, and hospitals. This prospective, multicenter, comparative effectiveness study was designed to assess the relative accuracy of commonly used imaging techniques for identifying patients with significant CAD. METHODS AND RESULTS A total of 475 patients with stable chest pain and intermediate likelihood of CAD underwent coronary computed tomographic angiography and stress myocardial perfusion imaging by single photon emission computed tomography or positron emis</w:instrText>
      </w:r>
      <w:r w:rsidR="00455D00">
        <w:rPr>
          <w:rFonts w:ascii="Arial" w:hAnsi="Arial" w:cs="Arial" w:hint="eastAsia"/>
          <w:bCs/>
          <w:sz w:val="24"/>
          <w:szCs w:val="24"/>
        </w:rPr>
        <w:instrText xml:space="preserve">sion tomography, and ventricular wall motion imaging by stress echocardiography or cardiac magnetic resonance. If </w:instrText>
      </w:r>
      <w:r w:rsidR="00455D00">
        <w:rPr>
          <w:rFonts w:ascii="Arial" w:hAnsi="Arial" w:cs="Arial" w:hint="eastAsia"/>
          <w:bCs/>
          <w:sz w:val="24"/>
          <w:szCs w:val="24"/>
        </w:rPr>
        <w:instrText>≥</w:instrText>
      </w:r>
      <w:r w:rsidR="00455D00">
        <w:rPr>
          <w:rFonts w:ascii="Arial" w:hAnsi="Arial" w:cs="Arial" w:hint="eastAsia"/>
          <w:bCs/>
          <w:sz w:val="24"/>
          <w:szCs w:val="24"/>
        </w:rPr>
        <w:instrText xml:space="preserve">1 test was abnormal, patients underwent invasive coronary angiography. Significant CAD was defined by invasive coronary angiography as &gt;50% stenosis of the left main stem, &gt;70% stenosis in a major coronary vessel, or 30% to 70% stenosis with fractional flow reserve </w:instrText>
      </w:r>
      <w:r w:rsidR="00455D00">
        <w:rPr>
          <w:rFonts w:ascii="Arial" w:hAnsi="Arial" w:cs="Arial" w:hint="eastAsia"/>
          <w:bCs/>
          <w:sz w:val="24"/>
          <w:szCs w:val="24"/>
        </w:rPr>
        <w:instrText>≤</w:instrText>
      </w:r>
      <w:r w:rsidR="00455D00">
        <w:rPr>
          <w:rFonts w:ascii="Arial" w:hAnsi="Arial" w:cs="Arial" w:hint="eastAsia"/>
          <w:bCs/>
          <w:sz w:val="24"/>
          <w:szCs w:val="24"/>
        </w:rPr>
        <w:instrText xml:space="preserve">0.8. Significant CAD was present in 29% of patients. In a patient-based analysis, coronary computed tomographic angiography had </w:instrText>
      </w:r>
      <w:r w:rsidR="00455D00">
        <w:rPr>
          <w:rFonts w:ascii="Arial" w:hAnsi="Arial" w:cs="Arial"/>
          <w:bCs/>
          <w:sz w:val="24"/>
          <w:szCs w:val="24"/>
        </w:rPr>
        <w:instrText>the highest diagnostic accuracy, the area under the receiver operating characteristics curve being 0.91 (95% confidence interval, 0.88-0.94), sensitivity being 91%, and specificity being 92%. Myocardial perfusion imaging had good diagnostic accuracy (area under the curve, 0.74; confidence interval, 0.69-0.78), sensitivity 74%, and specificity 73%. Wall motion imaging had similar accuracy (area under the curve, 0.70; confidence interval, 0.65-0.75) but lower sensitivity (49%, P&lt;0.001) and higher specificity (92%, P&lt;0.001). The diagnostic accuracy of myocardial perfusion imaging and wall motion imaging were lower than that of coronary computed tomographic angiography (P&lt;0.001). CONCLUSIONS In a multicenter European population of patients with stable chest pain and low prevalence of CAD, coronary computed tomographic angiography is more accurate than noninvasive functional testing for detecting significant CAD defined invasively. CLINICAL TRIAL REGISTRATION URL http://www.clinicaltrials.gov. Unique identifier: NCT00979199.","author":[{"dropping-particle":"","family":"Neglia","given":"Danilo","non-dropping-particle":"","parse-names":false,"suffix":""},{"dropping-particle":"","family":"Rovai","given":"Daniele","non-dropping-particle":"","parse-names":false,"suffix":""},{"dropping-particle":"","family":"Caselli","given":"Chiara","non-dropping-particle":"","parse-names":false,"suffix":""},{"dropping-particle":"","family":"Pietila","given":"Mikko","non-dropping-particle":"","parse-names":false,"suffix":""},{"dropping-particle":"","family":"Teresinska","given":"Anna","non-dropping-particle":"","parse-names":false,"suffix":""},{"dropping-particle":"","family":"Aguadé-Bruix","given":"Santiago","non-dropping-particle":"","parse-names":false,"suffix":""},{"dropping-particle":"","family":"Pizzi","given":"Maria Nazarena","non-dropping-particle":"","parse-names":false,"suffix":""},{"dropping-particle":"","family":"Todiere","given":"Giancarlo","non-dropping-particle":"","parse-names":false,"suffix":""},{"dropping-particle":"","family":"Gimelli","given":"Alessia","non-dropping-particle":"","parse-names":false,"suffix":""},{"dropping-particle":"","family":"Schroeder","given":"Stephen","non-dropping-particle":"","parse-names":false,"suffix":""},{"dropping-particle":"","family":"Drosch","given":"Tanja","non-dropping-particle":"","parse-names":false,"suffix":""},{"dropping-particle":"","family":"Poddighe","given":"Rosa","non-dropping-particle":"","parse-names":false,"suffix":""},{"dropping-particle":"","family":"Casolo","given":"Giancarlo","non-dropping-particle":"","parse-names":false,"suffix":""},{"dropping-particle":"","family":"Anagnostopoulos","given":"Constantinos","non-dropping-particle":"","parse-names":false,"suffix":""},{"dropping-particle":"","family":"Pugliese","given":"Francesca","non-dropping-particle":"","parse-names":false,"suffix":""},{"dropping-particle":"","family":"Rouzet","given":"Francois","non-dropping-particle":"","parse-names":false,"suffix":""},{"dropping-particle":"","family":"Guludec","given":"Dominique","non-dropping-particle":"Le","parse-names":false,"suffix":""},{"dropping-particle":"","family":"Cappelli","given":"Francesco","non-dropping-particle":"","parse-names":false,"suffix":""},{"dropping-particle":"","family":"Valente","given":"Serafina","non-dropping-particle":"","parse-names":false,"suffix":""},{"dropping-particle":"","family":"Gensini","given":"Gian Franco","non-dropping-particle":"","parse-names":false,"suffix":""},{"dropping-particle":"","family":"Zawaideh","given":"Camilla","non-dropping-particle":"","parse-names":false,"suffix":""},{"dropping-particle":"","family":"Capitanio","given":"Selene","non-dropping-particle":"","parse-names":false,"suffix":""},{"dropping-particle":"","family":"Sambuceti","given":"Gianmario","non-dropping-particle":"","parse-names":false,"suffix":""},{"dropping-particle":"","family":"Marsico","given":"Fabio","non-dropping-particle":"","parse-names":false,"suffix":""},{"dropping-particle":"","family":"Perrone Filardi","given":"Pasquale","non-dropping-particle":"","parse-names":false,"suffix":""},{"dropping-particle":"","family":"Fernández-Golfín","given":"Covadonga","non-dropping-particle":"","parse-names":false,"suffix":""},{"dropping-particle":"","family":"Rincón","given":"Luis M.","non-dropping-particle":"","parse-names":false,"suffix":""},{"dropping-particle":"","family":"Graner","given":"Frank P.","non-dropping-particle":"","parse-names":false,"suffix":""},{"dropping-particle":"","family":"Graaf","given":"Michiel A","non-dropping-particle":"de","parse-names":false,"suffix":""},{"dropping-particle":"","family":"Fiechter","given":"Michael","non-dropping-particle":"","parse-names":false,"suffix":""},{"dropping-particle":"","family":"Stehli","given":"Julia","non-dropping-particle":"","parse-names":false,"suffix":""},{"dropping-particle":"","family":"Gaemperli","given":"Oliver","non-dropping-particle":"","parse-names":false,"suffix":""},{"dropping-particle":"","family":"Reyes","given":"Eliana","non-dropping-particle":"","parse-names":false,"suffix":""},{"dropping-particle":"","family":"Nkomo","given":"Sandy","non-dropping-particle":"","parse-names":false,"suffix":""},{"dropping-particle":"","family":"Mäki","given":"Maija","non-dropping-particle":"","parse-names":false,"suffix":""},{"dropping-particle":"","family":"Lorenzoni","given":"Valentina","non-dropping-particle":"","parse-names":false,"suffix":""},{"dropping-particle":"","family":"Turchetti","given":"Giuseppe","non-dropping-particle":"","parse-names":false,"suffix":""},{"dropping-particle":"","family":"Carpeggiani","given":"Clara","non-dropping-particle":"","parse-names":false,"suffix":""},{"dropping-particle":"","family":"Marinelli","given":"Martina","non-dropping-particle":"","parse-names":false,"suffix":""},{"dropping-particle":"","family":"Puzzuoli","given":"Stefano","non-dropping-particle":"","parse-names":false,"suffix":""},{"dropping-particle":"","family":"Mangione","given":"Maurizio","non-dropping-particle":"","parse-names":false,"suffix":""},{"dropping-particle":"","family":"Marcheschi","given":"Paolo","non-dropping-particle":"","parse-names":false,"suffix":""},{"dropping-particle":"","family":"Mariani","given":"Fabio","non-dropping-particle":"","parse-names":false,"suffix":""},{"dropping-particle":"","family":"Giannessi","given":"Daniela","non-dropping-particle":"","parse-names":false,"suffix":""},{"dropping-particle":"","family":"Nekolla","given":"Stephan","non-dropping-particle":"","parse-names":false,"suffix":""},{"dropping-particle":"","family":"Lombardi","given":"Massimo","non-dropping-particle":"","parse-names":false,"suffix":""},{"dropping-particle":"","family":"Sicari","given":"Rosa","non-dropping-particle":"","parse-names":false,"suffix":""},{"dropping-particle":"","family":"Scholte","given":"Arthur J H A","non-dropping-particle":"","parse-names":false,"suffix":""},{"dropping-particle":"","family":"Zamorano","given":"José L.","non-dropping-particle":"","parse-names":false,"suffix":""},{"dropping-particle":"","family":"Kaufmann","given":"Philipp A.","non-dropping-particle":"","parse-names":false,"suffix":""},{"dropping-particle":"","family":"Underwood","given":"S. Richard","non-dropping-particle":"","parse-names":false,"suffix":""},{"dropping-particle":"","family":"Knuuti","given":"Juhani","non-dropping-particle":"","parse-names":false,"suffix":""},{"dropping-particle":"","family":"EVINCI Study Investigators","given":"","non-dropping-particle":"","parse-names":false,"suffix":""}],"container-title":"Circulation. Cardiovascular imaging","id":"ITEM-2","issue":"3","issued":{"date-parts":[["2015","3"]]},"title":"Detection of significant coronary artery disease by noninvasive anatomical and functional imaging.","type":"article-journal","volume":"8"},"uris":["http://www.mendeley.com/documents/?uuid=9a7e5051-53f0-41f2-892c-08e3d3ea5065"]},{"id":"ITEM-3","itemData":{"DOI":"10.1136/bmj.e6717","ISSN":"1756-1833","PMID":"23097549","abstract":"OBJECTIVE To determine whether a 3 × 2 table, using an intention to diagnose approach, is better than the \"classic\" 2 × 2 table at handling transparent reporting and non-evaluable results, when assessing the accuracy of a diagnostic test. DESIGN Based on a systematic search for diagnostic accuracy studies of coronary computed tomography (CT) angiography, full texts of relevant studies were evaluated to determine whether they could calculate an alternative 3 × 2 table. To quantify an overall effect, we pooled diagnostic accuracy values according to a meta-analytical approach. DATA SOURCES Medline (via PubMed), Embase (via Ovid), and ISI Web of Science electronic databases. ELIGIBILITY CRITERIA Prospective English or German language studies comparing coronary CT with conventional coronary angiography in all patients and providing sufficient data for a patient level analysis. RESULTS 120 studies (10,287 patients) were eligible. Studies varied greatly in their approaches to handling non-evaluable findings. We found 26 studies (including 2298 patients) that allowed us to calculate both 2 × 2 tables and 3 × 2 tables. Using a bivariate random effects model, we compared the 2 × 2 table with the 3 × 2 table, and found significant differences for pooled sensitivity (98.2 (95% confidence interval 96.7 to 99.1) v 92.7 (88.5 to 95.3)), area under the curve (0.99 (0.98 to 1.00) v 0.93 (0.91 to 0.95)), positive likelihood ratio (9.1 (6.2 to 13.3) v 4.4 (3.3 to 6.0)), and negative likelihood ratio (0.02 (0.01 to 0.04) v 0.09 (0.06 to 0.15); (P&lt;0.05)). CONCLUSION Parameters for diagnostic performance significantly decrease if non-evaluable results are included by a 3 × 2 table for analysis (intention to diagnose approach). This approach provides a more realistic picture of the clinical potential of diagnostic tests.","author":[{"dropping-particle":"","family":"Schuetz","given":"Georg M.","non-dropping-particle":"","parse-names":false,"suffix":""},{"dropping-particle":"","family":"Schlattmann","given":"Peter","non-dropping-particle":"","parse-names":false,"suffix":""},{"dropping-particle":"","family":"Dewey","given":"Marc","non-dropping-particle":"","parse-names":false,"suffix":""}],"container-title":"BMJ (Clinical research ed.)","id":"ITEM-3","issue":"7881","issued":{"date-parts":[["2012","10","24"]]},"page":"e6717","title":"Use of 3x2 tables with an intention to diagnose approach to assess clinical performance of diagnostic tests: meta-analytical evaluation of coronary CT angiography studies.","type":"article-journal","volume":"345"},"uris":["http://www.mendeley.com/documents/?uuid=7c9a7236-464a-442f-91c0-398d76510c96"]}],"mendeley":{"formattedCitation":"&lt;sup&gt;3–5&lt;/sup&gt;","plainTextFormattedCitation":"3–5","previouslyFormattedCitation":"&lt;sup&gt;3–5&lt;/sup&gt;"},"properties":{"noteIndex":0},"schema":"https://github.com/citation-style-language/schema/raw/master/csl-citation.json"}</w:instrText>
      </w:r>
      <w:r w:rsidR="001817D1" w:rsidRPr="00274EAE">
        <w:rPr>
          <w:rFonts w:ascii="Arial" w:hAnsi="Arial" w:cs="Arial"/>
          <w:bCs/>
          <w:sz w:val="24"/>
          <w:szCs w:val="24"/>
        </w:rPr>
        <w:fldChar w:fldCharType="separate"/>
      </w:r>
      <w:r w:rsidR="001817D1" w:rsidRPr="00274EAE">
        <w:rPr>
          <w:rFonts w:ascii="Arial" w:hAnsi="Arial" w:cs="Arial"/>
          <w:bCs/>
          <w:noProof/>
          <w:sz w:val="24"/>
          <w:szCs w:val="24"/>
          <w:vertAlign w:val="superscript"/>
        </w:rPr>
        <w:t>3–5</w:t>
      </w:r>
      <w:r w:rsidR="001817D1" w:rsidRPr="00274EAE">
        <w:rPr>
          <w:rFonts w:ascii="Arial" w:hAnsi="Arial" w:cs="Arial"/>
          <w:bCs/>
          <w:sz w:val="24"/>
          <w:szCs w:val="24"/>
        </w:rPr>
        <w:fldChar w:fldCharType="end"/>
      </w:r>
      <w:r w:rsidR="00104891" w:rsidRPr="00274EAE">
        <w:rPr>
          <w:rFonts w:ascii="Arial" w:hAnsi="Arial" w:cs="Arial"/>
          <w:bCs/>
          <w:sz w:val="24"/>
          <w:szCs w:val="24"/>
        </w:rPr>
        <w:t xml:space="preserve">  </w:t>
      </w:r>
      <w:r w:rsidR="005B0A32" w:rsidRPr="00274EAE">
        <w:rPr>
          <w:rFonts w:ascii="Arial" w:hAnsi="Arial" w:cs="Arial"/>
          <w:bCs/>
          <w:sz w:val="24"/>
          <w:szCs w:val="24"/>
        </w:rPr>
        <w:t>Indeed a recent meta-analysis has shown CT to be the best test to rule out coronary artery disease</w:t>
      </w:r>
      <w:r w:rsidR="00930F3F">
        <w:rPr>
          <w:rFonts w:ascii="Arial" w:hAnsi="Arial" w:cs="Arial"/>
          <w:bCs/>
          <w:sz w:val="24"/>
          <w:szCs w:val="24"/>
        </w:rPr>
        <w:t xml:space="preserve"> (CAD)</w:t>
      </w:r>
      <w:r w:rsidR="005B0A32" w:rsidRPr="00274EAE">
        <w:rPr>
          <w:rFonts w:ascii="Arial" w:hAnsi="Arial" w:cs="Arial"/>
          <w:bCs/>
          <w:sz w:val="24"/>
          <w:szCs w:val="24"/>
        </w:rPr>
        <w:t xml:space="preserve"> </w:t>
      </w:r>
      <w:r w:rsidR="00625B03" w:rsidRPr="00274EAE">
        <w:rPr>
          <w:rFonts w:ascii="Arial" w:hAnsi="Arial" w:cs="Arial"/>
          <w:bCs/>
          <w:sz w:val="24"/>
          <w:szCs w:val="24"/>
        </w:rPr>
        <w:t>irrespective of pre-test probability</w:t>
      </w:r>
      <w:r w:rsidR="005B0A32" w:rsidRPr="00274EAE">
        <w:rPr>
          <w:rFonts w:ascii="Arial" w:hAnsi="Arial" w:cs="Arial"/>
          <w:bCs/>
          <w:sz w:val="24"/>
          <w:szCs w:val="24"/>
        </w:rPr>
        <w:t>.</w:t>
      </w:r>
      <w:r w:rsidR="005B0A32" w:rsidRPr="00274EAE">
        <w:rPr>
          <w:rFonts w:ascii="Arial" w:hAnsi="Arial" w:cs="Arial"/>
          <w:bCs/>
          <w:sz w:val="24"/>
          <w:szCs w:val="24"/>
        </w:rPr>
        <w:fldChar w:fldCharType="begin" w:fldLock="1"/>
      </w:r>
      <w:r w:rsidR="009619EC">
        <w:rPr>
          <w:rFonts w:ascii="Arial" w:hAnsi="Arial" w:cs="Arial"/>
          <w:bCs/>
          <w:sz w:val="24"/>
          <w:szCs w:val="24"/>
        </w:rPr>
        <w:instrText>ADDIN CSL_CITATION {"citationItems":[{"id":"ITEM-1","itemData":{"DOI":"10.1093/eurheartj/ehy267","ISSN":"0195-668X","author":[{"dropping-particle":"","family":"Knuuti","given":"Juhani","non-dropping-particle":"","parse-names":false,"suffix":""},{"dropping-particle":"","family":"Ballo","given":"Haitham","non-dropping-particle":"","parse-names":false,"suffix":""},{"dropping-particle":"","family":"Juarez-Orozco","given":"Luis Eduardo","non-dropping-particle":"","parse-names":false,"suffix":""},{"dropping-particle":"","family":"Saraste","given":"Antti","non-dropping-particle":"","parse-names":false,"suffix":""},{"dropping-particle":"","family":"Kolh","given":"Philippe","non-dropping-particle":"","parse-names":false,"suffix":""},{"dropping-particle":"","family":"Rutjes","given":"Anne Wilhelmina Saskia","non-dropping-particle":"","parse-names":false,"suffix":""},{"dropping-particle":"","family":"Jüni","given":"Peter","non-dropping-particle":"","parse-names":false,"suffix":""},{"dropping-particle":"","family":"Windecker","given":"Stephan","non-dropping-particle":"","parse-names":false,"suffix":""},{"dropping-particle":"","family":"Bax","given":"Jeroen J","non-dropping-particle":"","parse-names":false,"suffix":""},{"dropping-particle":"","family":"Wijns","given":"William","non-dropping-particle":"","parse-names":false,"suffix":""}],"container-title":"European Heart Journal","id":"ITEM-1","issue":"35","issued":{"date-parts":[["2018","9","14"]]},"page":"3322-3330","title":"The performance of non-invasive tests to rule-in and rule-out significant coronary artery stenosis in patients with stable angina: a meta-analysis focused on post-test disease probability","type":"article-journal","volume":"39"},"uris":["http://www.mendeley.com/documents/?uuid=940dceb8-458e-4e4b-aefa-47f6efd90a69"]}],"mendeley":{"formattedCitation":"&lt;sup&gt;6&lt;/sup&gt;","plainTextFormattedCitation":"6","previouslyFormattedCitation":"&lt;sup&gt;6&lt;/sup&gt;"},"properties":{"noteIndex":0},"schema":"https://github.com/citation-style-language/schema/raw/master/csl-citation.json"}</w:instrText>
      </w:r>
      <w:r w:rsidR="005B0A32" w:rsidRPr="00274EAE">
        <w:rPr>
          <w:rFonts w:ascii="Arial" w:hAnsi="Arial" w:cs="Arial"/>
          <w:bCs/>
          <w:sz w:val="24"/>
          <w:szCs w:val="24"/>
        </w:rPr>
        <w:fldChar w:fldCharType="separate"/>
      </w:r>
      <w:r w:rsidR="005B0A32" w:rsidRPr="00274EAE">
        <w:rPr>
          <w:rFonts w:ascii="Arial" w:hAnsi="Arial" w:cs="Arial"/>
          <w:bCs/>
          <w:noProof/>
          <w:sz w:val="24"/>
          <w:szCs w:val="24"/>
          <w:vertAlign w:val="superscript"/>
        </w:rPr>
        <w:t>6</w:t>
      </w:r>
      <w:r w:rsidR="005B0A32" w:rsidRPr="00274EAE">
        <w:rPr>
          <w:rFonts w:ascii="Arial" w:hAnsi="Arial" w:cs="Arial"/>
          <w:bCs/>
          <w:sz w:val="24"/>
          <w:szCs w:val="24"/>
        </w:rPr>
        <w:fldChar w:fldCharType="end"/>
      </w:r>
      <w:r w:rsidR="005B0A32" w:rsidRPr="00274EAE">
        <w:rPr>
          <w:rFonts w:ascii="Arial" w:hAnsi="Arial" w:cs="Arial"/>
          <w:bCs/>
          <w:sz w:val="24"/>
          <w:szCs w:val="24"/>
        </w:rPr>
        <w:t xml:space="preserve"> </w:t>
      </w:r>
    </w:p>
    <w:p w14:paraId="1B05B7D2" w14:textId="77777777" w:rsidR="00B20803" w:rsidRPr="00274EAE" w:rsidRDefault="00B20803" w:rsidP="00252392">
      <w:pPr>
        <w:spacing w:line="360" w:lineRule="auto"/>
        <w:rPr>
          <w:rFonts w:ascii="Arial" w:hAnsi="Arial" w:cs="Arial"/>
          <w:bCs/>
          <w:sz w:val="24"/>
          <w:szCs w:val="24"/>
        </w:rPr>
      </w:pPr>
    </w:p>
    <w:p w14:paraId="1B357F84" w14:textId="2BE4A05C" w:rsidR="00455D00" w:rsidRDefault="00B20803" w:rsidP="00252392">
      <w:pPr>
        <w:spacing w:line="360" w:lineRule="auto"/>
        <w:rPr>
          <w:rFonts w:ascii="Arial" w:hAnsi="Arial" w:cs="Arial"/>
          <w:bCs/>
          <w:sz w:val="24"/>
          <w:szCs w:val="24"/>
        </w:rPr>
      </w:pPr>
      <w:r w:rsidRPr="00274EAE">
        <w:rPr>
          <w:rFonts w:ascii="Arial" w:hAnsi="Arial" w:cs="Arial"/>
          <w:bCs/>
          <w:sz w:val="24"/>
          <w:szCs w:val="24"/>
        </w:rPr>
        <w:t xml:space="preserve">The ability of CT to rule out significant </w:t>
      </w:r>
      <w:r w:rsidR="00930F3F">
        <w:rPr>
          <w:rFonts w:ascii="Arial" w:hAnsi="Arial" w:cs="Arial"/>
          <w:bCs/>
          <w:sz w:val="24"/>
          <w:szCs w:val="24"/>
        </w:rPr>
        <w:t>CAD</w:t>
      </w:r>
      <w:r w:rsidRPr="00274EAE">
        <w:rPr>
          <w:rFonts w:ascii="Arial" w:hAnsi="Arial" w:cs="Arial"/>
          <w:bCs/>
          <w:sz w:val="24"/>
          <w:szCs w:val="24"/>
        </w:rPr>
        <w:t xml:space="preserve"> is</w:t>
      </w:r>
      <w:r w:rsidR="00625B03" w:rsidRPr="00274EAE">
        <w:rPr>
          <w:rFonts w:ascii="Arial" w:hAnsi="Arial" w:cs="Arial"/>
          <w:bCs/>
          <w:sz w:val="24"/>
          <w:szCs w:val="24"/>
        </w:rPr>
        <w:t xml:space="preserve"> </w:t>
      </w:r>
      <w:r w:rsidRPr="00274EAE">
        <w:rPr>
          <w:rFonts w:ascii="Arial" w:hAnsi="Arial" w:cs="Arial"/>
          <w:bCs/>
          <w:sz w:val="24"/>
          <w:szCs w:val="24"/>
        </w:rPr>
        <w:t>significantly impacted by the presence of coronary artery calcification.  Even moderate levels of coronary calcification are associated with a reduction in the ability to exclude significant stenosis.</w:t>
      </w:r>
      <w:r w:rsidRPr="00274EAE">
        <w:rPr>
          <w:rFonts w:ascii="Arial" w:hAnsi="Arial" w:cs="Arial"/>
          <w:bCs/>
          <w:sz w:val="24"/>
          <w:szCs w:val="24"/>
        </w:rPr>
        <w:fldChar w:fldCharType="begin" w:fldLock="1"/>
      </w:r>
      <w:r w:rsidR="00455D00">
        <w:rPr>
          <w:rFonts w:ascii="Arial" w:hAnsi="Arial" w:cs="Arial"/>
          <w:bCs/>
          <w:sz w:val="24"/>
          <w:szCs w:val="24"/>
        </w:rPr>
        <w:instrText xml:space="preserve">ADDIN CSL_CITATION {"citationItems":[{"id":"ITEM-1","itemData":{"DOI":"10.1016/j.jcct.2016.07.014","ISSN":"1876861X","PMID":"27461528","abstract":"Background Recent guidelines for the workup of patients with chest pain and suspected coronary artery disease include coronary computed tomography angiography (CTA). However, its diagnostic value may be limited in patients with severe coronary calcification. Objective We investigated the relationship between the extent of coronary calcium and the ability of coronary CTA to rule out significant stenoses in a series of consecutive patients with suspected coronary artery disease. Methods 2614 consecutive patients with suspected coronary artery disease in whom coronary calcium scoring and coronary CTA had been performed by Dual Source CT were analyzed. The ability of coronary CTA to rule out coronary artery stenoses (fully evaluable coronary arteries and absence of any luminal stenosis &gt;75%) was analyzed relative to the coronary calcium score. Results The median coronary calcium score was 12, with calcium present in 60.5% of all patients. Coronary CTA ruled out stenoses in 82% of patients, while in 18% of patients at least one stenosis was found or could not be excluded. The threshold above which coronary CTA permitted to rule out stenoses in less than 50% of patients was an “Agatston Score” of 287. This threshold was significantly lower for male patients (213 vs. 330), for patients with a heart rate &gt;65 beats/min (157 vs. 317) and for patients with a body mass index </w:instrText>
      </w:r>
      <w:r w:rsidR="00455D00">
        <w:rPr>
          <w:rFonts w:ascii="Arial" w:hAnsi="Arial" w:cs="Arial" w:hint="eastAsia"/>
          <w:bCs/>
          <w:sz w:val="24"/>
          <w:szCs w:val="24"/>
        </w:rPr>
        <w:instrText>≥</w:instrText>
      </w:r>
      <w:r w:rsidR="00455D00">
        <w:rPr>
          <w:rFonts w:ascii="Arial" w:hAnsi="Arial" w:cs="Arial"/>
          <w:bCs/>
          <w:sz w:val="24"/>
          <w:szCs w:val="24"/>
        </w:rPr>
        <w:instrText xml:space="preserve">25 kg/m2(208 vs. 392). The evaluability of coronary arteries decreased with increasing amounts of calcium and differed significantly between heart rates </w:instrText>
      </w:r>
      <w:r w:rsidR="00455D00">
        <w:rPr>
          <w:rFonts w:ascii="Arial" w:hAnsi="Arial" w:cs="Arial" w:hint="eastAsia"/>
          <w:bCs/>
          <w:sz w:val="24"/>
          <w:szCs w:val="24"/>
        </w:rPr>
        <w:instrText>≤</w:instrText>
      </w:r>
      <w:r w:rsidR="00455D00">
        <w:rPr>
          <w:rFonts w:ascii="Arial" w:hAnsi="Arial" w:cs="Arial"/>
          <w:bCs/>
          <w:sz w:val="24"/>
          <w:szCs w:val="24"/>
        </w:rPr>
        <w:instrText>65 beats/min and &gt;65 beats/min (p &lt; 0.0001). Conclusion In the largest patient series evaluated so far, we identified an “Agatston Score” of 287 to represent a threshold above which coronary CTA permits to rule out coronary artery stenoses in less than 50% of cases.","author":[{"dropping-particle":"","family":"Schuhbaeck","given":"Annika","non-dropping-particle":"","parse-names":false,"suffix":""},{"dropping-particle":"","family":"Schmid","given":"Jasmin","non-dropping-particle":"","parse-names":false,"suffix":""},{"dropping-particle":"","family":"Zimmer","given":"Thomas","non-dropping-particle":"","parse-names":false,"suffix":""},{"dropping-particle":"","family":"Muschiol","given":"Gerd","non-dropping-particle":"","parse-names":false,"suffix":""},{"dropping-particle":"","family":"Hell","given":"Michaela M.","non-dropping-particle":"","parse-names":false,"suffix":""},{"dropping-particle":"","family":"Marwan","given":"Mohamed","non-dropping-particle":"","parse-names":false,"suffix":""},{"dropping-particle":"","family":"Achenbach","given":"Stephan","non-dropping-particle":"","parse-names":false,"suffix":""}],"container-title":"Journal of Cardiovascular Computed Tomography","id":"ITEM-1","issue":"5","issued":{"date-parts":[["2016"]]},"page":"343-350","publisher":"Elsevier Ltd","title":"Influence of the coronary calcium score on the ability to rule out coronary artery stenoses by coronary CT angiography in patients with suspected coronary artery disease","type":"article-journal","volume":"10"},"uris":["http://www.mendeley.com/documents/?uuid=1baf1fa7-a974-40ee-acc9-5461d2c10544"]}],"mendeley":{"formattedCitation":"&lt;sup&gt;7&lt;/sup&gt;","plainTextFormattedCitation":"7","previouslyFormattedCitation":"&lt;sup&gt;7&lt;/sup&gt;"},"properties":{"noteIndex":0},"schema":"https://github.com/citation-style-language/schema/raw/master/csl-citation.json"}</w:instrText>
      </w:r>
      <w:r w:rsidRPr="00274EAE">
        <w:rPr>
          <w:rFonts w:ascii="Arial" w:hAnsi="Arial" w:cs="Arial"/>
          <w:bCs/>
          <w:sz w:val="24"/>
          <w:szCs w:val="24"/>
        </w:rPr>
        <w:fldChar w:fldCharType="separate"/>
      </w:r>
      <w:r w:rsidRPr="00274EAE">
        <w:rPr>
          <w:rFonts w:ascii="Arial" w:hAnsi="Arial" w:cs="Arial"/>
          <w:bCs/>
          <w:noProof/>
          <w:sz w:val="24"/>
          <w:szCs w:val="24"/>
          <w:vertAlign w:val="superscript"/>
        </w:rPr>
        <w:t>7</w:t>
      </w:r>
      <w:r w:rsidRPr="00274EAE">
        <w:rPr>
          <w:rFonts w:ascii="Arial" w:hAnsi="Arial" w:cs="Arial"/>
          <w:bCs/>
          <w:sz w:val="24"/>
          <w:szCs w:val="24"/>
        </w:rPr>
        <w:fldChar w:fldCharType="end"/>
      </w:r>
      <w:r w:rsidR="00625B03" w:rsidRPr="00274EAE">
        <w:rPr>
          <w:rFonts w:ascii="Arial" w:hAnsi="Arial" w:cs="Arial"/>
          <w:bCs/>
          <w:sz w:val="24"/>
          <w:szCs w:val="24"/>
        </w:rPr>
        <w:t xml:space="preserve"> </w:t>
      </w:r>
      <w:r w:rsidR="00F45F10">
        <w:rPr>
          <w:rFonts w:ascii="Arial" w:hAnsi="Arial" w:cs="Arial"/>
          <w:bCs/>
          <w:sz w:val="24"/>
          <w:szCs w:val="24"/>
        </w:rPr>
        <w:t>T</w:t>
      </w:r>
      <w:r w:rsidR="00F45F10" w:rsidRPr="00274EAE">
        <w:rPr>
          <w:rFonts w:ascii="Arial" w:hAnsi="Arial" w:cs="Arial"/>
          <w:bCs/>
          <w:sz w:val="24"/>
          <w:szCs w:val="24"/>
        </w:rPr>
        <w:t>he challenge of dealing with calcification on CTA is only going to increase</w:t>
      </w:r>
      <w:r w:rsidR="00F45F10">
        <w:rPr>
          <w:rFonts w:ascii="Arial" w:hAnsi="Arial" w:cs="Arial"/>
          <w:bCs/>
          <w:sz w:val="24"/>
          <w:szCs w:val="24"/>
        </w:rPr>
        <w:t xml:space="preserve"> in the coming years</w:t>
      </w:r>
      <w:r w:rsidR="00F45F10" w:rsidRPr="00274EAE">
        <w:rPr>
          <w:rFonts w:ascii="Arial" w:hAnsi="Arial" w:cs="Arial"/>
          <w:bCs/>
          <w:sz w:val="24"/>
          <w:szCs w:val="24"/>
        </w:rPr>
        <w:t xml:space="preserve"> </w:t>
      </w:r>
      <w:r w:rsidR="00F45F10">
        <w:rPr>
          <w:rFonts w:ascii="Arial" w:hAnsi="Arial" w:cs="Arial"/>
          <w:bCs/>
          <w:sz w:val="24"/>
          <w:szCs w:val="24"/>
        </w:rPr>
        <w:t xml:space="preserve">due to an aging population and the </w:t>
      </w:r>
      <w:r w:rsidR="00625B03" w:rsidRPr="00274EAE">
        <w:rPr>
          <w:rFonts w:ascii="Arial" w:hAnsi="Arial" w:cs="Arial"/>
          <w:bCs/>
          <w:sz w:val="24"/>
          <w:szCs w:val="24"/>
        </w:rPr>
        <w:t>known association of age with coronary calcification.</w:t>
      </w:r>
      <w:r w:rsidR="007E71F0" w:rsidRPr="00274EAE">
        <w:rPr>
          <w:rFonts w:ascii="Arial" w:hAnsi="Arial" w:cs="Arial"/>
          <w:bCs/>
          <w:sz w:val="24"/>
          <w:szCs w:val="24"/>
        </w:rPr>
        <w:fldChar w:fldCharType="begin" w:fldLock="1"/>
      </w:r>
      <w:r w:rsidR="00455D00">
        <w:rPr>
          <w:rFonts w:ascii="Arial" w:hAnsi="Arial" w:cs="Arial"/>
          <w:bCs/>
          <w:sz w:val="24"/>
          <w:szCs w:val="24"/>
        </w:rPr>
        <w:instrText>ADDIN CSL_CITATION {"citationItems":[{"id":"ITEM-1","itemData":{"DOI":"10.1161/CIRCULATIONAHA.105.580696","ISBN":"1524-4539 (Electronic)\\r0009-7322 (Linking)","ISSN":"00097322","PMID":"16365194","abstract":"BACKGROUND Coronary artery calcium (CAC) has been demonstrated to be associated with the risk of coronary heart disease. The Multi-Ethnic Study of Atherosclerosis (MESA) provides a unique opportunity to examine the distribution of CAC on the basis of age, gender, and race/ethnicity in a cohort free of clinical cardiovascular disease and treated diabetes. METHODS AND RESULTS MESA is a prospective cohort study designed to investigate subclinical cardiovascular disease in a multiethnic cohort free of clinical cardiovascular disease. The percentiles of the CAC distribution were estimated with nonparametric techniques. Treated diabetics were excluded from analysis. There were 6110 included in the analysis, with 53% female and an average age of 62 years. Men had greater calcium levels than women, and calcium amount and prevalence were steadily higher with increasing age. There were significant differences in calcium by race, and these associations differed across age and gender. For women, whites had the highest percentiles and Hispanics generally had the lowest; in the oldest age group, however, Chinese women had the lowest values. Overall, Chinese and black women were intermediate, with their order dependent on age. For men, whites consistently had the highest percentiles, and Hispanics had the second highest. Blacks were lowest at the younger ages, and Chinese were lowest at the older ages. At the MESA public website (http://www.mesa-nhlbi.org), an interactive form allows one to enter an age, gender, race/ethnicity, and CAC score to obtain a corresponding estimated percentile. CONCLUSIONS The information provided here can be used to examine whether a patient has a high CAC score relative to others with the same age, gender, and race/ethnicity who do not have clinical cardiovascular disease or treated diabetes.","author":[{"dropping-particle":"","family":"McClelland","given":"Robyn L.","non-dropping-particle":"","parse-names":false,"suffix":""},{"dropping-particle":"","family":"Chung","given":"Hyoju","non-dropping-particle":"","parse-names":false,"suffix":""},{"dropping-particle":"","family":"Detrano","given":"Robert","non-dropping-particle":"","parse-names":false,"suffix":""},{"dropping-particle":"","family":"Post","given":"Wendy","non-dropping-particle":"","parse-names":false,"suffix":""},{"dropping-particle":"","family":"Kronmal","given":"Richard A.","non-dropping-particle":"","parse-names":false,"suffix":""}],"container-title":"Circulation","id":"ITEM-1","issue":"1","issued":{"date-parts":[["2006"]]},"page":"30-37","title":"Distribution of coronary artery calcium by race, gender, and age: Results from the Multi-Ethnic Study of Atherosclerosis (MESA)","type":"article-journal","volume":"113"},"uris":["http://www.mendeley.com/documents/?uuid=b3c10e5e-55a4-42bd-9e12-52ead3462471"]}],"mendeley":{"formattedCitation":"&lt;sup&gt;8&lt;/sup&gt;","plainTextFormattedCitation":"8","previouslyFormattedCitation":"&lt;sup&gt;8&lt;/sup&gt;"},"properties":{"noteIndex":0},"schema":"https://github.com/citation-style-language/schema/raw/master/csl-citation.json"}</w:instrText>
      </w:r>
      <w:r w:rsidR="007E71F0" w:rsidRPr="00274EAE">
        <w:rPr>
          <w:rFonts w:ascii="Arial" w:hAnsi="Arial" w:cs="Arial"/>
          <w:bCs/>
          <w:sz w:val="24"/>
          <w:szCs w:val="24"/>
        </w:rPr>
        <w:fldChar w:fldCharType="separate"/>
      </w:r>
      <w:r w:rsidR="007E71F0" w:rsidRPr="00274EAE">
        <w:rPr>
          <w:rFonts w:ascii="Arial" w:hAnsi="Arial" w:cs="Arial"/>
          <w:bCs/>
          <w:noProof/>
          <w:sz w:val="24"/>
          <w:szCs w:val="24"/>
          <w:vertAlign w:val="superscript"/>
        </w:rPr>
        <w:t>8</w:t>
      </w:r>
      <w:r w:rsidR="007E71F0" w:rsidRPr="00274EAE">
        <w:rPr>
          <w:rFonts w:ascii="Arial" w:hAnsi="Arial" w:cs="Arial"/>
          <w:bCs/>
          <w:sz w:val="24"/>
          <w:szCs w:val="24"/>
        </w:rPr>
        <w:fldChar w:fldCharType="end"/>
      </w:r>
      <w:r w:rsidR="007E71F0" w:rsidRPr="00274EAE">
        <w:rPr>
          <w:rFonts w:ascii="Arial" w:hAnsi="Arial" w:cs="Arial"/>
          <w:bCs/>
          <w:sz w:val="24"/>
          <w:szCs w:val="24"/>
        </w:rPr>
        <w:t xml:space="preserve"> Techniques to reduce the impact of coronary </w:t>
      </w:r>
      <w:r w:rsidR="00934E17" w:rsidRPr="00274EAE">
        <w:rPr>
          <w:rFonts w:ascii="Arial" w:hAnsi="Arial" w:cs="Arial"/>
          <w:bCs/>
          <w:sz w:val="24"/>
          <w:szCs w:val="24"/>
        </w:rPr>
        <w:t xml:space="preserve">calcification on the accuracy of CTA are thus required.  </w:t>
      </w:r>
    </w:p>
    <w:p w14:paraId="68063011" w14:textId="77777777" w:rsidR="00455D00" w:rsidRDefault="00455D00" w:rsidP="00252392">
      <w:pPr>
        <w:spacing w:line="360" w:lineRule="auto"/>
        <w:rPr>
          <w:rFonts w:ascii="Arial" w:hAnsi="Arial" w:cs="Arial"/>
          <w:bCs/>
          <w:sz w:val="24"/>
          <w:szCs w:val="24"/>
        </w:rPr>
      </w:pPr>
    </w:p>
    <w:p w14:paraId="36680481" w14:textId="766A8B8D" w:rsidR="00A63307" w:rsidRPr="00274EAE" w:rsidRDefault="00934E17" w:rsidP="00252392">
      <w:pPr>
        <w:spacing w:line="360" w:lineRule="auto"/>
        <w:rPr>
          <w:rFonts w:ascii="Arial" w:hAnsi="Arial" w:cs="Arial"/>
          <w:bCs/>
          <w:sz w:val="24"/>
          <w:szCs w:val="24"/>
        </w:rPr>
      </w:pPr>
      <w:r w:rsidRPr="00274EAE">
        <w:rPr>
          <w:rFonts w:ascii="Arial" w:hAnsi="Arial" w:cs="Arial"/>
          <w:bCs/>
          <w:sz w:val="24"/>
          <w:szCs w:val="24"/>
        </w:rPr>
        <w:t>Calcium reduces the accuracy of coronary assessment secondary to partial volum</w:t>
      </w:r>
      <w:r w:rsidR="001A1895">
        <w:rPr>
          <w:rFonts w:ascii="Arial" w:hAnsi="Arial" w:cs="Arial"/>
          <w:bCs/>
          <w:sz w:val="24"/>
          <w:szCs w:val="24"/>
        </w:rPr>
        <w:t xml:space="preserve">e artifact </w:t>
      </w:r>
      <w:r w:rsidRPr="00274EAE">
        <w:rPr>
          <w:rFonts w:ascii="Arial" w:hAnsi="Arial" w:cs="Arial"/>
          <w:bCs/>
          <w:sz w:val="24"/>
          <w:szCs w:val="24"/>
        </w:rPr>
        <w:t xml:space="preserve">amplifying the apparent size of the calcific plaque – also referred to as calcium ‘blooming’.  </w:t>
      </w:r>
      <w:r w:rsidR="00962E10" w:rsidRPr="00274EAE">
        <w:rPr>
          <w:rFonts w:ascii="Arial" w:hAnsi="Arial" w:cs="Arial"/>
          <w:bCs/>
          <w:sz w:val="24"/>
          <w:szCs w:val="24"/>
        </w:rPr>
        <w:t>A recent study has demonstrated the potential to reduce the effect of calcium blooming through the use of a post-processing algorithm</w:t>
      </w:r>
      <w:r w:rsidR="000E5570" w:rsidRPr="00274EAE">
        <w:rPr>
          <w:rFonts w:ascii="Arial" w:hAnsi="Arial" w:cs="Arial"/>
          <w:bCs/>
          <w:sz w:val="24"/>
          <w:szCs w:val="24"/>
        </w:rPr>
        <w:fldChar w:fldCharType="begin" w:fldLock="1"/>
      </w:r>
      <w:r w:rsidR="00455D00">
        <w:rPr>
          <w:rFonts w:ascii="Arial" w:hAnsi="Arial" w:cs="Arial"/>
          <w:bCs/>
          <w:sz w:val="24"/>
          <w:szCs w:val="24"/>
        </w:rPr>
        <w:instrText>ADDIN CSL_CITATION {"citationItems":[{"id":"ITEM-1","itemData":{"DOI":"10.1038/s41598-018-25352-5","ISSN":"20452322","abstract":"The aim of this study was to investigate the use of de-blooming algorithm in coronary CT angiography (CCTA) for optimal evaluation of calcified plaques. Calcified plaques were simulated on a coronary vessel phantom and a cardiac motion phantom. Two convolution kernels, standard (STND) and high-definition standard (HD STND), were used for imaging reconstruction. A dedicated de-blooming algorithm was used for imaging processing. We found a smaller bias towards measurement of stenosis using the de-blooming algorithm (STND: bias 24.6% vs 15.0%, range 10.2% to 39.0% vs 4.0% to 25.9%; HD STND: bias 17.9% vs 11.0%, range 8.9% to 30.6% vs 0.5% to 21.5%). With use of de-blooming algorithm, specificity for diagnosing significant stenosis increased from 45.8% to 75.0% (STND), from 62.5% to 83.3% (HD STND); while positive predictive value (PPV) increased from 69.8% to 83.3% (STND), from 76.9% to 88.2% (HD STND). In the patient group, reduction in calcification volume was 48.1 ± 10.3%, reduction in coronary diameter stenosis over calcified plaque was 52.4 ± 24.2%. Our results suggest that the novel de-blooming algorithm could effectively decrease the blooming artifacts caused by coronary calcified plaques, and consequently improve diagnostic accuracy of CCTA in assessing coronary stenosis. Coronary CT angiography (CCTA) is a widely used non-invasive modality enabling high diagnostic performance for the diagnosis of coronary artery disease (CAD) 1–6 . Despite high diagnostic value achieved with recently devel-oped advanced CT scanners, CCTA still has moderate specificity in the assessment of calcified plaques due to the artifacts that result from significant calcification 7 . Calcification produces blooming and partial volume artifacts on CT imaging, which can cause erroneous enlargement of the appearance of calcification 8 . As a result blooming artifact prevents accurate evaluation of the coronary artery lumen and results in overestimation of the stenosis leading to false positive diagnosis 9–14 . Although CCTA is an excellent imaging modality for the assessment of patients with suspected CAD, calcified plaque presents a major challenge for CCTA scans. A new vendor-specific de-blooming algorithm is under investigation to help minimize the blooming artifact of coronary calcification, and this has not been well studied. We hypothesized that this brand new algorithm would allow for more accurate evaluation of coronary artery stenosis in the presence of calcified plaqu…","author":[{"dropping-particle":"","family":"Li","given":"Ping","non-dropping-particle":"","parse-names":false,"suffix":""},{"dropping-particle":"","family":"Xu","given":"Lei","non-dropping-particle":"","parse-names":false,"suffix":""},{"dropping-particle":"","family":"Yang","given":"Lin","non-dropping-particle":"","parse-names":false,"suffix":""},{"dropping-particle":"","family":"Wang","given":"Rui","non-dropping-particle":"","parse-names":false,"suffix":""},{"dropping-particle":"","family":"Hsieh","given":"Jiang","non-dropping-particle":"","parse-names":false,"suffix":""},{"dropping-particle":"","family":"Sun","given":"Zhonghua","non-dropping-particle":"","parse-names":false,"suffix":""},{"dropping-particle":"","family":"Fan","given":"Zhanming","non-dropping-particle":"","parse-names":false,"suffix":""},{"dropping-particle":"","family":"Leipsic","given":"Jonathon A.","non-dropping-particle":"","parse-names":false,"suffix":""}],"container-title":"Scientific Reports","id":"ITEM-1","issue":"1","issued":{"date-parts":[["2018"]]},"page":"1-8","publisher":"Springer US","title":"Blooming Artifact Reduction in Coronary Artery Calcification by A New De-blooming Algorithm: Initial Study","type":"article-journal","volume":"8"},"uris":["http://www.mendeley.com/documents/?uuid=d1989d25-dfda-4367-bc7b-3788d771064f"]}],"mendeley":{"formattedCitation":"&lt;sup&gt;9&lt;/sup&gt;","plainTextFormattedCitation":"9","previouslyFormattedCitation":"&lt;sup&gt;9&lt;/sup&gt;"},"properties":{"noteIndex":0},"schema":"https://github.com/citation-style-language/schema/raw/master/csl-citation.json"}</w:instrText>
      </w:r>
      <w:r w:rsidR="000E5570" w:rsidRPr="00274EAE">
        <w:rPr>
          <w:rFonts w:ascii="Arial" w:hAnsi="Arial" w:cs="Arial"/>
          <w:bCs/>
          <w:sz w:val="24"/>
          <w:szCs w:val="24"/>
        </w:rPr>
        <w:fldChar w:fldCharType="separate"/>
      </w:r>
      <w:r w:rsidR="000E5570" w:rsidRPr="00274EAE">
        <w:rPr>
          <w:rFonts w:ascii="Arial" w:hAnsi="Arial" w:cs="Arial"/>
          <w:bCs/>
          <w:noProof/>
          <w:sz w:val="24"/>
          <w:szCs w:val="24"/>
          <w:vertAlign w:val="superscript"/>
        </w:rPr>
        <w:t>9</w:t>
      </w:r>
      <w:r w:rsidR="000E5570" w:rsidRPr="00274EAE">
        <w:rPr>
          <w:rFonts w:ascii="Arial" w:hAnsi="Arial" w:cs="Arial"/>
          <w:bCs/>
          <w:sz w:val="24"/>
          <w:szCs w:val="24"/>
        </w:rPr>
        <w:fldChar w:fldCharType="end"/>
      </w:r>
      <w:r w:rsidR="000140FF" w:rsidRPr="00274EAE">
        <w:rPr>
          <w:rFonts w:ascii="Arial" w:hAnsi="Arial" w:cs="Arial"/>
          <w:bCs/>
          <w:sz w:val="24"/>
          <w:szCs w:val="24"/>
        </w:rPr>
        <w:t xml:space="preserve">, however the effect of this on the accuracy of CTA has not been assessed. </w:t>
      </w:r>
      <w:r w:rsidRPr="00274EAE">
        <w:rPr>
          <w:rFonts w:ascii="Arial" w:hAnsi="Arial" w:cs="Arial"/>
          <w:bCs/>
          <w:sz w:val="24"/>
          <w:szCs w:val="24"/>
        </w:rPr>
        <w:t>The aim of th</w:t>
      </w:r>
      <w:r w:rsidR="00BF606B">
        <w:rPr>
          <w:rFonts w:ascii="Arial" w:hAnsi="Arial" w:cs="Arial"/>
          <w:bCs/>
          <w:sz w:val="24"/>
          <w:szCs w:val="24"/>
        </w:rPr>
        <w:t>is</w:t>
      </w:r>
      <w:r w:rsidRPr="00274EAE">
        <w:rPr>
          <w:rFonts w:ascii="Arial" w:hAnsi="Arial" w:cs="Arial"/>
          <w:bCs/>
          <w:sz w:val="24"/>
          <w:szCs w:val="24"/>
        </w:rPr>
        <w:t xml:space="preserve"> current </w:t>
      </w:r>
      <w:r w:rsidR="00D036AC">
        <w:rPr>
          <w:rFonts w:ascii="Arial" w:hAnsi="Arial" w:cs="Arial"/>
          <w:bCs/>
          <w:sz w:val="24"/>
          <w:szCs w:val="24"/>
        </w:rPr>
        <w:t xml:space="preserve">proof of concept </w:t>
      </w:r>
      <w:r w:rsidRPr="00274EAE">
        <w:rPr>
          <w:rFonts w:ascii="Arial" w:hAnsi="Arial" w:cs="Arial"/>
          <w:bCs/>
          <w:sz w:val="24"/>
          <w:szCs w:val="24"/>
        </w:rPr>
        <w:t xml:space="preserve">study is to test the impact of </w:t>
      </w:r>
      <w:r w:rsidR="000140FF" w:rsidRPr="00274EAE">
        <w:rPr>
          <w:rFonts w:ascii="Arial" w:hAnsi="Arial" w:cs="Arial"/>
          <w:bCs/>
          <w:sz w:val="24"/>
          <w:szCs w:val="24"/>
        </w:rPr>
        <w:t>this</w:t>
      </w:r>
      <w:r w:rsidRPr="00274EAE">
        <w:rPr>
          <w:rFonts w:ascii="Arial" w:hAnsi="Arial" w:cs="Arial"/>
          <w:bCs/>
          <w:sz w:val="24"/>
          <w:szCs w:val="24"/>
        </w:rPr>
        <w:t xml:space="preserve"> </w:t>
      </w:r>
      <w:r w:rsidR="007A4099" w:rsidRPr="00274EAE">
        <w:rPr>
          <w:rFonts w:ascii="Arial" w:hAnsi="Arial" w:cs="Arial"/>
          <w:bCs/>
          <w:sz w:val="24"/>
          <w:szCs w:val="24"/>
        </w:rPr>
        <w:t>prototype</w:t>
      </w:r>
      <w:r w:rsidRPr="00274EAE">
        <w:rPr>
          <w:rFonts w:ascii="Arial" w:hAnsi="Arial" w:cs="Arial"/>
          <w:bCs/>
          <w:sz w:val="24"/>
          <w:szCs w:val="24"/>
        </w:rPr>
        <w:t xml:space="preserve"> </w:t>
      </w:r>
      <w:proofErr w:type="spellStart"/>
      <w:r w:rsidRPr="00274EAE">
        <w:rPr>
          <w:rFonts w:ascii="Arial" w:hAnsi="Arial" w:cs="Arial"/>
          <w:bCs/>
          <w:sz w:val="24"/>
          <w:szCs w:val="24"/>
        </w:rPr>
        <w:t>deblooming</w:t>
      </w:r>
      <w:proofErr w:type="spellEnd"/>
      <w:r w:rsidRPr="00274EAE">
        <w:rPr>
          <w:rFonts w:ascii="Arial" w:hAnsi="Arial" w:cs="Arial"/>
          <w:bCs/>
          <w:sz w:val="24"/>
          <w:szCs w:val="24"/>
        </w:rPr>
        <w:t xml:space="preserve"> algorithm </w:t>
      </w:r>
      <w:r w:rsidR="00962E10" w:rsidRPr="00274EAE">
        <w:rPr>
          <w:rFonts w:ascii="Arial" w:hAnsi="Arial" w:cs="Arial"/>
          <w:bCs/>
          <w:sz w:val="24"/>
          <w:szCs w:val="24"/>
        </w:rPr>
        <w:t>on</w:t>
      </w:r>
      <w:r w:rsidR="000140FF" w:rsidRPr="00274EAE">
        <w:rPr>
          <w:rFonts w:ascii="Arial" w:hAnsi="Arial" w:cs="Arial"/>
          <w:bCs/>
          <w:sz w:val="24"/>
          <w:szCs w:val="24"/>
        </w:rPr>
        <w:t xml:space="preserve"> the accuracy of CTA for the detection of significant coronary artery stenosis compared with the </w:t>
      </w:r>
      <w:r w:rsidR="007E2EB3">
        <w:rPr>
          <w:rFonts w:ascii="Arial" w:hAnsi="Arial" w:cs="Arial"/>
          <w:bCs/>
          <w:sz w:val="24"/>
          <w:szCs w:val="24"/>
        </w:rPr>
        <w:t>reference</w:t>
      </w:r>
      <w:r w:rsidR="000140FF" w:rsidRPr="00274EAE">
        <w:rPr>
          <w:rFonts w:ascii="Arial" w:hAnsi="Arial" w:cs="Arial"/>
          <w:bCs/>
          <w:sz w:val="24"/>
          <w:szCs w:val="24"/>
        </w:rPr>
        <w:t xml:space="preserve"> standard of invasive</w:t>
      </w:r>
      <w:r w:rsidR="00A63307" w:rsidRPr="00274EAE">
        <w:rPr>
          <w:rFonts w:ascii="Arial" w:hAnsi="Arial" w:cs="Arial"/>
          <w:bCs/>
          <w:sz w:val="24"/>
          <w:szCs w:val="24"/>
        </w:rPr>
        <w:t xml:space="preserve"> quantitative</w:t>
      </w:r>
      <w:r w:rsidR="000140FF" w:rsidRPr="00274EAE">
        <w:rPr>
          <w:rFonts w:ascii="Arial" w:hAnsi="Arial" w:cs="Arial"/>
          <w:bCs/>
          <w:sz w:val="24"/>
          <w:szCs w:val="24"/>
        </w:rPr>
        <w:t xml:space="preserve"> coronary angiography (</w:t>
      </w:r>
      <w:r w:rsidR="00A63307" w:rsidRPr="00274EAE">
        <w:rPr>
          <w:rFonts w:ascii="Arial" w:hAnsi="Arial" w:cs="Arial"/>
          <w:bCs/>
          <w:sz w:val="24"/>
          <w:szCs w:val="24"/>
        </w:rPr>
        <w:t>Q</w:t>
      </w:r>
      <w:r w:rsidR="000140FF" w:rsidRPr="00274EAE">
        <w:rPr>
          <w:rFonts w:ascii="Arial" w:hAnsi="Arial" w:cs="Arial"/>
          <w:bCs/>
          <w:sz w:val="24"/>
          <w:szCs w:val="24"/>
        </w:rPr>
        <w:t>CA).</w:t>
      </w:r>
      <w:r w:rsidR="00960DDB">
        <w:rPr>
          <w:rFonts w:ascii="Arial" w:hAnsi="Arial" w:cs="Arial"/>
          <w:bCs/>
          <w:sz w:val="24"/>
          <w:szCs w:val="24"/>
        </w:rPr>
        <w:t xml:space="preserve">  The study hypothesis was that calcium </w:t>
      </w:r>
      <w:proofErr w:type="spellStart"/>
      <w:r w:rsidR="00960DDB">
        <w:rPr>
          <w:rFonts w:ascii="Arial" w:hAnsi="Arial" w:cs="Arial"/>
          <w:bCs/>
          <w:sz w:val="24"/>
          <w:szCs w:val="24"/>
        </w:rPr>
        <w:t>deblooming</w:t>
      </w:r>
      <w:proofErr w:type="spellEnd"/>
      <w:r w:rsidR="00960DDB">
        <w:rPr>
          <w:rFonts w:ascii="Arial" w:hAnsi="Arial" w:cs="Arial"/>
          <w:bCs/>
          <w:sz w:val="24"/>
          <w:szCs w:val="24"/>
        </w:rPr>
        <w:t xml:space="preserve"> would increase diagnostic accuracy due to improved stenosis assessment</w:t>
      </w:r>
      <w:r w:rsidR="001A1895">
        <w:rPr>
          <w:rFonts w:ascii="Arial" w:hAnsi="Arial" w:cs="Arial"/>
          <w:bCs/>
          <w:sz w:val="24"/>
          <w:szCs w:val="24"/>
        </w:rPr>
        <w:t xml:space="preserve"> in a cohort of participants with significant calcium burden</w:t>
      </w:r>
      <w:r w:rsidR="00960DDB">
        <w:rPr>
          <w:rFonts w:ascii="Arial" w:hAnsi="Arial" w:cs="Arial"/>
          <w:bCs/>
          <w:sz w:val="24"/>
          <w:szCs w:val="24"/>
        </w:rPr>
        <w:t>.</w:t>
      </w:r>
      <w:r w:rsidR="00962E10" w:rsidRPr="00274EAE">
        <w:rPr>
          <w:rFonts w:ascii="Arial" w:hAnsi="Arial" w:cs="Arial"/>
          <w:bCs/>
          <w:sz w:val="24"/>
          <w:szCs w:val="24"/>
        </w:rPr>
        <w:t xml:space="preserve"> </w:t>
      </w:r>
      <w:r w:rsidRPr="00274EAE">
        <w:rPr>
          <w:rFonts w:ascii="Arial" w:hAnsi="Arial" w:cs="Arial"/>
          <w:bCs/>
          <w:sz w:val="24"/>
          <w:szCs w:val="24"/>
        </w:rPr>
        <w:t xml:space="preserve">   </w:t>
      </w:r>
    </w:p>
    <w:p w14:paraId="3AF568F1" w14:textId="77777777" w:rsidR="00A63307" w:rsidRPr="00274EAE" w:rsidRDefault="00A63307" w:rsidP="00252392">
      <w:pPr>
        <w:spacing w:line="360" w:lineRule="auto"/>
        <w:rPr>
          <w:rFonts w:ascii="Arial" w:hAnsi="Arial" w:cs="Arial"/>
          <w:bCs/>
          <w:sz w:val="24"/>
          <w:szCs w:val="24"/>
        </w:rPr>
      </w:pPr>
    </w:p>
    <w:p w14:paraId="4AE2E75A" w14:textId="1EF39E34" w:rsidR="00E2215B" w:rsidRPr="00274EAE" w:rsidRDefault="00E2215B" w:rsidP="00252392">
      <w:pPr>
        <w:spacing w:line="360" w:lineRule="auto"/>
        <w:rPr>
          <w:rFonts w:ascii="Arial" w:hAnsi="Arial" w:cs="Arial"/>
          <w:b/>
          <w:bCs/>
          <w:sz w:val="24"/>
          <w:szCs w:val="24"/>
        </w:rPr>
      </w:pPr>
      <w:r w:rsidRPr="00274EAE">
        <w:rPr>
          <w:rFonts w:ascii="Arial" w:hAnsi="Arial" w:cs="Arial"/>
          <w:b/>
          <w:bCs/>
          <w:sz w:val="24"/>
          <w:szCs w:val="24"/>
        </w:rPr>
        <w:t>Methods</w:t>
      </w:r>
    </w:p>
    <w:p w14:paraId="738F87D3" w14:textId="77777777" w:rsidR="001A77A7" w:rsidRPr="00274EAE" w:rsidRDefault="001A77A7" w:rsidP="00252392">
      <w:pPr>
        <w:spacing w:after="0" w:line="360" w:lineRule="auto"/>
        <w:jc w:val="both"/>
        <w:rPr>
          <w:rFonts w:ascii="Arial" w:hAnsi="Arial" w:cs="Arial"/>
          <w:b/>
          <w:sz w:val="24"/>
          <w:szCs w:val="24"/>
        </w:rPr>
      </w:pPr>
      <w:r w:rsidRPr="00274EAE">
        <w:rPr>
          <w:rFonts w:ascii="Arial" w:hAnsi="Arial" w:cs="Arial"/>
          <w:b/>
          <w:sz w:val="24"/>
          <w:szCs w:val="24"/>
        </w:rPr>
        <w:t>Study design</w:t>
      </w:r>
    </w:p>
    <w:p w14:paraId="046A25A4" w14:textId="77777777" w:rsidR="00962E10" w:rsidRPr="00274EAE" w:rsidRDefault="00962E10" w:rsidP="00252392">
      <w:pPr>
        <w:spacing w:after="0" w:line="360" w:lineRule="auto"/>
        <w:jc w:val="both"/>
        <w:rPr>
          <w:rFonts w:ascii="Arial" w:hAnsi="Arial" w:cs="Arial"/>
          <w:sz w:val="24"/>
          <w:szCs w:val="24"/>
        </w:rPr>
      </w:pPr>
      <w:r w:rsidRPr="00274EAE">
        <w:rPr>
          <w:rFonts w:ascii="Arial" w:hAnsi="Arial" w:cs="Arial"/>
          <w:sz w:val="24"/>
          <w:szCs w:val="24"/>
        </w:rPr>
        <w:t>Population</w:t>
      </w:r>
    </w:p>
    <w:p w14:paraId="4D37FBFF" w14:textId="1AEFF27D" w:rsidR="00962E10" w:rsidRPr="00274EAE" w:rsidRDefault="00962E10" w:rsidP="00252392">
      <w:pPr>
        <w:spacing w:after="0" w:line="360" w:lineRule="auto"/>
        <w:jc w:val="both"/>
        <w:rPr>
          <w:rFonts w:ascii="Arial" w:hAnsi="Arial" w:cs="Arial"/>
          <w:sz w:val="24"/>
          <w:szCs w:val="24"/>
        </w:rPr>
      </w:pPr>
      <w:r w:rsidRPr="00274EAE">
        <w:rPr>
          <w:rFonts w:ascii="Arial" w:hAnsi="Arial" w:cs="Arial"/>
          <w:sz w:val="24"/>
          <w:szCs w:val="24"/>
        </w:rPr>
        <w:t xml:space="preserve">This </w:t>
      </w:r>
      <w:r w:rsidR="00A63307" w:rsidRPr="00274EAE">
        <w:rPr>
          <w:rFonts w:ascii="Arial" w:hAnsi="Arial" w:cs="Arial"/>
          <w:sz w:val="24"/>
          <w:szCs w:val="24"/>
        </w:rPr>
        <w:t xml:space="preserve">single </w:t>
      </w:r>
      <w:proofErr w:type="spellStart"/>
      <w:r w:rsidR="00A63307" w:rsidRPr="00274EAE">
        <w:rPr>
          <w:rFonts w:ascii="Arial" w:hAnsi="Arial" w:cs="Arial"/>
          <w:sz w:val="24"/>
          <w:szCs w:val="24"/>
        </w:rPr>
        <w:t>centre</w:t>
      </w:r>
      <w:proofErr w:type="spellEnd"/>
      <w:r w:rsidR="00A63307" w:rsidRPr="00274EAE">
        <w:rPr>
          <w:rFonts w:ascii="Arial" w:hAnsi="Arial" w:cs="Arial"/>
          <w:sz w:val="24"/>
          <w:szCs w:val="24"/>
        </w:rPr>
        <w:t xml:space="preserve"> </w:t>
      </w:r>
      <w:r w:rsidRPr="00274EAE">
        <w:rPr>
          <w:rFonts w:ascii="Arial" w:hAnsi="Arial" w:cs="Arial"/>
          <w:sz w:val="24"/>
          <w:szCs w:val="24"/>
        </w:rPr>
        <w:t xml:space="preserve">retrospective study </w:t>
      </w:r>
      <w:r w:rsidR="00A63307" w:rsidRPr="00274EAE">
        <w:rPr>
          <w:rFonts w:ascii="Arial" w:hAnsi="Arial" w:cs="Arial"/>
          <w:sz w:val="24"/>
          <w:szCs w:val="24"/>
        </w:rPr>
        <w:t>recruited</w:t>
      </w:r>
      <w:r w:rsidRPr="00274EAE">
        <w:rPr>
          <w:rFonts w:ascii="Arial" w:hAnsi="Arial" w:cs="Arial"/>
          <w:sz w:val="24"/>
          <w:szCs w:val="24"/>
        </w:rPr>
        <w:t xml:space="preserve"> </w:t>
      </w:r>
      <w:r w:rsidR="006E4D44">
        <w:rPr>
          <w:rFonts w:ascii="Arial" w:hAnsi="Arial" w:cs="Arial"/>
          <w:sz w:val="24"/>
          <w:szCs w:val="24"/>
        </w:rPr>
        <w:t xml:space="preserve">consecutive </w:t>
      </w:r>
      <w:r w:rsidRPr="00274EAE">
        <w:rPr>
          <w:rFonts w:ascii="Arial" w:hAnsi="Arial" w:cs="Arial"/>
          <w:sz w:val="24"/>
          <w:szCs w:val="24"/>
        </w:rPr>
        <w:t>patients who were referred for</w:t>
      </w:r>
      <w:r w:rsidR="00A63307" w:rsidRPr="00274EAE">
        <w:rPr>
          <w:rFonts w:ascii="Arial" w:hAnsi="Arial" w:cs="Arial"/>
          <w:sz w:val="24"/>
          <w:szCs w:val="24"/>
        </w:rPr>
        <w:t xml:space="preserve"> ICA for the</w:t>
      </w:r>
      <w:r w:rsidRPr="00274EAE">
        <w:rPr>
          <w:rFonts w:ascii="Arial" w:hAnsi="Arial" w:cs="Arial"/>
          <w:sz w:val="24"/>
          <w:szCs w:val="24"/>
        </w:rPr>
        <w:t xml:space="preserve"> assessment of known or suspected CAD</w:t>
      </w:r>
      <w:r w:rsidR="000715B6" w:rsidRPr="00274EAE">
        <w:rPr>
          <w:rFonts w:ascii="Arial" w:hAnsi="Arial" w:cs="Arial"/>
          <w:sz w:val="24"/>
          <w:szCs w:val="24"/>
        </w:rPr>
        <w:t xml:space="preserve"> who had </w:t>
      </w:r>
      <w:r w:rsidR="00A63307" w:rsidRPr="00274EAE">
        <w:rPr>
          <w:rFonts w:ascii="Arial" w:hAnsi="Arial" w:cs="Arial"/>
          <w:sz w:val="24"/>
          <w:szCs w:val="24"/>
        </w:rPr>
        <w:t xml:space="preserve">CTA prior to their ICA. </w:t>
      </w:r>
      <w:r w:rsidRPr="00274EAE">
        <w:rPr>
          <w:rFonts w:ascii="Arial" w:hAnsi="Arial" w:cs="Arial"/>
          <w:sz w:val="24"/>
          <w:szCs w:val="24"/>
        </w:rPr>
        <w:t xml:space="preserve"> Patients with </w:t>
      </w:r>
      <w:r w:rsidR="000715B6" w:rsidRPr="00274EAE">
        <w:rPr>
          <w:rFonts w:ascii="Arial" w:hAnsi="Arial" w:cs="Arial"/>
          <w:sz w:val="24"/>
          <w:szCs w:val="24"/>
        </w:rPr>
        <w:t xml:space="preserve">a coronary artery calcium score of greater than 100 </w:t>
      </w:r>
      <w:r w:rsidRPr="00274EAE">
        <w:rPr>
          <w:rFonts w:ascii="Arial" w:hAnsi="Arial" w:cs="Arial"/>
          <w:sz w:val="24"/>
          <w:szCs w:val="24"/>
        </w:rPr>
        <w:t>were included. Patients with no</w:t>
      </w:r>
      <w:r w:rsidR="000715B6" w:rsidRPr="00274EAE">
        <w:rPr>
          <w:rFonts w:ascii="Arial" w:hAnsi="Arial" w:cs="Arial"/>
          <w:sz w:val="24"/>
          <w:szCs w:val="24"/>
        </w:rPr>
        <w:t xml:space="preserve"> </w:t>
      </w:r>
      <w:r w:rsidRPr="00274EAE">
        <w:rPr>
          <w:rFonts w:ascii="Arial" w:hAnsi="Arial" w:cs="Arial"/>
          <w:sz w:val="24"/>
          <w:szCs w:val="24"/>
        </w:rPr>
        <w:t xml:space="preserve">calcified plaque, </w:t>
      </w:r>
      <w:r w:rsidR="000715B6" w:rsidRPr="00274EAE">
        <w:rPr>
          <w:rFonts w:ascii="Arial" w:hAnsi="Arial" w:cs="Arial"/>
          <w:sz w:val="24"/>
          <w:szCs w:val="24"/>
        </w:rPr>
        <w:t>or with previous</w:t>
      </w:r>
      <w:r w:rsidRPr="00274EAE">
        <w:rPr>
          <w:rFonts w:ascii="Arial" w:hAnsi="Arial" w:cs="Arial"/>
          <w:sz w:val="24"/>
          <w:szCs w:val="24"/>
        </w:rPr>
        <w:t xml:space="preserve"> coronary artery bypass grafting </w:t>
      </w:r>
      <w:r w:rsidR="000715B6" w:rsidRPr="00274EAE">
        <w:rPr>
          <w:rFonts w:ascii="Arial" w:hAnsi="Arial" w:cs="Arial"/>
          <w:sz w:val="24"/>
          <w:szCs w:val="24"/>
        </w:rPr>
        <w:t>or</w:t>
      </w:r>
      <w:r w:rsidRPr="00274EAE">
        <w:rPr>
          <w:rFonts w:ascii="Arial" w:hAnsi="Arial" w:cs="Arial"/>
          <w:sz w:val="24"/>
          <w:szCs w:val="24"/>
        </w:rPr>
        <w:t xml:space="preserve"> coronary stenting were excluded from this study group.</w:t>
      </w:r>
    </w:p>
    <w:p w14:paraId="1AAE52B6" w14:textId="77777777" w:rsidR="00A63307" w:rsidRPr="00274EAE" w:rsidRDefault="00A63307" w:rsidP="00252392">
      <w:pPr>
        <w:spacing w:after="0" w:line="360" w:lineRule="auto"/>
        <w:jc w:val="both"/>
        <w:rPr>
          <w:rFonts w:ascii="Arial" w:hAnsi="Arial" w:cs="Arial"/>
          <w:sz w:val="24"/>
          <w:szCs w:val="24"/>
        </w:rPr>
      </w:pPr>
    </w:p>
    <w:p w14:paraId="2CA7DB7F" w14:textId="117C6DCE" w:rsidR="00A63307" w:rsidRPr="00274EAE" w:rsidRDefault="00A63307" w:rsidP="00252392">
      <w:pPr>
        <w:spacing w:after="0" w:line="360" w:lineRule="auto"/>
        <w:jc w:val="both"/>
        <w:rPr>
          <w:rFonts w:ascii="Arial" w:hAnsi="Arial" w:cs="Arial"/>
          <w:sz w:val="24"/>
          <w:szCs w:val="24"/>
        </w:rPr>
      </w:pPr>
      <w:r w:rsidRPr="00274EAE">
        <w:rPr>
          <w:rFonts w:ascii="Arial" w:hAnsi="Arial" w:cs="Arial"/>
          <w:sz w:val="24"/>
          <w:szCs w:val="24"/>
        </w:rPr>
        <w:t xml:space="preserve">Ethics approval was </w:t>
      </w:r>
      <w:r w:rsidR="002D63F5" w:rsidRPr="00274EAE">
        <w:rPr>
          <w:rFonts w:ascii="Arial" w:hAnsi="Arial" w:cs="Arial"/>
          <w:sz w:val="24"/>
          <w:szCs w:val="24"/>
        </w:rPr>
        <w:t>granted by</w:t>
      </w:r>
      <w:r w:rsidRPr="00274EAE">
        <w:rPr>
          <w:rFonts w:ascii="Arial" w:hAnsi="Arial" w:cs="Arial"/>
          <w:sz w:val="24"/>
          <w:szCs w:val="24"/>
        </w:rPr>
        <w:t xml:space="preserve"> the Beijing </w:t>
      </w:r>
      <w:proofErr w:type="spellStart"/>
      <w:r w:rsidRPr="00274EAE">
        <w:rPr>
          <w:rFonts w:ascii="Arial" w:hAnsi="Arial" w:cs="Arial"/>
          <w:sz w:val="24"/>
          <w:szCs w:val="24"/>
        </w:rPr>
        <w:t>Anzhen</w:t>
      </w:r>
      <w:proofErr w:type="spellEnd"/>
      <w:r w:rsidRPr="00274EAE">
        <w:rPr>
          <w:rFonts w:ascii="Arial" w:hAnsi="Arial" w:cs="Arial"/>
          <w:sz w:val="24"/>
          <w:szCs w:val="24"/>
        </w:rPr>
        <w:t xml:space="preserve"> Hospital</w:t>
      </w:r>
      <w:r w:rsidR="002D63F5" w:rsidRPr="00274EAE">
        <w:rPr>
          <w:rFonts w:ascii="Arial" w:hAnsi="Arial" w:cs="Arial"/>
          <w:sz w:val="24"/>
          <w:szCs w:val="24"/>
        </w:rPr>
        <w:t xml:space="preserve"> Ethics Committee</w:t>
      </w:r>
      <w:r w:rsidRPr="00274EAE">
        <w:rPr>
          <w:rFonts w:ascii="Arial" w:hAnsi="Arial" w:cs="Arial"/>
          <w:sz w:val="24"/>
          <w:szCs w:val="24"/>
        </w:rPr>
        <w:t xml:space="preserve">. </w:t>
      </w:r>
      <w:r w:rsidR="002D63F5" w:rsidRPr="00274EAE">
        <w:rPr>
          <w:rFonts w:ascii="Arial" w:hAnsi="Arial" w:cs="Arial"/>
          <w:sz w:val="24"/>
          <w:szCs w:val="24"/>
        </w:rPr>
        <w:t>I</w:t>
      </w:r>
      <w:r w:rsidRPr="00274EAE">
        <w:rPr>
          <w:rFonts w:ascii="Arial" w:hAnsi="Arial" w:cs="Arial"/>
          <w:sz w:val="24"/>
          <w:szCs w:val="24"/>
        </w:rPr>
        <w:t>nformed consent was waived by the institutional review board due to the pure</w:t>
      </w:r>
      <w:r w:rsidR="002D63F5" w:rsidRPr="00274EAE">
        <w:rPr>
          <w:rFonts w:ascii="Arial" w:hAnsi="Arial" w:cs="Arial"/>
          <w:sz w:val="24"/>
          <w:szCs w:val="24"/>
        </w:rPr>
        <w:t>ly retrospective nature of the</w:t>
      </w:r>
      <w:r w:rsidRPr="00274EAE">
        <w:rPr>
          <w:rFonts w:ascii="Arial" w:hAnsi="Arial" w:cs="Arial"/>
          <w:sz w:val="24"/>
          <w:szCs w:val="24"/>
        </w:rPr>
        <w:t xml:space="preserve"> study. </w:t>
      </w:r>
      <w:r w:rsidR="002D63F5" w:rsidRPr="00274EAE">
        <w:rPr>
          <w:rFonts w:ascii="Arial" w:hAnsi="Arial" w:cs="Arial"/>
          <w:sz w:val="24"/>
          <w:szCs w:val="24"/>
        </w:rPr>
        <w:t xml:space="preserve">All study procedures were conducted in accordance with </w:t>
      </w:r>
      <w:r w:rsidRPr="00274EAE">
        <w:rPr>
          <w:rFonts w:ascii="Arial" w:hAnsi="Arial" w:cs="Arial"/>
          <w:sz w:val="24"/>
          <w:szCs w:val="24"/>
        </w:rPr>
        <w:t>the Declaration of Hels</w:t>
      </w:r>
      <w:r w:rsidR="002D63F5" w:rsidRPr="00274EAE">
        <w:rPr>
          <w:rFonts w:ascii="Arial" w:hAnsi="Arial" w:cs="Arial"/>
          <w:sz w:val="24"/>
          <w:szCs w:val="24"/>
        </w:rPr>
        <w:t>inki</w:t>
      </w:r>
      <w:r w:rsidRPr="00274EAE">
        <w:rPr>
          <w:rFonts w:ascii="Arial" w:hAnsi="Arial" w:cs="Arial"/>
          <w:sz w:val="24"/>
          <w:szCs w:val="24"/>
        </w:rPr>
        <w:t>.</w:t>
      </w:r>
    </w:p>
    <w:p w14:paraId="77CB4039" w14:textId="77777777" w:rsidR="00962E10" w:rsidRPr="00274EAE" w:rsidRDefault="00962E10" w:rsidP="00252392">
      <w:pPr>
        <w:spacing w:after="0" w:line="360" w:lineRule="auto"/>
        <w:jc w:val="both"/>
        <w:rPr>
          <w:rFonts w:ascii="Arial" w:hAnsi="Arial" w:cs="Arial"/>
          <w:sz w:val="24"/>
          <w:szCs w:val="24"/>
        </w:rPr>
      </w:pPr>
    </w:p>
    <w:p w14:paraId="4B6BBBB3" w14:textId="0E58BEBB" w:rsidR="00962E10" w:rsidRPr="00274EAE" w:rsidRDefault="00962E10" w:rsidP="00252392">
      <w:pPr>
        <w:spacing w:after="0" w:line="360" w:lineRule="auto"/>
        <w:jc w:val="both"/>
        <w:rPr>
          <w:rFonts w:ascii="Arial" w:hAnsi="Arial" w:cs="Arial"/>
          <w:b/>
          <w:sz w:val="24"/>
          <w:szCs w:val="24"/>
        </w:rPr>
      </w:pPr>
      <w:r w:rsidRPr="00274EAE">
        <w:rPr>
          <w:rFonts w:ascii="Arial" w:hAnsi="Arial" w:cs="Arial"/>
          <w:b/>
          <w:sz w:val="24"/>
          <w:szCs w:val="24"/>
        </w:rPr>
        <w:t>CT</w:t>
      </w:r>
      <w:r w:rsidR="009B7880" w:rsidRPr="00274EAE">
        <w:rPr>
          <w:rFonts w:ascii="Arial" w:hAnsi="Arial" w:cs="Arial"/>
          <w:b/>
          <w:sz w:val="24"/>
          <w:szCs w:val="24"/>
        </w:rPr>
        <w:t>A</w:t>
      </w:r>
      <w:r w:rsidRPr="00274EAE">
        <w:rPr>
          <w:rFonts w:ascii="Arial" w:hAnsi="Arial" w:cs="Arial"/>
          <w:b/>
          <w:sz w:val="24"/>
          <w:szCs w:val="24"/>
        </w:rPr>
        <w:t xml:space="preserve"> acquisition and postprocessing</w:t>
      </w:r>
    </w:p>
    <w:p w14:paraId="1255A124" w14:textId="2C90B753" w:rsidR="00962E10" w:rsidRPr="00274EAE" w:rsidRDefault="008C5CDC" w:rsidP="00252392">
      <w:pPr>
        <w:spacing w:after="0" w:line="360" w:lineRule="auto"/>
        <w:jc w:val="both"/>
        <w:rPr>
          <w:rFonts w:ascii="Arial" w:hAnsi="Arial" w:cs="Arial"/>
          <w:sz w:val="24"/>
          <w:szCs w:val="24"/>
        </w:rPr>
      </w:pPr>
      <w:r w:rsidRPr="00274EAE">
        <w:rPr>
          <w:rFonts w:ascii="Arial" w:hAnsi="Arial" w:cs="Arial"/>
          <w:sz w:val="24"/>
          <w:szCs w:val="24"/>
        </w:rPr>
        <w:t xml:space="preserve">All </w:t>
      </w:r>
      <w:r w:rsidR="00962E10" w:rsidRPr="00274EAE">
        <w:rPr>
          <w:rFonts w:ascii="Arial" w:hAnsi="Arial" w:cs="Arial"/>
          <w:sz w:val="24"/>
          <w:szCs w:val="24"/>
        </w:rPr>
        <w:t>CTA</w:t>
      </w:r>
      <w:r w:rsidR="00BF606B">
        <w:rPr>
          <w:rFonts w:ascii="Arial" w:hAnsi="Arial" w:cs="Arial"/>
          <w:sz w:val="24"/>
          <w:szCs w:val="24"/>
        </w:rPr>
        <w:t>s</w:t>
      </w:r>
      <w:r w:rsidR="003A2F42" w:rsidRPr="00274EAE">
        <w:rPr>
          <w:rFonts w:ascii="Arial" w:hAnsi="Arial" w:cs="Arial"/>
          <w:sz w:val="24"/>
          <w:szCs w:val="24"/>
        </w:rPr>
        <w:t xml:space="preserve"> were performed at a single institut</w:t>
      </w:r>
      <w:r w:rsidR="00BF606B">
        <w:rPr>
          <w:rFonts w:ascii="Arial" w:hAnsi="Arial" w:cs="Arial"/>
          <w:sz w:val="24"/>
          <w:szCs w:val="24"/>
        </w:rPr>
        <w:t>ion</w:t>
      </w:r>
      <w:r w:rsidR="003A2F42" w:rsidRPr="00274EAE">
        <w:rPr>
          <w:rFonts w:ascii="Arial" w:hAnsi="Arial" w:cs="Arial"/>
          <w:sz w:val="24"/>
          <w:szCs w:val="24"/>
        </w:rPr>
        <w:t xml:space="preserve"> using a 256-row detector CT scanner (Revolution CT, GE healthcare, </w:t>
      </w:r>
      <w:proofErr w:type="spellStart"/>
      <w:r w:rsidR="003A2F42" w:rsidRPr="00274EAE">
        <w:rPr>
          <w:rFonts w:ascii="Arial" w:hAnsi="Arial" w:cs="Arial"/>
          <w:sz w:val="24"/>
          <w:szCs w:val="24"/>
        </w:rPr>
        <w:t>Wauk</w:t>
      </w:r>
      <w:r w:rsidR="001A1895">
        <w:rPr>
          <w:rFonts w:ascii="Arial" w:hAnsi="Arial" w:cs="Arial"/>
          <w:sz w:val="24"/>
          <w:szCs w:val="24"/>
        </w:rPr>
        <w:t>a</w:t>
      </w:r>
      <w:r w:rsidR="003A2F42" w:rsidRPr="00274EAE">
        <w:rPr>
          <w:rFonts w:ascii="Arial" w:hAnsi="Arial" w:cs="Arial"/>
          <w:sz w:val="24"/>
          <w:szCs w:val="24"/>
        </w:rPr>
        <w:t>sha</w:t>
      </w:r>
      <w:proofErr w:type="spellEnd"/>
      <w:r w:rsidR="003A2F42" w:rsidRPr="00274EAE">
        <w:rPr>
          <w:rFonts w:ascii="Arial" w:hAnsi="Arial" w:cs="Arial"/>
          <w:sz w:val="24"/>
          <w:szCs w:val="24"/>
        </w:rPr>
        <w:t xml:space="preserve">, WI) </w:t>
      </w:r>
      <w:r w:rsidR="00962E10" w:rsidRPr="00274EAE">
        <w:rPr>
          <w:rFonts w:ascii="Arial" w:hAnsi="Arial" w:cs="Arial"/>
          <w:sz w:val="24"/>
          <w:szCs w:val="24"/>
        </w:rPr>
        <w:t xml:space="preserve">with prospectively ECG-triggering volume scan within a single cardiac cycle. </w:t>
      </w:r>
      <w:r w:rsidR="003A2F42" w:rsidRPr="00274EAE">
        <w:rPr>
          <w:rFonts w:ascii="Arial" w:hAnsi="Arial" w:cs="Arial"/>
          <w:sz w:val="24"/>
          <w:szCs w:val="24"/>
        </w:rPr>
        <w:t>T</w:t>
      </w:r>
      <w:r w:rsidR="00962E10" w:rsidRPr="00274EAE">
        <w:rPr>
          <w:rFonts w:ascii="Arial" w:hAnsi="Arial" w:cs="Arial"/>
          <w:sz w:val="24"/>
          <w:szCs w:val="24"/>
        </w:rPr>
        <w:t>ube voltage</w:t>
      </w:r>
      <w:r w:rsidR="003A2F42" w:rsidRPr="00274EAE">
        <w:rPr>
          <w:rFonts w:ascii="Arial" w:hAnsi="Arial" w:cs="Arial"/>
          <w:sz w:val="24"/>
          <w:szCs w:val="24"/>
        </w:rPr>
        <w:t xml:space="preserve"> and current were automatically selected by </w:t>
      </w:r>
      <w:r w:rsidR="00962E10" w:rsidRPr="00274EAE">
        <w:rPr>
          <w:rFonts w:ascii="Arial" w:hAnsi="Arial" w:cs="Arial"/>
          <w:sz w:val="24"/>
          <w:szCs w:val="24"/>
        </w:rPr>
        <w:t xml:space="preserve">kV-Assist and by Smart-mA </w:t>
      </w:r>
      <w:r w:rsidR="003A2F42" w:rsidRPr="00274EAE">
        <w:rPr>
          <w:rFonts w:ascii="Arial" w:hAnsi="Arial" w:cs="Arial"/>
          <w:sz w:val="24"/>
          <w:szCs w:val="24"/>
        </w:rPr>
        <w:t>based on</w:t>
      </w:r>
      <w:r w:rsidR="00962E10" w:rsidRPr="00274EAE">
        <w:rPr>
          <w:rFonts w:ascii="Arial" w:hAnsi="Arial" w:cs="Arial"/>
          <w:sz w:val="24"/>
          <w:szCs w:val="24"/>
        </w:rPr>
        <w:t xml:space="preserve"> the scout image. The data acquisition window was set according to HR. </w:t>
      </w:r>
      <w:r w:rsidR="00BF606B">
        <w:rPr>
          <w:rFonts w:ascii="Arial" w:hAnsi="Arial" w:cs="Arial"/>
          <w:sz w:val="24"/>
          <w:szCs w:val="24"/>
        </w:rPr>
        <w:t>C</w:t>
      </w:r>
      <w:r w:rsidR="00962E10" w:rsidRPr="00274EAE">
        <w:rPr>
          <w:rFonts w:ascii="Arial" w:hAnsi="Arial" w:cs="Arial"/>
          <w:sz w:val="24"/>
          <w:szCs w:val="24"/>
        </w:rPr>
        <w:t xml:space="preserve">ontrast medium of 60–65 ml (370 mg iodine/ml, </w:t>
      </w:r>
      <w:proofErr w:type="spellStart"/>
      <w:r w:rsidR="00962E10" w:rsidRPr="00274EAE">
        <w:rPr>
          <w:rFonts w:ascii="Arial" w:hAnsi="Arial" w:cs="Arial"/>
          <w:sz w:val="24"/>
          <w:szCs w:val="24"/>
        </w:rPr>
        <w:t>iopromide</w:t>
      </w:r>
      <w:proofErr w:type="spellEnd"/>
      <w:r w:rsidR="00962E10" w:rsidRPr="00274EAE">
        <w:rPr>
          <w:rFonts w:ascii="Arial" w:hAnsi="Arial" w:cs="Arial"/>
          <w:sz w:val="24"/>
          <w:szCs w:val="24"/>
        </w:rPr>
        <w:t xml:space="preserve">; </w:t>
      </w:r>
      <w:proofErr w:type="spellStart"/>
      <w:r w:rsidR="00962E10" w:rsidRPr="00274EAE">
        <w:rPr>
          <w:rFonts w:ascii="Arial" w:hAnsi="Arial" w:cs="Arial"/>
          <w:sz w:val="24"/>
          <w:szCs w:val="24"/>
        </w:rPr>
        <w:t>Ultravist</w:t>
      </w:r>
      <w:proofErr w:type="spellEnd"/>
      <w:r w:rsidR="00962E10" w:rsidRPr="00274EAE">
        <w:rPr>
          <w:rFonts w:ascii="Arial" w:hAnsi="Arial" w:cs="Arial"/>
          <w:sz w:val="24"/>
          <w:szCs w:val="24"/>
        </w:rPr>
        <w:t>, Bayer Schering Pharma, Berlin, Germany) was injected at 4–5 ml/s rate followed by 30 ml</w:t>
      </w:r>
      <w:r w:rsidR="00BF606B">
        <w:rPr>
          <w:rFonts w:ascii="Arial" w:hAnsi="Arial" w:cs="Arial"/>
          <w:sz w:val="24"/>
          <w:szCs w:val="24"/>
        </w:rPr>
        <w:t xml:space="preserve"> of</w:t>
      </w:r>
      <w:r w:rsidR="00962E10" w:rsidRPr="00274EAE">
        <w:rPr>
          <w:rFonts w:ascii="Arial" w:hAnsi="Arial" w:cs="Arial"/>
          <w:sz w:val="24"/>
          <w:szCs w:val="24"/>
        </w:rPr>
        <w:t xml:space="preserve"> saline with a dual-head power injector. Scanning parameters </w:t>
      </w:r>
      <w:r w:rsidR="00BF606B">
        <w:rPr>
          <w:rFonts w:ascii="Arial" w:hAnsi="Arial" w:cs="Arial"/>
          <w:sz w:val="24"/>
          <w:szCs w:val="24"/>
        </w:rPr>
        <w:t>were as follows:</w:t>
      </w:r>
      <w:r w:rsidR="00962E10" w:rsidRPr="00274EAE">
        <w:rPr>
          <w:rFonts w:ascii="Arial" w:hAnsi="Arial" w:cs="Arial"/>
          <w:sz w:val="24"/>
          <w:szCs w:val="24"/>
        </w:rPr>
        <w:t xml:space="preserve"> 256 × 0.625 mm collimation, and scan coverage was 120 or 140 mm with a matrix size of 512 × 512 pixels and reconstruction section thickness and section interval of 0.625 mm.</w:t>
      </w:r>
      <w:r w:rsidR="003A2F42" w:rsidRPr="00274EAE">
        <w:rPr>
          <w:rFonts w:ascii="Arial" w:hAnsi="Arial" w:cs="Arial"/>
          <w:sz w:val="24"/>
          <w:szCs w:val="24"/>
        </w:rPr>
        <w:t xml:space="preserve">  </w:t>
      </w:r>
      <w:r w:rsidR="00962E10" w:rsidRPr="00274EAE">
        <w:rPr>
          <w:rFonts w:ascii="Arial" w:hAnsi="Arial" w:cs="Arial"/>
          <w:sz w:val="24"/>
          <w:szCs w:val="24"/>
        </w:rPr>
        <w:t xml:space="preserve">Images were reconstructed using iterative reconstruction at 50% strength (ASIR-V) with </w:t>
      </w:r>
      <w:r w:rsidR="003A2F42" w:rsidRPr="00274EAE">
        <w:rPr>
          <w:rFonts w:ascii="Arial" w:hAnsi="Arial" w:cs="Arial"/>
          <w:sz w:val="24"/>
          <w:szCs w:val="24"/>
        </w:rPr>
        <w:t xml:space="preserve">a </w:t>
      </w:r>
      <w:r w:rsidR="007A4099" w:rsidRPr="00274EAE">
        <w:rPr>
          <w:rFonts w:ascii="Arial" w:hAnsi="Arial" w:cs="Arial"/>
          <w:sz w:val="24"/>
          <w:szCs w:val="24"/>
        </w:rPr>
        <w:t xml:space="preserve">standard </w:t>
      </w:r>
      <w:r w:rsidR="00CB191B">
        <w:rPr>
          <w:rFonts w:ascii="Arial" w:hAnsi="Arial" w:cs="Arial"/>
          <w:sz w:val="24"/>
          <w:szCs w:val="24"/>
        </w:rPr>
        <w:t xml:space="preserve">soft tissue </w:t>
      </w:r>
      <w:r w:rsidR="007A4099" w:rsidRPr="00274EAE">
        <w:rPr>
          <w:rFonts w:ascii="Arial" w:hAnsi="Arial" w:cs="Arial"/>
          <w:sz w:val="24"/>
          <w:szCs w:val="24"/>
        </w:rPr>
        <w:t>convolution kernel</w:t>
      </w:r>
      <w:r w:rsidR="003A2F42" w:rsidRPr="00274EAE">
        <w:rPr>
          <w:rFonts w:ascii="Arial" w:hAnsi="Arial" w:cs="Arial"/>
          <w:sz w:val="24"/>
          <w:szCs w:val="24"/>
        </w:rPr>
        <w:t xml:space="preserve">. </w:t>
      </w:r>
      <w:r w:rsidR="00870070" w:rsidRPr="00274EAE">
        <w:rPr>
          <w:rFonts w:ascii="Arial" w:hAnsi="Arial" w:cs="Arial"/>
          <w:sz w:val="24"/>
          <w:szCs w:val="24"/>
        </w:rPr>
        <w:t>T</w:t>
      </w:r>
      <w:r w:rsidR="003A2F42" w:rsidRPr="00274EAE">
        <w:rPr>
          <w:rFonts w:ascii="Arial" w:hAnsi="Arial" w:cs="Arial"/>
          <w:sz w:val="24"/>
          <w:szCs w:val="24"/>
        </w:rPr>
        <w:t>he</w:t>
      </w:r>
      <w:r w:rsidR="00870070" w:rsidRPr="00274EAE">
        <w:rPr>
          <w:rFonts w:ascii="Arial" w:hAnsi="Arial" w:cs="Arial"/>
          <w:sz w:val="24"/>
          <w:szCs w:val="24"/>
        </w:rPr>
        <w:t xml:space="preserve"> DICOM of the</w:t>
      </w:r>
      <w:r w:rsidR="003A2F42" w:rsidRPr="00274EAE">
        <w:rPr>
          <w:rFonts w:ascii="Arial" w:hAnsi="Arial" w:cs="Arial"/>
          <w:sz w:val="24"/>
          <w:szCs w:val="24"/>
        </w:rPr>
        <w:t xml:space="preserve"> best image phase</w:t>
      </w:r>
      <w:r w:rsidR="00870070" w:rsidRPr="00274EAE">
        <w:rPr>
          <w:rFonts w:ascii="Arial" w:hAnsi="Arial" w:cs="Arial"/>
          <w:sz w:val="24"/>
          <w:szCs w:val="24"/>
        </w:rPr>
        <w:t xml:space="preserve"> (</w:t>
      </w:r>
      <w:r w:rsidR="00870070" w:rsidRPr="00274EAE">
        <w:rPr>
          <w:rFonts w:ascii="Arial" w:hAnsi="Arial" w:cs="Arial"/>
          <w:bCs/>
          <w:sz w:val="24"/>
          <w:szCs w:val="24"/>
        </w:rPr>
        <w:t>CTA</w:t>
      </w:r>
      <w:r w:rsidR="00870070" w:rsidRPr="00274EAE">
        <w:rPr>
          <w:rFonts w:ascii="Arial" w:hAnsi="Arial" w:cs="Arial"/>
          <w:bCs/>
          <w:sz w:val="24"/>
          <w:szCs w:val="24"/>
          <w:vertAlign w:val="subscript"/>
        </w:rPr>
        <w:t>STAND</w:t>
      </w:r>
      <w:r w:rsidR="003A2F42" w:rsidRPr="00274EAE">
        <w:rPr>
          <w:rFonts w:ascii="Arial" w:hAnsi="Arial" w:cs="Arial"/>
          <w:sz w:val="24"/>
          <w:szCs w:val="24"/>
        </w:rPr>
        <w:t xml:space="preserve">) </w:t>
      </w:r>
      <w:r w:rsidR="00870070" w:rsidRPr="00274EAE">
        <w:rPr>
          <w:rFonts w:ascii="Arial" w:hAnsi="Arial" w:cs="Arial"/>
          <w:sz w:val="24"/>
          <w:szCs w:val="24"/>
        </w:rPr>
        <w:t xml:space="preserve">was then used </w:t>
      </w:r>
      <w:r w:rsidR="00A20399">
        <w:rPr>
          <w:rFonts w:ascii="Arial" w:hAnsi="Arial" w:cs="Arial"/>
          <w:sz w:val="24"/>
          <w:szCs w:val="24"/>
        </w:rPr>
        <w:t>with</w:t>
      </w:r>
      <w:r w:rsidR="00870070" w:rsidRPr="00274EAE">
        <w:rPr>
          <w:rFonts w:ascii="Arial" w:hAnsi="Arial" w:cs="Arial"/>
          <w:sz w:val="24"/>
          <w:szCs w:val="24"/>
        </w:rPr>
        <w:t xml:space="preserve"> </w:t>
      </w:r>
      <w:r w:rsidR="00A20399">
        <w:rPr>
          <w:rFonts w:ascii="Arial" w:hAnsi="Arial" w:cs="Arial"/>
          <w:sz w:val="24"/>
          <w:szCs w:val="24"/>
        </w:rPr>
        <w:t>a proprietary</w:t>
      </w:r>
      <w:r w:rsidR="00870070" w:rsidRPr="00274EAE">
        <w:rPr>
          <w:rFonts w:ascii="Arial" w:hAnsi="Arial" w:cs="Arial"/>
          <w:sz w:val="24"/>
          <w:szCs w:val="24"/>
        </w:rPr>
        <w:t xml:space="preserve"> </w:t>
      </w:r>
      <w:proofErr w:type="spellStart"/>
      <w:r w:rsidR="00870070" w:rsidRPr="00274EAE">
        <w:rPr>
          <w:rFonts w:ascii="Arial" w:hAnsi="Arial" w:cs="Arial"/>
          <w:sz w:val="24"/>
          <w:szCs w:val="24"/>
        </w:rPr>
        <w:t>deblooming</w:t>
      </w:r>
      <w:proofErr w:type="spellEnd"/>
      <w:r w:rsidR="00870070" w:rsidRPr="00274EAE">
        <w:rPr>
          <w:rFonts w:ascii="Arial" w:hAnsi="Arial" w:cs="Arial"/>
          <w:sz w:val="24"/>
          <w:szCs w:val="24"/>
        </w:rPr>
        <w:t xml:space="preserve"> algorithm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00870070" w:rsidRPr="00274EAE">
        <w:rPr>
          <w:rFonts w:ascii="Arial" w:hAnsi="Arial" w:cs="Arial"/>
          <w:bCs/>
          <w:sz w:val="24"/>
          <w:szCs w:val="24"/>
        </w:rPr>
        <w:t>)</w:t>
      </w:r>
      <w:r w:rsidR="004E645B">
        <w:rPr>
          <w:rFonts w:ascii="Arial" w:hAnsi="Arial" w:cs="Arial"/>
          <w:bCs/>
          <w:sz w:val="24"/>
          <w:szCs w:val="24"/>
        </w:rPr>
        <w:fldChar w:fldCharType="begin" w:fldLock="1"/>
      </w:r>
      <w:r w:rsidR="009619EC">
        <w:rPr>
          <w:rFonts w:ascii="Arial" w:hAnsi="Arial" w:cs="Arial"/>
          <w:bCs/>
          <w:sz w:val="24"/>
          <w:szCs w:val="24"/>
        </w:rPr>
        <w:instrText>ADDIN CSL_CITATION {"citationItems":[{"id":"ITEM-1","itemData":{"DOI":"10.1038/s41598-018-25352-5","ISSN":"20452322","abstract":"The aim of this study was to investigate the use of de-blooming algorithm in coronary CT angiography (CCTA) for optimal evaluation of calcified plaques. Calcified plaques were simulated on a coronary vessel phantom and a cardiac motion phantom. Two convolution kernels, standard (STND) and high-definition standard (HD STND), were used for imaging reconstruction. A dedicated de-blooming algorithm was used for imaging processing. We found a smaller bias towards measurement of stenosis using the de-blooming algorithm (STND: bias 24.6% vs 15.0%, range 10.2% to 39.0% vs 4.0% to 25.9%; HD STND: bias 17.9% vs 11.0%, range 8.9% to 30.6% vs 0.5% to 21.5%). With use of de-blooming algorithm, specificity for diagnosing significant stenosis increased from 45.8% to 75.0% (STND), from 62.5% to 83.3% (HD STND); while positive predictive value (PPV) increased from 69.8% to 83.3% (STND), from 76.9% to 88.2% (HD STND). In the patient group, reduction in calcification volume was 48.1 ± 10.3%, reduction in coronary diameter stenosis over calcified plaque was 52.4 ± 24.2%. Our results suggest that the novel de-blooming algorithm could effectively decrease the blooming artifacts caused by coronary calcified plaques, and consequently improve diagnostic accuracy of CCTA in assessing coronary stenosis. Coronary CT angiography (CCTA) is a widely used non-invasive modality enabling high diagnostic performance for the diagnosis of coronary artery disease (CAD) 1–6 . Despite high diagnostic value achieved with recently devel-oped advanced CT scanners, CCTA still has moderate specificity in the assessment of calcified plaques due to the artifacts that result from significant calcification 7 . Calcification produces blooming and partial volume artifacts on CT imaging, which can cause erroneous enlargement of the appearance of calcification 8 . As a result blooming artifact prevents accurate evaluation of the coronary artery lumen and results in overestimation of the stenosis leading to false positive diagnosis 9–14 . Although CCTA is an excellent imaging modality for the assessment of patients with suspected CAD, calcified plaque presents a major challenge for CCTA scans. A new vendor-specific de-blooming algorithm is under investigation to help minimize the blooming artifact of coronary calcification, and this has not been well studied. We hypothesized that this brand new algorithm would allow for more accurate evaluation of coronary artery stenosis in the presence of calcified plaqu…","author":[{"dropping-particle":"","family":"Li","given":"Ping","non-dropping-particle":"","parse-names":false,"suffix":""},{"dropping-particle":"","family":"Xu","given":"Lei","non-dropping-particle":"","parse-names":false,"suffix":""},{"dropping-particle":"","family":"Yang","given":"Lin","non-dropping-particle":"","parse-names":false,"suffix":""},{"dropping-particle":"","family":"Wang","given":"Rui","non-dropping-particle":"","parse-names":false,"suffix":""},{"dropping-particle":"","family":"Hsieh","given":"Jiang","non-dropping-particle":"","parse-names":false,"suffix":""},{"dropping-particle":"","family":"Sun","given":"Zhonghua","non-dropping-particle":"","parse-names":false,"suffix":""},{"dropping-particle":"","family":"Fan","given":"Zhanming","non-dropping-particle":"","parse-names":false,"suffix":""},{"dropping-particle":"","family":"Leipsic","given":"Jonathon A.","non-dropping-particle":"","parse-names":false,"suffix":""}],"container-title":"Scientific Reports","id":"ITEM-1","issue":"1","issued":{"date-parts":[["2018"]]},"page":"1-8","publisher":"Springer US","title":"Blooming Artifact Reduction in Coronary Artery Calcification by A New De-blooming Algorithm: Initial Study","type":"article-journal","volume":"8"},"uris":["http://www.mendeley.com/documents/?uuid=d1989d25-dfda-4367-bc7b-3788d771064f"]}],"mendeley":{"formattedCitation":"&lt;sup&gt;9&lt;/sup&gt;","plainTextFormattedCitation":"9","previouslyFormattedCitation":"&lt;sup&gt;9&lt;/sup&gt;"},"properties":{"noteIndex":0},"schema":"https://github.com/citation-style-language/schema/raw/master/csl-citation.json"}</w:instrText>
      </w:r>
      <w:r w:rsidR="004E645B">
        <w:rPr>
          <w:rFonts w:ascii="Arial" w:hAnsi="Arial" w:cs="Arial"/>
          <w:bCs/>
          <w:sz w:val="24"/>
          <w:szCs w:val="24"/>
        </w:rPr>
        <w:fldChar w:fldCharType="separate"/>
      </w:r>
      <w:r w:rsidR="004E645B" w:rsidRPr="004E645B">
        <w:rPr>
          <w:rFonts w:ascii="Arial" w:hAnsi="Arial" w:cs="Arial"/>
          <w:bCs/>
          <w:noProof/>
          <w:sz w:val="24"/>
          <w:szCs w:val="24"/>
          <w:vertAlign w:val="superscript"/>
        </w:rPr>
        <w:t>9</w:t>
      </w:r>
      <w:r w:rsidR="004E645B">
        <w:rPr>
          <w:rFonts w:ascii="Arial" w:hAnsi="Arial" w:cs="Arial"/>
          <w:bCs/>
          <w:sz w:val="24"/>
          <w:szCs w:val="24"/>
        </w:rPr>
        <w:fldChar w:fldCharType="end"/>
      </w:r>
      <w:r w:rsidR="00962E10" w:rsidRPr="00274EAE">
        <w:rPr>
          <w:rFonts w:ascii="Arial" w:hAnsi="Arial" w:cs="Arial"/>
          <w:sz w:val="24"/>
          <w:szCs w:val="24"/>
        </w:rPr>
        <w:t>.</w:t>
      </w:r>
      <w:r w:rsidR="00655676" w:rsidRPr="00655676">
        <w:rPr>
          <w:rFonts w:ascii="Arial" w:hAnsi="Arial" w:cs="Arial"/>
          <w:sz w:val="24"/>
          <w:szCs w:val="24"/>
        </w:rPr>
        <w:t xml:space="preserve"> The algorithm is based on the observation that the blooming effect is caused by the spread of high-density </w:t>
      </w:r>
      <w:r w:rsidR="00BF606B">
        <w:rPr>
          <w:rFonts w:ascii="Arial" w:hAnsi="Arial" w:cs="Arial"/>
          <w:sz w:val="24"/>
          <w:szCs w:val="24"/>
        </w:rPr>
        <w:t>structures</w:t>
      </w:r>
      <w:r w:rsidR="00655676" w:rsidRPr="00655676">
        <w:rPr>
          <w:rFonts w:ascii="Arial" w:hAnsi="Arial" w:cs="Arial"/>
          <w:sz w:val="24"/>
          <w:szCs w:val="24"/>
        </w:rPr>
        <w:t xml:space="preserve"> to the surrounding regions as a result of the system </w:t>
      </w:r>
      <w:r w:rsidR="00655676" w:rsidRPr="00655676">
        <w:rPr>
          <w:rFonts w:ascii="Arial" w:hAnsi="Arial" w:cs="Arial"/>
          <w:sz w:val="24"/>
          <w:szCs w:val="24"/>
        </w:rPr>
        <w:lastRenderedPageBreak/>
        <w:t>point spread function and beam hardening.  The algorithm first identifies the affected regions by segmenting calcified plaques, stents, and other high-density objects.  An iterative correction approach is then employed to restore the underl</w:t>
      </w:r>
      <w:r w:rsidR="00655676">
        <w:rPr>
          <w:rFonts w:ascii="Arial" w:hAnsi="Arial" w:cs="Arial"/>
          <w:sz w:val="24"/>
          <w:szCs w:val="24"/>
        </w:rPr>
        <w:t>ying</w:t>
      </w:r>
      <w:r w:rsidR="00655676" w:rsidRPr="00655676">
        <w:rPr>
          <w:rFonts w:ascii="Arial" w:hAnsi="Arial" w:cs="Arial"/>
          <w:sz w:val="24"/>
          <w:szCs w:val="24"/>
        </w:rPr>
        <w:t xml:space="preserve"> signal affected by these objects. The algorithm is iterative in nature in order to overcome many shortcomings of the traditional deconvolutio</w:t>
      </w:r>
      <w:r w:rsidR="00CB191B">
        <w:rPr>
          <w:rFonts w:ascii="Arial" w:hAnsi="Arial" w:cs="Arial"/>
          <w:sz w:val="24"/>
          <w:szCs w:val="24"/>
        </w:rPr>
        <w:t>n approaches</w:t>
      </w:r>
      <w:r w:rsidR="00655676" w:rsidRPr="00655676">
        <w:rPr>
          <w:rFonts w:ascii="Arial" w:hAnsi="Arial" w:cs="Arial"/>
          <w:sz w:val="24"/>
          <w:szCs w:val="24"/>
        </w:rPr>
        <w:t>.</w:t>
      </w:r>
      <w:r w:rsidR="00CB191B">
        <w:rPr>
          <w:rFonts w:ascii="Arial" w:hAnsi="Arial" w:cs="Arial"/>
          <w:sz w:val="24"/>
          <w:szCs w:val="24"/>
        </w:rPr>
        <w:fldChar w:fldCharType="begin" w:fldLock="1"/>
      </w:r>
      <w:r w:rsidR="00CB191B">
        <w:rPr>
          <w:rFonts w:ascii="Arial" w:hAnsi="Arial" w:cs="Arial"/>
          <w:sz w:val="24"/>
          <w:szCs w:val="24"/>
        </w:rPr>
        <w:instrText>ADDIN CSL_CITATION {"citationItems":[{"id":"ITEM-1","itemData":{"author":[{"dropping-particle":"","family":"Hsieh","given":"Jiang","non-dropping-particle":"","parse-names":false,"suffix":""},{"dropping-particle":"","family":"Dutta","given":"Sandeep","non-dropping-particle":"","parse-names":false,"suffix":""}],"id":"ITEM-1","issued":{"date-parts":[["2011"]]},"number":"8699812","publisher":"United States Patent Office","title":"System and method for quality improvement in CT imaging, United States Patent: 8699812","type":"patent"},"uris":["http://www.mendeley.com/documents/?uuid=47e5016d-321f-3911-83e9-287dc5347c61"]}],"mendeley":{"formattedCitation":"&lt;sup&gt;10&lt;/sup&gt;","plainTextFormattedCitation":"10","previouslyFormattedCitation":"&lt;sup&gt;10&lt;/sup&gt;"},"properties":{"noteIndex":0},"schema":"https://github.com/citation-style-language/schema/raw/master/csl-citation.json"}</w:instrText>
      </w:r>
      <w:r w:rsidR="00CB191B">
        <w:rPr>
          <w:rFonts w:ascii="Arial" w:hAnsi="Arial" w:cs="Arial"/>
          <w:sz w:val="24"/>
          <w:szCs w:val="24"/>
        </w:rPr>
        <w:fldChar w:fldCharType="separate"/>
      </w:r>
      <w:r w:rsidR="00CB191B" w:rsidRPr="00CB191B">
        <w:rPr>
          <w:rFonts w:ascii="Arial" w:hAnsi="Arial" w:cs="Arial"/>
          <w:noProof/>
          <w:sz w:val="24"/>
          <w:szCs w:val="24"/>
          <w:vertAlign w:val="superscript"/>
        </w:rPr>
        <w:t>10</w:t>
      </w:r>
      <w:r w:rsidR="00CB191B">
        <w:rPr>
          <w:rFonts w:ascii="Arial" w:hAnsi="Arial" w:cs="Arial"/>
          <w:sz w:val="24"/>
          <w:szCs w:val="24"/>
        </w:rPr>
        <w:fldChar w:fldCharType="end"/>
      </w:r>
    </w:p>
    <w:p w14:paraId="7A13ADC1" w14:textId="77777777" w:rsidR="00962E10" w:rsidRPr="00274EAE" w:rsidRDefault="00962E10" w:rsidP="00252392">
      <w:pPr>
        <w:spacing w:after="0" w:line="360" w:lineRule="auto"/>
        <w:jc w:val="both"/>
        <w:rPr>
          <w:rFonts w:ascii="Arial" w:hAnsi="Arial" w:cs="Arial"/>
          <w:sz w:val="24"/>
          <w:szCs w:val="24"/>
        </w:rPr>
      </w:pPr>
    </w:p>
    <w:p w14:paraId="5FFDB07C" w14:textId="0DB2D7EF" w:rsidR="00962E10" w:rsidRPr="00274EAE" w:rsidRDefault="00A73DC3" w:rsidP="00252392">
      <w:pPr>
        <w:spacing w:after="0" w:line="360" w:lineRule="auto"/>
        <w:jc w:val="both"/>
        <w:rPr>
          <w:rFonts w:ascii="Arial" w:hAnsi="Arial" w:cs="Arial"/>
          <w:b/>
          <w:sz w:val="24"/>
          <w:szCs w:val="24"/>
        </w:rPr>
      </w:pPr>
      <w:r w:rsidRPr="00274EAE">
        <w:rPr>
          <w:rFonts w:ascii="Arial" w:hAnsi="Arial" w:cs="Arial"/>
          <w:b/>
          <w:sz w:val="24"/>
          <w:szCs w:val="24"/>
        </w:rPr>
        <w:t xml:space="preserve">CTA </w:t>
      </w:r>
      <w:r w:rsidR="00962E10" w:rsidRPr="00274EAE">
        <w:rPr>
          <w:rFonts w:ascii="Arial" w:hAnsi="Arial" w:cs="Arial"/>
          <w:b/>
          <w:sz w:val="24"/>
          <w:szCs w:val="24"/>
        </w:rPr>
        <w:t xml:space="preserve">Image </w:t>
      </w:r>
      <w:r w:rsidR="009B7880" w:rsidRPr="00274EAE">
        <w:rPr>
          <w:rFonts w:ascii="Arial" w:hAnsi="Arial" w:cs="Arial"/>
          <w:b/>
          <w:sz w:val="24"/>
          <w:szCs w:val="24"/>
        </w:rPr>
        <w:t>A</w:t>
      </w:r>
      <w:r w:rsidR="00962E10" w:rsidRPr="00274EAE">
        <w:rPr>
          <w:rFonts w:ascii="Arial" w:hAnsi="Arial" w:cs="Arial"/>
          <w:b/>
          <w:sz w:val="24"/>
          <w:szCs w:val="24"/>
        </w:rPr>
        <w:t>nalysis</w:t>
      </w:r>
    </w:p>
    <w:p w14:paraId="0CF7A028" w14:textId="2C848B47" w:rsidR="00A73DC3" w:rsidRPr="00274EAE" w:rsidRDefault="003A2F42" w:rsidP="00252392">
      <w:pPr>
        <w:spacing w:after="0" w:line="360" w:lineRule="auto"/>
        <w:jc w:val="both"/>
        <w:rPr>
          <w:rFonts w:ascii="Arial" w:hAnsi="Arial" w:cs="Arial"/>
          <w:sz w:val="24"/>
          <w:szCs w:val="24"/>
        </w:rPr>
      </w:pPr>
      <w:r w:rsidRPr="00274EAE">
        <w:rPr>
          <w:rFonts w:ascii="Arial" w:hAnsi="Arial" w:cs="Arial"/>
          <w:sz w:val="24"/>
          <w:szCs w:val="24"/>
        </w:rPr>
        <w:t xml:space="preserve">Image analysis was performed in an independent </w:t>
      </w:r>
      <w:proofErr w:type="spellStart"/>
      <w:r w:rsidRPr="00274EAE">
        <w:rPr>
          <w:rFonts w:ascii="Arial" w:hAnsi="Arial" w:cs="Arial"/>
          <w:sz w:val="24"/>
          <w:szCs w:val="24"/>
        </w:rPr>
        <w:t>corelab</w:t>
      </w:r>
      <w:proofErr w:type="spellEnd"/>
      <w:r w:rsidRPr="00274EAE">
        <w:rPr>
          <w:rFonts w:ascii="Arial" w:hAnsi="Arial" w:cs="Arial"/>
          <w:sz w:val="24"/>
          <w:szCs w:val="24"/>
        </w:rPr>
        <w:t xml:space="preserve">.  The </w:t>
      </w:r>
      <w:proofErr w:type="spellStart"/>
      <w:r w:rsidRPr="00274EAE">
        <w:rPr>
          <w:rFonts w:ascii="Arial" w:hAnsi="Arial" w:cs="Arial"/>
          <w:sz w:val="24"/>
          <w:szCs w:val="24"/>
        </w:rPr>
        <w:t>corelab</w:t>
      </w:r>
      <w:proofErr w:type="spellEnd"/>
      <w:r w:rsidRPr="00274EAE">
        <w:rPr>
          <w:rFonts w:ascii="Arial" w:hAnsi="Arial" w:cs="Arial"/>
          <w:sz w:val="24"/>
          <w:szCs w:val="24"/>
        </w:rPr>
        <w:t xml:space="preserve"> was blinded</w:t>
      </w:r>
      <w:r w:rsidR="00A73DC3" w:rsidRPr="00274EAE">
        <w:rPr>
          <w:rFonts w:ascii="Arial" w:hAnsi="Arial" w:cs="Arial"/>
          <w:sz w:val="24"/>
          <w:szCs w:val="24"/>
        </w:rPr>
        <w:t xml:space="preserve"> to all clinical details, original CTA report, and ICA data.  All scans were reviewed by t</w:t>
      </w:r>
      <w:r w:rsidR="00962E10" w:rsidRPr="00274EAE">
        <w:rPr>
          <w:rFonts w:ascii="Arial" w:hAnsi="Arial" w:cs="Arial"/>
          <w:sz w:val="24"/>
          <w:szCs w:val="24"/>
        </w:rPr>
        <w:t xml:space="preserve">wo experienced </w:t>
      </w:r>
      <w:r w:rsidR="00EC54CB" w:rsidRPr="00274EAE">
        <w:rPr>
          <w:rFonts w:ascii="Arial" w:hAnsi="Arial" w:cs="Arial"/>
          <w:sz w:val="24"/>
          <w:szCs w:val="24"/>
        </w:rPr>
        <w:t>cardiac imagers</w:t>
      </w:r>
      <w:r w:rsidR="00962E10" w:rsidRPr="00274EAE">
        <w:rPr>
          <w:rFonts w:ascii="Arial" w:hAnsi="Arial" w:cs="Arial"/>
          <w:sz w:val="24"/>
          <w:szCs w:val="24"/>
        </w:rPr>
        <w:t xml:space="preserve"> (</w:t>
      </w:r>
      <w:r w:rsidRPr="00274EAE">
        <w:rPr>
          <w:rFonts w:ascii="Arial" w:hAnsi="Arial" w:cs="Arial"/>
          <w:sz w:val="24"/>
          <w:szCs w:val="24"/>
        </w:rPr>
        <w:t>JL</w:t>
      </w:r>
      <w:r w:rsidR="00962E10" w:rsidRPr="00274EAE">
        <w:rPr>
          <w:rFonts w:ascii="Arial" w:hAnsi="Arial" w:cs="Arial"/>
          <w:sz w:val="24"/>
          <w:szCs w:val="24"/>
        </w:rPr>
        <w:t xml:space="preserve"> </w:t>
      </w:r>
      <w:r w:rsidRPr="00274EAE">
        <w:rPr>
          <w:rFonts w:ascii="Arial" w:hAnsi="Arial" w:cs="Arial"/>
          <w:sz w:val="24"/>
          <w:szCs w:val="24"/>
        </w:rPr>
        <w:t xml:space="preserve">with </w:t>
      </w:r>
      <w:r w:rsidR="00A84552" w:rsidRPr="00274EAE">
        <w:rPr>
          <w:rFonts w:ascii="Arial" w:hAnsi="Arial" w:cs="Arial"/>
          <w:sz w:val="24"/>
          <w:szCs w:val="24"/>
        </w:rPr>
        <w:t>15</w:t>
      </w:r>
      <w:r w:rsidR="00962E10" w:rsidRPr="00274EAE">
        <w:rPr>
          <w:rFonts w:ascii="Arial" w:hAnsi="Arial" w:cs="Arial"/>
          <w:sz w:val="24"/>
          <w:szCs w:val="24"/>
        </w:rPr>
        <w:t xml:space="preserve"> years of experience in </w:t>
      </w:r>
      <w:r w:rsidRPr="00274EAE">
        <w:rPr>
          <w:rFonts w:ascii="Arial" w:hAnsi="Arial" w:cs="Arial"/>
          <w:sz w:val="24"/>
          <w:szCs w:val="24"/>
        </w:rPr>
        <w:t>CTA</w:t>
      </w:r>
      <w:r w:rsidR="00F023D3">
        <w:rPr>
          <w:rFonts w:ascii="Arial" w:hAnsi="Arial" w:cs="Arial"/>
          <w:sz w:val="24"/>
          <w:szCs w:val="24"/>
        </w:rPr>
        <w:t>, and</w:t>
      </w:r>
      <w:r w:rsidR="00962E10" w:rsidRPr="00274EAE">
        <w:rPr>
          <w:rFonts w:ascii="Arial" w:hAnsi="Arial" w:cs="Arial"/>
          <w:sz w:val="24"/>
          <w:szCs w:val="24"/>
        </w:rPr>
        <w:t xml:space="preserve"> </w:t>
      </w:r>
      <w:r w:rsidRPr="00274EAE">
        <w:rPr>
          <w:rFonts w:ascii="Arial" w:hAnsi="Arial" w:cs="Arial"/>
          <w:sz w:val="24"/>
          <w:szCs w:val="24"/>
        </w:rPr>
        <w:t>JWM</w:t>
      </w:r>
      <w:r w:rsidR="00F023D3">
        <w:rPr>
          <w:rFonts w:ascii="Arial" w:hAnsi="Arial" w:cs="Arial"/>
          <w:sz w:val="24"/>
          <w:szCs w:val="24"/>
        </w:rPr>
        <w:t xml:space="preserve"> </w:t>
      </w:r>
      <w:r w:rsidR="00962E10" w:rsidRPr="00274EAE">
        <w:rPr>
          <w:rFonts w:ascii="Arial" w:hAnsi="Arial" w:cs="Arial"/>
          <w:sz w:val="24"/>
          <w:szCs w:val="24"/>
        </w:rPr>
        <w:t xml:space="preserve">with </w:t>
      </w:r>
      <w:r w:rsidRPr="00274EAE">
        <w:rPr>
          <w:rFonts w:ascii="Arial" w:hAnsi="Arial" w:cs="Arial"/>
          <w:sz w:val="24"/>
          <w:szCs w:val="24"/>
        </w:rPr>
        <w:t>7</w:t>
      </w:r>
      <w:r w:rsidR="00962E10" w:rsidRPr="00274EAE">
        <w:rPr>
          <w:rFonts w:ascii="Arial" w:hAnsi="Arial" w:cs="Arial"/>
          <w:sz w:val="24"/>
          <w:szCs w:val="24"/>
        </w:rPr>
        <w:t xml:space="preserve"> years of experience in </w:t>
      </w:r>
      <w:r w:rsidRPr="00274EAE">
        <w:rPr>
          <w:rFonts w:ascii="Arial" w:hAnsi="Arial" w:cs="Arial"/>
          <w:sz w:val="24"/>
          <w:szCs w:val="24"/>
        </w:rPr>
        <w:t>CTA</w:t>
      </w:r>
      <w:r w:rsidR="00962E10" w:rsidRPr="00274EAE">
        <w:rPr>
          <w:rFonts w:ascii="Arial" w:hAnsi="Arial" w:cs="Arial"/>
          <w:sz w:val="24"/>
          <w:szCs w:val="24"/>
        </w:rPr>
        <w:t>)</w:t>
      </w:r>
      <w:r w:rsidR="00870070" w:rsidRPr="00274EAE">
        <w:rPr>
          <w:rFonts w:ascii="Arial" w:hAnsi="Arial" w:cs="Arial"/>
          <w:sz w:val="24"/>
          <w:szCs w:val="24"/>
        </w:rPr>
        <w:t xml:space="preserve">, who were </w:t>
      </w:r>
      <w:r w:rsidR="00F023D3">
        <w:rPr>
          <w:rFonts w:ascii="Arial" w:hAnsi="Arial" w:cs="Arial"/>
          <w:sz w:val="24"/>
          <w:szCs w:val="24"/>
        </w:rPr>
        <w:t>also</w:t>
      </w:r>
      <w:r w:rsidR="00870070" w:rsidRPr="00274EAE">
        <w:rPr>
          <w:rFonts w:ascii="Arial" w:hAnsi="Arial" w:cs="Arial"/>
          <w:sz w:val="24"/>
          <w:szCs w:val="24"/>
        </w:rPr>
        <w:t xml:space="preserve"> blinded to the reconstruction algorithm</w:t>
      </w:r>
      <w:r w:rsidR="00A73DC3" w:rsidRPr="00274EAE">
        <w:rPr>
          <w:rFonts w:ascii="Arial" w:hAnsi="Arial" w:cs="Arial"/>
          <w:sz w:val="24"/>
          <w:szCs w:val="24"/>
        </w:rPr>
        <w:t xml:space="preserve">.  All datasets were reviewed for image quality, the presence of </w:t>
      </w:r>
      <w:r w:rsidR="002D20AB">
        <w:rPr>
          <w:rFonts w:ascii="Arial" w:hAnsi="Arial" w:cs="Arial"/>
          <w:sz w:val="24"/>
          <w:szCs w:val="24"/>
        </w:rPr>
        <w:t>artifact</w:t>
      </w:r>
      <w:r w:rsidR="00A73DC3" w:rsidRPr="00274EAE">
        <w:rPr>
          <w:rFonts w:ascii="Arial" w:hAnsi="Arial" w:cs="Arial"/>
          <w:sz w:val="24"/>
          <w:szCs w:val="24"/>
        </w:rPr>
        <w:t>s and segmental stenosis analysis</w:t>
      </w:r>
      <w:r w:rsidR="00EC54CB" w:rsidRPr="00274EAE">
        <w:rPr>
          <w:rFonts w:ascii="Arial" w:hAnsi="Arial" w:cs="Arial"/>
          <w:sz w:val="24"/>
          <w:szCs w:val="24"/>
        </w:rPr>
        <w:t xml:space="preserve"> independently by both reviewers</w:t>
      </w:r>
      <w:r w:rsidR="00A73DC3" w:rsidRPr="00274EAE">
        <w:rPr>
          <w:rFonts w:ascii="Arial" w:hAnsi="Arial" w:cs="Arial"/>
          <w:sz w:val="24"/>
          <w:szCs w:val="24"/>
        </w:rPr>
        <w:t xml:space="preserve">.   </w:t>
      </w:r>
    </w:p>
    <w:p w14:paraId="170E359F" w14:textId="77777777" w:rsidR="00A73DC3" w:rsidRPr="00274EAE" w:rsidRDefault="00A73DC3" w:rsidP="00252392">
      <w:pPr>
        <w:spacing w:after="0" w:line="360" w:lineRule="auto"/>
        <w:jc w:val="both"/>
        <w:rPr>
          <w:rFonts w:ascii="Arial" w:hAnsi="Arial" w:cs="Arial"/>
          <w:sz w:val="24"/>
          <w:szCs w:val="24"/>
        </w:rPr>
      </w:pPr>
    </w:p>
    <w:p w14:paraId="5C42F5FB" w14:textId="74220AAF" w:rsidR="0035100A" w:rsidRPr="00274EAE" w:rsidRDefault="00A73DC3" w:rsidP="00252392">
      <w:pPr>
        <w:spacing w:after="0" w:line="360" w:lineRule="auto"/>
        <w:jc w:val="both"/>
        <w:rPr>
          <w:rFonts w:ascii="Arial" w:hAnsi="Arial" w:cs="Arial"/>
          <w:sz w:val="24"/>
          <w:szCs w:val="24"/>
        </w:rPr>
      </w:pPr>
      <w:r w:rsidRPr="00274EAE">
        <w:rPr>
          <w:rFonts w:ascii="Arial" w:hAnsi="Arial" w:cs="Arial"/>
          <w:sz w:val="24"/>
          <w:szCs w:val="24"/>
        </w:rPr>
        <w:t xml:space="preserve">Global image quality was scored using a 5-point </w:t>
      </w:r>
      <w:r w:rsidR="0035100A" w:rsidRPr="00274EAE">
        <w:rPr>
          <w:rFonts w:ascii="Arial" w:hAnsi="Arial" w:cs="Arial"/>
          <w:sz w:val="24"/>
          <w:szCs w:val="24"/>
        </w:rPr>
        <w:t>L</w:t>
      </w:r>
      <w:r w:rsidRPr="00274EAE">
        <w:rPr>
          <w:rFonts w:ascii="Arial" w:hAnsi="Arial" w:cs="Arial"/>
          <w:sz w:val="24"/>
          <w:szCs w:val="24"/>
        </w:rPr>
        <w:t xml:space="preserve">ikert </w:t>
      </w:r>
      <w:r w:rsidRPr="00675FF6">
        <w:rPr>
          <w:rFonts w:ascii="Arial" w:hAnsi="Arial" w:cs="Arial"/>
          <w:sz w:val="24"/>
          <w:szCs w:val="24"/>
        </w:rPr>
        <w:t>scale (1 – Non-diagnostic</w:t>
      </w:r>
      <w:r w:rsidR="0035100A" w:rsidRPr="00675FF6">
        <w:rPr>
          <w:rFonts w:ascii="Arial" w:hAnsi="Arial" w:cs="Arial"/>
          <w:sz w:val="24"/>
          <w:szCs w:val="24"/>
        </w:rPr>
        <w:t xml:space="preserve"> image quality with significant </w:t>
      </w:r>
      <w:r w:rsidR="002D20AB">
        <w:rPr>
          <w:rFonts w:ascii="Arial" w:hAnsi="Arial" w:cs="Arial"/>
          <w:sz w:val="24"/>
          <w:szCs w:val="24"/>
        </w:rPr>
        <w:t>artifact</w:t>
      </w:r>
      <w:r w:rsidR="0035100A" w:rsidRPr="00675FF6">
        <w:rPr>
          <w:rFonts w:ascii="Arial" w:hAnsi="Arial" w:cs="Arial"/>
          <w:sz w:val="24"/>
          <w:szCs w:val="24"/>
        </w:rPr>
        <w:t>s</w:t>
      </w:r>
      <w:r w:rsidRPr="00675FF6">
        <w:rPr>
          <w:rFonts w:ascii="Arial" w:hAnsi="Arial" w:cs="Arial"/>
          <w:sz w:val="24"/>
          <w:szCs w:val="24"/>
        </w:rPr>
        <w:t>, 2 – Poor</w:t>
      </w:r>
      <w:r w:rsidR="0035100A" w:rsidRPr="00675FF6">
        <w:rPr>
          <w:rFonts w:ascii="Arial" w:hAnsi="Arial" w:cs="Arial"/>
          <w:sz w:val="24"/>
          <w:szCs w:val="24"/>
        </w:rPr>
        <w:t xml:space="preserve"> image quality with moderate artifact but still diagnostic</w:t>
      </w:r>
      <w:r w:rsidRPr="00675FF6">
        <w:rPr>
          <w:rFonts w:ascii="Arial" w:hAnsi="Arial" w:cs="Arial"/>
          <w:sz w:val="24"/>
          <w:szCs w:val="24"/>
        </w:rPr>
        <w:t>, 3 – Fair</w:t>
      </w:r>
      <w:r w:rsidR="0035100A" w:rsidRPr="00675FF6">
        <w:rPr>
          <w:rFonts w:ascii="Arial" w:hAnsi="Arial" w:cs="Arial"/>
          <w:sz w:val="24"/>
          <w:szCs w:val="24"/>
        </w:rPr>
        <w:t xml:space="preserve"> image quality with minor artifacts</w:t>
      </w:r>
      <w:r w:rsidRPr="00675FF6">
        <w:rPr>
          <w:rFonts w:ascii="Arial" w:hAnsi="Arial" w:cs="Arial"/>
          <w:sz w:val="24"/>
          <w:szCs w:val="24"/>
        </w:rPr>
        <w:t xml:space="preserve">, 4 – </w:t>
      </w:r>
      <w:r w:rsidR="0035100A" w:rsidRPr="00675FF6">
        <w:rPr>
          <w:rFonts w:ascii="Arial" w:hAnsi="Arial" w:cs="Arial"/>
          <w:sz w:val="24"/>
          <w:szCs w:val="24"/>
        </w:rPr>
        <w:t>good image quality with minimal artifacts</w:t>
      </w:r>
      <w:r w:rsidRPr="00675FF6">
        <w:rPr>
          <w:rFonts w:ascii="Arial" w:hAnsi="Arial" w:cs="Arial"/>
          <w:sz w:val="24"/>
          <w:szCs w:val="24"/>
        </w:rPr>
        <w:t xml:space="preserve">, 5- </w:t>
      </w:r>
      <w:r w:rsidR="0035100A" w:rsidRPr="00675FF6">
        <w:rPr>
          <w:rFonts w:ascii="Arial" w:hAnsi="Arial" w:cs="Arial"/>
          <w:sz w:val="24"/>
          <w:szCs w:val="24"/>
        </w:rPr>
        <w:t>excellent image quality free of artifacts</w:t>
      </w:r>
      <w:r w:rsidRPr="00675FF6">
        <w:rPr>
          <w:rFonts w:ascii="Arial" w:hAnsi="Arial" w:cs="Arial"/>
          <w:sz w:val="24"/>
          <w:szCs w:val="24"/>
        </w:rPr>
        <w:t>)</w:t>
      </w:r>
      <w:r w:rsidR="0002430F">
        <w:rPr>
          <w:rFonts w:ascii="Arial" w:hAnsi="Arial" w:cs="Arial"/>
          <w:sz w:val="24"/>
          <w:szCs w:val="24"/>
        </w:rPr>
        <w:t>.</w:t>
      </w:r>
      <w:r w:rsidR="00675FF6" w:rsidRPr="00675FF6">
        <w:rPr>
          <w:rFonts w:ascii="Arial" w:hAnsi="Arial" w:cs="Arial"/>
          <w:sz w:val="24"/>
          <w:szCs w:val="24"/>
        </w:rPr>
        <w:fldChar w:fldCharType="begin" w:fldLock="1"/>
      </w:r>
      <w:r w:rsidR="00CB191B">
        <w:rPr>
          <w:rFonts w:ascii="Arial" w:hAnsi="Arial" w:cs="Arial"/>
          <w:sz w:val="24"/>
          <w:szCs w:val="24"/>
        </w:rPr>
        <w:instrText>ADDIN CSL_CITATION {"citationItems":[{"id":"ITEM-1","itemData":{"DOI":"10.1007/s00330-018-5348-8","ISSN":"14321084","abstract":"© 2018 European Society of Radiology Objectives: Our goal was to evaluate the efficacy of a fully automated method for assessing the image quality (IQ) of coronary computed tomography angiography (CCTA). Methods: The machine learning method was trained using 75 CCTA studies by mapping features (noise, contrast, misregistration scores, and un-interpretability index) to an IQ score based on manual ground truth data. The automated method was validated on a set of 50 CCTA studies and subsequently tested on a new set of 172 CCTA studies against visual IQ scores on a 5-point Likert scale. Results: The area under the curve in the validation set was 0.96. In the 172 CCTA studies, our method yielded a Cohen’s kappa statistic for the agreement between automated and visual IQ assessment of 0.67 (p &lt; 0.01). In the group where good to excellent (n = 163), fair (n = 6), and poor visual IQ scores (n = 3) were graded, 155, 5, and 2 of the patients received an automated IQ score &gt; 50 %, respectively. Conclusion: Fully automated assessment of the IQ of CCTA data sets by machine learning was reproducible and provided similar results compared with visual analysis within the limits of inter-operator variability. Key points: • The proposed method enables automated and reproducible image quality assessment.• Machine learning and visual assessments yielded comparable estimates of image quality.• Automated assessment potentially allows for more standardised image quality.• Image quality assessment enables standardization of clinical trial results across different datasets.","author":[{"dropping-particle":"","family":"Nakanishi","given":"Rine","non-dropping-particle":"","parse-names":false,"suffix":""},{"dropping-particle":"","family":"Sankaran","given":"Sethuraman","non-dropping-particle":"","parse-names":false,"suffix":""},{"dropping-particle":"","family":"Grady","given":"Leo","non-dropping-particle":"","parse-names":false,"suffix":""},{"dropping-particle":"","family":"Malpeso","given":"Jenifer","non-dropping-particle":"","parse-names":false,"suffix":""},{"dropping-particle":"","family":"Yousfi","given":"Razik","non-dropping-particle":"","parse-names":false,"suffix":""},{"dropping-particle":"","family":"Osawa","given":"Kazuhiro","non-dropping-particle":"","parse-names":false,"suffix":""},{"dropping-particle":"","family":"Ceponiene","given":"Indre","non-dropping-particle":"","parse-names":false,"suffix":""},{"dropping-particle":"","family":"Nazarat","given":"Negin","non-dropping-particle":"","parse-names":false,"suffix":""},{"dropping-particle":"","family":"Rahmani","given":"Sina","non-dropping-particle":"","parse-names":false,"suffix":""},{"dropping-particle":"","family":"Kissel","given":"Kendall","non-dropping-particle":"","parse-names":false,"suffix":""},{"dropping-particle":"","family":"Jayawardena","given":"Eranthi","non-dropping-particle":"","parse-names":false,"suffix":""},{"dropping-particle":"","family":"Dailing","given":"Christopher","non-dropping-particle":"","parse-names":false,"suffix":""},{"dropping-particle":"","family":"Zarins","given":"Christopher","non-dropping-particle":"","parse-names":false,"suffix":""},{"dropping-particle":"","family":"Koo","given":"Bon Kwon","non-dropping-particle":"","parse-names":false,"suffix":""},{"dropping-particle":"","family":"Min","given":"James K.","non-dropping-particle":"","parse-names":false,"suffix":""},{"dropping-particle":"","family":"Taylor","given":"Charles A.","non-dropping-particle":"","parse-names":false,"suffix":""},{"dropping-particle":"","family":"Budoff","given":"Matthew J.","non-dropping-particle":"","parse-names":false,"suffix":""}],"container-title":"European Radiology","id":"ITEM-1","issue":"9","issued":{"date-parts":[["2018"]]},"page":"4018-4026","publisher":"European Radiology","title":"Automated estimation of image quality for coronary computed tomographic angiography using machine learning","type":"article-journal","volume":"28"},"uris":["http://www.mendeley.com/documents/?uuid=fd2c0ae8-85c9-482f-bf91-95d6461fdf30"]}],"mendeley":{"formattedCitation":"&lt;sup&gt;11&lt;/sup&gt;","plainTextFormattedCitation":"11","previouslyFormattedCitation":"&lt;sup&gt;11&lt;/sup&gt;"},"properties":{"noteIndex":0},"schema":"https://github.com/citation-style-language/schema/raw/master/csl-citation.json"}</w:instrText>
      </w:r>
      <w:r w:rsidR="00675FF6" w:rsidRPr="00675FF6">
        <w:rPr>
          <w:rFonts w:ascii="Arial" w:hAnsi="Arial" w:cs="Arial"/>
          <w:sz w:val="24"/>
          <w:szCs w:val="24"/>
        </w:rPr>
        <w:fldChar w:fldCharType="separate"/>
      </w:r>
      <w:r w:rsidR="00CB191B" w:rsidRPr="00CB191B">
        <w:rPr>
          <w:rFonts w:ascii="Arial" w:hAnsi="Arial" w:cs="Arial"/>
          <w:noProof/>
          <w:sz w:val="24"/>
          <w:szCs w:val="24"/>
          <w:vertAlign w:val="superscript"/>
        </w:rPr>
        <w:t>11</w:t>
      </w:r>
      <w:r w:rsidR="00675FF6" w:rsidRPr="00675FF6">
        <w:rPr>
          <w:rFonts w:ascii="Arial" w:hAnsi="Arial" w:cs="Arial"/>
          <w:sz w:val="24"/>
          <w:szCs w:val="24"/>
        </w:rPr>
        <w:fldChar w:fldCharType="end"/>
      </w:r>
      <w:r w:rsidR="0035100A" w:rsidRPr="00274EAE">
        <w:rPr>
          <w:rFonts w:ascii="Arial" w:hAnsi="Arial" w:cs="Arial"/>
          <w:sz w:val="24"/>
          <w:szCs w:val="24"/>
        </w:rPr>
        <w:t xml:space="preserve">  The presence or absence of the following </w:t>
      </w:r>
      <w:r w:rsidR="002D20AB">
        <w:rPr>
          <w:rFonts w:ascii="Arial" w:hAnsi="Arial" w:cs="Arial"/>
          <w:sz w:val="24"/>
          <w:szCs w:val="24"/>
        </w:rPr>
        <w:t>artifact</w:t>
      </w:r>
      <w:r w:rsidR="0035100A" w:rsidRPr="00274EAE">
        <w:rPr>
          <w:rFonts w:ascii="Arial" w:hAnsi="Arial" w:cs="Arial"/>
          <w:sz w:val="24"/>
          <w:szCs w:val="24"/>
        </w:rPr>
        <w:t>s was</w:t>
      </w:r>
      <w:r w:rsidR="00F22A52">
        <w:rPr>
          <w:rFonts w:ascii="Arial" w:hAnsi="Arial" w:cs="Arial"/>
          <w:sz w:val="24"/>
          <w:szCs w:val="24"/>
        </w:rPr>
        <w:t xml:space="preserve"> qualitatively assessed and</w:t>
      </w:r>
      <w:r w:rsidR="0035100A" w:rsidRPr="00274EAE">
        <w:rPr>
          <w:rFonts w:ascii="Arial" w:hAnsi="Arial" w:cs="Arial"/>
          <w:sz w:val="24"/>
          <w:szCs w:val="24"/>
        </w:rPr>
        <w:t xml:space="preserve"> recorded: Motion, Calcium, </w:t>
      </w:r>
      <w:r w:rsidR="00D369F9">
        <w:rPr>
          <w:rFonts w:ascii="Arial" w:hAnsi="Arial" w:cs="Arial"/>
          <w:sz w:val="24"/>
          <w:szCs w:val="24"/>
        </w:rPr>
        <w:t>Low intravascular c</w:t>
      </w:r>
      <w:r w:rsidR="0035100A" w:rsidRPr="00274EAE">
        <w:rPr>
          <w:rFonts w:ascii="Arial" w:hAnsi="Arial" w:cs="Arial"/>
          <w:sz w:val="24"/>
          <w:szCs w:val="24"/>
        </w:rPr>
        <w:t xml:space="preserve">ontrast, </w:t>
      </w:r>
      <w:r w:rsidR="0058744B">
        <w:rPr>
          <w:rFonts w:ascii="Arial" w:hAnsi="Arial" w:cs="Arial"/>
          <w:sz w:val="24"/>
          <w:szCs w:val="24"/>
        </w:rPr>
        <w:t xml:space="preserve">and </w:t>
      </w:r>
      <w:r w:rsidR="0035100A" w:rsidRPr="00274EAE">
        <w:rPr>
          <w:rFonts w:ascii="Arial" w:hAnsi="Arial" w:cs="Arial"/>
          <w:sz w:val="24"/>
          <w:szCs w:val="24"/>
        </w:rPr>
        <w:t>Noise</w:t>
      </w:r>
      <w:r w:rsidR="0002430F">
        <w:rPr>
          <w:rFonts w:ascii="Arial" w:hAnsi="Arial" w:cs="Arial"/>
          <w:sz w:val="24"/>
          <w:szCs w:val="24"/>
        </w:rPr>
        <w:t>.</w:t>
      </w:r>
      <w:r w:rsidR="0002430F" w:rsidRPr="00675FF6">
        <w:rPr>
          <w:rFonts w:ascii="Arial" w:hAnsi="Arial" w:cs="Arial"/>
          <w:sz w:val="24"/>
          <w:szCs w:val="24"/>
        </w:rPr>
        <w:fldChar w:fldCharType="begin" w:fldLock="1"/>
      </w:r>
      <w:r w:rsidR="0002430F">
        <w:rPr>
          <w:rFonts w:ascii="Arial" w:hAnsi="Arial" w:cs="Arial"/>
          <w:sz w:val="24"/>
          <w:szCs w:val="24"/>
        </w:rPr>
        <w:instrText>ADDIN CSL_CITATION {"citationItems":[{"id":"ITEM-1","itemData":{"DOI":"10.1007/s00330-018-5348-8","ISSN":"14321084","abstract":"© 2018 European Society of Radiology Objectives: Our goal was to evaluate the efficacy of a fully automated method for assessing the image quality (IQ) of coronary computed tomography angiography (CCTA). Methods: The machine learning method was trained using 75 CCTA studies by mapping features (noise, contrast, misregistration scores, and un-interpretability index) to an IQ score based on manual ground truth data. The automated method was validated on a set of 50 CCTA studies and subsequently tested on a new set of 172 CCTA studies against visual IQ scores on a 5-point Likert scale. Results: The area under the curve in the validation set was 0.96. In the 172 CCTA studies, our method yielded a Cohen’s kappa statistic for the agreement between automated and visual IQ assessment of 0.67 (p &lt; 0.01). In the group where good to excellent (n = 163), fair (n = 6), and poor visual IQ scores (n = 3) were graded, 155, 5, and 2 of the patients received an automated IQ score &gt; 50 %, respectively. Conclusion: Fully automated assessment of the IQ of CCTA data sets by machine learning was reproducible and provided similar results compared with visual analysis within the limits of inter-operator variability. Key points: • The proposed method enables automated and reproducible image quality assessment.• Machine learning and visual assessments yielded comparable estimates of image quality.• Automated assessment potentially allows for more standardised image quality.• Image quality assessment enables standardization of clinical trial results across different datasets.","author":[{"dropping-particle":"","family":"Nakanishi","given":"Rine","non-dropping-particle":"","parse-names":false,"suffix":""},{"dropping-particle":"","family":"Sankaran","given":"Sethuraman","non-dropping-particle":"","parse-names":false,"suffix":""},{"dropping-particle":"","family":"Grady","given":"Leo","non-dropping-particle":"","parse-names":false,"suffix":""},{"dropping-particle":"","family":"Malpeso","given":"Jenifer","non-dropping-particle":"","parse-names":false,"suffix":""},{"dropping-particle":"","family":"Yousfi","given":"Razik","non-dropping-particle":"","parse-names":false,"suffix":""},{"dropping-particle":"","family":"Osawa","given":"Kazuhiro","non-dropping-particle":"","parse-names":false,"suffix":""},{"dropping-particle":"","family":"Ceponiene","given":"Indre","non-dropping-particle":"","parse-names":false,"suffix":""},{"dropping-particle":"","family":"Nazarat","given":"Negin","non-dropping-particle":"","parse-names":false,"suffix":""},{"dropping-particle":"","family":"Rahmani","given":"Sina","non-dropping-particle":"","parse-names":false,"suffix":""},{"dropping-particle":"","family":"Kissel","given":"Kendall","non-dropping-particle":"","parse-names":false,"suffix":""},{"dropping-particle":"","family":"Jayawardena","given":"Eranthi","non-dropping-particle":"","parse-names":false,"suffix":""},{"dropping-particle":"","family":"Dailing","given":"Christopher","non-dropping-particle":"","parse-names":false,"suffix":""},{"dropping-particle":"","family":"Zarins","given":"Christopher","non-dropping-particle":"","parse-names":false,"suffix":""},{"dropping-particle":"","family":"Koo","given":"Bon Kwon","non-dropping-particle":"","parse-names":false,"suffix":""},{"dropping-particle":"","family":"Min","given":"James K.","non-dropping-particle":"","parse-names":false,"suffix":""},{"dropping-particle":"","family":"Taylor","given":"Charles A.","non-dropping-particle":"","parse-names":false,"suffix":""},{"dropping-particle":"","family":"Budoff","given":"Matthew J.","non-dropping-particle":"","parse-names":false,"suffix":""}],"container-title":"European Radiology","id":"ITEM-1","issue":"9","issued":{"date-parts":[["2018"]]},"page":"4018-4026","publisher":"European Radiology","title":"Automated estimation of image quality for coronary computed tomographic angiography using machine learning","type":"article-journal","volume":"28"},"uris":["http://www.mendeley.com/documents/?uuid=fd2c0ae8-85c9-482f-bf91-95d6461fdf30"]}],"mendeley":{"formattedCitation":"&lt;sup&gt;11&lt;/sup&gt;","plainTextFormattedCitation":"11","previouslyFormattedCitation":"&lt;sup&gt;11&lt;/sup&gt;"},"properties":{"noteIndex":0},"schema":"https://github.com/citation-style-language/schema/raw/master/csl-citation.json"}</w:instrText>
      </w:r>
      <w:r w:rsidR="0002430F" w:rsidRPr="00675FF6">
        <w:rPr>
          <w:rFonts w:ascii="Arial" w:hAnsi="Arial" w:cs="Arial"/>
          <w:sz w:val="24"/>
          <w:szCs w:val="24"/>
        </w:rPr>
        <w:fldChar w:fldCharType="separate"/>
      </w:r>
      <w:r w:rsidR="0002430F" w:rsidRPr="00CB191B">
        <w:rPr>
          <w:rFonts w:ascii="Arial" w:hAnsi="Arial" w:cs="Arial"/>
          <w:noProof/>
          <w:sz w:val="24"/>
          <w:szCs w:val="24"/>
          <w:vertAlign w:val="superscript"/>
        </w:rPr>
        <w:t>11</w:t>
      </w:r>
      <w:r w:rsidR="0002430F" w:rsidRPr="00675FF6">
        <w:rPr>
          <w:rFonts w:ascii="Arial" w:hAnsi="Arial" w:cs="Arial"/>
          <w:sz w:val="24"/>
          <w:szCs w:val="24"/>
        </w:rPr>
        <w:fldChar w:fldCharType="end"/>
      </w:r>
      <w:r w:rsidR="00EC54CB" w:rsidRPr="00274EAE">
        <w:rPr>
          <w:rFonts w:ascii="Arial" w:hAnsi="Arial" w:cs="Arial"/>
          <w:sz w:val="24"/>
          <w:szCs w:val="24"/>
        </w:rPr>
        <w:t xml:space="preserve"> Image quality score was averaged between the two reviewers.  If an artifact was identified by either of the two reviewers it was considered to be present.</w:t>
      </w:r>
    </w:p>
    <w:p w14:paraId="1ABC28BE" w14:textId="77777777" w:rsidR="00962E10" w:rsidRPr="00274EAE" w:rsidRDefault="00962E10" w:rsidP="00252392">
      <w:pPr>
        <w:spacing w:after="0" w:line="360" w:lineRule="auto"/>
        <w:jc w:val="both"/>
        <w:rPr>
          <w:rFonts w:ascii="Arial" w:hAnsi="Arial" w:cs="Arial"/>
          <w:sz w:val="24"/>
          <w:szCs w:val="24"/>
        </w:rPr>
      </w:pPr>
    </w:p>
    <w:p w14:paraId="3B4B7BF5" w14:textId="46D5B88E" w:rsidR="001A77A7" w:rsidRPr="00274EAE" w:rsidRDefault="00EC54CB" w:rsidP="00252392">
      <w:pPr>
        <w:spacing w:after="0" w:line="360" w:lineRule="auto"/>
        <w:jc w:val="both"/>
        <w:rPr>
          <w:rFonts w:ascii="Arial" w:hAnsi="Arial" w:cs="Arial"/>
          <w:sz w:val="24"/>
          <w:szCs w:val="24"/>
        </w:rPr>
      </w:pPr>
      <w:r w:rsidRPr="00274EAE">
        <w:rPr>
          <w:rFonts w:ascii="Arial" w:hAnsi="Arial" w:cs="Arial"/>
          <w:sz w:val="24"/>
          <w:szCs w:val="24"/>
        </w:rPr>
        <w:t xml:space="preserve">The CTAs were </w:t>
      </w:r>
      <w:proofErr w:type="spellStart"/>
      <w:r w:rsidRPr="00274EAE">
        <w:rPr>
          <w:rFonts w:ascii="Arial" w:hAnsi="Arial" w:cs="Arial"/>
          <w:sz w:val="24"/>
          <w:szCs w:val="24"/>
        </w:rPr>
        <w:t>analysed</w:t>
      </w:r>
      <w:proofErr w:type="spellEnd"/>
      <w:r w:rsidRPr="00274EAE">
        <w:rPr>
          <w:rFonts w:ascii="Arial" w:hAnsi="Arial" w:cs="Arial"/>
          <w:sz w:val="24"/>
          <w:szCs w:val="24"/>
        </w:rPr>
        <w:t xml:space="preserve"> using dedicated software on a single workstation (ADW 4.5, GE, Piscataway, New Jersey). A segmental analysis was performed and recorded using an 18 segment coronary arterial model.</w:t>
      </w:r>
      <w:r w:rsidRPr="00274EAE">
        <w:rPr>
          <w:rFonts w:ascii="Arial" w:hAnsi="Arial" w:cs="Arial"/>
          <w:sz w:val="24"/>
          <w:szCs w:val="24"/>
        </w:rPr>
        <w:fldChar w:fldCharType="begin" w:fldLock="1"/>
      </w:r>
      <w:r w:rsidR="00CB191B">
        <w:rPr>
          <w:rFonts w:ascii="Arial" w:hAnsi="Arial" w:cs="Arial"/>
          <w:sz w:val="24"/>
          <w:szCs w:val="24"/>
        </w:rPr>
        <w:instrText>ADDIN CSL_CITATION {"citationItems":[{"id":"ITEM-1","itemData":{"DOI":"10.1016/j.jcct.2014.07.003","ISBN":"1876-861X (Electronic)\\r1876-861X (Linking)","ISSN":"1876-861X","PMID":"25301040","abstract":"Since the emergence of cardiac computed tomography (CT) at the turn of the 21st century, there has been an exponential growth in research and clinical development of the technique, with contributions from investigators and clinicians from varied backgrounds: physics and engineering, informatics, cardiology, and radiology. However, terminology for the field is not unified. As a consequence, there are multiple abbreviations for some terms, multiple terms for some concepts, and some concepts that lack clear definitions and/or usage. In an effort to aid the work of all those who seek to contribute to the literature, clinical practice, and investigation of the field, the Society of Cardiovascular Computed Tomography sets forth a standard set of medical terms commonly used in clinical and investigative practice of cardiac CT. ?? 2011 Society of Cardiovascular Computed Tomography.","author":[{"dropping-particle":"","family":"Leipsic","given":"Jonathon","non-dropping-particle":"","parse-names":false,"suffix":""},{"dropping-particle":"","family":"Abbara","given":"Suhny","non-dropping-particle":"","parse-names":false,"suffix":""},{"dropping-particle":"","family":"Achenbach","given":"Stephan","non-dropping-particle":"","parse-names":false,"suffix":""},{"dropping-particle":"","family":"Cury","given":"Ricardo","non-dropping-particle":"","parse-names":false,"suffix":""},{"dropping-particle":"","family":"Earls","given":"James P","non-dropping-particle":"","parse-names":false,"suffix":""},{"dropping-particle":"","family":"Mancini","given":"Gb John","non-dropping-particle":"","parse-names":false,"suffix":""},{"dropping-particle":"","family":"Nieman","given":"Koen","non-dropping-particle":"","parse-names":false,"suffix":""},{"dropping-particle":"","family":"Pontone","given":"Gianluca","non-dropping-particle":"","parse-names":false,"suffix":""},{"dropping-particle":"","family":"Raff","given":"Gilbert L","non-dropping-particle":"","parse-names":false,"suffix":""}],"container-title":"Journal of cardiovascular computed tomography","id":"ITEM-1","issue":"5","issued":{"date-parts":[["2015"]]},"page":"342-58","publisher":"Society of Cardiovascular Computed Tomography","title":"SCCT guidelines for the interpretation and reporting of coronary CT angiography: a report of the Society of Cardiovascular Computed Tomography Guidelines Committee.","type":"article-journal","volume":"8"},"uris":["http://www.mendeley.com/documents/?uuid=609455a4-8b10-4aa7-8582-d13d0fa88887"]}],"mendeley":{"formattedCitation":"&lt;sup&gt;12&lt;/sup&gt;","plainTextFormattedCitation":"12","previouslyFormattedCitation":"&lt;sup&gt;12&lt;/sup&gt;"},"properties":{"noteIndex":0},"schema":"https://github.com/citation-style-language/schema/raw/master/csl-citation.json"}</w:instrText>
      </w:r>
      <w:r w:rsidRPr="00274EAE">
        <w:rPr>
          <w:rFonts w:ascii="Arial" w:hAnsi="Arial" w:cs="Arial"/>
          <w:sz w:val="24"/>
          <w:szCs w:val="24"/>
        </w:rPr>
        <w:fldChar w:fldCharType="separate"/>
      </w:r>
      <w:r w:rsidR="00CB191B" w:rsidRPr="00CB191B">
        <w:rPr>
          <w:rFonts w:ascii="Arial" w:hAnsi="Arial" w:cs="Arial"/>
          <w:noProof/>
          <w:sz w:val="24"/>
          <w:szCs w:val="24"/>
          <w:vertAlign w:val="superscript"/>
        </w:rPr>
        <w:t>12</w:t>
      </w:r>
      <w:r w:rsidRPr="00274EAE">
        <w:rPr>
          <w:rFonts w:ascii="Arial" w:hAnsi="Arial" w:cs="Arial"/>
          <w:sz w:val="24"/>
          <w:szCs w:val="24"/>
        </w:rPr>
        <w:fldChar w:fldCharType="end"/>
      </w:r>
      <w:r w:rsidRPr="00274EAE">
        <w:rPr>
          <w:rFonts w:ascii="Arial" w:hAnsi="Arial" w:cs="Arial"/>
          <w:sz w:val="24"/>
          <w:szCs w:val="24"/>
        </w:rPr>
        <w:t xml:space="preserve">  Each segment was scored</w:t>
      </w:r>
      <w:r w:rsidR="00A84552" w:rsidRPr="00274EAE">
        <w:rPr>
          <w:rFonts w:ascii="Arial" w:hAnsi="Arial" w:cs="Arial"/>
          <w:sz w:val="24"/>
          <w:szCs w:val="24"/>
        </w:rPr>
        <w:t xml:space="preserve"> as having significant coronary artery disease if there was a stenosis ≥50%</w:t>
      </w:r>
      <w:r w:rsidR="00AE6B63" w:rsidRPr="00274EAE">
        <w:rPr>
          <w:rFonts w:ascii="Arial" w:hAnsi="Arial" w:cs="Arial"/>
          <w:sz w:val="24"/>
          <w:szCs w:val="24"/>
        </w:rPr>
        <w:t xml:space="preserve">.  Absent segments were not scored.  Segments which were not assessable were scored as </w:t>
      </w:r>
      <w:r w:rsidR="004B71C6" w:rsidRPr="00274EAE">
        <w:rPr>
          <w:rFonts w:ascii="Arial" w:hAnsi="Arial" w:cs="Arial"/>
          <w:sz w:val="24"/>
          <w:szCs w:val="24"/>
        </w:rPr>
        <w:t>having significant coronary artery disease</w:t>
      </w:r>
      <w:r w:rsidR="00A84552" w:rsidRPr="00274EAE">
        <w:rPr>
          <w:rFonts w:ascii="Arial" w:hAnsi="Arial" w:cs="Arial"/>
          <w:sz w:val="24"/>
          <w:szCs w:val="24"/>
        </w:rPr>
        <w:t>. Where there was a disagreement between the two readers, a third reader (C</w:t>
      </w:r>
      <w:r w:rsidR="00BF606B">
        <w:rPr>
          <w:rFonts w:ascii="Arial" w:hAnsi="Arial" w:cs="Arial"/>
          <w:sz w:val="24"/>
          <w:szCs w:val="24"/>
        </w:rPr>
        <w:t>J</w:t>
      </w:r>
      <w:r w:rsidR="00A84552" w:rsidRPr="00274EAE">
        <w:rPr>
          <w:rFonts w:ascii="Arial" w:hAnsi="Arial" w:cs="Arial"/>
          <w:sz w:val="24"/>
          <w:szCs w:val="24"/>
        </w:rPr>
        <w:t xml:space="preserve">H – 10 </w:t>
      </w:r>
      <w:proofErr w:type="spellStart"/>
      <w:r w:rsidR="00A84552" w:rsidRPr="00274EAE">
        <w:rPr>
          <w:rFonts w:ascii="Arial" w:hAnsi="Arial" w:cs="Arial"/>
          <w:sz w:val="24"/>
          <w:szCs w:val="24"/>
        </w:rPr>
        <w:t>years experience</w:t>
      </w:r>
      <w:proofErr w:type="spellEnd"/>
      <w:r w:rsidR="00A84552" w:rsidRPr="00274EAE">
        <w:rPr>
          <w:rFonts w:ascii="Arial" w:hAnsi="Arial" w:cs="Arial"/>
          <w:sz w:val="24"/>
          <w:szCs w:val="24"/>
        </w:rPr>
        <w:t xml:space="preserve"> in CTA reporting) adjudicated on the presence/absence of </w:t>
      </w:r>
      <w:r w:rsidR="004B71C6" w:rsidRPr="00274EAE">
        <w:rPr>
          <w:rFonts w:ascii="Arial" w:hAnsi="Arial" w:cs="Arial"/>
          <w:sz w:val="24"/>
          <w:szCs w:val="24"/>
        </w:rPr>
        <w:t>significant coronary artery disease</w:t>
      </w:r>
      <w:r w:rsidR="00A84552" w:rsidRPr="00274EAE">
        <w:rPr>
          <w:rFonts w:ascii="Arial" w:hAnsi="Arial" w:cs="Arial"/>
          <w:sz w:val="24"/>
          <w:szCs w:val="24"/>
        </w:rPr>
        <w:t>.</w:t>
      </w:r>
    </w:p>
    <w:p w14:paraId="049657DD" w14:textId="77777777" w:rsidR="00CA3F8F" w:rsidRPr="00274EAE" w:rsidRDefault="00CA3F8F" w:rsidP="00252392">
      <w:pPr>
        <w:spacing w:after="0" w:line="360" w:lineRule="auto"/>
        <w:jc w:val="both"/>
        <w:rPr>
          <w:rFonts w:ascii="Arial" w:hAnsi="Arial" w:cs="Arial"/>
          <w:b/>
          <w:sz w:val="24"/>
          <w:szCs w:val="24"/>
        </w:rPr>
      </w:pPr>
    </w:p>
    <w:p w14:paraId="0B88C622" w14:textId="0B70F372" w:rsidR="00682D74" w:rsidRPr="00274EAE" w:rsidRDefault="009B7880" w:rsidP="00252392">
      <w:pPr>
        <w:spacing w:after="0" w:line="360" w:lineRule="auto"/>
        <w:jc w:val="both"/>
        <w:rPr>
          <w:rFonts w:ascii="Arial" w:hAnsi="Arial" w:cs="Arial"/>
          <w:b/>
          <w:sz w:val="24"/>
          <w:szCs w:val="24"/>
        </w:rPr>
      </w:pPr>
      <w:r w:rsidRPr="00274EAE">
        <w:rPr>
          <w:rFonts w:ascii="Arial" w:hAnsi="Arial" w:cs="Arial"/>
          <w:b/>
          <w:sz w:val="24"/>
          <w:szCs w:val="24"/>
        </w:rPr>
        <w:t>ICA performance</w:t>
      </w:r>
    </w:p>
    <w:p w14:paraId="39FEBDDE" w14:textId="058F2AAD" w:rsidR="00682D74" w:rsidRPr="00274EAE" w:rsidRDefault="00682D74" w:rsidP="00252392">
      <w:pPr>
        <w:spacing w:after="0" w:line="360" w:lineRule="auto"/>
        <w:jc w:val="both"/>
        <w:rPr>
          <w:rFonts w:ascii="Arial" w:hAnsi="Arial" w:cs="Arial"/>
          <w:sz w:val="24"/>
          <w:szCs w:val="24"/>
        </w:rPr>
      </w:pPr>
      <w:r w:rsidRPr="00274EAE">
        <w:rPr>
          <w:rFonts w:ascii="Arial" w:hAnsi="Arial" w:cs="Arial"/>
          <w:sz w:val="24"/>
          <w:szCs w:val="24"/>
        </w:rPr>
        <w:t xml:space="preserve">All scans were carried out within </w:t>
      </w:r>
      <w:r w:rsidR="007E7D45" w:rsidRPr="00274EAE">
        <w:rPr>
          <w:rFonts w:ascii="Arial" w:hAnsi="Arial" w:cs="Arial"/>
          <w:sz w:val="24"/>
          <w:szCs w:val="24"/>
          <w:lang w:eastAsia="zh-CN"/>
        </w:rPr>
        <w:t>one</w:t>
      </w:r>
      <w:r w:rsidR="007E7D45" w:rsidRPr="00274EAE">
        <w:rPr>
          <w:rFonts w:ascii="Arial" w:hAnsi="Arial" w:cs="Arial"/>
          <w:sz w:val="24"/>
          <w:szCs w:val="24"/>
        </w:rPr>
        <w:t xml:space="preserve"> month</w:t>
      </w:r>
      <w:r w:rsidRPr="00274EAE">
        <w:rPr>
          <w:rFonts w:ascii="Arial" w:hAnsi="Arial" w:cs="Arial"/>
          <w:sz w:val="24"/>
          <w:szCs w:val="24"/>
        </w:rPr>
        <w:t xml:space="preserve"> of </w:t>
      </w:r>
      <w:r w:rsidR="000715B6" w:rsidRPr="00274EAE">
        <w:rPr>
          <w:rFonts w:ascii="Arial" w:hAnsi="Arial" w:cs="Arial"/>
          <w:sz w:val="24"/>
          <w:szCs w:val="24"/>
        </w:rPr>
        <w:t xml:space="preserve">CTA.  All ICA were performed </w:t>
      </w:r>
      <w:r w:rsidR="007E7D45" w:rsidRPr="00274EAE">
        <w:rPr>
          <w:rFonts w:ascii="Arial" w:hAnsi="Arial" w:cs="Arial"/>
          <w:sz w:val="24"/>
          <w:szCs w:val="24"/>
        </w:rPr>
        <w:t>by 2 practitioners</w:t>
      </w:r>
      <w:r w:rsidRPr="00274EAE">
        <w:rPr>
          <w:rFonts w:ascii="Arial" w:hAnsi="Arial" w:cs="Arial"/>
          <w:sz w:val="24"/>
          <w:szCs w:val="24"/>
        </w:rPr>
        <w:t xml:space="preserve">. </w:t>
      </w:r>
    </w:p>
    <w:p w14:paraId="5CAADC26" w14:textId="77777777" w:rsidR="007A4099" w:rsidRPr="00274EAE" w:rsidRDefault="007A4099" w:rsidP="00252392">
      <w:pPr>
        <w:spacing w:after="0" w:line="360" w:lineRule="auto"/>
        <w:jc w:val="both"/>
        <w:rPr>
          <w:rFonts w:ascii="Arial" w:hAnsi="Arial" w:cs="Arial"/>
          <w:b/>
          <w:sz w:val="24"/>
          <w:szCs w:val="24"/>
        </w:rPr>
      </w:pPr>
    </w:p>
    <w:p w14:paraId="47267B28" w14:textId="4A61DE27" w:rsidR="009B7880" w:rsidRPr="00274EAE" w:rsidRDefault="009B7880" w:rsidP="00252392">
      <w:pPr>
        <w:spacing w:after="0" w:line="360" w:lineRule="auto"/>
        <w:jc w:val="both"/>
        <w:rPr>
          <w:rFonts w:ascii="Arial" w:hAnsi="Arial" w:cs="Arial"/>
          <w:b/>
          <w:sz w:val="24"/>
          <w:szCs w:val="24"/>
        </w:rPr>
      </w:pPr>
      <w:r w:rsidRPr="00274EAE">
        <w:rPr>
          <w:rFonts w:ascii="Arial" w:hAnsi="Arial" w:cs="Arial"/>
          <w:b/>
          <w:sz w:val="24"/>
          <w:szCs w:val="24"/>
        </w:rPr>
        <w:t>ICA analysis</w:t>
      </w:r>
    </w:p>
    <w:p w14:paraId="71F641F8" w14:textId="28BDE20E" w:rsidR="00682D74" w:rsidRPr="00274EAE" w:rsidRDefault="00682D74" w:rsidP="00252392">
      <w:pPr>
        <w:spacing w:after="0" w:line="360" w:lineRule="auto"/>
        <w:jc w:val="both"/>
        <w:rPr>
          <w:rFonts w:ascii="Arial" w:hAnsi="Arial" w:cs="Arial"/>
          <w:sz w:val="24"/>
          <w:szCs w:val="24"/>
        </w:rPr>
      </w:pPr>
      <w:r w:rsidRPr="00274EAE">
        <w:rPr>
          <w:rFonts w:ascii="Arial" w:hAnsi="Arial" w:cs="Arial"/>
          <w:sz w:val="24"/>
          <w:szCs w:val="24"/>
        </w:rPr>
        <w:t xml:space="preserve">One experienced </w:t>
      </w:r>
      <w:r w:rsidR="00FC117B" w:rsidRPr="00274EAE">
        <w:rPr>
          <w:rFonts w:ascii="Arial" w:hAnsi="Arial" w:cs="Arial"/>
          <w:sz w:val="24"/>
          <w:szCs w:val="24"/>
          <w:lang w:eastAsia="zh-CN"/>
        </w:rPr>
        <w:t>cardiovascular</w:t>
      </w:r>
      <w:r w:rsidR="000715B6" w:rsidRPr="00274EAE">
        <w:rPr>
          <w:rFonts w:ascii="Arial" w:hAnsi="Arial" w:cs="Arial"/>
          <w:sz w:val="24"/>
          <w:szCs w:val="24"/>
          <w:lang w:eastAsia="zh-CN"/>
        </w:rPr>
        <w:t xml:space="preserve"> imager (</w:t>
      </w:r>
      <w:r w:rsidR="00D5356F" w:rsidRPr="00274EAE">
        <w:rPr>
          <w:rFonts w:ascii="Arial" w:hAnsi="Arial" w:cs="Arial"/>
          <w:sz w:val="24"/>
          <w:szCs w:val="24"/>
          <w:lang w:eastAsia="zh-CN"/>
        </w:rPr>
        <w:t>RW</w:t>
      </w:r>
      <w:r w:rsidR="00D5356F" w:rsidRPr="00274EAE">
        <w:rPr>
          <w:rFonts w:ascii="Arial" w:hAnsi="Arial" w:cs="Arial"/>
          <w:sz w:val="24"/>
          <w:szCs w:val="24"/>
        </w:rPr>
        <w:t>, with 1</w:t>
      </w:r>
      <w:r w:rsidR="00D5356F" w:rsidRPr="00274EAE">
        <w:rPr>
          <w:rFonts w:ascii="Arial" w:hAnsi="Arial" w:cs="Arial"/>
          <w:sz w:val="24"/>
          <w:szCs w:val="24"/>
          <w:lang w:eastAsia="zh-CN"/>
        </w:rPr>
        <w:t>0</w:t>
      </w:r>
      <w:r w:rsidR="00D5356F" w:rsidRPr="00274EAE">
        <w:rPr>
          <w:rFonts w:ascii="Arial" w:hAnsi="Arial" w:cs="Arial"/>
          <w:sz w:val="24"/>
          <w:szCs w:val="24"/>
        </w:rPr>
        <w:t xml:space="preserve"> years of experience in </w:t>
      </w:r>
      <w:r w:rsidR="00D5356F" w:rsidRPr="00274EAE">
        <w:rPr>
          <w:rFonts w:ascii="Arial" w:hAnsi="Arial" w:cs="Arial"/>
          <w:sz w:val="24"/>
          <w:szCs w:val="24"/>
          <w:lang w:eastAsia="zh-CN"/>
        </w:rPr>
        <w:t>cardiac imaging</w:t>
      </w:r>
      <w:r w:rsidR="000715B6" w:rsidRPr="00274EAE">
        <w:rPr>
          <w:rFonts w:ascii="Arial" w:hAnsi="Arial" w:cs="Arial"/>
          <w:sz w:val="24"/>
          <w:szCs w:val="24"/>
          <w:lang w:eastAsia="zh-CN"/>
        </w:rPr>
        <w:t>)</w:t>
      </w:r>
      <w:r w:rsidRPr="00274EAE">
        <w:rPr>
          <w:rFonts w:ascii="Arial" w:hAnsi="Arial" w:cs="Arial"/>
          <w:sz w:val="24"/>
          <w:szCs w:val="24"/>
        </w:rPr>
        <w:t xml:space="preserve">, blinded to the results of the CTA </w:t>
      </w:r>
      <w:proofErr w:type="spellStart"/>
      <w:r w:rsidRPr="00274EAE">
        <w:rPr>
          <w:rFonts w:ascii="Arial" w:hAnsi="Arial" w:cs="Arial"/>
          <w:sz w:val="24"/>
          <w:szCs w:val="24"/>
        </w:rPr>
        <w:t>corelab</w:t>
      </w:r>
      <w:proofErr w:type="spellEnd"/>
      <w:r w:rsidRPr="00274EAE">
        <w:rPr>
          <w:rFonts w:ascii="Arial" w:hAnsi="Arial" w:cs="Arial"/>
          <w:sz w:val="24"/>
          <w:szCs w:val="24"/>
        </w:rPr>
        <w:t>,</w:t>
      </w:r>
      <w:r w:rsidR="005E01B4" w:rsidRPr="00274EAE">
        <w:rPr>
          <w:rFonts w:ascii="Arial" w:hAnsi="Arial" w:cs="Arial"/>
          <w:sz w:val="24"/>
          <w:szCs w:val="24"/>
        </w:rPr>
        <w:t xml:space="preserve"> iden</w:t>
      </w:r>
      <w:r w:rsidRPr="00274EAE">
        <w:rPr>
          <w:rFonts w:ascii="Arial" w:hAnsi="Arial" w:cs="Arial"/>
          <w:sz w:val="24"/>
          <w:szCs w:val="24"/>
        </w:rPr>
        <w:t>tified and analyzed all coronary segments, using the same 18</w:t>
      </w:r>
      <w:r w:rsidR="005E01B4" w:rsidRPr="00274EAE">
        <w:rPr>
          <w:rFonts w:ascii="Arial" w:hAnsi="Arial" w:cs="Arial"/>
          <w:sz w:val="24"/>
          <w:szCs w:val="24"/>
        </w:rPr>
        <w:t>-</w:t>
      </w:r>
      <w:r w:rsidRPr="00274EAE">
        <w:rPr>
          <w:rFonts w:ascii="Arial" w:hAnsi="Arial" w:cs="Arial"/>
          <w:sz w:val="24"/>
          <w:szCs w:val="24"/>
        </w:rPr>
        <w:t xml:space="preserve">segment model as used for the CTA reporting. All segments were visually inspected for the presence of stenosis in at least 2 orthogonal views.  Where a ≥30% diameter stenosis was present on at least one view, QCA was performed </w:t>
      </w:r>
      <w:r w:rsidR="002B2FF3" w:rsidRPr="00274EAE">
        <w:rPr>
          <w:rFonts w:ascii="Arial" w:hAnsi="Arial" w:cs="Arial"/>
          <w:sz w:val="24"/>
          <w:szCs w:val="24"/>
        </w:rPr>
        <w:t>using commercially available post-processing software</w:t>
      </w:r>
      <w:r w:rsidR="00FC117B" w:rsidRPr="00274EAE">
        <w:rPr>
          <w:rFonts w:ascii="Arial" w:hAnsi="Arial" w:cs="Arial"/>
          <w:sz w:val="24"/>
          <w:szCs w:val="24"/>
          <w:lang w:eastAsia="zh-CN"/>
        </w:rPr>
        <w:t xml:space="preserve"> </w:t>
      </w:r>
      <w:r w:rsidR="00FC117B" w:rsidRPr="00274EAE">
        <w:rPr>
          <w:rFonts w:ascii="Arial" w:hAnsi="Arial" w:cs="Arial"/>
          <w:sz w:val="24"/>
          <w:szCs w:val="24"/>
        </w:rPr>
        <w:t>(</w:t>
      </w:r>
      <w:proofErr w:type="spellStart"/>
      <w:r w:rsidR="00FC117B" w:rsidRPr="00274EAE">
        <w:rPr>
          <w:rFonts w:ascii="Arial" w:hAnsi="Arial" w:cs="Arial"/>
          <w:sz w:val="24"/>
          <w:szCs w:val="24"/>
        </w:rPr>
        <w:t>Medis</w:t>
      </w:r>
      <w:proofErr w:type="spellEnd"/>
      <w:r w:rsidR="00FC117B" w:rsidRPr="00274EAE">
        <w:rPr>
          <w:rFonts w:ascii="Arial" w:hAnsi="Arial" w:cs="Arial"/>
          <w:sz w:val="24"/>
          <w:szCs w:val="24"/>
        </w:rPr>
        <w:t xml:space="preserve"> 2.0)</w:t>
      </w:r>
      <w:r w:rsidRPr="00274EAE">
        <w:rPr>
          <w:rFonts w:ascii="Arial" w:hAnsi="Arial" w:cs="Arial"/>
          <w:sz w:val="24"/>
          <w:szCs w:val="24"/>
        </w:rPr>
        <w:t>.</w:t>
      </w:r>
      <w:r w:rsidR="002B2FF3" w:rsidRPr="00274EAE">
        <w:rPr>
          <w:rFonts w:ascii="Arial" w:hAnsi="Arial" w:cs="Arial"/>
          <w:sz w:val="24"/>
          <w:szCs w:val="24"/>
        </w:rPr>
        <w:t xml:space="preserve"> Where a total occlusion was present, only the most proximal segment was scored, with those distally not scored.  </w:t>
      </w:r>
      <w:r w:rsidR="006E4D44">
        <w:rPr>
          <w:rFonts w:ascii="Arial" w:hAnsi="Arial" w:cs="Arial"/>
          <w:sz w:val="24"/>
          <w:szCs w:val="24"/>
        </w:rPr>
        <w:t>Presence or absence of stenosis ≥50% on QCA was used as the reference standard for comparison with CTA.</w:t>
      </w:r>
      <w:r w:rsidR="006E4D44">
        <w:rPr>
          <w:rFonts w:ascii="Arial" w:hAnsi="Arial" w:cs="Arial"/>
          <w:sz w:val="24"/>
          <w:szCs w:val="24"/>
        </w:rPr>
        <w:fldChar w:fldCharType="begin" w:fldLock="1"/>
      </w:r>
      <w:r w:rsidR="00CB191B">
        <w:rPr>
          <w:rFonts w:ascii="Arial" w:hAnsi="Arial" w:cs="Arial"/>
          <w:sz w:val="24"/>
          <w:szCs w:val="24"/>
        </w:rPr>
        <w:instrText>ADDIN CSL_CITATION {"citationItems":[{"id":"ITEM-1","itemData":{"DOI":"10.1016/j.jacc.2008.08.058","ISBN":"1558-3597 (Electronic)\\n0735-1097 (Linking)","ISSN":"07351097","PMID":"19095130","abstract":"Objectives: This study sought to determine the diagnostic accuracy of 64-slice computed tomographic coronary angiography (CTCA) to detect or rule out significant coronary artery disease (CAD). Background: CTCA is emerging as a noninvasive technique to detect coronary atherosclerosis. Methods: We conducted a prospective, multicenter, multivendor study involving 360 symptomatic patients with acute and stable anginal syndromes who were between 50 and 70 years of age and were referred for diagnostic conventional coronary angiography (CCA) from September 2004 through June 2006. All patients underwent a nonenhanced calcium scan and a CTCA, which was compared with CCA. No patients or segments were excluded because of impaired image quality attributable to either coronary motion or calcifications. Patient-, vessel-,</w:instrText>
      </w:r>
      <w:r w:rsidR="00CB191B">
        <w:rPr>
          <w:rFonts w:ascii="Arial" w:hAnsi="Arial" w:cs="Arial" w:hint="eastAsia"/>
          <w:sz w:val="24"/>
          <w:szCs w:val="24"/>
        </w:rPr>
        <w:instrText xml:space="preserve"> and segment-based sensitivities and specificities were calculated to detect or rule out significant CAD, defined as </w:instrText>
      </w:r>
      <w:r w:rsidR="00CB191B">
        <w:rPr>
          <w:rFonts w:ascii="Arial" w:hAnsi="Arial" w:cs="Arial" w:hint="eastAsia"/>
          <w:sz w:val="24"/>
          <w:szCs w:val="24"/>
        </w:rPr>
        <w:instrText>≥</w:instrText>
      </w:r>
      <w:r w:rsidR="00CB191B">
        <w:rPr>
          <w:rFonts w:ascii="Arial" w:hAnsi="Arial" w:cs="Arial" w:hint="eastAsia"/>
          <w:sz w:val="24"/>
          <w:szCs w:val="24"/>
        </w:rPr>
        <w:instrText>50% lumen diameter reduction. Results: The prevalence among patients of having at least 1 significant stenosis was 68%. In a patient-base</w:instrText>
      </w:r>
      <w:r w:rsidR="00CB191B">
        <w:rPr>
          <w:rFonts w:ascii="Arial" w:hAnsi="Arial" w:cs="Arial"/>
          <w:sz w:val="24"/>
          <w:szCs w:val="24"/>
        </w:rPr>
        <w:instrText>d analysis, the sensitivity for detecting patients with significant CAD was 99% (95% confidence interval [CI]: 98% to 100%), specificity was 64% (95% CI: 55% to 73%), positive predictive value was 86% (95% CI: 82% to 90%), and negative predictive value was 97% (95% CI: 94% to 100%). In a segment-based analysis, the sensitivity was 88% (95% CI: 85% to 91%), specificity was 90% (95% CI: 89% to 92%), positive predictive value was 47% (95% CI: 44% to 51%), and negative predictive value was 99% (95% CI: 98% to 99%). Conclusions: Among patients in whom a decision had already been made to obtain CCA, 64-slice CTCA was reliable for ruling out significant CAD in patients with stable and unstable anginal syndromes. A positive 64-slice CTCA scan often overestimates the severity of atherosclerotic obstructions and requires further testing to guide patient management. © 2008 American College of Cardiology Foundation.","author":[{"dropping-particle":"","family":"Meijboom","given":"W. Bob","non-dropping-particle":"","parse-names":false,"suffix":""},{"dropping-particle":"","family":"Meijs","given":"Matthijs F L","non-dropping-particle":"","parse-names":false,"suffix":""},{"dropping-particle":"","family":"Schuijf","given":"Joanne D.","non-dropping-particle":"","parse-names":false,"suffix":""},{"dropping-particle":"","family":"Cramer","given":"Maarten J.","non-dropping-particle":"","parse-names":false,"suffix":""},{"dropping-particle":"","family":"Mollet","given":"Nico R.","non-dropping-particle":"","parse-names":false,"suffix":""},{"dropping-particle":"","family":"Mieghem","given":"Carlos A G","non-dropping-particle":"van","parse-names":false,"suffix":""},{"dropping-particle":"","family":"Nieman","given":"Koen","non-dropping-particle":"","parse-names":false,"suffix":""},{"dropping-particle":"","family":"Werkhoven","given":"Jacob M.","non-dropping-particle":"van","parse-names":false,"suffix":""},{"dropping-particle":"","family":"Pundziute","given":"Gabija","non-dropping-particle":"","parse-names":false,"suffix":""},{"dropping-particle":"","family":"Weustink","given":"Annick C.","non-dropping-particle":"","parse-names":false,"suffix":""},{"dropping-particle":"","family":"Vos","given":"Alexander M.","non-dropping-particle":"de","parse-names":false,"suffix":""},{"dropping-particle":"","family":"Pugliese","given":"Francesca","non-dropping-particle":"","parse-names":false,"suffix":""},{"dropping-particle":"","family":"Rensing","given":"Benno","non-dropping-particle":"","parse-names":false,"suffix":""},{"dropping-particle":"","family":"Jukema","given":"J. Wouter","non-dropping-particle":"","parse-names":false,"suffix":""},{"dropping-particle":"","family":"Bax","given":"Jeroen J.","non-dropping-particle":"","parse-names":false,"suffix":""},{"dropping-particle":"","family":"Prokop","given":"Mathias","non-dropping-particle":"","parse-names":false,"suffix":""},{"dropping-particle":"","family":"Doevendans","given":"Pieter A.","non-dropping-particle":"","parse-names":false,"suffix":""},{"dropping-particle":"","family":"Hunink","given":"Myriam G M","non-dropping-particle":"","parse-names":false,"suffix":""},{"dropping-particle":"","family":"Krestin","given":"Gabriel P.","non-dropping-particle":"","parse-names":false,"suffix":""},{"dropping-particle":"","family":"Feyter","given":"Pim J.","non-dropping-particle":"de","parse-names":false,"suffix":""}],"container-title":"Journal of the American College of Cardiology","id":"ITEM-1","issue":"25","issued":{"date-parts":[["2008"]]},"page":"2135-2144","publisher":"American College of Cardiology Foundation","title":"Diagnostic Accuracy of 64-Slice Computed Tomography Coronary Angiography. A Prospective, Multicenter, Multivendor Study","type":"article-journal","volume":"52"},"uris":["http://www.mendeley.com/documents/?uuid=2613ecda-64fc-45b9-a91f-f9d06db10660"]}],"mendeley":{"formattedCitation":"&lt;sup&gt;13&lt;/sup&gt;","plainTextFormattedCitation":"13","previouslyFormattedCitation":"&lt;sup&gt;13&lt;/sup&gt;"},"properties":{"noteIndex":0},"schema":"https://github.com/citation-style-language/schema/raw/master/csl-citation.json"}</w:instrText>
      </w:r>
      <w:r w:rsidR="006E4D44">
        <w:rPr>
          <w:rFonts w:ascii="Arial" w:hAnsi="Arial" w:cs="Arial"/>
          <w:sz w:val="24"/>
          <w:szCs w:val="24"/>
        </w:rPr>
        <w:fldChar w:fldCharType="separate"/>
      </w:r>
      <w:r w:rsidR="00CB191B" w:rsidRPr="00CB191B">
        <w:rPr>
          <w:rFonts w:ascii="Arial" w:hAnsi="Arial" w:cs="Arial"/>
          <w:noProof/>
          <w:sz w:val="24"/>
          <w:szCs w:val="24"/>
          <w:vertAlign w:val="superscript"/>
        </w:rPr>
        <w:t>13</w:t>
      </w:r>
      <w:r w:rsidR="006E4D44">
        <w:rPr>
          <w:rFonts w:ascii="Arial" w:hAnsi="Arial" w:cs="Arial"/>
          <w:sz w:val="24"/>
          <w:szCs w:val="24"/>
        </w:rPr>
        <w:fldChar w:fldCharType="end"/>
      </w:r>
      <w:r w:rsidR="00C9356F">
        <w:rPr>
          <w:rFonts w:ascii="Arial" w:hAnsi="Arial" w:cs="Arial"/>
          <w:sz w:val="24"/>
          <w:szCs w:val="24"/>
        </w:rPr>
        <w:t xml:space="preserve"> </w:t>
      </w:r>
    </w:p>
    <w:p w14:paraId="61E0A55E" w14:textId="77777777" w:rsidR="009B7880" w:rsidRPr="00274EAE" w:rsidRDefault="009B7880" w:rsidP="00252392">
      <w:pPr>
        <w:spacing w:after="0" w:line="360" w:lineRule="auto"/>
        <w:jc w:val="both"/>
        <w:rPr>
          <w:rFonts w:ascii="Arial" w:hAnsi="Arial" w:cs="Arial"/>
          <w:b/>
          <w:sz w:val="24"/>
          <w:szCs w:val="24"/>
        </w:rPr>
      </w:pPr>
    </w:p>
    <w:p w14:paraId="59DF44B6" w14:textId="77777777" w:rsidR="001A77A7" w:rsidRPr="00274EAE" w:rsidRDefault="001A77A7" w:rsidP="00252392">
      <w:pPr>
        <w:spacing w:after="0" w:line="360" w:lineRule="auto"/>
        <w:jc w:val="both"/>
        <w:rPr>
          <w:rFonts w:ascii="Arial" w:hAnsi="Arial" w:cs="Arial"/>
          <w:b/>
          <w:sz w:val="24"/>
          <w:szCs w:val="24"/>
        </w:rPr>
      </w:pPr>
      <w:r w:rsidRPr="00274EAE">
        <w:rPr>
          <w:rFonts w:ascii="Arial" w:hAnsi="Arial" w:cs="Arial"/>
          <w:b/>
          <w:sz w:val="24"/>
          <w:szCs w:val="24"/>
        </w:rPr>
        <w:t>Statistical analysis</w:t>
      </w:r>
    </w:p>
    <w:p w14:paraId="4A3DDFE8" w14:textId="55C1060E" w:rsidR="0000325A" w:rsidRPr="00274EAE" w:rsidRDefault="001A77A7" w:rsidP="00252392">
      <w:pPr>
        <w:spacing w:after="0" w:line="360" w:lineRule="auto"/>
        <w:jc w:val="both"/>
        <w:rPr>
          <w:rFonts w:ascii="Arial" w:hAnsi="Arial" w:cs="Arial"/>
          <w:sz w:val="24"/>
          <w:szCs w:val="24"/>
        </w:rPr>
      </w:pPr>
      <w:r w:rsidRPr="00274EAE">
        <w:rPr>
          <w:rFonts w:ascii="Arial" w:hAnsi="Arial" w:cs="Arial"/>
          <w:sz w:val="24"/>
          <w:szCs w:val="24"/>
        </w:rPr>
        <w:t>Continuous variables are expressed as means ± standard deviation (SD), and categorical variables are presented as absolute counts and percentages.</w:t>
      </w:r>
      <w:r w:rsidR="00B131F2" w:rsidRPr="00274EAE">
        <w:rPr>
          <w:rFonts w:ascii="Arial" w:hAnsi="Arial" w:cs="Arial"/>
          <w:sz w:val="24"/>
          <w:szCs w:val="24"/>
        </w:rPr>
        <w:t xml:space="preserve"> Between group differences were analyzed using the </w:t>
      </w:r>
      <w:proofErr w:type="spellStart"/>
      <w:r w:rsidR="00067912" w:rsidRPr="00274EAE">
        <w:rPr>
          <w:rFonts w:ascii="Arial" w:hAnsi="Arial" w:cs="Arial"/>
          <w:sz w:val="24"/>
          <w:szCs w:val="24"/>
        </w:rPr>
        <w:t>McNemar’s</w:t>
      </w:r>
      <w:proofErr w:type="spellEnd"/>
      <w:r w:rsidR="00067912" w:rsidRPr="00274EAE">
        <w:rPr>
          <w:rFonts w:ascii="Arial" w:hAnsi="Arial" w:cs="Arial"/>
          <w:sz w:val="24"/>
          <w:szCs w:val="24"/>
        </w:rPr>
        <w:t xml:space="preserve"> test for categorical variables</w:t>
      </w:r>
      <w:r w:rsidR="00B131F2" w:rsidRPr="00274EAE">
        <w:rPr>
          <w:rFonts w:ascii="Arial" w:hAnsi="Arial" w:cs="Arial"/>
          <w:sz w:val="24"/>
          <w:szCs w:val="24"/>
        </w:rPr>
        <w:t xml:space="preserve">, and those between continuous variables using a </w:t>
      </w:r>
      <w:r w:rsidR="00067912" w:rsidRPr="00274EAE">
        <w:rPr>
          <w:rFonts w:ascii="Arial" w:hAnsi="Arial" w:cs="Arial"/>
          <w:sz w:val="24"/>
          <w:szCs w:val="24"/>
        </w:rPr>
        <w:t xml:space="preserve">paired </w:t>
      </w:r>
      <w:r w:rsidR="00B131F2" w:rsidRPr="00274EAE">
        <w:rPr>
          <w:rFonts w:ascii="Arial" w:hAnsi="Arial" w:cs="Arial"/>
          <w:sz w:val="24"/>
          <w:szCs w:val="24"/>
        </w:rPr>
        <w:t>Student’s t-test.</w:t>
      </w:r>
      <w:r w:rsidRPr="00274EAE">
        <w:rPr>
          <w:rFonts w:ascii="Arial" w:hAnsi="Arial" w:cs="Arial"/>
          <w:sz w:val="24"/>
          <w:szCs w:val="24"/>
        </w:rPr>
        <w:t xml:space="preserve"> </w:t>
      </w:r>
      <w:r w:rsidR="009B7880" w:rsidRPr="00274EAE">
        <w:rPr>
          <w:rFonts w:ascii="Arial" w:hAnsi="Arial" w:cs="Arial"/>
          <w:sz w:val="24"/>
          <w:szCs w:val="24"/>
        </w:rPr>
        <w:t xml:space="preserve">Sensitivity, specificity, accuracy, positive predictive value and negative predictive values were calculated for CTA using a standard post processing algorithm and a </w:t>
      </w:r>
      <w:proofErr w:type="spellStart"/>
      <w:r w:rsidR="009B7880" w:rsidRPr="00274EAE">
        <w:rPr>
          <w:rFonts w:ascii="Arial" w:hAnsi="Arial" w:cs="Arial"/>
          <w:sz w:val="24"/>
          <w:szCs w:val="24"/>
        </w:rPr>
        <w:t>deblooming</w:t>
      </w:r>
      <w:proofErr w:type="spellEnd"/>
      <w:r w:rsidR="009B7880" w:rsidRPr="00274EAE">
        <w:rPr>
          <w:rFonts w:ascii="Arial" w:hAnsi="Arial" w:cs="Arial"/>
          <w:sz w:val="24"/>
          <w:szCs w:val="24"/>
        </w:rPr>
        <w:t xml:space="preserve"> algorithm on a per patient, per vessel and per segment level using QCA as the </w:t>
      </w:r>
      <w:r w:rsidR="007E2EB3">
        <w:rPr>
          <w:rFonts w:ascii="Arial" w:hAnsi="Arial" w:cs="Arial"/>
          <w:sz w:val="24"/>
          <w:szCs w:val="24"/>
        </w:rPr>
        <w:t>reference</w:t>
      </w:r>
      <w:r w:rsidR="009B7880" w:rsidRPr="00274EAE">
        <w:rPr>
          <w:rFonts w:ascii="Arial" w:hAnsi="Arial" w:cs="Arial"/>
          <w:sz w:val="24"/>
          <w:szCs w:val="24"/>
        </w:rPr>
        <w:t xml:space="preserve"> standard.</w:t>
      </w:r>
      <w:r w:rsidR="00067912" w:rsidRPr="00274EAE">
        <w:rPr>
          <w:rFonts w:ascii="Arial" w:hAnsi="Arial" w:cs="Arial"/>
          <w:sz w:val="24"/>
          <w:szCs w:val="24"/>
        </w:rPr>
        <w:t xml:space="preserve">  Differences in sensitivity, specificity and accuracy between the algorithms were compared using </w:t>
      </w:r>
      <w:proofErr w:type="spellStart"/>
      <w:r w:rsidR="00067912" w:rsidRPr="00274EAE">
        <w:rPr>
          <w:rFonts w:ascii="Arial" w:hAnsi="Arial" w:cs="Arial"/>
          <w:sz w:val="24"/>
          <w:szCs w:val="24"/>
        </w:rPr>
        <w:t>McNemar’s</w:t>
      </w:r>
      <w:proofErr w:type="spellEnd"/>
      <w:r w:rsidR="00067912" w:rsidRPr="00274EAE">
        <w:rPr>
          <w:rFonts w:ascii="Arial" w:hAnsi="Arial" w:cs="Arial"/>
          <w:sz w:val="24"/>
          <w:szCs w:val="24"/>
        </w:rPr>
        <w:t xml:space="preserve"> test.</w:t>
      </w:r>
      <w:r w:rsidR="00C9356F">
        <w:rPr>
          <w:rFonts w:ascii="Arial" w:hAnsi="Arial" w:cs="Arial"/>
          <w:sz w:val="24"/>
          <w:szCs w:val="24"/>
        </w:rPr>
        <w:t xml:space="preserve">  A sensitivity analysis was performed using a threshold of a diameter stenosis of 70% on ICA and CTA as being considered significant.</w:t>
      </w:r>
      <w:r w:rsidR="009B7880" w:rsidRPr="00274EAE">
        <w:rPr>
          <w:rFonts w:ascii="Arial" w:hAnsi="Arial" w:cs="Arial"/>
          <w:sz w:val="24"/>
          <w:szCs w:val="24"/>
        </w:rPr>
        <w:t xml:space="preserve">  </w:t>
      </w:r>
      <w:r w:rsidR="00CA3F8F" w:rsidRPr="00274EAE">
        <w:rPr>
          <w:rFonts w:ascii="Arial" w:hAnsi="Arial" w:cs="Arial"/>
          <w:sz w:val="24"/>
          <w:szCs w:val="24"/>
        </w:rPr>
        <w:t>Cohen kappa was used to assess inter-observer variability</w:t>
      </w:r>
      <w:r w:rsidR="009B7880" w:rsidRPr="00274EAE">
        <w:rPr>
          <w:rFonts w:ascii="Arial" w:hAnsi="Arial" w:cs="Arial"/>
          <w:sz w:val="24"/>
          <w:szCs w:val="24"/>
        </w:rPr>
        <w:t xml:space="preserve">, with a Cohen’s κ statistic of ≤0.2 = poor agreement, 0.21–0.4 = fair agreement, 0.41–0.6 = moderate agreement, 0.61–0.8 = good agreement and 0.81–1 = excellent agreement. </w:t>
      </w:r>
      <w:r w:rsidRPr="00274EAE">
        <w:rPr>
          <w:rFonts w:ascii="Arial" w:hAnsi="Arial" w:cs="Arial"/>
          <w:sz w:val="24"/>
          <w:szCs w:val="24"/>
        </w:rPr>
        <w:t xml:space="preserve">All analyses were performed with </w:t>
      </w:r>
      <w:r w:rsidR="003E0D33" w:rsidRPr="00274EAE">
        <w:rPr>
          <w:rFonts w:ascii="Arial" w:hAnsi="Arial" w:cs="Arial"/>
          <w:sz w:val="24"/>
          <w:szCs w:val="24"/>
        </w:rPr>
        <w:t>SPSS</w:t>
      </w:r>
      <w:r w:rsidRPr="00274EAE">
        <w:rPr>
          <w:rFonts w:ascii="Arial" w:hAnsi="Arial" w:cs="Arial"/>
          <w:sz w:val="24"/>
          <w:szCs w:val="24"/>
        </w:rPr>
        <w:t xml:space="preserve"> (version</w:t>
      </w:r>
      <w:r w:rsidR="003E0D33" w:rsidRPr="00274EAE">
        <w:rPr>
          <w:rFonts w:ascii="Arial" w:hAnsi="Arial" w:cs="Arial"/>
          <w:sz w:val="24"/>
          <w:szCs w:val="24"/>
        </w:rPr>
        <w:t xml:space="preserve"> 22, IBM SPSS, NY</w:t>
      </w:r>
      <w:r w:rsidRPr="00274EAE">
        <w:rPr>
          <w:rFonts w:ascii="Arial" w:hAnsi="Arial" w:cs="Arial"/>
          <w:sz w:val="24"/>
          <w:szCs w:val="24"/>
        </w:rPr>
        <w:t>).</w:t>
      </w:r>
    </w:p>
    <w:p w14:paraId="72B64056" w14:textId="77777777" w:rsidR="0000325A" w:rsidRPr="00274EAE" w:rsidRDefault="0000325A" w:rsidP="00252392">
      <w:pPr>
        <w:spacing w:line="360" w:lineRule="auto"/>
        <w:rPr>
          <w:rFonts w:ascii="Arial" w:hAnsi="Arial" w:cs="Arial"/>
          <w:sz w:val="24"/>
          <w:szCs w:val="24"/>
        </w:rPr>
      </w:pPr>
      <w:r w:rsidRPr="00274EAE">
        <w:rPr>
          <w:rFonts w:ascii="Arial" w:hAnsi="Arial" w:cs="Arial"/>
          <w:sz w:val="24"/>
          <w:szCs w:val="24"/>
        </w:rPr>
        <w:lastRenderedPageBreak/>
        <w:br w:type="page"/>
      </w:r>
    </w:p>
    <w:p w14:paraId="0E59F35C" w14:textId="661FF2E6" w:rsidR="00E82325" w:rsidRPr="00274EAE" w:rsidRDefault="00086894" w:rsidP="00252392">
      <w:pPr>
        <w:spacing w:after="0" w:line="360" w:lineRule="auto"/>
        <w:jc w:val="both"/>
        <w:rPr>
          <w:rFonts w:ascii="Arial" w:hAnsi="Arial" w:cs="Arial"/>
          <w:sz w:val="24"/>
          <w:szCs w:val="24"/>
        </w:rPr>
      </w:pPr>
      <w:r w:rsidRPr="00274EAE">
        <w:rPr>
          <w:rFonts w:ascii="Arial" w:hAnsi="Arial" w:cs="Arial"/>
          <w:b/>
          <w:bCs/>
          <w:sz w:val="24"/>
          <w:szCs w:val="24"/>
        </w:rPr>
        <w:lastRenderedPageBreak/>
        <w:t>R</w:t>
      </w:r>
      <w:r w:rsidR="00E82325" w:rsidRPr="00274EAE">
        <w:rPr>
          <w:rFonts w:ascii="Arial" w:hAnsi="Arial" w:cs="Arial"/>
          <w:b/>
          <w:bCs/>
          <w:sz w:val="24"/>
          <w:szCs w:val="24"/>
        </w:rPr>
        <w:t>esults:</w:t>
      </w:r>
    </w:p>
    <w:p w14:paraId="2A6211E3" w14:textId="0F54FDF8" w:rsidR="00777234" w:rsidRPr="00274EAE" w:rsidRDefault="00777234" w:rsidP="00252392">
      <w:pPr>
        <w:spacing w:line="360" w:lineRule="auto"/>
        <w:rPr>
          <w:rFonts w:ascii="Arial" w:hAnsi="Arial" w:cs="Arial"/>
          <w:b/>
          <w:bCs/>
          <w:sz w:val="24"/>
          <w:szCs w:val="24"/>
        </w:rPr>
      </w:pPr>
      <w:r w:rsidRPr="00274EAE">
        <w:rPr>
          <w:rFonts w:ascii="Arial" w:hAnsi="Arial" w:cs="Arial"/>
          <w:b/>
          <w:bCs/>
          <w:sz w:val="24"/>
          <w:szCs w:val="24"/>
        </w:rPr>
        <w:t>Study population</w:t>
      </w:r>
    </w:p>
    <w:p w14:paraId="44D6F1E9" w14:textId="0483EDCE" w:rsidR="00D95DAB" w:rsidRPr="00274EAE" w:rsidRDefault="005E01B4" w:rsidP="00252392">
      <w:pPr>
        <w:spacing w:line="360" w:lineRule="auto"/>
        <w:rPr>
          <w:rFonts w:ascii="Arial" w:hAnsi="Arial" w:cs="Arial"/>
          <w:bCs/>
          <w:sz w:val="24"/>
          <w:szCs w:val="24"/>
        </w:rPr>
      </w:pPr>
      <w:r w:rsidRPr="00274EAE">
        <w:rPr>
          <w:rFonts w:ascii="Arial" w:hAnsi="Arial" w:cs="Arial"/>
          <w:bCs/>
          <w:sz w:val="24"/>
          <w:szCs w:val="24"/>
        </w:rPr>
        <w:t xml:space="preserve">40 patients </w:t>
      </w:r>
      <w:r w:rsidR="00D5356F" w:rsidRPr="00274EAE">
        <w:rPr>
          <w:rFonts w:ascii="Arial" w:hAnsi="Arial" w:cs="Arial"/>
          <w:bCs/>
          <w:sz w:val="24"/>
          <w:szCs w:val="24"/>
        </w:rPr>
        <w:t xml:space="preserve">(mean age </w:t>
      </w:r>
      <w:r w:rsidR="00D5356F" w:rsidRPr="00274EAE">
        <w:rPr>
          <w:rFonts w:ascii="Arial" w:hAnsi="Arial" w:cs="Arial"/>
          <w:sz w:val="24"/>
          <w:szCs w:val="24"/>
          <w:lang w:val="en-GB"/>
        </w:rPr>
        <w:t>61±7 y</w:t>
      </w:r>
      <w:r w:rsidR="00D5356F" w:rsidRPr="00274EAE">
        <w:rPr>
          <w:rFonts w:ascii="Arial" w:hAnsi="Arial" w:cs="Arial"/>
          <w:bCs/>
          <w:sz w:val="24"/>
          <w:szCs w:val="24"/>
        </w:rPr>
        <w:t>, 9</w:t>
      </w:r>
      <w:r w:rsidR="00FC26FA">
        <w:rPr>
          <w:rFonts w:ascii="Arial" w:hAnsi="Arial" w:cs="Arial"/>
          <w:bCs/>
          <w:sz w:val="24"/>
          <w:szCs w:val="24"/>
        </w:rPr>
        <w:t xml:space="preserve"> </w:t>
      </w:r>
      <w:r w:rsidR="00D5356F" w:rsidRPr="00274EAE">
        <w:rPr>
          <w:rFonts w:ascii="Arial" w:hAnsi="Arial" w:cs="Arial"/>
          <w:bCs/>
          <w:sz w:val="24"/>
          <w:szCs w:val="24"/>
        </w:rPr>
        <w:t>(22.5%) female)</w:t>
      </w:r>
      <w:r w:rsidR="000715B6" w:rsidRPr="00274EAE">
        <w:rPr>
          <w:rFonts w:ascii="Arial" w:hAnsi="Arial" w:cs="Arial"/>
          <w:bCs/>
          <w:sz w:val="24"/>
          <w:szCs w:val="24"/>
        </w:rPr>
        <w:t xml:space="preserve"> </w:t>
      </w:r>
      <w:r w:rsidR="0058744B">
        <w:rPr>
          <w:rFonts w:ascii="Arial" w:hAnsi="Arial" w:cs="Arial"/>
          <w:bCs/>
          <w:sz w:val="24"/>
          <w:szCs w:val="24"/>
        </w:rPr>
        <w:t>met the study inclusion criteria</w:t>
      </w:r>
      <w:r w:rsidRPr="00274EAE">
        <w:rPr>
          <w:rFonts w:ascii="Arial" w:hAnsi="Arial" w:cs="Arial"/>
          <w:bCs/>
          <w:sz w:val="24"/>
          <w:szCs w:val="24"/>
        </w:rPr>
        <w:t xml:space="preserve">.  The demographic data of the study cohort is summarized in Table 1.  </w:t>
      </w:r>
      <w:r w:rsidR="004B71C6" w:rsidRPr="00274EAE">
        <w:rPr>
          <w:rFonts w:ascii="Arial" w:hAnsi="Arial" w:cs="Arial"/>
          <w:bCs/>
          <w:sz w:val="24"/>
          <w:szCs w:val="24"/>
        </w:rPr>
        <w:t>55% demonstrated no evidence of obstructive coronary artery disease, whilst 3</w:t>
      </w:r>
      <w:r w:rsidR="00DA2D36" w:rsidRPr="00274EAE">
        <w:rPr>
          <w:rFonts w:ascii="Arial" w:hAnsi="Arial" w:cs="Arial"/>
          <w:bCs/>
          <w:sz w:val="24"/>
          <w:szCs w:val="24"/>
        </w:rPr>
        <w:t>0</w:t>
      </w:r>
      <w:r w:rsidR="004B71C6" w:rsidRPr="00274EAE">
        <w:rPr>
          <w:rFonts w:ascii="Arial" w:hAnsi="Arial" w:cs="Arial"/>
          <w:bCs/>
          <w:sz w:val="24"/>
          <w:szCs w:val="24"/>
        </w:rPr>
        <w:t>% had single vessel disease</w:t>
      </w:r>
      <w:r w:rsidR="000715B6" w:rsidRPr="00274EAE">
        <w:rPr>
          <w:rFonts w:ascii="Arial" w:hAnsi="Arial" w:cs="Arial"/>
          <w:bCs/>
          <w:sz w:val="24"/>
          <w:szCs w:val="24"/>
        </w:rPr>
        <w:t xml:space="preserve">, </w:t>
      </w:r>
      <w:r w:rsidR="004B71C6" w:rsidRPr="00274EAE">
        <w:rPr>
          <w:rFonts w:ascii="Arial" w:hAnsi="Arial" w:cs="Arial"/>
          <w:bCs/>
          <w:sz w:val="24"/>
          <w:szCs w:val="24"/>
        </w:rPr>
        <w:t>1</w:t>
      </w:r>
      <w:r w:rsidR="00DA2D36" w:rsidRPr="00274EAE">
        <w:rPr>
          <w:rFonts w:ascii="Arial" w:hAnsi="Arial" w:cs="Arial"/>
          <w:bCs/>
          <w:sz w:val="24"/>
          <w:szCs w:val="24"/>
        </w:rPr>
        <w:t>0</w:t>
      </w:r>
      <w:r w:rsidR="004B71C6" w:rsidRPr="00274EAE">
        <w:rPr>
          <w:rFonts w:ascii="Arial" w:hAnsi="Arial" w:cs="Arial"/>
          <w:bCs/>
          <w:sz w:val="24"/>
          <w:szCs w:val="24"/>
        </w:rPr>
        <w:t>% had two vessel disease</w:t>
      </w:r>
      <w:r w:rsidR="00DA2D36" w:rsidRPr="00274EAE">
        <w:rPr>
          <w:rFonts w:ascii="Arial" w:hAnsi="Arial" w:cs="Arial"/>
          <w:bCs/>
          <w:sz w:val="24"/>
          <w:szCs w:val="24"/>
        </w:rPr>
        <w:t>, and 5% had left main disease/three vessel disease</w:t>
      </w:r>
      <w:r w:rsidR="00B131F2" w:rsidRPr="00274EAE">
        <w:rPr>
          <w:rFonts w:ascii="Arial" w:hAnsi="Arial" w:cs="Arial"/>
          <w:bCs/>
          <w:sz w:val="24"/>
          <w:szCs w:val="24"/>
        </w:rPr>
        <w:t xml:space="preserve"> on ICA</w:t>
      </w:r>
      <w:r w:rsidR="00392729">
        <w:rPr>
          <w:rFonts w:ascii="Arial" w:hAnsi="Arial" w:cs="Arial"/>
          <w:bCs/>
          <w:sz w:val="24"/>
          <w:szCs w:val="24"/>
        </w:rPr>
        <w:t>.</w:t>
      </w:r>
      <w:r w:rsidRPr="00274EAE">
        <w:rPr>
          <w:rFonts w:ascii="Arial" w:hAnsi="Arial" w:cs="Arial"/>
          <w:bCs/>
          <w:sz w:val="24"/>
          <w:szCs w:val="24"/>
        </w:rPr>
        <w:t xml:space="preserve">  </w:t>
      </w:r>
      <w:r w:rsidR="006E4D44">
        <w:rPr>
          <w:rFonts w:ascii="Arial" w:hAnsi="Arial" w:cs="Arial"/>
          <w:bCs/>
          <w:sz w:val="24"/>
          <w:szCs w:val="24"/>
        </w:rPr>
        <w:t>No adverse events were experienced during the study using either diagnostic test.</w:t>
      </w:r>
      <w:r w:rsidR="009F6740">
        <w:rPr>
          <w:rFonts w:ascii="Arial" w:hAnsi="Arial" w:cs="Arial"/>
          <w:bCs/>
          <w:sz w:val="24"/>
          <w:szCs w:val="24"/>
        </w:rPr>
        <w:t xml:space="preserve"> The STARD flow diagram of the study participants is shown in Figure 1.</w:t>
      </w:r>
    </w:p>
    <w:p w14:paraId="0979A92B" w14:textId="77777777" w:rsidR="00DA2D36" w:rsidRPr="00274EAE" w:rsidRDefault="00DA2D36" w:rsidP="00252392">
      <w:pPr>
        <w:spacing w:line="360" w:lineRule="auto"/>
        <w:rPr>
          <w:rFonts w:ascii="Arial" w:hAnsi="Arial" w:cs="Arial"/>
          <w:b/>
          <w:bCs/>
          <w:sz w:val="24"/>
          <w:szCs w:val="24"/>
        </w:rPr>
      </w:pPr>
    </w:p>
    <w:p w14:paraId="23437C0C" w14:textId="1FFDFDF2" w:rsidR="00DA2D36" w:rsidRPr="00274EAE" w:rsidRDefault="00DA2D36" w:rsidP="00252392">
      <w:pPr>
        <w:spacing w:line="360" w:lineRule="auto"/>
        <w:rPr>
          <w:rFonts w:ascii="Arial" w:hAnsi="Arial" w:cs="Arial"/>
          <w:b/>
          <w:bCs/>
          <w:sz w:val="24"/>
          <w:szCs w:val="24"/>
        </w:rPr>
      </w:pPr>
      <w:r w:rsidRPr="00274EAE">
        <w:rPr>
          <w:rFonts w:ascii="Arial" w:hAnsi="Arial" w:cs="Arial"/>
          <w:b/>
          <w:bCs/>
          <w:sz w:val="24"/>
          <w:szCs w:val="24"/>
        </w:rPr>
        <w:t>CTA Image quality</w:t>
      </w:r>
    </w:p>
    <w:p w14:paraId="4C10D09D" w14:textId="73B56A82" w:rsidR="00DA2D36" w:rsidRPr="00274EAE" w:rsidRDefault="00B93551" w:rsidP="00252392">
      <w:pPr>
        <w:spacing w:line="360" w:lineRule="auto"/>
        <w:rPr>
          <w:rFonts w:ascii="Arial" w:hAnsi="Arial" w:cs="Arial"/>
          <w:bCs/>
          <w:sz w:val="24"/>
          <w:szCs w:val="24"/>
        </w:rPr>
      </w:pPr>
      <w:r w:rsidRPr="00274EAE">
        <w:rPr>
          <w:rFonts w:ascii="Arial" w:hAnsi="Arial" w:cs="Arial"/>
          <w:bCs/>
          <w:sz w:val="24"/>
          <w:szCs w:val="24"/>
        </w:rPr>
        <w:t xml:space="preserve">The mean image quality </w:t>
      </w:r>
      <w:r w:rsidR="00FC26FA">
        <w:rPr>
          <w:rFonts w:ascii="Arial" w:hAnsi="Arial" w:cs="Arial"/>
          <w:bCs/>
          <w:sz w:val="24"/>
          <w:szCs w:val="24"/>
        </w:rPr>
        <w:t xml:space="preserve">score </w:t>
      </w:r>
      <w:r w:rsidRPr="00274EAE">
        <w:rPr>
          <w:rFonts w:ascii="Arial" w:hAnsi="Arial" w:cs="Arial"/>
          <w:bCs/>
          <w:sz w:val="24"/>
          <w:szCs w:val="24"/>
        </w:rPr>
        <w:t>was 3.64±0.72</w:t>
      </w:r>
      <w:r w:rsidR="00DA2D36" w:rsidRPr="00274EAE">
        <w:rPr>
          <w:rFonts w:ascii="Arial" w:hAnsi="Arial" w:cs="Arial"/>
          <w:bCs/>
          <w:sz w:val="24"/>
          <w:szCs w:val="24"/>
        </w:rPr>
        <w:t xml:space="preserve"> </w:t>
      </w:r>
      <w:r w:rsidRPr="00274EAE">
        <w:rPr>
          <w:rFonts w:ascii="Arial" w:hAnsi="Arial" w:cs="Arial"/>
          <w:bCs/>
          <w:sz w:val="24"/>
          <w:szCs w:val="24"/>
        </w:rPr>
        <w:t xml:space="preserve">with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000715B6" w:rsidRPr="00274EAE">
        <w:rPr>
          <w:rFonts w:ascii="Arial" w:hAnsi="Arial" w:cs="Arial"/>
          <w:bCs/>
          <w:sz w:val="24"/>
          <w:szCs w:val="24"/>
        </w:rPr>
        <w:t>, versus</w:t>
      </w:r>
      <w:r w:rsidR="00DA2D36" w:rsidRPr="00274EAE">
        <w:rPr>
          <w:rFonts w:ascii="Arial" w:hAnsi="Arial" w:cs="Arial"/>
          <w:bCs/>
          <w:sz w:val="24"/>
          <w:szCs w:val="24"/>
        </w:rPr>
        <w:t xml:space="preserve"> 3.56±0.72 </w:t>
      </w:r>
      <w:r w:rsidRPr="00274EAE">
        <w:rPr>
          <w:rFonts w:ascii="Arial" w:hAnsi="Arial" w:cs="Arial"/>
          <w:bCs/>
          <w:sz w:val="24"/>
          <w:szCs w:val="24"/>
        </w:rPr>
        <w:t xml:space="preserve">with </w:t>
      </w:r>
      <w:r w:rsidR="00870070" w:rsidRPr="00274EAE">
        <w:rPr>
          <w:rFonts w:ascii="Arial" w:hAnsi="Arial" w:cs="Arial"/>
          <w:bCs/>
          <w:sz w:val="24"/>
          <w:szCs w:val="24"/>
        </w:rPr>
        <w:t>CTA</w:t>
      </w:r>
      <w:r w:rsidR="00870070" w:rsidRPr="00274EAE">
        <w:rPr>
          <w:rFonts w:ascii="Arial" w:hAnsi="Arial" w:cs="Arial"/>
          <w:bCs/>
          <w:sz w:val="24"/>
          <w:szCs w:val="24"/>
          <w:vertAlign w:val="subscript"/>
        </w:rPr>
        <w:t>STAND</w:t>
      </w:r>
      <w:r w:rsidR="00DA2D36" w:rsidRPr="00274EAE">
        <w:rPr>
          <w:rFonts w:ascii="Arial" w:hAnsi="Arial" w:cs="Arial"/>
          <w:bCs/>
          <w:sz w:val="24"/>
          <w:szCs w:val="24"/>
        </w:rPr>
        <w:t xml:space="preserve"> (p=0.</w:t>
      </w:r>
      <w:r w:rsidRPr="00274EAE">
        <w:rPr>
          <w:rFonts w:ascii="Arial" w:hAnsi="Arial" w:cs="Arial"/>
          <w:bCs/>
          <w:sz w:val="24"/>
          <w:szCs w:val="24"/>
        </w:rPr>
        <w:t>38</w:t>
      </w:r>
      <w:r w:rsidR="00DA2D36" w:rsidRPr="00274EAE">
        <w:rPr>
          <w:rFonts w:ascii="Arial" w:hAnsi="Arial" w:cs="Arial"/>
          <w:bCs/>
          <w:sz w:val="24"/>
          <w:szCs w:val="24"/>
        </w:rPr>
        <w:t>). There were no significant differences in the presence of motion artifact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00DA2D36" w:rsidRPr="00274EAE">
        <w:rPr>
          <w:rFonts w:ascii="Arial" w:hAnsi="Arial" w:cs="Arial"/>
          <w:bCs/>
          <w:sz w:val="24"/>
          <w:szCs w:val="24"/>
        </w:rPr>
        <w:t xml:space="preserve"> 47.5% vs. 55% </w:t>
      </w:r>
      <w:r w:rsidR="00870070" w:rsidRPr="00274EAE">
        <w:rPr>
          <w:rFonts w:ascii="Arial" w:hAnsi="Arial" w:cs="Arial"/>
          <w:bCs/>
          <w:sz w:val="24"/>
          <w:szCs w:val="24"/>
        </w:rPr>
        <w:t>CTA</w:t>
      </w:r>
      <w:r w:rsidR="00870070" w:rsidRPr="00274EAE">
        <w:rPr>
          <w:rFonts w:ascii="Arial" w:hAnsi="Arial" w:cs="Arial"/>
          <w:bCs/>
          <w:sz w:val="24"/>
          <w:szCs w:val="24"/>
          <w:vertAlign w:val="subscript"/>
        </w:rPr>
        <w:t>STAND</w:t>
      </w:r>
      <w:r w:rsidR="00D93FA9" w:rsidRPr="00274EAE">
        <w:rPr>
          <w:rFonts w:ascii="Arial" w:hAnsi="Arial" w:cs="Arial"/>
          <w:bCs/>
          <w:sz w:val="24"/>
          <w:szCs w:val="24"/>
        </w:rPr>
        <w:t>, p=0.5</w:t>
      </w:r>
      <w:r w:rsidRPr="00274EAE">
        <w:rPr>
          <w:rFonts w:ascii="Arial" w:hAnsi="Arial" w:cs="Arial"/>
          <w:bCs/>
          <w:sz w:val="24"/>
          <w:szCs w:val="24"/>
        </w:rPr>
        <w:t>1</w:t>
      </w:r>
      <w:r w:rsidR="00C73D11" w:rsidRPr="00274EAE">
        <w:rPr>
          <w:rFonts w:ascii="Arial" w:hAnsi="Arial" w:cs="Arial"/>
          <w:bCs/>
          <w:sz w:val="24"/>
          <w:szCs w:val="24"/>
        </w:rPr>
        <w:t>)</w:t>
      </w:r>
      <w:r w:rsidR="00FC26FA">
        <w:rPr>
          <w:rFonts w:ascii="Arial" w:hAnsi="Arial" w:cs="Arial"/>
          <w:bCs/>
          <w:sz w:val="24"/>
          <w:szCs w:val="24"/>
        </w:rPr>
        <w:t xml:space="preserve"> or</w:t>
      </w:r>
      <w:r w:rsidR="00DA2D36" w:rsidRPr="00274EAE">
        <w:rPr>
          <w:rFonts w:ascii="Arial" w:hAnsi="Arial" w:cs="Arial"/>
          <w:bCs/>
          <w:sz w:val="24"/>
          <w:szCs w:val="24"/>
        </w:rPr>
        <w:t xml:space="preserve"> </w:t>
      </w:r>
      <w:r w:rsidR="00D93FA9" w:rsidRPr="00274EAE">
        <w:rPr>
          <w:rFonts w:ascii="Arial" w:hAnsi="Arial" w:cs="Arial"/>
          <w:bCs/>
          <w:sz w:val="24"/>
          <w:szCs w:val="24"/>
        </w:rPr>
        <w:t>image noise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00400424" w:rsidRPr="00274EAE">
        <w:rPr>
          <w:rFonts w:ascii="Arial" w:hAnsi="Arial" w:cs="Arial"/>
          <w:bCs/>
          <w:sz w:val="24"/>
          <w:szCs w:val="24"/>
        </w:rPr>
        <w:t xml:space="preserve"> 32.5% vs. 25% </w:t>
      </w:r>
      <w:r w:rsidR="00870070" w:rsidRPr="00274EAE">
        <w:rPr>
          <w:rFonts w:ascii="Arial" w:hAnsi="Arial" w:cs="Arial"/>
          <w:bCs/>
          <w:sz w:val="24"/>
          <w:szCs w:val="24"/>
        </w:rPr>
        <w:t>CTA</w:t>
      </w:r>
      <w:r w:rsidR="00870070" w:rsidRPr="00274EAE">
        <w:rPr>
          <w:rFonts w:ascii="Arial" w:hAnsi="Arial" w:cs="Arial"/>
          <w:bCs/>
          <w:sz w:val="24"/>
          <w:szCs w:val="24"/>
          <w:vertAlign w:val="subscript"/>
        </w:rPr>
        <w:t>STAND</w:t>
      </w:r>
      <w:r w:rsidR="00400424" w:rsidRPr="00274EAE">
        <w:rPr>
          <w:rFonts w:ascii="Arial" w:hAnsi="Arial" w:cs="Arial"/>
          <w:bCs/>
          <w:sz w:val="24"/>
          <w:szCs w:val="24"/>
        </w:rPr>
        <w:t>, p=0.</w:t>
      </w:r>
      <w:r w:rsidRPr="00274EAE">
        <w:rPr>
          <w:rFonts w:ascii="Arial" w:hAnsi="Arial" w:cs="Arial"/>
          <w:bCs/>
          <w:sz w:val="24"/>
          <w:szCs w:val="24"/>
        </w:rPr>
        <w:t>58</w:t>
      </w:r>
      <w:r w:rsidR="0046376B">
        <w:rPr>
          <w:rFonts w:ascii="Arial" w:hAnsi="Arial" w:cs="Arial"/>
          <w:bCs/>
          <w:sz w:val="24"/>
          <w:szCs w:val="24"/>
        </w:rPr>
        <w:t>)</w:t>
      </w:r>
      <w:r w:rsidR="00D93FA9" w:rsidRPr="00274EAE">
        <w:rPr>
          <w:rFonts w:ascii="Arial" w:hAnsi="Arial" w:cs="Arial"/>
          <w:bCs/>
          <w:sz w:val="24"/>
          <w:szCs w:val="24"/>
        </w:rPr>
        <w:t xml:space="preserve">.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00D93FA9" w:rsidRPr="00274EAE">
        <w:rPr>
          <w:rFonts w:ascii="Arial" w:hAnsi="Arial" w:cs="Arial"/>
          <w:bCs/>
          <w:sz w:val="24"/>
          <w:szCs w:val="24"/>
        </w:rPr>
        <w:t xml:space="preserve"> suffered from significantly less calcium blooming artifact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00D93FA9" w:rsidRPr="00274EAE">
        <w:rPr>
          <w:rFonts w:ascii="Arial" w:hAnsi="Arial" w:cs="Arial"/>
          <w:bCs/>
          <w:sz w:val="24"/>
          <w:szCs w:val="24"/>
        </w:rPr>
        <w:t xml:space="preserve"> 12.5% vs. 47.5% </w:t>
      </w:r>
      <w:r w:rsidR="00870070" w:rsidRPr="00274EAE">
        <w:rPr>
          <w:rFonts w:ascii="Arial" w:hAnsi="Arial" w:cs="Arial"/>
          <w:bCs/>
          <w:sz w:val="24"/>
          <w:szCs w:val="24"/>
        </w:rPr>
        <w:t>CTA</w:t>
      </w:r>
      <w:r w:rsidR="00870070" w:rsidRPr="00274EAE">
        <w:rPr>
          <w:rFonts w:ascii="Arial" w:hAnsi="Arial" w:cs="Arial"/>
          <w:bCs/>
          <w:sz w:val="24"/>
          <w:szCs w:val="24"/>
          <w:vertAlign w:val="subscript"/>
        </w:rPr>
        <w:t>STAND</w:t>
      </w:r>
      <w:r w:rsidR="00D93FA9" w:rsidRPr="00274EAE">
        <w:rPr>
          <w:rFonts w:ascii="Arial" w:hAnsi="Arial" w:cs="Arial"/>
          <w:bCs/>
          <w:sz w:val="24"/>
          <w:szCs w:val="24"/>
        </w:rPr>
        <w:t>, p=0.001</w:t>
      </w:r>
      <w:r w:rsidR="009F6740">
        <w:rPr>
          <w:rFonts w:ascii="Arial" w:hAnsi="Arial" w:cs="Arial"/>
          <w:bCs/>
          <w:sz w:val="24"/>
          <w:szCs w:val="24"/>
        </w:rPr>
        <w:t>, Figure 2</w:t>
      </w:r>
      <w:r w:rsidR="00D93FA9" w:rsidRPr="00274EAE">
        <w:rPr>
          <w:rFonts w:ascii="Arial" w:hAnsi="Arial" w:cs="Arial"/>
          <w:bCs/>
          <w:sz w:val="24"/>
          <w:szCs w:val="24"/>
        </w:rPr>
        <w:t xml:space="preserve">), but </w:t>
      </w:r>
      <w:r w:rsidR="000715B6" w:rsidRPr="00274EAE">
        <w:rPr>
          <w:rFonts w:ascii="Arial" w:hAnsi="Arial" w:cs="Arial"/>
          <w:bCs/>
          <w:sz w:val="24"/>
          <w:szCs w:val="24"/>
        </w:rPr>
        <w:t>demonstrated</w:t>
      </w:r>
      <w:r w:rsidR="00D93FA9" w:rsidRPr="00274EAE">
        <w:rPr>
          <w:rFonts w:ascii="Arial" w:hAnsi="Arial" w:cs="Arial"/>
          <w:bCs/>
          <w:sz w:val="24"/>
          <w:szCs w:val="24"/>
        </w:rPr>
        <w:t xml:space="preserve"> a significantly higher rate of intraluminal artifact related to the post-processing technique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Pr="00274EAE">
        <w:rPr>
          <w:rFonts w:ascii="Arial" w:hAnsi="Arial" w:cs="Arial"/>
          <w:bCs/>
          <w:sz w:val="24"/>
          <w:szCs w:val="24"/>
        </w:rPr>
        <w:t xml:space="preserve"> 17.5% vs. 0% </w:t>
      </w:r>
      <w:r w:rsidR="00870070" w:rsidRPr="00274EAE">
        <w:rPr>
          <w:rFonts w:ascii="Arial" w:hAnsi="Arial" w:cs="Arial"/>
          <w:bCs/>
          <w:sz w:val="24"/>
          <w:szCs w:val="24"/>
        </w:rPr>
        <w:t>CTA</w:t>
      </w:r>
      <w:r w:rsidR="00870070" w:rsidRPr="00274EAE">
        <w:rPr>
          <w:rFonts w:ascii="Arial" w:hAnsi="Arial" w:cs="Arial"/>
          <w:bCs/>
          <w:sz w:val="24"/>
          <w:szCs w:val="24"/>
          <w:vertAlign w:val="subscript"/>
        </w:rPr>
        <w:t>STAND</w:t>
      </w:r>
      <w:r w:rsidRPr="00274EAE">
        <w:rPr>
          <w:rFonts w:ascii="Arial" w:hAnsi="Arial" w:cs="Arial"/>
          <w:bCs/>
          <w:sz w:val="24"/>
          <w:szCs w:val="24"/>
        </w:rPr>
        <w:t>, p=0.016</w:t>
      </w:r>
      <w:r w:rsidR="009F6740">
        <w:rPr>
          <w:rFonts w:ascii="Arial" w:hAnsi="Arial" w:cs="Arial"/>
          <w:bCs/>
          <w:sz w:val="24"/>
          <w:szCs w:val="24"/>
        </w:rPr>
        <w:t>, see Figure 3</w:t>
      </w:r>
      <w:r w:rsidR="00347618" w:rsidRPr="00274EAE">
        <w:rPr>
          <w:rFonts w:ascii="Arial" w:hAnsi="Arial" w:cs="Arial"/>
          <w:bCs/>
          <w:sz w:val="24"/>
          <w:szCs w:val="24"/>
        </w:rPr>
        <w:t>).</w:t>
      </w:r>
    </w:p>
    <w:p w14:paraId="1B5B9484" w14:textId="77777777" w:rsidR="00DA2D36" w:rsidRPr="00274EAE" w:rsidRDefault="00DA2D36" w:rsidP="00252392">
      <w:pPr>
        <w:spacing w:line="360" w:lineRule="auto"/>
        <w:rPr>
          <w:rFonts w:ascii="Arial" w:hAnsi="Arial" w:cs="Arial"/>
          <w:b/>
          <w:bCs/>
          <w:sz w:val="24"/>
          <w:szCs w:val="24"/>
        </w:rPr>
      </w:pPr>
    </w:p>
    <w:p w14:paraId="4ACF1128" w14:textId="77777777" w:rsidR="00DA2D36" w:rsidRPr="00274EAE" w:rsidRDefault="00DA2D36" w:rsidP="00252392">
      <w:pPr>
        <w:spacing w:line="360" w:lineRule="auto"/>
        <w:rPr>
          <w:rFonts w:ascii="Arial" w:hAnsi="Arial" w:cs="Arial"/>
          <w:b/>
          <w:bCs/>
          <w:sz w:val="24"/>
          <w:szCs w:val="24"/>
        </w:rPr>
      </w:pPr>
      <w:r w:rsidRPr="00274EAE">
        <w:rPr>
          <w:rFonts w:ascii="Arial" w:hAnsi="Arial" w:cs="Arial"/>
          <w:b/>
          <w:bCs/>
          <w:sz w:val="24"/>
          <w:szCs w:val="24"/>
        </w:rPr>
        <w:t>Per Segment analysis</w:t>
      </w:r>
    </w:p>
    <w:p w14:paraId="338A60BE" w14:textId="3C98DE28" w:rsidR="00F07DE8" w:rsidRPr="00274EAE" w:rsidRDefault="00F07DE8" w:rsidP="00252392">
      <w:pPr>
        <w:spacing w:line="360" w:lineRule="auto"/>
        <w:rPr>
          <w:rFonts w:ascii="Arial" w:hAnsi="Arial" w:cs="Arial"/>
          <w:bCs/>
          <w:sz w:val="24"/>
          <w:szCs w:val="24"/>
        </w:rPr>
      </w:pPr>
      <w:r w:rsidRPr="00274EAE">
        <w:rPr>
          <w:rFonts w:ascii="Arial" w:hAnsi="Arial" w:cs="Arial"/>
          <w:bCs/>
          <w:sz w:val="24"/>
          <w:szCs w:val="24"/>
        </w:rPr>
        <w:t>O</w:t>
      </w:r>
      <w:r w:rsidR="000A11C3" w:rsidRPr="00274EAE">
        <w:rPr>
          <w:rFonts w:ascii="Arial" w:hAnsi="Arial" w:cs="Arial"/>
          <w:bCs/>
          <w:sz w:val="24"/>
          <w:szCs w:val="24"/>
        </w:rPr>
        <w:t xml:space="preserve">f 720 theoretically possible segments (based on the </w:t>
      </w:r>
      <w:proofErr w:type="gramStart"/>
      <w:r w:rsidR="000A11C3" w:rsidRPr="00274EAE">
        <w:rPr>
          <w:rFonts w:ascii="Arial" w:hAnsi="Arial" w:cs="Arial"/>
          <w:bCs/>
          <w:sz w:val="24"/>
          <w:szCs w:val="24"/>
        </w:rPr>
        <w:t>18 segment</w:t>
      </w:r>
      <w:proofErr w:type="gramEnd"/>
      <w:r w:rsidR="000A11C3" w:rsidRPr="00274EAE">
        <w:rPr>
          <w:rFonts w:ascii="Arial" w:hAnsi="Arial" w:cs="Arial"/>
          <w:bCs/>
          <w:sz w:val="24"/>
          <w:szCs w:val="24"/>
        </w:rPr>
        <w:t xml:space="preserve"> model</w:t>
      </w:r>
      <w:r w:rsidRPr="00274EAE">
        <w:rPr>
          <w:rFonts w:ascii="Arial" w:hAnsi="Arial" w:cs="Arial"/>
          <w:bCs/>
          <w:sz w:val="24"/>
          <w:szCs w:val="24"/>
        </w:rPr>
        <w:t xml:space="preserve"> and 40 patients</w:t>
      </w:r>
      <w:r w:rsidR="000A11C3" w:rsidRPr="00274EAE">
        <w:rPr>
          <w:rFonts w:ascii="Arial" w:hAnsi="Arial" w:cs="Arial"/>
          <w:bCs/>
          <w:sz w:val="24"/>
          <w:szCs w:val="24"/>
        </w:rPr>
        <w:t>) 1</w:t>
      </w:r>
      <w:r w:rsidR="00EE73AB">
        <w:rPr>
          <w:rFonts w:ascii="Arial" w:hAnsi="Arial" w:cs="Arial"/>
          <w:bCs/>
          <w:sz w:val="24"/>
          <w:szCs w:val="24"/>
        </w:rPr>
        <w:t>50</w:t>
      </w:r>
      <w:r w:rsidR="000A11C3" w:rsidRPr="00274EAE">
        <w:rPr>
          <w:rFonts w:ascii="Arial" w:hAnsi="Arial" w:cs="Arial"/>
          <w:bCs/>
          <w:sz w:val="24"/>
          <w:szCs w:val="24"/>
        </w:rPr>
        <w:t xml:space="preserve"> segments were not present, </w:t>
      </w:r>
      <w:r w:rsidR="002B2FF3" w:rsidRPr="00274EAE">
        <w:rPr>
          <w:rFonts w:ascii="Arial" w:hAnsi="Arial" w:cs="Arial"/>
          <w:bCs/>
          <w:sz w:val="24"/>
          <w:szCs w:val="24"/>
        </w:rPr>
        <w:t>leaving 5</w:t>
      </w:r>
      <w:r w:rsidR="00EE73AB">
        <w:rPr>
          <w:rFonts w:ascii="Arial" w:hAnsi="Arial" w:cs="Arial"/>
          <w:bCs/>
          <w:sz w:val="24"/>
          <w:szCs w:val="24"/>
        </w:rPr>
        <w:t>70</w:t>
      </w:r>
      <w:r w:rsidR="002B2FF3" w:rsidRPr="00274EAE">
        <w:rPr>
          <w:rFonts w:ascii="Arial" w:hAnsi="Arial" w:cs="Arial"/>
          <w:bCs/>
          <w:sz w:val="24"/>
          <w:szCs w:val="24"/>
        </w:rPr>
        <w:t xml:space="preserve"> scored segments </w:t>
      </w:r>
      <w:r w:rsidR="00484643" w:rsidRPr="00274EAE">
        <w:rPr>
          <w:rFonts w:ascii="Arial" w:hAnsi="Arial" w:cs="Arial"/>
          <w:bCs/>
          <w:sz w:val="24"/>
          <w:szCs w:val="24"/>
        </w:rPr>
        <w:t>on</w:t>
      </w:r>
      <w:r w:rsidR="002B2FF3" w:rsidRPr="00274EAE">
        <w:rPr>
          <w:rFonts w:ascii="Arial" w:hAnsi="Arial" w:cs="Arial"/>
          <w:bCs/>
          <w:sz w:val="24"/>
          <w:szCs w:val="24"/>
        </w:rPr>
        <w:t xml:space="preserve"> CTA analysis.  Of the</w:t>
      </w:r>
      <w:r w:rsidR="008D467A" w:rsidRPr="00274EAE">
        <w:rPr>
          <w:rFonts w:ascii="Arial" w:hAnsi="Arial" w:cs="Arial"/>
          <w:bCs/>
          <w:sz w:val="24"/>
          <w:szCs w:val="24"/>
        </w:rPr>
        <w:t xml:space="preserve"> 5</w:t>
      </w:r>
      <w:r w:rsidR="00EE73AB">
        <w:rPr>
          <w:rFonts w:ascii="Arial" w:hAnsi="Arial" w:cs="Arial"/>
          <w:bCs/>
          <w:sz w:val="24"/>
          <w:szCs w:val="24"/>
        </w:rPr>
        <w:t>70</w:t>
      </w:r>
      <w:r w:rsidR="002B2FF3" w:rsidRPr="00274EAE">
        <w:rPr>
          <w:rFonts w:ascii="Arial" w:hAnsi="Arial" w:cs="Arial"/>
          <w:bCs/>
          <w:sz w:val="24"/>
          <w:szCs w:val="24"/>
        </w:rPr>
        <w:t xml:space="preserve">, </w:t>
      </w:r>
      <w:r w:rsidR="00C1422A" w:rsidRPr="00274EAE">
        <w:rPr>
          <w:rFonts w:ascii="Arial" w:hAnsi="Arial" w:cs="Arial"/>
          <w:bCs/>
          <w:sz w:val="24"/>
          <w:szCs w:val="24"/>
        </w:rPr>
        <w:t xml:space="preserve">20 </w:t>
      </w:r>
      <w:r w:rsidR="002B2FF3" w:rsidRPr="00274EAE">
        <w:rPr>
          <w:rFonts w:ascii="Arial" w:hAnsi="Arial" w:cs="Arial"/>
          <w:bCs/>
          <w:sz w:val="24"/>
          <w:szCs w:val="24"/>
        </w:rPr>
        <w:t xml:space="preserve">were scored as obstructive due to being non-evaluable on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002B2FF3" w:rsidRPr="00274EAE">
        <w:rPr>
          <w:rFonts w:ascii="Arial" w:hAnsi="Arial" w:cs="Arial"/>
          <w:bCs/>
          <w:sz w:val="24"/>
          <w:szCs w:val="24"/>
        </w:rPr>
        <w:t xml:space="preserve">, and </w:t>
      </w:r>
      <w:r w:rsidR="00C1422A" w:rsidRPr="00274EAE">
        <w:rPr>
          <w:rFonts w:ascii="Arial" w:hAnsi="Arial" w:cs="Arial"/>
          <w:bCs/>
          <w:sz w:val="24"/>
          <w:szCs w:val="24"/>
        </w:rPr>
        <w:t xml:space="preserve">18 on </w:t>
      </w:r>
      <w:r w:rsidR="00870070" w:rsidRPr="00274EAE">
        <w:rPr>
          <w:rFonts w:ascii="Arial" w:hAnsi="Arial" w:cs="Arial"/>
          <w:bCs/>
          <w:sz w:val="24"/>
          <w:szCs w:val="24"/>
        </w:rPr>
        <w:t>CTA</w:t>
      </w:r>
      <w:r w:rsidR="00870070" w:rsidRPr="00274EAE">
        <w:rPr>
          <w:rFonts w:ascii="Arial" w:hAnsi="Arial" w:cs="Arial"/>
          <w:bCs/>
          <w:sz w:val="24"/>
          <w:szCs w:val="24"/>
          <w:vertAlign w:val="subscript"/>
        </w:rPr>
        <w:t>STAND</w:t>
      </w:r>
      <w:r w:rsidR="002B2FF3" w:rsidRPr="00274EAE">
        <w:rPr>
          <w:rFonts w:ascii="Arial" w:hAnsi="Arial" w:cs="Arial"/>
          <w:bCs/>
          <w:sz w:val="24"/>
          <w:szCs w:val="24"/>
        </w:rPr>
        <w:t>.</w:t>
      </w:r>
      <w:r w:rsidR="002C72BE" w:rsidRPr="00274EAE">
        <w:rPr>
          <w:rFonts w:ascii="Arial" w:hAnsi="Arial" w:cs="Arial"/>
          <w:bCs/>
          <w:sz w:val="24"/>
          <w:szCs w:val="24"/>
        </w:rPr>
        <w:t xml:space="preserve"> </w:t>
      </w:r>
      <w:r w:rsidR="00DA04A6" w:rsidRPr="00274EAE">
        <w:rPr>
          <w:rFonts w:ascii="Arial" w:hAnsi="Arial" w:cs="Arial"/>
          <w:bCs/>
          <w:sz w:val="24"/>
          <w:szCs w:val="24"/>
        </w:rPr>
        <w:t>2</w:t>
      </w:r>
      <w:r w:rsidR="002B2FF3" w:rsidRPr="00274EAE">
        <w:rPr>
          <w:rFonts w:ascii="Arial" w:hAnsi="Arial" w:cs="Arial"/>
          <w:bCs/>
          <w:sz w:val="24"/>
          <w:szCs w:val="24"/>
        </w:rPr>
        <w:t>2 segments were excluded from the final analysis as they lay distal to a complete obstruction</w:t>
      </w:r>
      <w:r w:rsidRPr="00274EAE">
        <w:rPr>
          <w:rFonts w:ascii="Arial" w:hAnsi="Arial" w:cs="Arial"/>
          <w:bCs/>
          <w:sz w:val="24"/>
          <w:szCs w:val="24"/>
        </w:rPr>
        <w:t xml:space="preserve"> on ICA.  This left </w:t>
      </w:r>
      <w:r w:rsidR="002B2FF3" w:rsidRPr="00274EAE">
        <w:rPr>
          <w:rFonts w:ascii="Arial" w:hAnsi="Arial" w:cs="Arial"/>
          <w:bCs/>
          <w:sz w:val="24"/>
          <w:szCs w:val="24"/>
        </w:rPr>
        <w:t>5</w:t>
      </w:r>
      <w:r w:rsidR="00EE73AB">
        <w:rPr>
          <w:rFonts w:ascii="Arial" w:hAnsi="Arial" w:cs="Arial"/>
          <w:bCs/>
          <w:sz w:val="24"/>
          <w:szCs w:val="24"/>
        </w:rPr>
        <w:t>4</w:t>
      </w:r>
      <w:r w:rsidR="00DA04A6" w:rsidRPr="00274EAE">
        <w:rPr>
          <w:rFonts w:ascii="Arial" w:hAnsi="Arial" w:cs="Arial"/>
          <w:bCs/>
          <w:sz w:val="24"/>
          <w:szCs w:val="24"/>
        </w:rPr>
        <w:t>8</w:t>
      </w:r>
      <w:r w:rsidR="002B2FF3" w:rsidRPr="00274EAE">
        <w:rPr>
          <w:rFonts w:ascii="Arial" w:hAnsi="Arial" w:cs="Arial"/>
          <w:bCs/>
          <w:sz w:val="24"/>
          <w:szCs w:val="24"/>
        </w:rPr>
        <w:t xml:space="preserve"> segments</w:t>
      </w:r>
      <w:r w:rsidRPr="00274EAE">
        <w:rPr>
          <w:rFonts w:ascii="Arial" w:hAnsi="Arial" w:cs="Arial"/>
          <w:bCs/>
          <w:sz w:val="24"/>
          <w:szCs w:val="24"/>
        </w:rPr>
        <w:t xml:space="preserve"> </w:t>
      </w:r>
      <w:r w:rsidR="002B2FF3" w:rsidRPr="00274EAE">
        <w:rPr>
          <w:rFonts w:ascii="Arial" w:hAnsi="Arial" w:cs="Arial"/>
          <w:bCs/>
          <w:sz w:val="24"/>
          <w:szCs w:val="24"/>
        </w:rPr>
        <w:t xml:space="preserve">in the final </w:t>
      </w:r>
      <w:r w:rsidR="00484643" w:rsidRPr="00274EAE">
        <w:rPr>
          <w:rFonts w:ascii="Arial" w:hAnsi="Arial" w:cs="Arial"/>
          <w:bCs/>
          <w:sz w:val="24"/>
          <w:szCs w:val="24"/>
        </w:rPr>
        <w:t xml:space="preserve">comparative </w:t>
      </w:r>
      <w:r w:rsidR="002B2FF3" w:rsidRPr="00274EAE">
        <w:rPr>
          <w:rFonts w:ascii="Arial" w:hAnsi="Arial" w:cs="Arial"/>
          <w:bCs/>
          <w:sz w:val="24"/>
          <w:szCs w:val="24"/>
        </w:rPr>
        <w:t xml:space="preserve">analysis. </w:t>
      </w:r>
    </w:p>
    <w:p w14:paraId="06F70CC4" w14:textId="664E27AE" w:rsidR="00DA2D36" w:rsidRDefault="002C72BE" w:rsidP="00252392">
      <w:pPr>
        <w:spacing w:line="360" w:lineRule="auto"/>
        <w:rPr>
          <w:rFonts w:ascii="Arial" w:hAnsi="Arial" w:cs="Arial"/>
          <w:bCs/>
          <w:sz w:val="24"/>
          <w:szCs w:val="24"/>
        </w:rPr>
      </w:pPr>
      <w:r w:rsidRPr="0060674E">
        <w:rPr>
          <w:rFonts w:ascii="Arial" w:hAnsi="Arial" w:cs="Arial"/>
          <w:bCs/>
          <w:sz w:val="24"/>
          <w:szCs w:val="24"/>
        </w:rPr>
        <w:t>The S</w:t>
      </w:r>
      <w:r w:rsidR="00DA2D36" w:rsidRPr="0060674E">
        <w:rPr>
          <w:rFonts w:ascii="Arial" w:hAnsi="Arial" w:cs="Arial"/>
          <w:bCs/>
          <w:sz w:val="24"/>
          <w:szCs w:val="24"/>
        </w:rPr>
        <w:t>ensitivity/Specificity/</w:t>
      </w:r>
      <w:r w:rsidR="00C9356F">
        <w:rPr>
          <w:rFonts w:ascii="Arial" w:hAnsi="Arial" w:cs="Arial"/>
          <w:bCs/>
          <w:sz w:val="24"/>
          <w:szCs w:val="24"/>
        </w:rPr>
        <w:t>Accuracy/</w:t>
      </w:r>
      <w:r w:rsidR="00DA2D36" w:rsidRPr="0060674E">
        <w:rPr>
          <w:rFonts w:ascii="Arial" w:hAnsi="Arial" w:cs="Arial"/>
          <w:bCs/>
          <w:sz w:val="24"/>
          <w:szCs w:val="24"/>
        </w:rPr>
        <w:t>PPV/NPV</w:t>
      </w:r>
      <w:r w:rsidRPr="0060674E">
        <w:rPr>
          <w:rFonts w:ascii="Arial" w:hAnsi="Arial" w:cs="Arial"/>
          <w:bCs/>
          <w:sz w:val="24"/>
          <w:szCs w:val="24"/>
        </w:rPr>
        <w:t xml:space="preserve"> were 6</w:t>
      </w:r>
      <w:r w:rsidR="00C71F44" w:rsidRPr="0060674E">
        <w:rPr>
          <w:rFonts w:ascii="Arial" w:hAnsi="Arial" w:cs="Arial"/>
          <w:bCs/>
          <w:sz w:val="24"/>
          <w:szCs w:val="24"/>
        </w:rPr>
        <w:t>5.9</w:t>
      </w:r>
      <w:r w:rsidRPr="0060674E">
        <w:rPr>
          <w:rFonts w:ascii="Arial" w:hAnsi="Arial" w:cs="Arial"/>
          <w:bCs/>
          <w:sz w:val="24"/>
          <w:szCs w:val="24"/>
        </w:rPr>
        <w:t>/8</w:t>
      </w:r>
      <w:r w:rsidR="00C71F44" w:rsidRPr="0060674E">
        <w:rPr>
          <w:rFonts w:ascii="Arial" w:hAnsi="Arial" w:cs="Arial"/>
          <w:bCs/>
          <w:sz w:val="24"/>
          <w:szCs w:val="24"/>
        </w:rPr>
        <w:t>4.9</w:t>
      </w:r>
      <w:r w:rsidRPr="0060674E">
        <w:rPr>
          <w:rFonts w:ascii="Arial" w:hAnsi="Arial" w:cs="Arial"/>
          <w:bCs/>
          <w:sz w:val="24"/>
          <w:szCs w:val="24"/>
        </w:rPr>
        <w:t>/</w:t>
      </w:r>
      <w:r w:rsidR="00C9356F">
        <w:rPr>
          <w:rFonts w:ascii="Arial" w:hAnsi="Arial" w:cs="Arial"/>
          <w:bCs/>
          <w:sz w:val="24"/>
          <w:szCs w:val="24"/>
        </w:rPr>
        <w:t>83.4/</w:t>
      </w:r>
      <w:r w:rsidRPr="0060674E">
        <w:rPr>
          <w:rFonts w:ascii="Arial" w:hAnsi="Arial" w:cs="Arial"/>
          <w:bCs/>
          <w:sz w:val="24"/>
          <w:szCs w:val="24"/>
        </w:rPr>
        <w:t>2</w:t>
      </w:r>
      <w:r w:rsidR="003A524B" w:rsidRPr="0060674E">
        <w:rPr>
          <w:rFonts w:ascii="Arial" w:hAnsi="Arial" w:cs="Arial"/>
          <w:bCs/>
          <w:sz w:val="24"/>
          <w:szCs w:val="24"/>
        </w:rPr>
        <w:t>7.6</w:t>
      </w:r>
      <w:r w:rsidRPr="0060674E">
        <w:rPr>
          <w:rFonts w:ascii="Arial" w:hAnsi="Arial" w:cs="Arial"/>
          <w:bCs/>
          <w:sz w:val="24"/>
          <w:szCs w:val="24"/>
        </w:rPr>
        <w:t>/96.</w:t>
      </w:r>
      <w:r w:rsidR="00C71F44" w:rsidRPr="0060674E">
        <w:rPr>
          <w:rFonts w:ascii="Arial" w:hAnsi="Arial" w:cs="Arial"/>
          <w:bCs/>
          <w:sz w:val="24"/>
          <w:szCs w:val="24"/>
        </w:rPr>
        <w:t>6</w:t>
      </w:r>
      <w:r w:rsidRPr="0060674E">
        <w:rPr>
          <w:rFonts w:ascii="Arial" w:hAnsi="Arial" w:cs="Arial"/>
          <w:bCs/>
          <w:sz w:val="24"/>
          <w:szCs w:val="24"/>
        </w:rPr>
        <w:t xml:space="preserve"> for </w:t>
      </w:r>
      <w:r w:rsidR="00870070" w:rsidRPr="0060674E">
        <w:rPr>
          <w:rFonts w:ascii="Arial" w:hAnsi="Arial" w:cs="Arial"/>
          <w:bCs/>
          <w:sz w:val="24"/>
          <w:szCs w:val="24"/>
        </w:rPr>
        <w:t>CTA</w:t>
      </w:r>
      <w:r w:rsidR="00870070" w:rsidRPr="0060674E">
        <w:rPr>
          <w:rFonts w:ascii="Arial" w:hAnsi="Arial" w:cs="Arial"/>
          <w:bCs/>
          <w:sz w:val="24"/>
          <w:szCs w:val="24"/>
          <w:vertAlign w:val="subscript"/>
        </w:rPr>
        <w:t>DEBLOOM</w:t>
      </w:r>
      <w:r w:rsidRPr="0060674E">
        <w:rPr>
          <w:rFonts w:ascii="Arial" w:hAnsi="Arial" w:cs="Arial"/>
          <w:bCs/>
          <w:sz w:val="24"/>
          <w:szCs w:val="24"/>
        </w:rPr>
        <w:t xml:space="preserve"> and </w:t>
      </w:r>
      <w:r w:rsidR="00DA2D36" w:rsidRPr="0060674E">
        <w:rPr>
          <w:rFonts w:ascii="Arial" w:hAnsi="Arial" w:cs="Arial"/>
          <w:bCs/>
          <w:sz w:val="24"/>
          <w:szCs w:val="24"/>
        </w:rPr>
        <w:t>75.0/81.</w:t>
      </w:r>
      <w:r w:rsidR="0060674E" w:rsidRPr="0060674E">
        <w:rPr>
          <w:rFonts w:ascii="Arial" w:hAnsi="Arial" w:cs="Arial"/>
          <w:bCs/>
          <w:sz w:val="24"/>
          <w:szCs w:val="24"/>
        </w:rPr>
        <w:t>9</w:t>
      </w:r>
      <w:r w:rsidR="00DA2D36" w:rsidRPr="0060674E">
        <w:rPr>
          <w:rFonts w:ascii="Arial" w:hAnsi="Arial" w:cs="Arial"/>
          <w:bCs/>
          <w:sz w:val="24"/>
          <w:szCs w:val="24"/>
        </w:rPr>
        <w:t>/</w:t>
      </w:r>
      <w:r w:rsidR="00C9356F">
        <w:rPr>
          <w:rFonts w:ascii="Arial" w:hAnsi="Arial" w:cs="Arial"/>
          <w:bCs/>
          <w:sz w:val="24"/>
          <w:szCs w:val="24"/>
        </w:rPr>
        <w:t>81.4/</w:t>
      </w:r>
      <w:r w:rsidR="00DA2D36" w:rsidRPr="0060674E">
        <w:rPr>
          <w:rFonts w:ascii="Arial" w:hAnsi="Arial" w:cs="Arial"/>
          <w:bCs/>
          <w:sz w:val="24"/>
          <w:szCs w:val="24"/>
        </w:rPr>
        <w:t>2</w:t>
      </w:r>
      <w:r w:rsidR="0060674E" w:rsidRPr="0060674E">
        <w:rPr>
          <w:rFonts w:ascii="Arial" w:hAnsi="Arial" w:cs="Arial"/>
          <w:bCs/>
          <w:sz w:val="24"/>
          <w:szCs w:val="24"/>
        </w:rPr>
        <w:t>6.6</w:t>
      </w:r>
      <w:r w:rsidR="00DA2D36" w:rsidRPr="0060674E">
        <w:rPr>
          <w:rFonts w:ascii="Arial" w:hAnsi="Arial" w:cs="Arial"/>
          <w:bCs/>
          <w:sz w:val="24"/>
          <w:szCs w:val="24"/>
        </w:rPr>
        <w:t>/97.</w:t>
      </w:r>
      <w:r w:rsidR="00C71F44" w:rsidRPr="0060674E">
        <w:rPr>
          <w:rFonts w:ascii="Arial" w:hAnsi="Arial" w:cs="Arial"/>
          <w:bCs/>
          <w:sz w:val="24"/>
          <w:szCs w:val="24"/>
        </w:rPr>
        <w:t>4</w:t>
      </w:r>
      <w:r w:rsidRPr="0060674E">
        <w:rPr>
          <w:rFonts w:ascii="Arial" w:hAnsi="Arial" w:cs="Arial"/>
          <w:bCs/>
          <w:sz w:val="24"/>
          <w:szCs w:val="24"/>
        </w:rPr>
        <w:t xml:space="preserve"> for CTA</w:t>
      </w:r>
      <w:r w:rsidRPr="0060674E">
        <w:rPr>
          <w:rFonts w:ascii="Arial" w:hAnsi="Arial" w:cs="Arial"/>
          <w:bCs/>
          <w:sz w:val="24"/>
          <w:szCs w:val="24"/>
          <w:vertAlign w:val="subscript"/>
        </w:rPr>
        <w:t>STAND</w:t>
      </w:r>
      <w:r w:rsidR="0063768F" w:rsidRPr="0060674E">
        <w:rPr>
          <w:rFonts w:ascii="Arial" w:hAnsi="Arial" w:cs="Arial"/>
          <w:bCs/>
          <w:sz w:val="24"/>
          <w:szCs w:val="24"/>
        </w:rPr>
        <w:t xml:space="preserve"> (Table 2)</w:t>
      </w:r>
      <w:r w:rsidRPr="0060674E">
        <w:rPr>
          <w:rFonts w:ascii="Arial" w:hAnsi="Arial" w:cs="Arial"/>
          <w:bCs/>
          <w:sz w:val="24"/>
          <w:szCs w:val="24"/>
        </w:rPr>
        <w:t>.</w:t>
      </w:r>
      <w:r w:rsidRPr="00274EAE">
        <w:rPr>
          <w:rFonts w:ascii="Arial" w:hAnsi="Arial" w:cs="Arial"/>
          <w:bCs/>
          <w:sz w:val="24"/>
          <w:szCs w:val="24"/>
        </w:rPr>
        <w:t xml:space="preserve">  </w:t>
      </w:r>
      <w:r w:rsidR="007A6663" w:rsidRPr="00274EAE">
        <w:rPr>
          <w:rFonts w:ascii="Arial" w:hAnsi="Arial" w:cs="Arial"/>
          <w:bCs/>
          <w:sz w:val="24"/>
          <w:szCs w:val="24"/>
        </w:rPr>
        <w:t>T</w:t>
      </w:r>
      <w:r w:rsidR="0063768F" w:rsidRPr="00274EAE">
        <w:rPr>
          <w:rFonts w:ascii="Arial" w:hAnsi="Arial" w:cs="Arial"/>
          <w:bCs/>
          <w:sz w:val="24"/>
          <w:szCs w:val="24"/>
        </w:rPr>
        <w:t xml:space="preserve">he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0063768F" w:rsidRPr="00274EAE">
        <w:rPr>
          <w:rFonts w:ascii="Arial" w:hAnsi="Arial" w:cs="Arial"/>
          <w:bCs/>
          <w:sz w:val="24"/>
          <w:szCs w:val="24"/>
        </w:rPr>
        <w:t xml:space="preserve"> </w:t>
      </w:r>
      <w:r w:rsidR="0063768F" w:rsidRPr="00274EAE">
        <w:rPr>
          <w:rFonts w:ascii="Arial" w:hAnsi="Arial" w:cs="Arial"/>
          <w:bCs/>
          <w:sz w:val="24"/>
          <w:szCs w:val="24"/>
        </w:rPr>
        <w:lastRenderedPageBreak/>
        <w:t>algorithm</w:t>
      </w:r>
      <w:r w:rsidR="007A6663" w:rsidRPr="00274EAE">
        <w:rPr>
          <w:rFonts w:ascii="Arial" w:hAnsi="Arial" w:cs="Arial"/>
          <w:bCs/>
          <w:sz w:val="24"/>
          <w:szCs w:val="24"/>
        </w:rPr>
        <w:t xml:space="preserve"> was significantly more specific</w:t>
      </w:r>
      <w:r w:rsidR="00067912" w:rsidRPr="00274EAE">
        <w:rPr>
          <w:rFonts w:ascii="Arial" w:hAnsi="Arial" w:cs="Arial"/>
          <w:bCs/>
          <w:sz w:val="24"/>
          <w:szCs w:val="24"/>
        </w:rPr>
        <w:t xml:space="preserve"> than </w:t>
      </w:r>
      <w:r w:rsidR="00870070" w:rsidRPr="00274EAE">
        <w:rPr>
          <w:rFonts w:ascii="Arial" w:hAnsi="Arial" w:cs="Arial"/>
          <w:bCs/>
          <w:sz w:val="24"/>
          <w:szCs w:val="24"/>
        </w:rPr>
        <w:t>CTA</w:t>
      </w:r>
      <w:r w:rsidR="00870070" w:rsidRPr="00274EAE">
        <w:rPr>
          <w:rFonts w:ascii="Arial" w:hAnsi="Arial" w:cs="Arial"/>
          <w:bCs/>
          <w:sz w:val="24"/>
          <w:szCs w:val="24"/>
          <w:vertAlign w:val="subscript"/>
        </w:rPr>
        <w:t>STAND</w:t>
      </w:r>
      <w:r w:rsidR="00067912" w:rsidRPr="00274EAE">
        <w:rPr>
          <w:rFonts w:ascii="Arial" w:hAnsi="Arial" w:cs="Arial"/>
          <w:bCs/>
          <w:sz w:val="24"/>
          <w:szCs w:val="24"/>
        </w:rPr>
        <w:t xml:space="preserve"> for the detection of significant coronary artery disease</w:t>
      </w:r>
      <w:r w:rsidR="007A6663" w:rsidRPr="00274EAE">
        <w:rPr>
          <w:rFonts w:ascii="Arial" w:hAnsi="Arial" w:cs="Arial"/>
          <w:bCs/>
          <w:sz w:val="24"/>
          <w:szCs w:val="24"/>
        </w:rPr>
        <w:t xml:space="preserve">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007A6663" w:rsidRPr="00274EAE">
        <w:rPr>
          <w:rFonts w:ascii="Arial" w:hAnsi="Arial" w:cs="Arial"/>
          <w:bCs/>
          <w:sz w:val="24"/>
          <w:szCs w:val="24"/>
        </w:rPr>
        <w:t xml:space="preserve"> </w:t>
      </w:r>
      <w:r w:rsidR="00C71F44">
        <w:rPr>
          <w:rFonts w:ascii="Arial" w:hAnsi="Arial" w:cs="Arial"/>
          <w:bCs/>
          <w:sz w:val="24"/>
          <w:szCs w:val="24"/>
        </w:rPr>
        <w:t>84.9</w:t>
      </w:r>
      <w:r w:rsidR="007A6663" w:rsidRPr="00274EAE">
        <w:rPr>
          <w:rFonts w:ascii="Arial" w:hAnsi="Arial" w:cs="Arial"/>
          <w:bCs/>
          <w:sz w:val="24"/>
          <w:szCs w:val="24"/>
        </w:rPr>
        <w:t xml:space="preserve">% vs. </w:t>
      </w:r>
      <w:r w:rsidR="00870070" w:rsidRPr="00274EAE">
        <w:rPr>
          <w:rFonts w:ascii="Arial" w:hAnsi="Arial" w:cs="Arial"/>
          <w:bCs/>
          <w:sz w:val="24"/>
          <w:szCs w:val="24"/>
        </w:rPr>
        <w:t>CTA</w:t>
      </w:r>
      <w:r w:rsidR="00870070" w:rsidRPr="00274EAE">
        <w:rPr>
          <w:rFonts w:ascii="Arial" w:hAnsi="Arial" w:cs="Arial"/>
          <w:bCs/>
          <w:sz w:val="24"/>
          <w:szCs w:val="24"/>
          <w:vertAlign w:val="subscript"/>
        </w:rPr>
        <w:t>STAND</w:t>
      </w:r>
      <w:r w:rsidR="007A6663" w:rsidRPr="00274EAE">
        <w:rPr>
          <w:rFonts w:ascii="Arial" w:hAnsi="Arial" w:cs="Arial"/>
          <w:bCs/>
          <w:sz w:val="24"/>
          <w:szCs w:val="24"/>
        </w:rPr>
        <w:t xml:space="preserve"> 81.</w:t>
      </w:r>
      <w:r w:rsidR="00C71F44">
        <w:rPr>
          <w:rFonts w:ascii="Arial" w:hAnsi="Arial" w:cs="Arial"/>
          <w:bCs/>
          <w:sz w:val="24"/>
          <w:szCs w:val="24"/>
        </w:rPr>
        <w:t>5</w:t>
      </w:r>
      <w:r w:rsidR="007A6663" w:rsidRPr="00274EAE">
        <w:rPr>
          <w:rFonts w:ascii="Arial" w:hAnsi="Arial" w:cs="Arial"/>
          <w:bCs/>
          <w:sz w:val="24"/>
          <w:szCs w:val="24"/>
        </w:rPr>
        <w:t>%, p=0.0</w:t>
      </w:r>
      <w:r w:rsidR="0060674E">
        <w:rPr>
          <w:rFonts w:ascii="Arial" w:hAnsi="Arial" w:cs="Arial"/>
          <w:bCs/>
          <w:sz w:val="24"/>
          <w:szCs w:val="24"/>
        </w:rPr>
        <w:t>3</w:t>
      </w:r>
      <w:r w:rsidR="007A6663" w:rsidRPr="00274EAE">
        <w:rPr>
          <w:rFonts w:ascii="Arial" w:hAnsi="Arial" w:cs="Arial"/>
          <w:bCs/>
          <w:sz w:val="24"/>
          <w:szCs w:val="24"/>
        </w:rPr>
        <w:t>)</w:t>
      </w:r>
      <w:r w:rsidR="00B240D8" w:rsidRPr="00274EAE">
        <w:rPr>
          <w:rFonts w:ascii="Arial" w:hAnsi="Arial" w:cs="Arial"/>
          <w:bCs/>
          <w:sz w:val="24"/>
          <w:szCs w:val="24"/>
        </w:rPr>
        <w:t>, with no significant difference between the algorithms in sensitivity (p=0.22)</w:t>
      </w:r>
      <w:r w:rsidR="0060674E">
        <w:rPr>
          <w:rFonts w:ascii="Arial" w:hAnsi="Arial" w:cs="Arial"/>
          <w:bCs/>
          <w:sz w:val="24"/>
          <w:szCs w:val="24"/>
        </w:rPr>
        <w:t>, or accuracy</w:t>
      </w:r>
      <w:r w:rsidR="00B240D8" w:rsidRPr="00274EAE">
        <w:rPr>
          <w:rFonts w:ascii="Arial" w:hAnsi="Arial" w:cs="Arial"/>
          <w:bCs/>
          <w:sz w:val="24"/>
          <w:szCs w:val="24"/>
        </w:rPr>
        <w:t xml:space="preserve"> (p= 0.</w:t>
      </w:r>
      <w:r w:rsidR="0060674E">
        <w:rPr>
          <w:rFonts w:ascii="Arial" w:hAnsi="Arial" w:cs="Arial"/>
          <w:bCs/>
          <w:sz w:val="24"/>
          <w:szCs w:val="24"/>
        </w:rPr>
        <w:t>15</w:t>
      </w:r>
      <w:r w:rsidR="00B240D8" w:rsidRPr="00274EAE">
        <w:rPr>
          <w:rFonts w:ascii="Arial" w:hAnsi="Arial" w:cs="Arial"/>
          <w:bCs/>
          <w:sz w:val="24"/>
          <w:szCs w:val="24"/>
        </w:rPr>
        <w:t xml:space="preserve">). </w:t>
      </w:r>
    </w:p>
    <w:p w14:paraId="1A64063A" w14:textId="5DB06E0E" w:rsidR="0045444C" w:rsidRDefault="00997148" w:rsidP="00252392">
      <w:pPr>
        <w:spacing w:line="360" w:lineRule="auto"/>
        <w:rPr>
          <w:rFonts w:ascii="Arial" w:hAnsi="Arial" w:cs="Arial"/>
          <w:bCs/>
          <w:sz w:val="24"/>
          <w:szCs w:val="24"/>
        </w:rPr>
      </w:pPr>
      <w:r>
        <w:rPr>
          <w:rFonts w:ascii="Arial" w:hAnsi="Arial" w:cs="Arial"/>
          <w:bCs/>
          <w:sz w:val="24"/>
          <w:szCs w:val="24"/>
        </w:rPr>
        <w:t xml:space="preserve">There was no significant change in these observations when </w:t>
      </w:r>
      <w:r w:rsidR="0045444C">
        <w:rPr>
          <w:rFonts w:ascii="Arial" w:hAnsi="Arial" w:cs="Arial"/>
          <w:bCs/>
          <w:sz w:val="24"/>
          <w:szCs w:val="24"/>
        </w:rPr>
        <w:t xml:space="preserve">a diameter stenosis threshold of </w:t>
      </w:r>
      <w:r>
        <w:rPr>
          <w:rFonts w:ascii="Arial" w:hAnsi="Arial" w:cs="Arial"/>
          <w:bCs/>
          <w:sz w:val="24"/>
          <w:szCs w:val="24"/>
        </w:rPr>
        <w:t>≥</w:t>
      </w:r>
      <w:r w:rsidR="0045444C">
        <w:rPr>
          <w:rFonts w:ascii="Arial" w:hAnsi="Arial" w:cs="Arial"/>
          <w:bCs/>
          <w:sz w:val="24"/>
          <w:szCs w:val="24"/>
        </w:rPr>
        <w:t>70% was considered obstructive</w:t>
      </w:r>
      <w:r>
        <w:rPr>
          <w:rFonts w:ascii="Arial" w:hAnsi="Arial" w:cs="Arial"/>
          <w:bCs/>
          <w:sz w:val="24"/>
          <w:szCs w:val="24"/>
        </w:rPr>
        <w:t>.  At this threshold,</w:t>
      </w:r>
      <w:r w:rsidR="0045444C">
        <w:rPr>
          <w:rFonts w:ascii="Arial" w:hAnsi="Arial" w:cs="Arial"/>
          <w:bCs/>
          <w:sz w:val="24"/>
          <w:szCs w:val="24"/>
        </w:rPr>
        <w:t xml:space="preserve"> t</w:t>
      </w:r>
      <w:r w:rsidR="0045444C" w:rsidRPr="0060674E">
        <w:rPr>
          <w:rFonts w:ascii="Arial" w:hAnsi="Arial" w:cs="Arial"/>
          <w:bCs/>
          <w:sz w:val="24"/>
          <w:szCs w:val="24"/>
        </w:rPr>
        <w:t>he Sensitivity/Specificity/</w:t>
      </w:r>
      <w:r w:rsidR="00C9356F">
        <w:rPr>
          <w:rFonts w:ascii="Arial" w:hAnsi="Arial" w:cs="Arial"/>
          <w:bCs/>
          <w:sz w:val="24"/>
          <w:szCs w:val="24"/>
        </w:rPr>
        <w:t>Accuracy/</w:t>
      </w:r>
      <w:r w:rsidR="0045444C" w:rsidRPr="0060674E">
        <w:rPr>
          <w:rFonts w:ascii="Arial" w:hAnsi="Arial" w:cs="Arial"/>
          <w:bCs/>
          <w:sz w:val="24"/>
          <w:szCs w:val="24"/>
        </w:rPr>
        <w:t xml:space="preserve">PPV/NPV were </w:t>
      </w:r>
      <w:r w:rsidR="0045444C">
        <w:rPr>
          <w:rFonts w:ascii="Arial" w:hAnsi="Arial" w:cs="Arial"/>
          <w:bCs/>
          <w:sz w:val="24"/>
          <w:szCs w:val="24"/>
        </w:rPr>
        <w:t>61.5</w:t>
      </w:r>
      <w:r w:rsidR="0045444C" w:rsidRPr="0060674E">
        <w:rPr>
          <w:rFonts w:ascii="Arial" w:hAnsi="Arial" w:cs="Arial"/>
          <w:bCs/>
          <w:sz w:val="24"/>
          <w:szCs w:val="24"/>
        </w:rPr>
        <w:t>/</w:t>
      </w:r>
      <w:r w:rsidR="0045444C">
        <w:rPr>
          <w:rFonts w:ascii="Arial" w:hAnsi="Arial" w:cs="Arial"/>
          <w:bCs/>
          <w:sz w:val="24"/>
          <w:szCs w:val="24"/>
        </w:rPr>
        <w:t>92.0</w:t>
      </w:r>
      <w:r w:rsidR="0045444C" w:rsidRPr="0060674E">
        <w:rPr>
          <w:rFonts w:ascii="Arial" w:hAnsi="Arial" w:cs="Arial"/>
          <w:bCs/>
          <w:sz w:val="24"/>
          <w:szCs w:val="24"/>
        </w:rPr>
        <w:t>/</w:t>
      </w:r>
      <w:r w:rsidR="00C9356F">
        <w:rPr>
          <w:rFonts w:ascii="Arial" w:hAnsi="Arial" w:cs="Arial"/>
          <w:bCs/>
          <w:sz w:val="24"/>
          <w:szCs w:val="24"/>
        </w:rPr>
        <w:t>90.5/</w:t>
      </w:r>
      <w:r w:rsidR="0045444C" w:rsidRPr="0060674E">
        <w:rPr>
          <w:rFonts w:ascii="Arial" w:hAnsi="Arial" w:cs="Arial"/>
          <w:bCs/>
          <w:sz w:val="24"/>
          <w:szCs w:val="24"/>
        </w:rPr>
        <w:t>27.6/</w:t>
      </w:r>
      <w:r w:rsidR="0045444C">
        <w:rPr>
          <w:rFonts w:ascii="Arial" w:hAnsi="Arial" w:cs="Arial"/>
          <w:bCs/>
          <w:sz w:val="24"/>
          <w:szCs w:val="24"/>
        </w:rPr>
        <w:t>98.0</w:t>
      </w:r>
      <w:r w:rsidR="0045444C" w:rsidRPr="0060674E">
        <w:rPr>
          <w:rFonts w:ascii="Arial" w:hAnsi="Arial" w:cs="Arial"/>
          <w:bCs/>
          <w:sz w:val="24"/>
          <w:szCs w:val="24"/>
        </w:rPr>
        <w:t xml:space="preserve"> for CTA</w:t>
      </w:r>
      <w:r w:rsidR="0045444C" w:rsidRPr="0060674E">
        <w:rPr>
          <w:rFonts w:ascii="Arial" w:hAnsi="Arial" w:cs="Arial"/>
          <w:bCs/>
          <w:sz w:val="24"/>
          <w:szCs w:val="24"/>
          <w:vertAlign w:val="subscript"/>
        </w:rPr>
        <w:t>DEBLOOM</w:t>
      </w:r>
      <w:r w:rsidR="0045444C" w:rsidRPr="0060674E">
        <w:rPr>
          <w:rFonts w:ascii="Arial" w:hAnsi="Arial" w:cs="Arial"/>
          <w:bCs/>
          <w:sz w:val="24"/>
          <w:szCs w:val="24"/>
        </w:rPr>
        <w:t xml:space="preserve"> and </w:t>
      </w:r>
      <w:r w:rsidR="0045444C">
        <w:rPr>
          <w:rFonts w:ascii="Arial" w:hAnsi="Arial" w:cs="Arial"/>
          <w:bCs/>
          <w:sz w:val="24"/>
          <w:szCs w:val="24"/>
        </w:rPr>
        <w:t>69.2</w:t>
      </w:r>
      <w:r w:rsidR="0045444C" w:rsidRPr="0060674E">
        <w:rPr>
          <w:rFonts w:ascii="Arial" w:hAnsi="Arial" w:cs="Arial"/>
          <w:bCs/>
          <w:sz w:val="24"/>
          <w:szCs w:val="24"/>
        </w:rPr>
        <w:t>/</w:t>
      </w:r>
      <w:r w:rsidR="0045444C">
        <w:rPr>
          <w:rFonts w:ascii="Arial" w:hAnsi="Arial" w:cs="Arial"/>
          <w:bCs/>
          <w:sz w:val="24"/>
          <w:szCs w:val="24"/>
        </w:rPr>
        <w:t>89.3</w:t>
      </w:r>
      <w:r w:rsidR="0045444C" w:rsidRPr="0060674E">
        <w:rPr>
          <w:rFonts w:ascii="Arial" w:hAnsi="Arial" w:cs="Arial"/>
          <w:bCs/>
          <w:sz w:val="24"/>
          <w:szCs w:val="24"/>
        </w:rPr>
        <w:t>/</w:t>
      </w:r>
      <w:r w:rsidR="00C9356F">
        <w:rPr>
          <w:rFonts w:ascii="Arial" w:hAnsi="Arial" w:cs="Arial"/>
          <w:bCs/>
          <w:sz w:val="24"/>
          <w:szCs w:val="24"/>
        </w:rPr>
        <w:t>88.4/</w:t>
      </w:r>
      <w:r w:rsidR="0045444C">
        <w:rPr>
          <w:rFonts w:ascii="Arial" w:hAnsi="Arial" w:cs="Arial"/>
          <w:bCs/>
          <w:sz w:val="24"/>
          <w:szCs w:val="24"/>
        </w:rPr>
        <w:t>24.3</w:t>
      </w:r>
      <w:r w:rsidR="0045444C" w:rsidRPr="0060674E">
        <w:rPr>
          <w:rFonts w:ascii="Arial" w:hAnsi="Arial" w:cs="Arial"/>
          <w:bCs/>
          <w:sz w:val="24"/>
          <w:szCs w:val="24"/>
        </w:rPr>
        <w:t>/9</w:t>
      </w:r>
      <w:r w:rsidR="0045444C">
        <w:rPr>
          <w:rFonts w:ascii="Arial" w:hAnsi="Arial" w:cs="Arial"/>
          <w:bCs/>
          <w:sz w:val="24"/>
          <w:szCs w:val="24"/>
        </w:rPr>
        <w:t>8</w:t>
      </w:r>
      <w:r w:rsidR="0045444C" w:rsidRPr="0060674E">
        <w:rPr>
          <w:rFonts w:ascii="Arial" w:hAnsi="Arial" w:cs="Arial"/>
          <w:bCs/>
          <w:sz w:val="24"/>
          <w:szCs w:val="24"/>
        </w:rPr>
        <w:t>.4 for CTA</w:t>
      </w:r>
      <w:r w:rsidR="0045444C" w:rsidRPr="0060674E">
        <w:rPr>
          <w:rFonts w:ascii="Arial" w:hAnsi="Arial" w:cs="Arial"/>
          <w:bCs/>
          <w:sz w:val="24"/>
          <w:szCs w:val="24"/>
          <w:vertAlign w:val="subscript"/>
        </w:rPr>
        <w:t>STAND</w:t>
      </w:r>
      <w:r w:rsidR="0045444C" w:rsidRPr="0060674E">
        <w:rPr>
          <w:rFonts w:ascii="Arial" w:hAnsi="Arial" w:cs="Arial"/>
          <w:bCs/>
          <w:sz w:val="24"/>
          <w:szCs w:val="24"/>
        </w:rPr>
        <w:t>.</w:t>
      </w:r>
      <w:r w:rsidR="0045444C" w:rsidRPr="00274EAE">
        <w:rPr>
          <w:rFonts w:ascii="Arial" w:hAnsi="Arial" w:cs="Arial"/>
          <w:bCs/>
          <w:sz w:val="24"/>
          <w:szCs w:val="24"/>
        </w:rPr>
        <w:t xml:space="preserve">  The CTA</w:t>
      </w:r>
      <w:r w:rsidR="0045444C" w:rsidRPr="00274EAE">
        <w:rPr>
          <w:rFonts w:ascii="Arial" w:hAnsi="Arial" w:cs="Arial"/>
          <w:bCs/>
          <w:sz w:val="24"/>
          <w:szCs w:val="24"/>
          <w:vertAlign w:val="subscript"/>
        </w:rPr>
        <w:t>DEBLOOM</w:t>
      </w:r>
      <w:r w:rsidR="0045444C" w:rsidRPr="00274EAE">
        <w:rPr>
          <w:rFonts w:ascii="Arial" w:hAnsi="Arial" w:cs="Arial"/>
          <w:bCs/>
          <w:sz w:val="24"/>
          <w:szCs w:val="24"/>
        </w:rPr>
        <w:t xml:space="preserve"> algorithm was significantly more specific than CTA</w:t>
      </w:r>
      <w:r w:rsidR="0045444C" w:rsidRPr="00274EAE">
        <w:rPr>
          <w:rFonts w:ascii="Arial" w:hAnsi="Arial" w:cs="Arial"/>
          <w:bCs/>
          <w:sz w:val="24"/>
          <w:szCs w:val="24"/>
          <w:vertAlign w:val="subscript"/>
        </w:rPr>
        <w:t>STAND</w:t>
      </w:r>
      <w:r w:rsidR="0045444C" w:rsidRPr="00274EAE">
        <w:rPr>
          <w:rFonts w:ascii="Arial" w:hAnsi="Arial" w:cs="Arial"/>
          <w:bCs/>
          <w:sz w:val="24"/>
          <w:szCs w:val="24"/>
        </w:rPr>
        <w:t xml:space="preserve"> for the detection of significant coronary artery disease (CTA</w:t>
      </w:r>
      <w:r w:rsidR="0045444C" w:rsidRPr="00274EAE">
        <w:rPr>
          <w:rFonts w:ascii="Arial" w:hAnsi="Arial" w:cs="Arial"/>
          <w:bCs/>
          <w:sz w:val="24"/>
          <w:szCs w:val="24"/>
          <w:vertAlign w:val="subscript"/>
        </w:rPr>
        <w:t>DEBLOOM</w:t>
      </w:r>
      <w:r w:rsidR="0045444C" w:rsidRPr="00274EAE">
        <w:rPr>
          <w:rFonts w:ascii="Arial" w:hAnsi="Arial" w:cs="Arial"/>
          <w:bCs/>
          <w:sz w:val="24"/>
          <w:szCs w:val="24"/>
        </w:rPr>
        <w:t xml:space="preserve"> </w:t>
      </w:r>
      <w:r>
        <w:rPr>
          <w:rFonts w:ascii="Arial" w:hAnsi="Arial" w:cs="Arial"/>
          <w:bCs/>
          <w:sz w:val="24"/>
          <w:szCs w:val="24"/>
        </w:rPr>
        <w:t>92.0</w:t>
      </w:r>
      <w:r w:rsidR="0045444C" w:rsidRPr="00274EAE">
        <w:rPr>
          <w:rFonts w:ascii="Arial" w:hAnsi="Arial" w:cs="Arial"/>
          <w:bCs/>
          <w:sz w:val="24"/>
          <w:szCs w:val="24"/>
        </w:rPr>
        <w:t>% vs. CTA</w:t>
      </w:r>
      <w:r w:rsidR="0045444C" w:rsidRPr="00274EAE">
        <w:rPr>
          <w:rFonts w:ascii="Arial" w:hAnsi="Arial" w:cs="Arial"/>
          <w:bCs/>
          <w:sz w:val="24"/>
          <w:szCs w:val="24"/>
          <w:vertAlign w:val="subscript"/>
        </w:rPr>
        <w:t>STAND</w:t>
      </w:r>
      <w:r w:rsidR="0045444C" w:rsidRPr="00274EAE">
        <w:rPr>
          <w:rFonts w:ascii="Arial" w:hAnsi="Arial" w:cs="Arial"/>
          <w:bCs/>
          <w:sz w:val="24"/>
          <w:szCs w:val="24"/>
        </w:rPr>
        <w:t xml:space="preserve"> </w:t>
      </w:r>
      <w:r>
        <w:rPr>
          <w:rFonts w:ascii="Arial" w:hAnsi="Arial" w:cs="Arial"/>
          <w:bCs/>
          <w:sz w:val="24"/>
          <w:szCs w:val="24"/>
        </w:rPr>
        <w:t>89.3</w:t>
      </w:r>
      <w:r w:rsidR="0045444C" w:rsidRPr="00274EAE">
        <w:rPr>
          <w:rFonts w:ascii="Arial" w:hAnsi="Arial" w:cs="Arial"/>
          <w:bCs/>
          <w:sz w:val="24"/>
          <w:szCs w:val="24"/>
        </w:rPr>
        <w:t>%, p=0.0</w:t>
      </w:r>
      <w:r w:rsidR="0045444C">
        <w:rPr>
          <w:rFonts w:ascii="Arial" w:hAnsi="Arial" w:cs="Arial"/>
          <w:bCs/>
          <w:sz w:val="24"/>
          <w:szCs w:val="24"/>
        </w:rPr>
        <w:t>3</w:t>
      </w:r>
      <w:r w:rsidR="0045444C" w:rsidRPr="00274EAE">
        <w:rPr>
          <w:rFonts w:ascii="Arial" w:hAnsi="Arial" w:cs="Arial"/>
          <w:bCs/>
          <w:sz w:val="24"/>
          <w:szCs w:val="24"/>
        </w:rPr>
        <w:t>), with no significant difference between the algorithms in sensitivity (p=0.</w:t>
      </w:r>
      <w:r w:rsidR="0045444C">
        <w:rPr>
          <w:rFonts w:ascii="Arial" w:hAnsi="Arial" w:cs="Arial"/>
          <w:bCs/>
          <w:sz w:val="24"/>
          <w:szCs w:val="24"/>
        </w:rPr>
        <w:t>63</w:t>
      </w:r>
      <w:r w:rsidR="0045444C" w:rsidRPr="00274EAE">
        <w:rPr>
          <w:rFonts w:ascii="Arial" w:hAnsi="Arial" w:cs="Arial"/>
          <w:bCs/>
          <w:sz w:val="24"/>
          <w:szCs w:val="24"/>
        </w:rPr>
        <w:t>)</w:t>
      </w:r>
      <w:r w:rsidR="0045444C">
        <w:rPr>
          <w:rFonts w:ascii="Arial" w:hAnsi="Arial" w:cs="Arial"/>
          <w:bCs/>
          <w:sz w:val="24"/>
          <w:szCs w:val="24"/>
        </w:rPr>
        <w:t>, or accuracy</w:t>
      </w:r>
      <w:r w:rsidR="0045444C" w:rsidRPr="00274EAE">
        <w:rPr>
          <w:rFonts w:ascii="Arial" w:hAnsi="Arial" w:cs="Arial"/>
          <w:bCs/>
          <w:sz w:val="24"/>
          <w:szCs w:val="24"/>
        </w:rPr>
        <w:t xml:space="preserve"> (p= 0.</w:t>
      </w:r>
      <w:r>
        <w:rPr>
          <w:rFonts w:ascii="Arial" w:hAnsi="Arial" w:cs="Arial"/>
          <w:bCs/>
          <w:sz w:val="24"/>
          <w:szCs w:val="24"/>
        </w:rPr>
        <w:t>07</w:t>
      </w:r>
      <w:r w:rsidR="0045444C" w:rsidRPr="00274EAE">
        <w:rPr>
          <w:rFonts w:ascii="Arial" w:hAnsi="Arial" w:cs="Arial"/>
          <w:bCs/>
          <w:sz w:val="24"/>
          <w:szCs w:val="24"/>
        </w:rPr>
        <w:t xml:space="preserve">). </w:t>
      </w:r>
    </w:p>
    <w:p w14:paraId="298AB879" w14:textId="77777777" w:rsidR="0045444C" w:rsidRDefault="0045444C" w:rsidP="00252392">
      <w:pPr>
        <w:spacing w:line="360" w:lineRule="auto"/>
        <w:rPr>
          <w:rFonts w:ascii="Arial" w:hAnsi="Arial" w:cs="Arial"/>
          <w:bCs/>
          <w:sz w:val="24"/>
          <w:szCs w:val="24"/>
        </w:rPr>
      </w:pPr>
    </w:p>
    <w:p w14:paraId="7C099077" w14:textId="0A4F916D" w:rsidR="00CF2BBA" w:rsidRPr="00274EAE" w:rsidRDefault="00A25B7E" w:rsidP="00252392">
      <w:pPr>
        <w:spacing w:line="360" w:lineRule="auto"/>
        <w:rPr>
          <w:rFonts w:ascii="Arial" w:hAnsi="Arial" w:cs="Arial"/>
          <w:b/>
          <w:sz w:val="24"/>
          <w:szCs w:val="24"/>
        </w:rPr>
      </w:pPr>
      <w:r w:rsidRPr="00274EAE">
        <w:rPr>
          <w:rFonts w:ascii="Arial" w:hAnsi="Arial" w:cs="Arial"/>
          <w:b/>
          <w:sz w:val="24"/>
          <w:szCs w:val="24"/>
        </w:rPr>
        <w:t>Per Vessel</w:t>
      </w:r>
      <w:r w:rsidR="009A2F88" w:rsidRPr="00274EAE">
        <w:rPr>
          <w:rFonts w:ascii="Arial" w:hAnsi="Arial" w:cs="Arial"/>
          <w:b/>
          <w:sz w:val="24"/>
          <w:szCs w:val="24"/>
        </w:rPr>
        <w:t xml:space="preserve"> a</w:t>
      </w:r>
      <w:r w:rsidR="00724A33" w:rsidRPr="00274EAE">
        <w:rPr>
          <w:rFonts w:ascii="Arial" w:hAnsi="Arial" w:cs="Arial"/>
          <w:b/>
          <w:sz w:val="24"/>
          <w:szCs w:val="24"/>
        </w:rPr>
        <w:t>nalysis</w:t>
      </w:r>
    </w:p>
    <w:p w14:paraId="6B3A0D35" w14:textId="19F80507" w:rsidR="006665F8" w:rsidRPr="00274EAE" w:rsidRDefault="006665F8" w:rsidP="00252392">
      <w:pPr>
        <w:spacing w:line="360" w:lineRule="auto"/>
        <w:rPr>
          <w:rFonts w:ascii="Arial" w:hAnsi="Arial" w:cs="Arial"/>
          <w:bCs/>
          <w:sz w:val="24"/>
          <w:szCs w:val="24"/>
        </w:rPr>
      </w:pPr>
      <w:r w:rsidRPr="00274EAE">
        <w:rPr>
          <w:rFonts w:ascii="Arial" w:hAnsi="Arial" w:cs="Arial"/>
          <w:bCs/>
          <w:sz w:val="24"/>
          <w:szCs w:val="24"/>
        </w:rPr>
        <w:t xml:space="preserve">120 vessels were included in the analysis with none excluded.  The Sensitivity/Specificity/PPV/NPV were 86.8/64.6/53.2/91.4 for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Pr="00274EAE">
        <w:rPr>
          <w:rFonts w:ascii="Arial" w:hAnsi="Arial" w:cs="Arial"/>
          <w:bCs/>
          <w:sz w:val="24"/>
          <w:szCs w:val="24"/>
        </w:rPr>
        <w:t xml:space="preserve"> and 92.1/59.8/51.5/94.2</w:t>
      </w:r>
      <w:r w:rsidR="00196686" w:rsidRPr="00274EAE">
        <w:rPr>
          <w:rFonts w:ascii="Arial" w:hAnsi="Arial" w:cs="Arial"/>
          <w:bCs/>
          <w:sz w:val="24"/>
          <w:szCs w:val="24"/>
        </w:rPr>
        <w:t xml:space="preserve"> </w:t>
      </w:r>
      <w:r w:rsidRPr="00274EAE">
        <w:rPr>
          <w:rFonts w:ascii="Arial" w:hAnsi="Arial" w:cs="Arial"/>
          <w:bCs/>
          <w:sz w:val="24"/>
          <w:szCs w:val="24"/>
        </w:rPr>
        <w:t xml:space="preserve">for </w:t>
      </w:r>
      <w:r w:rsidR="00870070" w:rsidRPr="00274EAE">
        <w:rPr>
          <w:rFonts w:ascii="Arial" w:hAnsi="Arial" w:cs="Arial"/>
          <w:bCs/>
          <w:sz w:val="24"/>
          <w:szCs w:val="24"/>
        </w:rPr>
        <w:t>CTA</w:t>
      </w:r>
      <w:r w:rsidR="00870070" w:rsidRPr="00274EAE">
        <w:rPr>
          <w:rFonts w:ascii="Arial" w:hAnsi="Arial" w:cs="Arial"/>
          <w:bCs/>
          <w:sz w:val="24"/>
          <w:szCs w:val="24"/>
          <w:vertAlign w:val="subscript"/>
        </w:rPr>
        <w:t>STAND</w:t>
      </w:r>
      <w:r w:rsidRPr="00274EAE">
        <w:rPr>
          <w:rFonts w:ascii="Arial" w:hAnsi="Arial" w:cs="Arial"/>
          <w:bCs/>
          <w:sz w:val="24"/>
          <w:szCs w:val="24"/>
        </w:rPr>
        <w:t xml:space="preserve"> (Table 2). </w:t>
      </w:r>
      <w:r w:rsidR="00F638A7" w:rsidRPr="00274EAE">
        <w:rPr>
          <w:rFonts w:ascii="Arial" w:hAnsi="Arial" w:cs="Arial"/>
          <w:bCs/>
          <w:sz w:val="24"/>
          <w:szCs w:val="24"/>
        </w:rPr>
        <w:t>At a vessel level analysis there was no</w:t>
      </w:r>
      <w:r w:rsidRPr="00274EAE">
        <w:rPr>
          <w:rFonts w:ascii="Arial" w:hAnsi="Arial" w:cs="Arial"/>
          <w:bCs/>
          <w:sz w:val="24"/>
          <w:szCs w:val="24"/>
        </w:rPr>
        <w:t xml:space="preserve"> </w:t>
      </w:r>
      <w:r w:rsidR="00F638A7" w:rsidRPr="00274EAE">
        <w:rPr>
          <w:rFonts w:ascii="Arial" w:hAnsi="Arial" w:cs="Arial"/>
          <w:bCs/>
          <w:sz w:val="24"/>
          <w:szCs w:val="24"/>
        </w:rPr>
        <w:t xml:space="preserve">statistically significant </w:t>
      </w:r>
      <w:r w:rsidRPr="00274EAE">
        <w:rPr>
          <w:rFonts w:ascii="Arial" w:hAnsi="Arial" w:cs="Arial"/>
          <w:bCs/>
          <w:sz w:val="24"/>
          <w:szCs w:val="24"/>
        </w:rPr>
        <w:t>difference between the algorithms in sensitivity (p=0.50),</w:t>
      </w:r>
      <w:r w:rsidR="00F638A7" w:rsidRPr="00274EAE">
        <w:rPr>
          <w:rFonts w:ascii="Arial" w:hAnsi="Arial" w:cs="Arial"/>
          <w:bCs/>
          <w:sz w:val="24"/>
          <w:szCs w:val="24"/>
        </w:rPr>
        <w:t xml:space="preserve"> specificity (p=0.42)</w:t>
      </w:r>
      <w:r w:rsidRPr="00274EAE">
        <w:rPr>
          <w:rFonts w:ascii="Arial" w:hAnsi="Arial" w:cs="Arial"/>
          <w:bCs/>
          <w:sz w:val="24"/>
          <w:szCs w:val="24"/>
        </w:rPr>
        <w:t xml:space="preserve"> or overall accuracy (p= 0.80).</w:t>
      </w:r>
    </w:p>
    <w:p w14:paraId="6077D6F5" w14:textId="77777777" w:rsidR="00F638A7" w:rsidRPr="00274EAE" w:rsidRDefault="00F638A7" w:rsidP="00252392">
      <w:pPr>
        <w:spacing w:line="360" w:lineRule="auto"/>
        <w:rPr>
          <w:rFonts w:ascii="Arial" w:hAnsi="Arial" w:cs="Arial"/>
          <w:sz w:val="24"/>
          <w:szCs w:val="24"/>
        </w:rPr>
      </w:pPr>
    </w:p>
    <w:p w14:paraId="7E6E032F" w14:textId="0F2A6107" w:rsidR="00DA2D36" w:rsidRPr="00274EAE" w:rsidRDefault="00DA2D36" w:rsidP="00252392">
      <w:pPr>
        <w:spacing w:line="360" w:lineRule="auto"/>
        <w:rPr>
          <w:rFonts w:ascii="Arial" w:hAnsi="Arial" w:cs="Arial"/>
          <w:b/>
          <w:sz w:val="24"/>
          <w:szCs w:val="24"/>
        </w:rPr>
      </w:pPr>
      <w:r w:rsidRPr="00274EAE">
        <w:rPr>
          <w:rFonts w:ascii="Arial" w:hAnsi="Arial" w:cs="Arial"/>
          <w:b/>
          <w:sz w:val="24"/>
          <w:szCs w:val="24"/>
        </w:rPr>
        <w:t>Per P</w:t>
      </w:r>
      <w:r w:rsidR="00FF690C">
        <w:rPr>
          <w:rFonts w:ascii="Arial" w:hAnsi="Arial" w:cs="Arial"/>
          <w:b/>
          <w:sz w:val="24"/>
          <w:szCs w:val="24"/>
        </w:rPr>
        <w:t>atient</w:t>
      </w:r>
      <w:r w:rsidRPr="00274EAE">
        <w:rPr>
          <w:rFonts w:ascii="Arial" w:hAnsi="Arial" w:cs="Arial"/>
          <w:b/>
          <w:sz w:val="24"/>
          <w:szCs w:val="24"/>
        </w:rPr>
        <w:t xml:space="preserve"> analysis </w:t>
      </w:r>
    </w:p>
    <w:p w14:paraId="6EAFC064" w14:textId="65087BA6" w:rsidR="00196686" w:rsidRPr="00274EAE" w:rsidRDefault="00196686" w:rsidP="00252392">
      <w:pPr>
        <w:spacing w:line="360" w:lineRule="auto"/>
        <w:rPr>
          <w:rFonts w:ascii="Arial" w:hAnsi="Arial" w:cs="Arial"/>
          <w:bCs/>
          <w:sz w:val="24"/>
          <w:szCs w:val="24"/>
        </w:rPr>
      </w:pPr>
      <w:r w:rsidRPr="00274EAE">
        <w:rPr>
          <w:rFonts w:ascii="Arial" w:hAnsi="Arial" w:cs="Arial"/>
          <w:bCs/>
          <w:sz w:val="24"/>
          <w:szCs w:val="24"/>
        </w:rPr>
        <w:t xml:space="preserve">All 40 participants were included in the analysis with none excluded.  The Sensitivity/Specificity/PPV/NPV were 88.9/23.1/70.6/50 for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Pr="00274EAE">
        <w:rPr>
          <w:rFonts w:ascii="Arial" w:hAnsi="Arial" w:cs="Arial"/>
          <w:bCs/>
          <w:sz w:val="24"/>
          <w:szCs w:val="24"/>
        </w:rPr>
        <w:t xml:space="preserve"> and 100/23.1/73.0/100 for CTASTAND (Table 2). At a participant level analysis there was no statistically significant difference between the algorithms in sensitivity (p=0.25), specificity (p=1.0) or overall accuracy (p= 0.25).</w:t>
      </w:r>
    </w:p>
    <w:p w14:paraId="3F6A7DE5" w14:textId="77777777" w:rsidR="004B050C" w:rsidRPr="00274EAE" w:rsidRDefault="004B050C" w:rsidP="00252392">
      <w:pPr>
        <w:spacing w:line="360" w:lineRule="auto"/>
        <w:rPr>
          <w:rFonts w:ascii="Arial" w:hAnsi="Arial" w:cs="Arial"/>
          <w:sz w:val="24"/>
          <w:szCs w:val="24"/>
        </w:rPr>
      </w:pPr>
    </w:p>
    <w:p w14:paraId="13529B5A" w14:textId="6F45D1D5" w:rsidR="00D95DAB" w:rsidRPr="00274EAE" w:rsidRDefault="003E5428" w:rsidP="00252392">
      <w:pPr>
        <w:spacing w:line="360" w:lineRule="auto"/>
        <w:rPr>
          <w:rFonts w:ascii="Arial" w:hAnsi="Arial" w:cs="Arial"/>
          <w:b/>
          <w:bCs/>
          <w:sz w:val="24"/>
          <w:szCs w:val="24"/>
        </w:rPr>
      </w:pPr>
      <w:r w:rsidRPr="00274EAE">
        <w:rPr>
          <w:rFonts w:ascii="Arial" w:hAnsi="Arial" w:cs="Arial"/>
          <w:b/>
          <w:bCs/>
          <w:sz w:val="24"/>
          <w:szCs w:val="24"/>
        </w:rPr>
        <w:t>Agreement</w:t>
      </w:r>
    </w:p>
    <w:p w14:paraId="402033A5" w14:textId="6CFD008F" w:rsidR="007422D3" w:rsidRPr="00274EAE" w:rsidRDefault="00E739F0" w:rsidP="00252392">
      <w:pPr>
        <w:spacing w:line="360" w:lineRule="auto"/>
        <w:rPr>
          <w:rFonts w:ascii="Arial" w:hAnsi="Arial" w:cs="Arial"/>
          <w:bCs/>
          <w:sz w:val="24"/>
          <w:szCs w:val="24"/>
        </w:rPr>
      </w:pPr>
      <w:r w:rsidRPr="00274EAE">
        <w:rPr>
          <w:rFonts w:ascii="Arial" w:hAnsi="Arial" w:cs="Arial"/>
          <w:bCs/>
          <w:sz w:val="24"/>
          <w:szCs w:val="24"/>
        </w:rPr>
        <w:lastRenderedPageBreak/>
        <w:t xml:space="preserve">Interobserver per segment agreement was fair using both </w:t>
      </w:r>
      <w:r w:rsidR="00870070" w:rsidRPr="00274EAE">
        <w:rPr>
          <w:rFonts w:ascii="Arial" w:hAnsi="Arial" w:cs="Arial"/>
          <w:bCs/>
          <w:sz w:val="24"/>
          <w:szCs w:val="24"/>
        </w:rPr>
        <w:t>CTA</w:t>
      </w:r>
      <w:r w:rsidR="00870070" w:rsidRPr="00274EAE">
        <w:rPr>
          <w:rFonts w:ascii="Arial" w:hAnsi="Arial" w:cs="Arial"/>
          <w:bCs/>
          <w:sz w:val="24"/>
          <w:szCs w:val="24"/>
          <w:vertAlign w:val="subscript"/>
        </w:rPr>
        <w:t>DEBLOOM</w:t>
      </w:r>
      <w:r w:rsidRPr="00274EAE">
        <w:rPr>
          <w:rFonts w:ascii="Arial" w:hAnsi="Arial" w:cs="Arial"/>
          <w:bCs/>
          <w:sz w:val="24"/>
          <w:szCs w:val="24"/>
        </w:rPr>
        <w:t xml:space="preserve"> (Kappa = 0.38 (SE = 0.04)), and for CTA</w:t>
      </w:r>
      <w:r w:rsidRPr="00274EAE">
        <w:rPr>
          <w:rFonts w:ascii="Arial" w:hAnsi="Arial" w:cs="Arial"/>
          <w:bCs/>
          <w:sz w:val="24"/>
          <w:szCs w:val="24"/>
          <w:vertAlign w:val="subscript"/>
        </w:rPr>
        <w:t>STAND</w:t>
      </w:r>
      <w:r w:rsidRPr="00274EAE">
        <w:rPr>
          <w:rFonts w:ascii="Arial" w:hAnsi="Arial" w:cs="Arial"/>
          <w:bCs/>
          <w:sz w:val="24"/>
          <w:szCs w:val="24"/>
        </w:rPr>
        <w:t xml:space="preserve"> (Kappa = 0.37 (SE = 0.04)). </w:t>
      </w:r>
    </w:p>
    <w:p w14:paraId="281D4190" w14:textId="77777777" w:rsidR="00B05361" w:rsidRPr="00274EAE" w:rsidRDefault="00B05361" w:rsidP="00252392">
      <w:pPr>
        <w:spacing w:line="360" w:lineRule="auto"/>
        <w:rPr>
          <w:rFonts w:ascii="Arial" w:hAnsi="Arial" w:cs="Arial"/>
          <w:b/>
          <w:bCs/>
          <w:sz w:val="24"/>
          <w:szCs w:val="24"/>
        </w:rPr>
      </w:pPr>
    </w:p>
    <w:p w14:paraId="015EBE44" w14:textId="5F33FE15" w:rsidR="00F33FF8" w:rsidRPr="00274EAE" w:rsidRDefault="00F33FF8" w:rsidP="00252392">
      <w:pPr>
        <w:spacing w:line="360" w:lineRule="auto"/>
        <w:rPr>
          <w:rFonts w:ascii="Arial" w:hAnsi="Arial" w:cs="Arial"/>
          <w:b/>
          <w:bCs/>
          <w:sz w:val="24"/>
          <w:szCs w:val="24"/>
        </w:rPr>
      </w:pPr>
      <w:r w:rsidRPr="00274EAE">
        <w:rPr>
          <w:rFonts w:ascii="Arial" w:hAnsi="Arial" w:cs="Arial"/>
          <w:b/>
          <w:bCs/>
          <w:sz w:val="24"/>
          <w:szCs w:val="24"/>
        </w:rPr>
        <w:t>Discussion</w:t>
      </w:r>
    </w:p>
    <w:p w14:paraId="1EC378CD" w14:textId="5EDC235B" w:rsidR="000E5570" w:rsidRPr="00274EAE" w:rsidRDefault="00B93551" w:rsidP="00252392">
      <w:pPr>
        <w:spacing w:line="360" w:lineRule="auto"/>
        <w:rPr>
          <w:rFonts w:ascii="Arial" w:hAnsi="Arial" w:cs="Arial"/>
          <w:bCs/>
          <w:sz w:val="24"/>
          <w:szCs w:val="24"/>
        </w:rPr>
      </w:pPr>
      <w:r w:rsidRPr="00274EAE">
        <w:rPr>
          <w:rFonts w:ascii="Arial" w:hAnsi="Arial" w:cs="Arial"/>
          <w:bCs/>
          <w:sz w:val="24"/>
          <w:szCs w:val="24"/>
        </w:rPr>
        <w:t xml:space="preserve">This study provides proof of concept of the feasibility of </w:t>
      </w:r>
      <w:r w:rsidR="000E5570" w:rsidRPr="00274EAE">
        <w:rPr>
          <w:rFonts w:ascii="Arial" w:hAnsi="Arial" w:cs="Arial"/>
          <w:bCs/>
          <w:sz w:val="24"/>
          <w:szCs w:val="24"/>
        </w:rPr>
        <w:t>the</w:t>
      </w:r>
      <w:r w:rsidRPr="00274EAE">
        <w:rPr>
          <w:rFonts w:ascii="Arial" w:hAnsi="Arial" w:cs="Arial"/>
          <w:bCs/>
          <w:sz w:val="24"/>
          <w:szCs w:val="24"/>
        </w:rPr>
        <w:t xml:space="preserve"> </w:t>
      </w:r>
      <w:proofErr w:type="spellStart"/>
      <w:r w:rsidRPr="00274EAE">
        <w:rPr>
          <w:rFonts w:ascii="Arial" w:hAnsi="Arial" w:cs="Arial"/>
          <w:bCs/>
          <w:sz w:val="24"/>
          <w:szCs w:val="24"/>
        </w:rPr>
        <w:t>deblooming</w:t>
      </w:r>
      <w:proofErr w:type="spellEnd"/>
      <w:r w:rsidRPr="00274EAE">
        <w:rPr>
          <w:rFonts w:ascii="Arial" w:hAnsi="Arial" w:cs="Arial"/>
          <w:bCs/>
          <w:sz w:val="24"/>
          <w:szCs w:val="24"/>
        </w:rPr>
        <w:t xml:space="preserve"> algorithm</w:t>
      </w:r>
      <w:r w:rsidR="000E5570" w:rsidRPr="00274EAE">
        <w:rPr>
          <w:rFonts w:ascii="Arial" w:hAnsi="Arial" w:cs="Arial"/>
          <w:bCs/>
          <w:sz w:val="24"/>
          <w:szCs w:val="24"/>
        </w:rPr>
        <w:t>, with u</w:t>
      </w:r>
      <w:r w:rsidRPr="00274EAE">
        <w:rPr>
          <w:rFonts w:ascii="Arial" w:hAnsi="Arial" w:cs="Arial"/>
          <w:bCs/>
          <w:sz w:val="24"/>
          <w:szCs w:val="24"/>
        </w:rPr>
        <w:t>se of the algorithm result</w:t>
      </w:r>
      <w:r w:rsidR="000E5570" w:rsidRPr="00274EAE">
        <w:rPr>
          <w:rFonts w:ascii="Arial" w:hAnsi="Arial" w:cs="Arial"/>
          <w:bCs/>
          <w:sz w:val="24"/>
          <w:szCs w:val="24"/>
        </w:rPr>
        <w:t>ing</w:t>
      </w:r>
      <w:r w:rsidRPr="00274EAE">
        <w:rPr>
          <w:rFonts w:ascii="Arial" w:hAnsi="Arial" w:cs="Arial"/>
          <w:bCs/>
          <w:sz w:val="24"/>
          <w:szCs w:val="24"/>
        </w:rPr>
        <w:t xml:space="preserve"> in a significant reduction in the presence of calcium blooming artifact, with a resultant </w:t>
      </w:r>
      <w:r w:rsidR="000E5570" w:rsidRPr="00274EAE">
        <w:rPr>
          <w:rFonts w:ascii="Arial" w:hAnsi="Arial" w:cs="Arial"/>
          <w:bCs/>
          <w:sz w:val="24"/>
          <w:szCs w:val="24"/>
        </w:rPr>
        <w:t xml:space="preserve">improvement in the specificity of the </w:t>
      </w:r>
      <w:r w:rsidR="008A03B8" w:rsidRPr="00274EAE">
        <w:rPr>
          <w:rFonts w:ascii="Arial" w:hAnsi="Arial" w:cs="Arial"/>
          <w:bCs/>
          <w:sz w:val="24"/>
          <w:szCs w:val="24"/>
        </w:rPr>
        <w:t xml:space="preserve">CTA </w:t>
      </w:r>
      <w:r w:rsidR="000E5570" w:rsidRPr="00274EAE">
        <w:rPr>
          <w:rFonts w:ascii="Arial" w:hAnsi="Arial" w:cs="Arial"/>
          <w:bCs/>
          <w:sz w:val="24"/>
          <w:szCs w:val="24"/>
        </w:rPr>
        <w:t>analysis.</w:t>
      </w:r>
      <w:r w:rsidR="00997148">
        <w:rPr>
          <w:rFonts w:ascii="Arial" w:hAnsi="Arial" w:cs="Arial"/>
          <w:bCs/>
          <w:sz w:val="24"/>
          <w:szCs w:val="24"/>
        </w:rPr>
        <w:t xml:space="preserve"> These results remained robust to whether a stenosis of 50% or 70% was considered obstructive.</w:t>
      </w:r>
      <w:r w:rsidR="000E5570" w:rsidRPr="00274EAE">
        <w:rPr>
          <w:rFonts w:ascii="Arial" w:hAnsi="Arial" w:cs="Arial"/>
          <w:bCs/>
          <w:sz w:val="24"/>
          <w:szCs w:val="24"/>
        </w:rPr>
        <w:t xml:space="preserve">  </w:t>
      </w:r>
    </w:p>
    <w:p w14:paraId="0ABA9275" w14:textId="77777777" w:rsidR="000E5570" w:rsidRPr="00274EAE" w:rsidRDefault="000E5570" w:rsidP="00252392">
      <w:pPr>
        <w:spacing w:line="360" w:lineRule="auto"/>
        <w:rPr>
          <w:rFonts w:ascii="Arial" w:hAnsi="Arial" w:cs="Arial"/>
          <w:bCs/>
          <w:sz w:val="24"/>
          <w:szCs w:val="24"/>
        </w:rPr>
      </w:pPr>
    </w:p>
    <w:p w14:paraId="7259B829" w14:textId="5DD6F3EE" w:rsidR="00265E81" w:rsidRPr="00274EAE" w:rsidRDefault="0026786D" w:rsidP="00252392">
      <w:pPr>
        <w:spacing w:line="360" w:lineRule="auto"/>
        <w:rPr>
          <w:rFonts w:ascii="Arial" w:hAnsi="Arial" w:cs="Arial"/>
          <w:bCs/>
          <w:sz w:val="24"/>
          <w:szCs w:val="24"/>
        </w:rPr>
      </w:pPr>
      <w:r w:rsidRPr="00274EAE">
        <w:rPr>
          <w:rFonts w:ascii="Arial" w:hAnsi="Arial" w:cs="Arial"/>
          <w:bCs/>
          <w:sz w:val="24"/>
          <w:szCs w:val="24"/>
        </w:rPr>
        <w:t>Multiple studies have documented the negative impact of coronary artery calcium scoring on the accuracy of CTA.</w:t>
      </w:r>
      <w:r w:rsidR="005016B7" w:rsidRPr="00274EAE">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{"citationItems":[{"id":"ITEM-1","itemData":{"DOI":"10.1148/radiol.11110537/-/DC1","ISSN":"1527-1315 (Electronic)","PMID":"21828192","abstract":"PURPOSE: To evaluate the influence of cross-sectional arc calcification on the diagnostic accuracy of computed tomography (CT) angiography compared with conventional coronary angiography for the detection of obstructive coronary artery disease (CAD). MATERIALS AND METHODS: Institutional Review Board approval and written informed consent were obtained from all centers and participants for this HIPAA-compliant study. Overall, 4511 segments from 371 symptomatic patients (279 men, 92 women; median age, 61 years [interquartile range, 53-67 years]) with clinical suspicion of CAD from the CORE-64 multicenter study were included in the analysis. Two independent blinded observers evaluated the percentage of diameter stenosis and the circumferential extent of calcium (arc calcium). The accuracy of quantitative multidetector CT angiography to depict substantial (&gt;/= 50%) stenoses was assessed by using quantitative coronary angiography (QCA). Cross-sectional arc calcium was rated on a segment level as follows: noncalcified or mild (&lt; 90 degrees ), moderate (90 degrees -180 degrees ), or severe (&gt; 180 degrees ) calcification. Univariable and multivariable logistic regression, receiver operation characteristic curve, and clustering methods were used for statistical analyses. RESULTS: A total of 1099 segments had mild calcification, 503 had moderate calcification, 338 had severe calcification, and 2571 segments were noncalcified. Calcified segments were highly associated (P &lt; .001) with disagreement between CTA and QCA in multivariable analysis after controlling for sex, age, heart rate, and image quality. The prevalence of CAD was 5.4% in noncalcified segments, 15.0% in mildly calcified segments, 27.0% in moderately calcified segments, and 43.0% in severely calcified segments. A significant difference was found in area under the receiver operating characteristic curves (noncalcified: 0.86, mildly calcified: 0.85, moderately calcified: 0.82, severely calcified: 0.81; P &lt; .05). CONCLUSION: In a symptomatic patient population, segment-based coronary artery calcification significantly decreased agreement between multidetector CT angiography and QCA to detect a coronary stenosis of at least 50%.","author":[{"dropping-particle":"","family":"Dewey","given":"Marc","non-dropping-particle":"","parse-names":false,"suffix":""},{"dropping-particle":"","family":"Clouse","given":"Melvin E","non-dropping-particle":"","parse-names":false,"suffix":""},{"dropping-particle":"","family":"Bush","given":"David E","non-dropping-particle":"","parse-names":false,"suffix":""},{"dropping-particle":"","family":"Hoe","given":"John W M","non-dropping-particle":"","parse-names":false,"suffix":""},{"dropping-particle":"","family":"Miller","given":"Julie M","non-dropping-particle":"","parse-names":false,"suffix":""}],"container-title":"Radiology","id":"ITEM-1","issue":"1","issued":{"date-parts":[["2011"]]},"page":"100-108","title":"Coronary Artery Stenoses : Accuracy of 64 – Detector Row CT Angiography in Segments with Mild , Subanalysis of the CORE-64 Trial 1 Methods : Results :","type":"article-journal","volume":"261"},"uris":["http://www.mendeley.com/documents/?uuid=28abd4ab-a804-4bc4-a711-02d4fa333a0c"]},{"id":"ITEM-2","itemData":{"DOI":"10.1016/j.ahj.2005.12.027","ISBN":"1097-6744 (Electronic)\\n0002-8703 (Linking)","ISSN":"00028703","PMID":"16781246","abstract":"Background: The new 64-row multidetector computed tomography (CT)-assisted angiography can now detect coronary artery disease with shorter breath-hold time and at faster heart rates for symptomatic patients. We aim to determine if the 64-row scanner can also overcome limitations due to mild to moderate calcification. Methods: Scheduled for conventional coronary angiography, 134 symptomatic patients underwent multidetector CT-assisted angiography within 3 months. Patients were divided into those with low or high calcium score (m</w:instrText>
      </w:r>
      <w:r w:rsidR="00CB191B">
        <w:rPr>
          <w:rFonts w:ascii="Arial" w:hAnsi="Arial" w:cs="Arial" w:hint="eastAsia"/>
          <w:bCs/>
          <w:sz w:val="24"/>
          <w:szCs w:val="24"/>
        </w:rPr>
        <w:instrText xml:space="preserve">edian score 142) by modified Agatston formula: group A calcium score &lt;142 Agatston score (68 patients, mean age 53 years, heart rate 62 beat/min) and group B calcium score </w:instrText>
      </w:r>
      <w:r w:rsidR="00CB191B">
        <w:rPr>
          <w:rFonts w:ascii="Arial" w:hAnsi="Arial" w:cs="Arial" w:hint="eastAsia"/>
          <w:bCs/>
          <w:sz w:val="24"/>
          <w:szCs w:val="24"/>
        </w:rPr>
        <w:instrText>≥</w:instrText>
      </w:r>
      <w:r w:rsidR="00CB191B">
        <w:rPr>
          <w:rFonts w:ascii="Arial" w:hAnsi="Arial" w:cs="Arial" w:hint="eastAsia"/>
          <w:bCs/>
          <w:sz w:val="24"/>
          <w:szCs w:val="24"/>
        </w:rPr>
        <w:instrText>142 Agatston score (66 patients, mean age 57 years, heart rate 62 beat/min). Eleve</w:instrText>
      </w:r>
      <w:r w:rsidR="00CB191B">
        <w:rPr>
          <w:rFonts w:ascii="Arial" w:hAnsi="Arial" w:cs="Arial"/>
          <w:bCs/>
          <w:sz w:val="24"/>
          <w:szCs w:val="24"/>
        </w:rPr>
        <w:instrText>n major coronary segments were evaluated. Results: In group A, 93.6% of segments were evaluable with 97.3% correlation. Segment-by-segment analyses for sensitivity, specificity, and positive and negative predictive values were 85.4%, 98.1%, 76.7%, and 99.2%, respectively. For group B, 86.9% of segments were evaluable with 90.5% correlation. Sensitivity, specificity, and positive and negative predictive values were 79.9%, 92.8%, 78.8%, and 93.5%, respectively. Conclusions: The 64-slice multidetector CT coronary angiography can reliably detect the presence of significant coronary stenosis in symptomatic patients with mild calcification, but remains limited by moderate to heavy calcification. © 2006 Mosby, Inc. All rights reserved.","author":[{"dropping-particle":"","family":"Ong","given":"Tiong Kiam","non-dropping-particle":"","parse-names":false,"suffix":""},{"dropping-particle":"","family":"Chin","given":"Sze Piaw","non-dropping-particle":"","parse-names":false,"suffix":""},{"dropping-particle":"","family":"Liew","given":"Chee Khoon","non-dropping-particle":"","parse-names":false,"suffix":""},{"dropping-particle":"","family":"Chan","given":"Wei Ling","non-dropping-particle":"","parse-names":false,"suffix":""},{"dropping-particle":"","family":"Seyfarth","given":"M. Tobias","non-dropping-particle":"","parse-names":false,"suffix":""},{"dropping-particle":"","family":"Liew","given":"Houng Bang","non-dropping-particle":"","parse-names":false,"suffix":""},{"dropping-particle":"","family":"Rapaee","given":"Annuar","non-dropping-particle":"","parse-names":false,"suffix":""},{"dropping-particle":"","family":"Fong","given":"Yean Yip Alan","non-dropping-particle":"","parse-names":false,"suffix":""},{"dropping-particle":"","family":"Ang","given":"Choon Kiat","non-dropping-particle":"","parse-names":false,"suffix":""},{"dropping-particle":"","family":"Sim","given":"Kui Hian","non-dropping-particle":"","parse-names":false,"suffix":""}],"container-title":"American Heart Journal","id":"ITEM-2","issue":"6","issued":{"date-parts":[["2006"]]},"page":"4-9","title":"Accuracy of 64-row multidetector computed tomography in detecting coronary artery disease in 134 symptomatic patients: Influence of calcification","type":"article-journal","volume":"151"},"uris":["http://www.mendeley.com/documents/?uuid=96c5e980-dd30-4578-87bc-44782d33e7be"]},{"id":"ITEM-3","itemData":{"DOI":"10.1007/s00330-009-1398-2","ISBN":"0033000913","ISSN":"09387994","PMID":"19387651","abstract":"We sought to investigate the performance of 64-slice CT in symptomatic patients with different coronary calcium scores. Two hundred patients undergoing 64-slice CT coronary angiography for suspected coronary artery disease were enrolled into five groups based on Agatston calcium score using the Mayo Clinic risk stratification: group 1: score 0, group 2: score 1-10, group 3: score 11-100, group 4: score 101-400, and group 5: score &gt; 401. Diagnostic accuracy for the detection of significant (&gt;/=50% lumen reduction) coronary artery stenosis was assessed on a per-segment and per-patient base using quantitative coronary angiography as the gold standard. For groups 1 through 5, sensitivity was 97, 96, 91, 90, 92%, and specificity was 99, 98, 96, 88, 90%, respectively, on a per-segment basis. On a per-patient basis, the best diagnostic performance was obtained in group 1 (sensitivity 100% and specificity 100%) and group 5 (sensitivity 95% and specificity 100%). Progressively higher coronary calcium levels affect diagnostic accuracy of CT coronary angiography, decreasing sensitivity and specificity on a per-segment base. On a per-patient base, the best results in terms of diagnostic accuracy were obtained in the populations with very low and very high cardiovascular risk.","author":[{"dropping-particle":"","family":"Palumbo","given":"Anselmo Alessandro","non-dropping-particle":"","parse-names":false,"suffix":""},{"dropping-particle":"","family":"Maffei","given":"Erica","non-dropping-particle":"","parse-names":false,"suffix":""},{"dropping-particle":"","family":"Martini","given":"Chiara","non-dropping-particle":"","parse-names":false,"suffix":""},{"dropping-particle":"","family":"Tarantini","given":"Giuseppe","non-dropping-particle":"","parse-names":false,"suffix":""},{"dropping-particle":"","family":"Tanna","given":"Gian Luca","non-dropping-particle":"Di","parse-names":false,"suffix":""},{"dropping-particle":"","family":"Berti","given":"Elena","non-dropping-particle":"","parse-names":false,"suffix":""},{"dropping-particle":"","family":"Grilli","given":"Roberto","non-dropping-particle":"","parse-names":false,"suffix":""},{"dropping-particle":"","family":"Casolo","given":"Giancarlo","non-dropping-particle":"","parse-names":false,"suffix":""},{"dropping-particle":"","family":"Brambilla","given":"Valerio","non-dropping-particle":"","parse-names":false,"suffix":""},{"dropping-particle":"","family":"Cerrato","given":"Marcella","non-dropping-particle":"","parse-names":false,"suffix":""},{"dropping-particle":"","family":"Rotondo","given":"Antonio","non-dropping-particle":"","parse-names":false,"suffix":""},{"dropping-particle":"","family":"Weustink","given":"Annick C.","non-dropping-particle":"","parse-names":false,"suffix":""},{"dropping-particle":"","family":"Mollet","given":"Nico R.A.","non-dropping-particle":"","parse-names":false,"suffix":""},{"dropping-particle":"","family":"Cademartiri","given":"Filippo","non-dropping-particle":"","parse-names":false,"suffix":""}],"container-title":"European Radiology","id":"ITEM-3","issue":"9","issued":{"date-parts":[["2009"]]},"page":"2127-2135","title":"Coronary calcium score as gatekeeper for 64-slice computed tomography coronary angiography in patients with chest pain: Per-segment and per-patient analysis","type":"article-journal","volume":"19"},"uris":["http://www.mendeley.com/documents/?uuid=1357be96-c572-4c61-8355-22374c97eae6"]},{"id":"ITEM-4","itemData":{"DOI":"http://dx.doi.org/10.1097/RCT.0b013e318282d61c","ISBN":"1532-3145","ISSN":"1532-3145","PMID":"23674010","abstract":"PURPOSE: We assessed the accuracy of coronary computed tomography angiography (CTA) in patients with an Agatston calcium score (ACS) of greater than 400 by comparing it with invasive coronary angiography (ICA), and we evaluated the predictive value of CTA for obstructive coronary heart disease (CHD) compared with traditional clinical risk assessment. METHODS: A total of 253 patients who had an ACS of greater than 400 were enrolled in this study. The degree of coronary stenosis was visually and quantitatively estimated by postprocessing imaging using 15-segment coronary models. All patients underwent ICA after a mean (SD) of 34 (24) days, and the degree of coronary stenosis was compared with the results of CTA. RESULTS: Computed tomography angiography accurately diagnosed significant stenosis in 204 (99.0%) of 206 patients and in 649 (83.5%) of 777 segments. When the patients were considered based on their ACS (group A, 400 &lt; ACS &lt; 1000, vs group B, ACS &gt; 1000), group B showed lower specificity (9.1% vs 41.7%) and poorer agreement (k = 0.149 vs 0.495) than for ICA. By segment-based analysis, the agreement between CTA and ICA was good (k = 0.729), and there was no significant difference between groups A (k = 0.728) and B (k = 0.727). Computed tomography angiography was the most powerful predictor (odds ratio = 52.645, P &lt; 0.001), whereas the 10-year CHD risk and pretest probability were not significantly correlated with obstructive CHD. CONCLUSIONS: Despite good overall diagnostic accuracy, coronary CTA in this group of patients was limited by low specificity. However, CTA was a better predictor of obstructive CHD compared with clinical predictors, and it avoided unnecessary ICA, even in patients with extensive coronary artery calcification.","author":[{"dropping-particle":"","family":"Ahn","given":"S J","non-dropping-particle":"","parse-names":false,"suffix":""},{"dropping-particle":"","family":"Kang","given":"D K","non-dropping-particle":"","parse-names":false,"suffix":""},{"dropping-particle":"","family":"Sun","given":"J S","non-dropping-particle":"","parse-names":false,"suffix":""},{"dropping-particle":"","family":"Yoon","given":"M H","non-dropping-particle":"","parse-names":false,"suffix":""}],"container-title":"Journal of Computer Assisted Tomography","id":"ITEM-4","issue":"3","issued":{"date-parts":[["2013"]]},"page":"387-394","title":"Accuracy and predictive value of coronary computed tomography angiography for the detection of obstructive coronary heart disease in patients with an agatston calcium score above 400","type":"article-journal","volume":"37"},"uris":["http://www.mendeley.com/documents/?uuid=c59b1e2c-d755-4c2f-8b4e-95a3eca74939"]},{"id":"ITEM-5","itemData":{"DOI":"10.1371/journal.pone.0154852","ISSN":"1932-6203","abstract":"Purpose","author":[{"dropping-particle":"","family":"Qi","given":"Liang","non-dropping-particle":"","parse-names":false,"suffix":""},{"dropping-particle":"","family":"Tang","given":"Li-Jun","non-dropping-particle":"","parse-names":false,"suffix":""},{"dropping-particle":"","family":"Xu","given":"Yi","non-dropping-particle":"","parse-names":false,"suffix":""},{"dropping-particle":"","family":"Zhu","given":"Xiao-Mei","non-dropping-particle":"","parse-names":false,"suffix":""},{"dropping-particle":"","family":"Zhang","given":"Yu-Dong","non-dropping-particle":"","parse-names":false,"suffix":""},{"dropping-particle":"","family":"Shi","given":"Hai-Bin","non-dropping-particle":"","parse-names":false,"suffix":""},{"dropping-particle":"","family":"Yu","given":"Rong-Bin","non-dropping-particle":"","parse-names":false,"suffix":""}],"container-title":"Plos One","id":"ITEM-5","issue":"5","issued":{"date-parts":[["2016"]]},"page":"e0154852","title":"The Diagnostic Performance of Coronary CT Angiography for the Assessment of Coronary Stenosis in Calcified Plaque","type":"article-journal","volume":"11"},"uris":["http://www.mendeley.com/documents/?uuid=4804afd2-b507-4e79-b49d-2f6910421bec"]}],"mendeley":{"formattedCitation":"&lt;sup&gt;14–18&lt;/sup&gt;","plainTextFormattedCitation":"14–18","previouslyFormattedCitation":"&lt;sup&gt;14–18&lt;/sup&gt;"},"properties":{"noteIndex":0},"schema":"https://github.com/citation-style-language/schema/raw/master/csl-citation.json"}</w:instrText>
      </w:r>
      <w:r w:rsidR="005016B7" w:rsidRPr="00274EAE">
        <w:rPr>
          <w:rFonts w:ascii="Arial" w:hAnsi="Arial" w:cs="Arial"/>
          <w:bCs/>
          <w:sz w:val="24"/>
          <w:szCs w:val="24"/>
        </w:rPr>
        <w:fldChar w:fldCharType="separate"/>
      </w:r>
      <w:r w:rsidR="00CB191B" w:rsidRPr="00CB191B">
        <w:rPr>
          <w:rFonts w:ascii="Arial" w:hAnsi="Arial" w:cs="Arial"/>
          <w:bCs/>
          <w:noProof/>
          <w:sz w:val="24"/>
          <w:szCs w:val="24"/>
          <w:vertAlign w:val="superscript"/>
        </w:rPr>
        <w:t>14–18</w:t>
      </w:r>
      <w:r w:rsidR="005016B7" w:rsidRPr="00274EAE">
        <w:rPr>
          <w:rFonts w:ascii="Arial" w:hAnsi="Arial" w:cs="Arial"/>
          <w:bCs/>
          <w:sz w:val="24"/>
          <w:szCs w:val="24"/>
        </w:rPr>
        <w:fldChar w:fldCharType="end"/>
      </w:r>
      <w:r w:rsidR="000E5570" w:rsidRPr="00274EAE">
        <w:rPr>
          <w:rFonts w:ascii="Arial" w:hAnsi="Arial" w:cs="Arial"/>
          <w:bCs/>
          <w:sz w:val="24"/>
          <w:szCs w:val="24"/>
        </w:rPr>
        <w:t xml:space="preserve"> </w:t>
      </w:r>
      <w:r w:rsidR="005016B7" w:rsidRPr="00274EAE">
        <w:rPr>
          <w:rFonts w:ascii="Arial" w:hAnsi="Arial" w:cs="Arial"/>
          <w:bCs/>
          <w:sz w:val="24"/>
          <w:szCs w:val="24"/>
        </w:rPr>
        <w:t>Coronary artery calcification is impactful in two manners: first it reduces the ability to accurately visualize the lumen and second the presence of severe coronary artery calcification is a marker of an increased pretest probability of having a significant stenosis.</w:t>
      </w:r>
      <w:r w:rsidR="005016B7" w:rsidRPr="00274EAE">
        <w:rPr>
          <w:rFonts w:ascii="Arial" w:hAnsi="Arial" w:cs="Arial"/>
          <w:bCs/>
          <w:sz w:val="24"/>
          <w:szCs w:val="24"/>
        </w:rPr>
        <w:fldChar w:fldCharType="begin" w:fldLock="1"/>
      </w:r>
      <w:r w:rsidR="00CB191B">
        <w:rPr>
          <w:rFonts w:ascii="Arial" w:hAnsi="Arial" w:cs="Arial"/>
          <w:bCs/>
          <w:sz w:val="24"/>
          <w:szCs w:val="24"/>
        </w:rPr>
        <w:instrText>ADDIN CSL_CITATION {"citationItems":[{"id":"ITEM-1","itemData":{"ISSN":"1346-9843","PMID":"16936422","abstract":"BACKGROUND The coronary artery calcification (CAC) score measured by multidetector row computed tomography (MDCT) has emerged as a marker for predicting coronary artery disease (CAD). To evaluate the clinical significance of the CAC score, coronary artery stenosis as assessed by coronary angiography (CAG) was compared with the CAC score determined by MDCT, risk factors and medications. METHODS AND RESULTS Subjects included 374 consecutive patients who underwent ECG-gate CT angiography using MDCT. The accuracy in patients with a CAC score &gt;or=400 was 84%, and significantly lower than that in patients with a CAC score =0. In addition 92 patients (68 males, 24 females; mean age, 63+/-11 years) who underwent both MDCT and CAG within a 1-month period were selected for further investigation. Patients with significant coronary stenosis had a significantly higher CAC score than those without stenosis. In addition, a higher number of stenosed vessels was associated with a higher CAC score. The subjects were divided into 3 groups according to the CAC score: low (0-12), intermediate (13-444) and high (&gt;or=445). The CAC score was significantly associated with age, and plasma levels of total cholesterol and hemoglobinA1c, and logistic regression analysis revealed that significant coronary stenosis as assessed by CAG was most closely correlated with the CAC score (p=0.03). CONCLUSIONS The CAC score determined by MDCT can predict CAD independent of other factors, such as age, metabolic diseases and medications, when coronary stenosis can not be diagnosed because of severe calcification.","author":[{"dropping-particle":"","family":"Mitsutake","given":"Ryoko","non-dropping-particle":"","parse-names":false,"suffix":""},{"dropping-particle":"","family":"Niimura","given":"Hideya","non-dropping-particle":"","parse-names":false,"suffix":""},{"dropping-particle":"","family":"Miura","given":"Shin-ichiro","non-dropping-particle":"","parse-names":false,"suffix":""},{"dropping-particle":"","family":"Zhang","given":"Bo","non-dropping-particle":"","parse-names":false,"suffix":""},{"dropping-particle":"","family":"Iwata","given":"Atsushi","non-dropping-particle":"","parse-names":false,"suffix":""},{"dropping-particle":"","family":"Nishikawa","given":"Hiroaki","non-dropping-particle":"","parse-names":false,"suffix":""},{"dropping-particle":"","family":"Kawamura","given":"Akira","non-dropping-particle":"","parse-names":false,"suffix":""},{"dropping-particle":"","family":"Kumagai","given":"Koichiro","non-dropping-particle":"","parse-names":false,"suffix":""},{"dropping-particle":"","family":"Shirai","given":"Kazuyuki","non-dropping-particle":"","parse-names":false,"suffix":""},{"dropping-particle":"","family":"Matsunaga","given":"Akira","non-dropping-particle":"","parse-names":false,"suffix":""},{"dropping-particle":"","family":"Saku","given":"Keijiro","non-dropping-particle":"","parse-names":false,"suffix":""}],"container-title":"Circulation journal : official journal of the Japanese Circulation Society","id":"ITEM-1","issue":"9","issued":{"date-parts":[["2006","9"]]},"page":"1122-7","title":"Clinical significance of the coronary calcification score by multidetector row computed tomography for the evaluation of coronary stenosis in Japanese patients.","type":"article-journal","volume":"70"},"uris":["http://www.mendeley.com/documents/?uuid=55ae2ef2-17e7-45f8-9c0c-85eaf0162f78"]}],"mendeley":{"formattedCitation":"&lt;sup&gt;19&lt;/sup&gt;","plainTextFormattedCitation":"19","previouslyFormattedCitation":"&lt;sup&gt;19&lt;/sup&gt;"},"properties":{"noteIndex":0},"schema":"https://github.com/citation-style-language/schema/raw/master/csl-citation.json"}</w:instrText>
      </w:r>
      <w:r w:rsidR="005016B7" w:rsidRPr="00274EAE">
        <w:rPr>
          <w:rFonts w:ascii="Arial" w:hAnsi="Arial" w:cs="Arial"/>
          <w:bCs/>
          <w:sz w:val="24"/>
          <w:szCs w:val="24"/>
        </w:rPr>
        <w:fldChar w:fldCharType="separate"/>
      </w:r>
      <w:r w:rsidR="00CB191B" w:rsidRPr="00CB191B">
        <w:rPr>
          <w:rFonts w:ascii="Arial" w:hAnsi="Arial" w:cs="Arial"/>
          <w:bCs/>
          <w:noProof/>
          <w:sz w:val="24"/>
          <w:szCs w:val="24"/>
          <w:vertAlign w:val="superscript"/>
        </w:rPr>
        <w:t>19</w:t>
      </w:r>
      <w:r w:rsidR="005016B7" w:rsidRPr="00274EAE">
        <w:rPr>
          <w:rFonts w:ascii="Arial" w:hAnsi="Arial" w:cs="Arial"/>
          <w:bCs/>
          <w:sz w:val="24"/>
          <w:szCs w:val="24"/>
        </w:rPr>
        <w:fldChar w:fldCharType="end"/>
      </w:r>
      <w:r w:rsidR="00FE5521" w:rsidRPr="00274EAE">
        <w:rPr>
          <w:rFonts w:ascii="Arial" w:hAnsi="Arial" w:cs="Arial"/>
          <w:bCs/>
          <w:sz w:val="24"/>
          <w:szCs w:val="24"/>
        </w:rPr>
        <w:t xml:space="preserve"> Due to the deleterious effect of calcification on diagnostic yield </w:t>
      </w:r>
      <w:r w:rsidR="00A17D15" w:rsidRPr="00274EAE">
        <w:rPr>
          <w:rFonts w:ascii="Arial" w:hAnsi="Arial" w:cs="Arial"/>
          <w:bCs/>
          <w:sz w:val="24"/>
          <w:szCs w:val="24"/>
        </w:rPr>
        <w:t>it has been</w:t>
      </w:r>
      <w:r w:rsidR="00FE5521" w:rsidRPr="00274EAE">
        <w:rPr>
          <w:rFonts w:ascii="Arial" w:hAnsi="Arial" w:cs="Arial"/>
          <w:bCs/>
          <w:sz w:val="24"/>
          <w:szCs w:val="24"/>
        </w:rPr>
        <w:t xml:space="preserve"> proposed</w:t>
      </w:r>
      <w:r w:rsidR="00A17D15" w:rsidRPr="00274EAE">
        <w:rPr>
          <w:rFonts w:ascii="Arial" w:hAnsi="Arial" w:cs="Arial"/>
          <w:bCs/>
          <w:sz w:val="24"/>
          <w:szCs w:val="24"/>
        </w:rPr>
        <w:t xml:space="preserve"> that above a </w:t>
      </w:r>
      <w:r w:rsidR="00DB6592" w:rsidRPr="00274EAE">
        <w:rPr>
          <w:rFonts w:ascii="Arial" w:hAnsi="Arial" w:cs="Arial"/>
          <w:bCs/>
          <w:sz w:val="24"/>
          <w:szCs w:val="24"/>
        </w:rPr>
        <w:t xml:space="preserve">set </w:t>
      </w:r>
      <w:r w:rsidR="00A17D15" w:rsidRPr="00274EAE">
        <w:rPr>
          <w:rFonts w:ascii="Arial" w:hAnsi="Arial" w:cs="Arial"/>
          <w:bCs/>
          <w:sz w:val="24"/>
          <w:szCs w:val="24"/>
        </w:rPr>
        <w:t>c</w:t>
      </w:r>
      <w:r w:rsidR="00DB6592" w:rsidRPr="00274EAE">
        <w:rPr>
          <w:rFonts w:ascii="Arial" w:hAnsi="Arial" w:cs="Arial"/>
          <w:bCs/>
          <w:sz w:val="24"/>
          <w:szCs w:val="24"/>
        </w:rPr>
        <w:t>alcium threshold</w:t>
      </w:r>
      <w:r w:rsidR="00A17D15" w:rsidRPr="00274EAE">
        <w:rPr>
          <w:rFonts w:ascii="Arial" w:hAnsi="Arial" w:cs="Arial"/>
          <w:bCs/>
          <w:sz w:val="24"/>
          <w:szCs w:val="24"/>
        </w:rPr>
        <w:t xml:space="preserve"> (typically 600-1000</w:t>
      </w:r>
      <w:r w:rsidR="00BF606B">
        <w:rPr>
          <w:rFonts w:ascii="Arial" w:hAnsi="Arial" w:cs="Arial"/>
          <w:bCs/>
          <w:sz w:val="24"/>
          <w:szCs w:val="24"/>
        </w:rPr>
        <w:t xml:space="preserve"> </w:t>
      </w:r>
      <w:proofErr w:type="spellStart"/>
      <w:r w:rsidR="00BF606B">
        <w:rPr>
          <w:rFonts w:ascii="Arial" w:hAnsi="Arial" w:cs="Arial"/>
          <w:bCs/>
          <w:sz w:val="24"/>
          <w:szCs w:val="24"/>
        </w:rPr>
        <w:t>Agatston</w:t>
      </w:r>
      <w:proofErr w:type="spellEnd"/>
      <w:r w:rsidR="00BF606B">
        <w:rPr>
          <w:rFonts w:ascii="Arial" w:hAnsi="Arial" w:cs="Arial"/>
          <w:bCs/>
          <w:sz w:val="24"/>
          <w:szCs w:val="24"/>
        </w:rPr>
        <w:t xml:space="preserve"> Units</w:t>
      </w:r>
      <w:r w:rsidR="00A17D15" w:rsidRPr="00274EAE">
        <w:rPr>
          <w:rFonts w:ascii="Arial" w:hAnsi="Arial" w:cs="Arial"/>
          <w:bCs/>
          <w:sz w:val="24"/>
          <w:szCs w:val="24"/>
        </w:rPr>
        <w:t xml:space="preserve">), </w:t>
      </w:r>
      <w:r w:rsidR="00FE5521" w:rsidRPr="00274EAE">
        <w:rPr>
          <w:rFonts w:ascii="Arial" w:hAnsi="Arial" w:cs="Arial"/>
          <w:bCs/>
          <w:sz w:val="24"/>
          <w:szCs w:val="24"/>
        </w:rPr>
        <w:t>CTA is not performed and the patient is referred directly onwards for further evaluation.  The efficacy of such an approach has been demonst</w:t>
      </w:r>
      <w:r w:rsidR="00E40BDD" w:rsidRPr="00274EAE">
        <w:rPr>
          <w:rFonts w:ascii="Arial" w:hAnsi="Arial" w:cs="Arial"/>
          <w:bCs/>
          <w:sz w:val="24"/>
          <w:szCs w:val="24"/>
        </w:rPr>
        <w:t>r</w:t>
      </w:r>
      <w:r w:rsidR="00FE5521" w:rsidRPr="00274EAE">
        <w:rPr>
          <w:rFonts w:ascii="Arial" w:hAnsi="Arial" w:cs="Arial"/>
          <w:bCs/>
          <w:sz w:val="24"/>
          <w:szCs w:val="24"/>
        </w:rPr>
        <w:t xml:space="preserve">ated in </w:t>
      </w:r>
      <w:r w:rsidR="00E40BDD" w:rsidRPr="00274EAE">
        <w:rPr>
          <w:rFonts w:ascii="Arial" w:hAnsi="Arial" w:cs="Arial"/>
          <w:bCs/>
          <w:sz w:val="24"/>
          <w:szCs w:val="24"/>
        </w:rPr>
        <w:t>a</w:t>
      </w:r>
      <w:r w:rsidR="00FE5521" w:rsidRPr="00274EAE">
        <w:rPr>
          <w:rFonts w:ascii="Arial" w:hAnsi="Arial" w:cs="Arial"/>
          <w:bCs/>
          <w:sz w:val="24"/>
          <w:szCs w:val="24"/>
        </w:rPr>
        <w:t xml:space="preserve"> randomized clinical trial</w:t>
      </w:r>
      <w:r w:rsidR="00E40BDD" w:rsidRPr="00274EAE">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{"citationItems":[{"id":"ITEM-1","itemData":{"DOI":"10.1093/eurheartj/ehv700","ISSN":"15229645","PMID":"26746631","abstract":"Aims To compare the effectiveness and safety of a cardiac computed tomography (CT) algorithm with functional testing in patients with symptoms suggestive of coronary artery disease (CAD).Methods and results Between April 2011 and July 2013, 350 patients with stable angina, referred to the outpatient clinic of four Dutch hospitals, were prospectively randomized between cardiac CT and functional testing (2 : 1 ratio). The tiered cardiac CT protocol included a calcium scan followed by CT angiography if the Agatston calcium score was between 1 and 400. Patients with test-specific contraindications were not excluded from study participation. By 1 year, fewer patients randomized to cardiac CT reported anginal complaints (P = 0.012). The cumulative radiation dose was slightly higher in the CT group (6.6 ± 8.7 vs. 6.1 ± 9.3 mSv; P &lt; 0.0001). After 1.2 years, event-free survival was 96.7% for patients randomized to CT and 89.8% for patients randomized to functional testing (P = 0.011). After CT, the final diagnosis was established sooner (P &lt; 0.0001), and additional downstream testing was required less frequently (25 vs. 53%, P &lt; 0.0001), resulting in lower cumulative diagnostic costs (€369 vs. €440; P &lt; 0.0001).Conclusion For patients with suspected stable CAD, a tiered cardiac CT protocol offers an effective and safe alternative to functional testing. Incorporating the calcium scan into the diagnostic workup was safe and lowered diagnostic expenses and radiation exposure.","author":[{"dropping-particle":"","family":"Lubbers","given":"Marisa","non-dropping-particle":"","parse-names":false,"suffix":""},{"dropping-particle":"","family":"Dedic","given":"Admir","non-dropping-particle":"","parse-names":false,"suffix":""},{"dropping-particle":"","family":"Coenen","given":"Adriaan","non-dropping-particle":"","parse-names":false,"suffix":""},{"dropping-particle":"","family":"Galema","given":"Tjebbe","non-dropping-particle":"","parse-names":false,"suffix":""},{"dropping-particle":"","family":"Akkerhuis","given":"Jurgen","non-dropping-particle":"","parse-names":false,"suffix":""},{"dropping-particle":"","family":"Bruning","given":"Tobias","non-dropping-particle":"","parse-names":false,"suffix":""},{"dropping-particle":"","family":"Krenning","given":"Boudewijn","non-dropping-particle":"","parse-names":false,"suffix":""},{"dropping-particle":"","family":"Musters","given":"Paul","non-dropping-particle":"","parse-names":false,"suffix":""},{"dropping-particle":"","family":"Ouhlous","given":"Mohamed","non-dropping-particle":"","parse-names":false,"suffix":""},{"dropping-particle":"","family":"Liem","given":"Ahno","non-dropping-particle":"","parse-names":false,"suffix":""},{"dropping-particle":"","family":"Niezen","given":"Andre","non-dropping-particle":"","parse-names":false,"suffix":""},{"dropping-particle":"","family":"Hunink","given":"Miriam","non-dropping-particle":"","parse-names":false,"suffix":""},{"dropping-particle":"","family":"Feijter","given":"Pim","non-dropping-particle":"De","parse-names":false,"suffix":""},{"dropping-particle":"","family":"Nieman","given":"Koen","non-dropping-particle":"","parse-names":false,"suffix":""}],"container-title":"European Heart Journal","id":"ITEM-1","issue":"15","issued":{"date-parts":[["2016"]]},"page":"1232-1243","title":"Calcium imaging and selective computed tomography angiography in comparison to functional testing for suspected coronary artery disease: The multicentre, randomized CRESCENT trial","type":"article-journal","volume":"37"},"uris":["http://www.mendeley.com/documents/?uuid=01b3c995-53a7-45fe-8851-0a3268493e18"]}],"mendeley":{"formattedCitation":"&lt;sup&gt;20&lt;/sup&gt;","plainTextFormattedCitation":"20","previouslyFormattedCitation":"&lt;sup&gt;20&lt;/sup&gt;"},"properties":{"noteIndex":0},"schema":"https://github.com/citation-style-language/schema/raw/master/csl-citation.json"}</w:instrText>
      </w:r>
      <w:r w:rsidR="00E40BDD" w:rsidRPr="00274EAE">
        <w:rPr>
          <w:rFonts w:ascii="Arial" w:hAnsi="Arial" w:cs="Arial"/>
          <w:bCs/>
          <w:sz w:val="24"/>
          <w:szCs w:val="24"/>
        </w:rPr>
        <w:fldChar w:fldCharType="separate"/>
      </w:r>
      <w:r w:rsidR="00CB191B" w:rsidRPr="00CB191B">
        <w:rPr>
          <w:rFonts w:ascii="Arial" w:hAnsi="Arial" w:cs="Arial"/>
          <w:bCs/>
          <w:noProof/>
          <w:sz w:val="24"/>
          <w:szCs w:val="24"/>
          <w:vertAlign w:val="superscript"/>
        </w:rPr>
        <w:t>20</w:t>
      </w:r>
      <w:r w:rsidR="00E40BDD" w:rsidRPr="00274EAE">
        <w:rPr>
          <w:rFonts w:ascii="Arial" w:hAnsi="Arial" w:cs="Arial"/>
          <w:bCs/>
          <w:sz w:val="24"/>
          <w:szCs w:val="24"/>
        </w:rPr>
        <w:fldChar w:fldCharType="end"/>
      </w:r>
      <w:r w:rsidR="00FE5521" w:rsidRPr="00274EAE">
        <w:rPr>
          <w:rFonts w:ascii="Arial" w:hAnsi="Arial" w:cs="Arial"/>
          <w:bCs/>
          <w:sz w:val="24"/>
          <w:szCs w:val="24"/>
        </w:rPr>
        <w:t xml:space="preserve">, </w:t>
      </w:r>
      <w:r w:rsidR="00A17D15" w:rsidRPr="00274EAE">
        <w:rPr>
          <w:rFonts w:ascii="Arial" w:hAnsi="Arial" w:cs="Arial"/>
          <w:bCs/>
          <w:sz w:val="24"/>
          <w:szCs w:val="24"/>
        </w:rPr>
        <w:t xml:space="preserve">yet even in those with </w:t>
      </w:r>
      <w:r w:rsidR="000D1AC9" w:rsidRPr="00274EAE">
        <w:rPr>
          <w:rFonts w:ascii="Arial" w:hAnsi="Arial" w:cs="Arial"/>
          <w:bCs/>
          <w:sz w:val="24"/>
          <w:szCs w:val="24"/>
        </w:rPr>
        <w:t>a calcium score &gt;1200</w:t>
      </w:r>
      <w:r w:rsidR="00A17D15" w:rsidRPr="00274EAE">
        <w:rPr>
          <w:rFonts w:ascii="Arial" w:hAnsi="Arial" w:cs="Arial"/>
          <w:bCs/>
          <w:sz w:val="24"/>
          <w:szCs w:val="24"/>
        </w:rPr>
        <w:t xml:space="preserve">, CTA is able to effectively exclude </w:t>
      </w:r>
      <w:r w:rsidR="000D1AC9" w:rsidRPr="00274EAE">
        <w:rPr>
          <w:rFonts w:ascii="Arial" w:hAnsi="Arial" w:cs="Arial"/>
          <w:bCs/>
          <w:sz w:val="24"/>
          <w:szCs w:val="24"/>
        </w:rPr>
        <w:t>obstructive coronary artery disease</w:t>
      </w:r>
      <w:r w:rsidR="00A17D15" w:rsidRPr="00274EAE">
        <w:rPr>
          <w:rFonts w:ascii="Arial" w:hAnsi="Arial" w:cs="Arial"/>
          <w:bCs/>
          <w:sz w:val="24"/>
          <w:szCs w:val="24"/>
        </w:rPr>
        <w:t xml:space="preserve"> in 37%</w:t>
      </w:r>
      <w:r w:rsidR="00265E81" w:rsidRPr="00274EAE">
        <w:rPr>
          <w:rFonts w:ascii="Arial" w:hAnsi="Arial" w:cs="Arial"/>
          <w:bCs/>
          <w:sz w:val="24"/>
          <w:szCs w:val="24"/>
        </w:rPr>
        <w:t xml:space="preserve"> of patients</w:t>
      </w:r>
      <w:r w:rsidR="00E40BDD" w:rsidRPr="00274EAE">
        <w:rPr>
          <w:rFonts w:ascii="Arial" w:hAnsi="Arial" w:cs="Arial"/>
          <w:bCs/>
          <w:sz w:val="24"/>
          <w:szCs w:val="24"/>
        </w:rPr>
        <w:t>.</w:t>
      </w:r>
      <w:r w:rsidR="000D1AC9" w:rsidRPr="00274EAE">
        <w:rPr>
          <w:rFonts w:ascii="Arial" w:hAnsi="Arial" w:cs="Arial"/>
          <w:bCs/>
          <w:sz w:val="24"/>
          <w:szCs w:val="24"/>
        </w:rPr>
        <w:fldChar w:fldCharType="begin" w:fldLock="1"/>
      </w:r>
      <w:r w:rsidR="00455D00">
        <w:rPr>
          <w:rFonts w:ascii="Arial" w:hAnsi="Arial" w:cs="Arial"/>
          <w:bCs/>
          <w:sz w:val="24"/>
          <w:szCs w:val="24"/>
        </w:rPr>
        <w:instrText xml:space="preserve">ADDIN CSL_CITATION {"citationItems":[{"id":"ITEM-1","itemData":{"DOI":"10.1016/j.jcct.2016.07.014","ISSN":"1876861X","PMID":"27461528","abstract":"Background Recent guidelines for the workup of patients with chest pain and suspected coronary artery disease include coronary computed tomography angiography (CTA). However, its diagnostic value may be limited in patients with severe coronary calcification. Objective We investigated the relationship between the extent of coronary calcium and the ability of coronary CTA to rule out significant stenoses in a series of consecutive patients with suspected coronary artery disease. Methods 2614 consecutive patients with suspected coronary artery disease in whom coronary calcium scoring and coronary CTA had been performed by Dual Source CT were analyzed. The ability of coronary CTA to rule out coronary artery stenoses (fully evaluable coronary arteries and absence of any luminal stenosis &gt;75%) was analyzed relative to the coronary calcium score. Results The median coronary calcium score was 12, with calcium present in 60.5% of all patients. Coronary CTA ruled out stenoses in 82% of patients, while in 18% of patients at least one stenosis was found or could not be excluded. The threshold above which coronary CTA permitted to rule out stenoses in less than 50% of patients was an “Agatston Score” of 287. This threshold was significantly lower for male patients (213 vs. 330), for patients with a heart rate &gt;65 beats/min (157 vs. 317) and for patients with a body mass index </w:instrText>
      </w:r>
      <w:r w:rsidR="00455D00">
        <w:rPr>
          <w:rFonts w:ascii="Arial" w:hAnsi="Arial" w:cs="Arial" w:hint="eastAsia"/>
          <w:bCs/>
          <w:sz w:val="24"/>
          <w:szCs w:val="24"/>
        </w:rPr>
        <w:instrText>≥</w:instrText>
      </w:r>
      <w:r w:rsidR="00455D00">
        <w:rPr>
          <w:rFonts w:ascii="Arial" w:hAnsi="Arial" w:cs="Arial"/>
          <w:bCs/>
          <w:sz w:val="24"/>
          <w:szCs w:val="24"/>
        </w:rPr>
        <w:instrText xml:space="preserve">25 kg/m2(208 vs. 392). The evaluability of coronary arteries decreased with increasing amounts of calcium and differed significantly between heart rates </w:instrText>
      </w:r>
      <w:r w:rsidR="00455D00">
        <w:rPr>
          <w:rFonts w:ascii="Arial" w:hAnsi="Arial" w:cs="Arial" w:hint="eastAsia"/>
          <w:bCs/>
          <w:sz w:val="24"/>
          <w:szCs w:val="24"/>
        </w:rPr>
        <w:instrText>≤</w:instrText>
      </w:r>
      <w:r w:rsidR="00455D00">
        <w:rPr>
          <w:rFonts w:ascii="Arial" w:hAnsi="Arial" w:cs="Arial"/>
          <w:bCs/>
          <w:sz w:val="24"/>
          <w:szCs w:val="24"/>
        </w:rPr>
        <w:instrText>65 beats/min and &gt;65 beats/min (p &lt; 0.0001). Conclusion In the largest patient series evaluated so far, we identified an “Agatston Score” of 287 to represent a threshold above which coronary CTA permits to rule out coronary artery stenoses in less than 50% of cases.","author":[{"dropping-particle":"","family":"Schuhbaeck","given":"Annika","non-dropping-particle":"","parse-names":false,"suffix":""},{"dropping-particle":"","family":"Schmid","given":"Jasmin","non-dropping-particle":"","parse-names":false,"suffix":""},{"dropping-particle":"","family":"Zimmer","given":"Thomas","non-dropping-particle":"","parse-names":false,"suffix":""},{"dropping-particle":"","family":"Muschiol","given":"Gerd","non-dropping-particle":"","parse-names":false,"suffix":""},{"dropping-particle":"","family":"Hell","given":"Michaela M.","non-dropping-particle":"","parse-names":false,"suffix":""},{"dropping-particle":"","family":"Marwan","given":"Mohamed","non-dropping-particle":"","parse-names":false,"suffix":""},{"dropping-particle":"","family":"Achenbach","given":"Stephan","non-dropping-particle":"","parse-names":false,"suffix":""}],"container-title":"Journal of Cardiovascular Computed Tomography","id":"ITEM-1","issue":"5","issued":{"date-parts":[["2016"]]},"page":"343-350","publisher":"Elsevier Ltd","title":"Influence of the coronary calcium score on the ability to rule out coronary artery stenoses by coronary CT angiography in patients with suspected coronary artery disease","type":"article-journal","volume":"10"},"uris":["http://www.mendeley.com/documents/?uuid=1baf1fa7-a974-40ee-acc9-5461d2c10544"]}],"mendeley":{"formattedCitation":"&lt;sup&gt;7&lt;/sup&gt;","plainTextFormattedCitation":"7","previouslyFormattedCitation":"&lt;sup&gt;7&lt;/sup&gt;"},"properties":{"noteIndex":0},"schema":"https://github.com/citation-style-language/schema/raw/master/csl-citation.json"}</w:instrText>
      </w:r>
      <w:r w:rsidR="000D1AC9" w:rsidRPr="00274EAE">
        <w:rPr>
          <w:rFonts w:ascii="Arial" w:hAnsi="Arial" w:cs="Arial"/>
          <w:bCs/>
          <w:sz w:val="24"/>
          <w:szCs w:val="24"/>
        </w:rPr>
        <w:fldChar w:fldCharType="separate"/>
      </w:r>
      <w:r w:rsidR="000D1AC9" w:rsidRPr="00274EAE">
        <w:rPr>
          <w:rFonts w:ascii="Arial" w:hAnsi="Arial" w:cs="Arial"/>
          <w:bCs/>
          <w:noProof/>
          <w:sz w:val="24"/>
          <w:szCs w:val="24"/>
          <w:vertAlign w:val="superscript"/>
        </w:rPr>
        <w:t>7</w:t>
      </w:r>
      <w:r w:rsidR="000D1AC9" w:rsidRPr="00274EAE">
        <w:rPr>
          <w:rFonts w:ascii="Arial" w:hAnsi="Arial" w:cs="Arial"/>
          <w:bCs/>
          <w:sz w:val="24"/>
          <w:szCs w:val="24"/>
        </w:rPr>
        <w:fldChar w:fldCharType="end"/>
      </w:r>
      <w:r w:rsidR="00B240D8" w:rsidRPr="00274EAE">
        <w:rPr>
          <w:rFonts w:ascii="Arial" w:hAnsi="Arial" w:cs="Arial"/>
          <w:bCs/>
          <w:sz w:val="24"/>
          <w:szCs w:val="24"/>
        </w:rPr>
        <w:t xml:space="preserve"> With an aging population</w:t>
      </w:r>
      <w:r w:rsidR="00A17D15" w:rsidRPr="00274EAE">
        <w:rPr>
          <w:rFonts w:ascii="Arial" w:hAnsi="Arial" w:cs="Arial"/>
          <w:bCs/>
          <w:sz w:val="24"/>
          <w:szCs w:val="24"/>
        </w:rPr>
        <w:t xml:space="preserve"> and an increasing prevalence of primary</w:t>
      </w:r>
      <w:r w:rsidR="00455D00">
        <w:rPr>
          <w:rFonts w:ascii="Arial" w:hAnsi="Arial" w:cs="Arial"/>
          <w:bCs/>
          <w:sz w:val="24"/>
          <w:szCs w:val="24"/>
        </w:rPr>
        <w:t xml:space="preserve"> prevention with statin therapy -</w:t>
      </w:r>
      <w:r w:rsidR="00A17D15" w:rsidRPr="00274EAE">
        <w:rPr>
          <w:rFonts w:ascii="Arial" w:hAnsi="Arial" w:cs="Arial"/>
          <w:bCs/>
          <w:sz w:val="24"/>
          <w:szCs w:val="24"/>
        </w:rPr>
        <w:t xml:space="preserve"> both of which are known to cause a rise i</w:t>
      </w:r>
      <w:r w:rsidR="00455D00">
        <w:rPr>
          <w:rFonts w:ascii="Arial" w:hAnsi="Arial" w:cs="Arial"/>
          <w:bCs/>
          <w:sz w:val="24"/>
          <w:szCs w:val="24"/>
        </w:rPr>
        <w:t>n coronary artery calcification -</w:t>
      </w:r>
      <w:r w:rsidR="00A17D15" w:rsidRPr="00274EAE">
        <w:rPr>
          <w:rFonts w:ascii="Arial" w:hAnsi="Arial" w:cs="Arial"/>
          <w:bCs/>
          <w:sz w:val="24"/>
          <w:szCs w:val="24"/>
        </w:rPr>
        <w:t xml:space="preserve"> </w:t>
      </w:r>
      <w:r w:rsidR="00265E81" w:rsidRPr="00274EAE">
        <w:rPr>
          <w:rFonts w:ascii="Arial" w:hAnsi="Arial" w:cs="Arial"/>
          <w:bCs/>
          <w:sz w:val="24"/>
          <w:szCs w:val="24"/>
        </w:rPr>
        <w:t>the need to better cope with calcification is necessary.</w:t>
      </w:r>
      <w:r w:rsidR="00265E81" w:rsidRPr="00274EAE">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{"citationItems":[{"id":"ITEM-1","itemData":{"DOI":"10.1016/j.jcmg.2018.04.015","ISSN":"1876-7591","PMID":"29909109","abstract":"OBJECTIVES This study sought to describe the impact of statins on individual coronary atherosclerotic plaques. BACKGROUND Although statins reduce the risk of major adverse cardiovascular events, their long-term effects on coronary atherosclerosis remain unclear. METHODS We performed a prospective, multinational study consisting of a registry of consecutive pat</w:instrText>
      </w:r>
      <w:r w:rsidR="00CB191B">
        <w:rPr>
          <w:rFonts w:ascii="Arial" w:hAnsi="Arial" w:cs="Arial" w:hint="eastAsia"/>
          <w:bCs/>
          <w:sz w:val="24"/>
          <w:szCs w:val="24"/>
        </w:rPr>
        <w:instrText xml:space="preserve">ients without history of coronary artery disease who underwent serial coronary computed tomography angiography at an interscan interval of </w:instrText>
      </w:r>
      <w:r w:rsidR="00CB191B">
        <w:rPr>
          <w:rFonts w:ascii="Arial" w:hAnsi="Arial" w:cs="Arial" w:hint="eastAsia"/>
          <w:bCs/>
          <w:sz w:val="24"/>
          <w:szCs w:val="24"/>
        </w:rPr>
        <w:instrText>≥</w:instrText>
      </w:r>
      <w:r w:rsidR="00CB191B">
        <w:rPr>
          <w:rFonts w:ascii="Arial" w:hAnsi="Arial" w:cs="Arial" w:hint="eastAsia"/>
          <w:bCs/>
          <w:sz w:val="24"/>
          <w:szCs w:val="24"/>
        </w:rPr>
        <w:instrText xml:space="preserve">2 years. Atherosclerotic plaques were quantitatively analyzed for percent diameter stenosis (%DS), percent atheroma volume (PAV), plaque composition, and presence of high-risk plaque (HRP), defined by the presence of </w:instrText>
      </w:r>
      <w:r w:rsidR="00CB191B">
        <w:rPr>
          <w:rFonts w:ascii="Arial" w:hAnsi="Arial" w:cs="Arial" w:hint="eastAsia"/>
          <w:bCs/>
          <w:sz w:val="24"/>
          <w:szCs w:val="24"/>
        </w:rPr>
        <w:instrText>≥</w:instrText>
      </w:r>
      <w:r w:rsidR="00CB191B">
        <w:rPr>
          <w:rFonts w:ascii="Arial" w:hAnsi="Arial" w:cs="Arial" w:hint="eastAsia"/>
          <w:bCs/>
          <w:sz w:val="24"/>
          <w:szCs w:val="24"/>
        </w:rPr>
        <w:instrText xml:space="preserve">2 features of low-attenuation plaque, positive arterial remodeling, or spotty calcifications. RESULTS Among 1,255 patients (60 </w:instrText>
      </w:r>
      <w:r w:rsidR="00CB191B">
        <w:rPr>
          <w:rFonts w:ascii="Arial" w:hAnsi="Arial" w:cs="Arial" w:hint="eastAsia"/>
          <w:bCs/>
          <w:sz w:val="24"/>
          <w:szCs w:val="24"/>
        </w:rPr>
        <w:instrText>±</w:instrText>
      </w:r>
      <w:r w:rsidR="00CB191B">
        <w:rPr>
          <w:rFonts w:ascii="Arial" w:hAnsi="Arial" w:cs="Arial" w:hint="eastAsia"/>
          <w:bCs/>
          <w:sz w:val="24"/>
          <w:szCs w:val="24"/>
        </w:rPr>
        <w:instrText xml:space="preserve"> 9 years of age; 57% men</w:instrText>
      </w:r>
      <w:r w:rsidR="00CB191B">
        <w:rPr>
          <w:rFonts w:ascii="Arial" w:hAnsi="Arial" w:cs="Arial"/>
          <w:bCs/>
          <w:sz w:val="24"/>
          <w:szCs w:val="24"/>
        </w:rPr>
        <w:instrText>), 1,079 coronary artery lesions were evaluated in statin-naive patients (n = 474), and 2,496 coronary artery lesions were evaluated in statin-taking patients (n = 781). Compared with lesions in statin-naive patients, those in statin-taking patients displayed a slower rate of overall PAV progression (1.76 ± 2.40% per year vs. 2.04 ± 2.37% per year, respectively; p = 0.002) but more rapid progression of calcified PAV (1.27 ± 1.54% per year vs. 0.98 ± 1.27% per year, respectively; p &lt; 0.001). Progression of noncalcified PAV and annual incidence of new HRP features were lower in lesions in statin-taking patients (0.49 ± 2.39% per year vs. 1.06 ± 2.42% per year and 0.9% per year vs. 1.6% per year, respectively; all p &lt; 0.001). The rates of progression to &gt;50%DS were not different (1.0% vs. 1.4%, respectively; p &gt; 0.05). Statins were associated with a 21% reduction in annualized total PAV progression above the median and 35% reduction in HRP development. CONCLUSIONS Statins were associated with slower progression of overall coronary atherosclerosis volume, with increased plaque calcification and reduction of high-risk plaque features. Statins did not affect the progression of percentage of stenosis severity of coronary artery lesions but induced phenotypic plaque transformation. (Progression of AtheRosclerotic PlAque DetermIned by Computed TomoGraphic Angiography Imaging [PARADIGM]; NCT02803411.).","author":[{"dropping-particle":"","family":"Lee","given":"Sang-Eun","non-dropping-particle":"","parse-names":false,"suffix":""},{"dropping-particle":"","family":"Chang","given":"Hyuk-Jae","non-dropping-particle":"","parse-names":false,"suffix":""},{"dropping-particle":"","family":"Sung","given":"Ji Min","non-dropping-particle":"","parse-names":false,"suffix":""},{"dropping-particle":"","family":"Park","given":"Hyung-Bok","non-dropping-particle":"","parse-names":false,"suffix":""},{"dropping-particle":"","family":"Heo","given":"Ran","non-dropping-particle":"","parse-names":false,"suffix":""},{"dropping-particle":"","family":"Rizvi","given":"Asim","non-dropping-particle":"","parse-names":false,"suffix":""},{"dropping-particle":"","family":"Lin","given":"Fay Y","non-dropping-particle":"","parse-names":false,"suffix":""},{"dropping-particle":"","family":"Kumar","given":"Amit","non-dropping-particle":"","parse-names":false,"suffix":""},{"dropping-particle":"","family":"Hadamitzky","given":"Martin","non-dropping-particle":"","parse-names":false,"suffix":""},{"dropping-particle":"","family":"Kim","given":"Yong Jin","non-dropping-particle":"","parse-names":false,"suffix":""},{"dropping-particle":"","family":"Conte","given":"Edoardo","non-dropping-particle":"","parse-names":false,"suffix":""},{"dropping-particle":"","family":"Andreini","given":"Daniele","non-dropping-particle":"","parse-names":false,"suffix":""},{"dropping-particle":"","family":"Pontone","given":"Gianluca","non-dropping-particle":"","parse-names":false,"suffix":""},{"dropping-particle":"","family":"Budoff","given":"Matthew J","non-dropping-particle":"","parse-names":false,"suffix":""},{"dropping-particle":"","family":"Gottlieb","given":"Ilan","non-dropping-particle":"","parse-names":false,"suffix":""},{"dropping-particle":"","family":"Lee","given":"Byoung Kwon","non-dropping-particle":"","parse-names":false,"suffix":""},{"dropping-particle":"","family":"Chun","given":"Eun Ju","non-dropping-particle":"","parse-names":false,"suffix":""},{"dropping-particle":"","family":"Cademartiri","given":"Filippo","non-dropping-particle":"","parse-names":false,"suffix":""},{"dropping-particle":"","family":"Maffei","given":"Erica","non-dropping-particle":"","parse-names":false,"suffix":""},{"dropping-particle":"","family":"Marques","given":"Hugo","non-dropping-particle":"","parse-names":false,"suffix":""},{"dropping-particle":"","family":"Leipsic","given":"Jonathon A","non-dropping-particle":"","parse-names":false,"suffix":""},{"dropping-particle":"","family":"Shin","given":"Sanghoon","non-dropping-particle":"","parse-names":false,"suffix":""},{"dropping-particle":"","family":"Choi","given":"Jung Hyun","non-dropping-particle":"","parse-names":false,"suffix":""},{"dropping-particle":"","family":"Chinnaiyan","given":"Kavitha","non-dropping-particle":"","parse-names":false,"suffix":""},{"dropping-particle":"","family":"Raff","given":"Gilbert","non-dropping-particle":"","parse-names":false,"suffix":""},{"dropping-particle":"","family":"Virmani","given":"Renu","non-dropping-particle":"","parse-names":false,"suffix":""},{"dropping-particle":"","family":"Samady","given":"Habib","non-dropping-particle":"","parse-names":false,"suffix":""},{"dropping-particle":"","family":"Stone","given":"Peter H","non-dropping-particle":"","parse-names":false,"suffix":""},{"dropping-particle":"","family":"Berman","given":"Daniel S","non-dropping-particle":"","parse-names":false,"suffix":""},{"dropping-particle":"","family":"Narula","given":"Jagat","non-dropping-particle":"","parse-names":false,"suffix":""},{"dropping-particle":"","family":"Shaw","given":"Leslee J","non-dropping-particle":"","parse-names":false,"suffix":""},{"dropping-particle":"","family":"Bax","given":"Jeroen J","non-dropping-particle":"","parse-names":false,"suffix":""},{"dropping-particle":"","family":"Min","given":"James K","non-dropping-particle":"","parse-names":false,"suffix":""}],"container-title":"JACC. Cardiovascular imaging","id":"ITEM-1","issued":{"date-parts":[["2018","6","8"]]},"title":"Effects of Statins on Coronary Atherosclerotic Plaques: The PARADIGM (Progression of AtheRosclerotic PlAque DetermIned by Computed TomoGraphic Angiography Imaging) Study.","type":"article-journal"},"uris":["http://www.mendeley.com/documents/?uuid=727d551a-a00a-48fd-a572-740c9a6ccee3"]}],"mendeley":{"formattedCitation":"&lt;sup&gt;21&lt;/sup&gt;","plainTextFormattedCitation":"21","previouslyFormattedCitation":"&lt;sup&gt;21&lt;/sup&gt;"},"properties":{"noteIndex":0},"schema":"https://github.com/citation-style-language/schema/raw/master/csl-citation.json"}</w:instrText>
      </w:r>
      <w:r w:rsidR="00265E81" w:rsidRPr="00274EAE">
        <w:rPr>
          <w:rFonts w:ascii="Arial" w:hAnsi="Arial" w:cs="Arial"/>
          <w:bCs/>
          <w:sz w:val="24"/>
          <w:szCs w:val="24"/>
        </w:rPr>
        <w:fldChar w:fldCharType="separate"/>
      </w:r>
      <w:r w:rsidR="00CB191B" w:rsidRPr="00CB191B">
        <w:rPr>
          <w:rFonts w:ascii="Arial" w:hAnsi="Arial" w:cs="Arial"/>
          <w:bCs/>
          <w:noProof/>
          <w:sz w:val="24"/>
          <w:szCs w:val="24"/>
          <w:vertAlign w:val="superscript"/>
        </w:rPr>
        <w:t>21</w:t>
      </w:r>
      <w:r w:rsidR="00265E81" w:rsidRPr="00274EAE">
        <w:rPr>
          <w:rFonts w:ascii="Arial" w:hAnsi="Arial" w:cs="Arial"/>
          <w:bCs/>
          <w:sz w:val="24"/>
          <w:szCs w:val="24"/>
        </w:rPr>
        <w:fldChar w:fldCharType="end"/>
      </w:r>
    </w:p>
    <w:p w14:paraId="14F4E375" w14:textId="77777777" w:rsidR="00265E81" w:rsidRPr="00274EAE" w:rsidRDefault="00265E81" w:rsidP="00252392">
      <w:pPr>
        <w:spacing w:line="360" w:lineRule="auto"/>
        <w:rPr>
          <w:rFonts w:ascii="Arial" w:hAnsi="Arial" w:cs="Arial"/>
          <w:bCs/>
          <w:sz w:val="24"/>
          <w:szCs w:val="24"/>
        </w:rPr>
      </w:pPr>
    </w:p>
    <w:p w14:paraId="06A5AE22" w14:textId="1C9C41E9" w:rsidR="00566AA4" w:rsidRPr="00274EAE" w:rsidRDefault="00265E81" w:rsidP="00252392">
      <w:pPr>
        <w:spacing w:line="360" w:lineRule="auto"/>
        <w:rPr>
          <w:rFonts w:ascii="Arial" w:hAnsi="Arial" w:cs="Arial"/>
          <w:bCs/>
          <w:sz w:val="24"/>
          <w:szCs w:val="24"/>
        </w:rPr>
      </w:pPr>
      <w:r w:rsidRPr="00274EAE">
        <w:rPr>
          <w:rFonts w:ascii="Arial" w:hAnsi="Arial" w:cs="Arial"/>
          <w:bCs/>
          <w:sz w:val="24"/>
          <w:szCs w:val="24"/>
        </w:rPr>
        <w:t>Several approaches have been assessed in CTA</w:t>
      </w:r>
      <w:r w:rsidR="008206AE" w:rsidRPr="00274EAE">
        <w:rPr>
          <w:rFonts w:ascii="Arial" w:hAnsi="Arial" w:cs="Arial"/>
          <w:bCs/>
          <w:sz w:val="24"/>
          <w:szCs w:val="24"/>
        </w:rPr>
        <w:t xml:space="preserve"> utilizing advances in hardware, and advanced post-processing techniques.</w:t>
      </w:r>
      <w:r w:rsidRPr="00274EAE">
        <w:rPr>
          <w:rFonts w:ascii="Arial" w:hAnsi="Arial" w:cs="Arial"/>
          <w:bCs/>
          <w:sz w:val="24"/>
          <w:szCs w:val="24"/>
        </w:rPr>
        <w:t xml:space="preserve">  </w:t>
      </w:r>
      <w:r w:rsidR="008206AE" w:rsidRPr="00274EAE">
        <w:rPr>
          <w:rFonts w:ascii="Arial" w:hAnsi="Arial" w:cs="Arial"/>
          <w:bCs/>
          <w:sz w:val="24"/>
          <w:szCs w:val="24"/>
        </w:rPr>
        <w:t>By i</w:t>
      </w:r>
      <w:r w:rsidRPr="00274EAE">
        <w:rPr>
          <w:rFonts w:ascii="Arial" w:hAnsi="Arial" w:cs="Arial"/>
          <w:bCs/>
          <w:sz w:val="24"/>
          <w:szCs w:val="24"/>
        </w:rPr>
        <w:t xml:space="preserve">ncreasing the </w:t>
      </w:r>
      <w:r w:rsidR="00566AA4" w:rsidRPr="00274EAE">
        <w:rPr>
          <w:rFonts w:ascii="Arial" w:hAnsi="Arial" w:cs="Arial"/>
          <w:bCs/>
          <w:sz w:val="24"/>
          <w:szCs w:val="24"/>
        </w:rPr>
        <w:t xml:space="preserve">spatial </w:t>
      </w:r>
      <w:r w:rsidRPr="00274EAE">
        <w:rPr>
          <w:rFonts w:ascii="Arial" w:hAnsi="Arial" w:cs="Arial"/>
          <w:bCs/>
          <w:sz w:val="24"/>
          <w:szCs w:val="24"/>
        </w:rPr>
        <w:t>resolution of CT</w:t>
      </w:r>
      <w:r w:rsidR="008206AE" w:rsidRPr="00274EAE">
        <w:rPr>
          <w:rFonts w:ascii="Arial" w:hAnsi="Arial" w:cs="Arial"/>
          <w:bCs/>
          <w:sz w:val="24"/>
          <w:szCs w:val="24"/>
        </w:rPr>
        <w:t xml:space="preserve"> </w:t>
      </w:r>
      <w:r w:rsidRPr="00274EAE">
        <w:rPr>
          <w:rFonts w:ascii="Arial" w:hAnsi="Arial" w:cs="Arial"/>
          <w:bCs/>
          <w:sz w:val="24"/>
          <w:szCs w:val="24"/>
        </w:rPr>
        <w:t>the impact of</w:t>
      </w:r>
      <w:r w:rsidR="008206AE" w:rsidRPr="00274EAE">
        <w:rPr>
          <w:rFonts w:ascii="Arial" w:hAnsi="Arial" w:cs="Arial"/>
          <w:bCs/>
          <w:sz w:val="24"/>
          <w:szCs w:val="24"/>
        </w:rPr>
        <w:t xml:space="preserve"> blooming is reduced </w:t>
      </w:r>
      <w:r w:rsidRPr="00274EAE">
        <w:rPr>
          <w:rFonts w:ascii="Arial" w:hAnsi="Arial" w:cs="Arial"/>
          <w:bCs/>
          <w:sz w:val="24"/>
          <w:szCs w:val="24"/>
        </w:rPr>
        <w:t>due to the reductio</w:t>
      </w:r>
      <w:r w:rsidR="008206AE" w:rsidRPr="00274EAE">
        <w:rPr>
          <w:rFonts w:ascii="Arial" w:hAnsi="Arial" w:cs="Arial"/>
          <w:bCs/>
          <w:sz w:val="24"/>
          <w:szCs w:val="24"/>
        </w:rPr>
        <w:t xml:space="preserve">n in partial </w:t>
      </w:r>
      <w:proofErr w:type="spellStart"/>
      <w:r w:rsidR="008206AE" w:rsidRPr="00274EAE">
        <w:rPr>
          <w:rFonts w:ascii="Arial" w:hAnsi="Arial" w:cs="Arial"/>
          <w:bCs/>
          <w:sz w:val="24"/>
          <w:szCs w:val="24"/>
        </w:rPr>
        <w:t>voluming</w:t>
      </w:r>
      <w:proofErr w:type="spellEnd"/>
      <w:r w:rsidR="008206AE" w:rsidRPr="00274EAE">
        <w:rPr>
          <w:rFonts w:ascii="Arial" w:hAnsi="Arial" w:cs="Arial"/>
          <w:bCs/>
          <w:sz w:val="24"/>
          <w:szCs w:val="24"/>
        </w:rPr>
        <w:t xml:space="preserve">.  </w:t>
      </w:r>
      <w:r w:rsidR="000D1AC9" w:rsidRPr="00274EAE">
        <w:rPr>
          <w:rFonts w:ascii="Arial" w:hAnsi="Arial" w:cs="Arial"/>
          <w:bCs/>
          <w:sz w:val="24"/>
          <w:szCs w:val="24"/>
        </w:rPr>
        <w:t>A study</w:t>
      </w:r>
      <w:r w:rsidRPr="00274EAE">
        <w:rPr>
          <w:rFonts w:ascii="Arial" w:hAnsi="Arial" w:cs="Arial"/>
          <w:bCs/>
          <w:sz w:val="24"/>
          <w:szCs w:val="24"/>
        </w:rPr>
        <w:t xml:space="preserve"> by </w:t>
      </w:r>
      <w:proofErr w:type="spellStart"/>
      <w:r w:rsidRPr="00274EAE">
        <w:rPr>
          <w:rFonts w:ascii="Arial" w:hAnsi="Arial" w:cs="Arial"/>
          <w:bCs/>
          <w:sz w:val="24"/>
          <w:szCs w:val="24"/>
        </w:rPr>
        <w:t>Pontone</w:t>
      </w:r>
      <w:proofErr w:type="spellEnd"/>
      <w:r w:rsidRPr="00274EAE">
        <w:rPr>
          <w:rFonts w:ascii="Arial" w:hAnsi="Arial" w:cs="Arial"/>
          <w:bCs/>
          <w:sz w:val="24"/>
          <w:szCs w:val="24"/>
        </w:rPr>
        <w:t xml:space="preserve"> et al. demonstrated that reducing the x-y axis resolution from 0.625mm to </w:t>
      </w:r>
      <w:r w:rsidRPr="00274EAE">
        <w:rPr>
          <w:rFonts w:ascii="Arial" w:hAnsi="Arial" w:cs="Arial"/>
          <w:bCs/>
          <w:sz w:val="24"/>
          <w:szCs w:val="24"/>
        </w:rPr>
        <w:lastRenderedPageBreak/>
        <w:t xml:space="preserve">0.23mm </w:t>
      </w:r>
      <w:r w:rsidR="000D1AC9" w:rsidRPr="00274EAE">
        <w:rPr>
          <w:rFonts w:ascii="Arial" w:hAnsi="Arial" w:cs="Arial"/>
          <w:bCs/>
          <w:sz w:val="24"/>
          <w:szCs w:val="24"/>
        </w:rPr>
        <w:t xml:space="preserve">improved </w:t>
      </w:r>
      <w:r w:rsidRPr="00274EAE">
        <w:rPr>
          <w:rFonts w:ascii="Arial" w:hAnsi="Arial" w:cs="Arial"/>
          <w:bCs/>
          <w:sz w:val="24"/>
          <w:szCs w:val="24"/>
        </w:rPr>
        <w:t xml:space="preserve">the </w:t>
      </w:r>
      <w:r w:rsidR="008D772E" w:rsidRPr="00274EAE">
        <w:rPr>
          <w:rFonts w:ascii="Arial" w:hAnsi="Arial" w:cs="Arial"/>
          <w:bCs/>
          <w:sz w:val="24"/>
          <w:szCs w:val="24"/>
        </w:rPr>
        <w:t xml:space="preserve">accuracy of </w:t>
      </w:r>
      <w:r w:rsidR="000D1AC9" w:rsidRPr="00274EAE">
        <w:rPr>
          <w:rFonts w:ascii="Arial" w:hAnsi="Arial" w:cs="Arial"/>
          <w:bCs/>
          <w:sz w:val="24"/>
          <w:szCs w:val="24"/>
        </w:rPr>
        <w:t>calcified plaque</w:t>
      </w:r>
      <w:r w:rsidR="008D772E" w:rsidRPr="00274EAE">
        <w:rPr>
          <w:rFonts w:ascii="Arial" w:hAnsi="Arial" w:cs="Arial"/>
          <w:bCs/>
          <w:sz w:val="24"/>
          <w:szCs w:val="24"/>
        </w:rPr>
        <w:t xml:space="preserve"> evaluation</w:t>
      </w:r>
      <w:r w:rsidR="000D1AC9" w:rsidRPr="00274EAE">
        <w:rPr>
          <w:rFonts w:ascii="Arial" w:hAnsi="Arial" w:cs="Arial"/>
          <w:bCs/>
          <w:sz w:val="24"/>
          <w:szCs w:val="24"/>
        </w:rPr>
        <w:t>.</w:t>
      </w:r>
      <w:r w:rsidR="008D772E" w:rsidRPr="00274EAE">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{"citationItems":[{"id":"ITEM-1","itemData":{"DOI":"10.1148/radiol.13130909","ISBN":"1527-1315 (Electronic)\\r0033-8419 (Linking)","ISSN":"0033-8419","PMID":"24520943","abstract":"PURPOSE: To compare the image quality, evaluability, diagnostic accuracy, and radiation exposure of high-spatial-resolution (HR, 0.23-mm) computed tomographic (CT) coronary angiography with standard spatial resolution (SR, 0.625-mm) 64-section imaging in patients at high risk for coronary artery disease (CAD) by using invasive coronary angiography (ICA) as the reference method.\\n\\nMATERIALS AND METHODS: Written informed consent was obtained from all patients, and the study protocol was approved by the institutional ethical committee. Patients at high risk for CAD (n = 184) who were scheduled for ICA were randomly assigned for study with SR (n = 91) or HR (n = 93) coronary CT angiography before they underwent ICA. To compare the two groups, the Student t test or Wilcoxon test were used to evaluate differences in continuous variables. The χ(2) test or Fisher exact test were used, as appropriate, for categorical data. The McNemar test was used to compare the diagnostic performance of coronary CT angiography versus that of ICA in each group.\\n\\nRESULTS: HR coronary CT angiography showed a higher image quality score (3.7 vs 3.4, P &lt; .001) and evaluability (97% vs 92%, P &lt; .002). In a segment-based analysis, HR coronary CT angiography showed a higher specificity, positive predictive value, and accuracy in comparison with SR coronary CT angiography (98%, 91%, and 99% vs 95%, 80%, and 95%, respectively; P &lt; .001). Moreover, HR coronary CT angiography showed a better agreement with ICA for calcified plaques compared with SR coronary CT angiography and ICA (83% vs 53%, P &lt; .001). In a patient-based analysis, HR coronary CT angiography showed higher specificity and accuracy compared with SR coronary CT angiography (91% and 98% vs 46% and 92%, respectively; P &lt; .01). No differences in radiation exposure were found between the two groups.\\n\\nCONCLUSION: Improved evaluability and accuracy were seen with HR compared with SR coronary CT angiography of calcified coronary artery lesions, suggesting a potential use for this technology in patients at high risk for CAD.","author":[{"dropping-particle":"","family":"Pontone","given":"Gianluca","non-dropping-particle":"","parse-names":false,"suffix":""},{"dropping-particle":"","family":"Bertella","given":"Erika","non-dropping-particle":"","parse-names":false,"suffix":""},{"dropping-particle":"","family":"Mushtaq","given":"Saima","non-dropping-particle":"","parse-names":false,"suffix":""},{"dropping-particle":"","family":"Loguercio","given":"Monica","non-dropping-particle":"","parse-names":false,"suffix":""},{"dropping-particle":"","family":"Cortinovis","given":"Sarah","non-dropping-particle":"","parse-names":false,"suffix":""},{"dropping-particle":"","family":"Baggiano","given":"Andrea","non-dropping-particle":"","parse-names":false,"suffix":""},{"dropping-particle":"","family":"Conte","given":"Edoardo","non-dropping-particle":"","parse-names":false,"suffix":""},{"dropping-particle":"","family":"Annoni","given":"Andrea","non-dropping-particle":"","parse-names":false,"suffix":""},{"dropping-particle":"","family":"Formenti","given":"Alberto","non-dropping-particle":"","parse-names":false,"suffix":""},{"dropping-particle":"","family":"Beltrama","given":"Virginia","non-dropping-particle":"","parse-names":false,"suffix":""},{"dropping-particle":"","family":"Guaricci","given":"Andrea Igoren","non-dropping-particle":"","parse-names":false,"suffix":""},{"dropping-particle":"","family":"Andreini","given":"Daniele","non-dropping-particle":"","parse-names":false,"suffix":""}],"container-title":"Radiology","id":"ITEM-1","issue":"3","issued":{"date-parts":[["2014"]]},"page":"688-694","title":"Coronary Artery Disease: Diagnostic Accuracy of CT Coronary Angiography—A Comparison of High and Standard Spatial Resolution Scanning","type":"article-journal","volume":"271"},"uris":["http://www.mendeley.com/documents/?uuid=e491d3be-8c63-4724-afee-a4fd1abb969e"]}],"mendeley":{"formattedCitation":"&lt;sup&gt;22&lt;/sup&gt;","plainTextFormattedCitation":"22","previouslyFormattedCitation":"&lt;sup&gt;22&lt;/sup&gt;"},"properties":{"noteIndex":0},"schema":"https://github.com/citation-style-language/schema/raw/master/csl-citation.json"}</w:instrText>
      </w:r>
      <w:r w:rsidR="008D772E" w:rsidRPr="00274EAE">
        <w:rPr>
          <w:rFonts w:ascii="Arial" w:hAnsi="Arial" w:cs="Arial"/>
          <w:bCs/>
          <w:sz w:val="24"/>
          <w:szCs w:val="24"/>
        </w:rPr>
        <w:fldChar w:fldCharType="separate"/>
      </w:r>
      <w:r w:rsidR="00CB191B" w:rsidRPr="00CB191B">
        <w:rPr>
          <w:rFonts w:ascii="Arial" w:hAnsi="Arial" w:cs="Arial"/>
          <w:bCs/>
          <w:noProof/>
          <w:sz w:val="24"/>
          <w:szCs w:val="24"/>
          <w:vertAlign w:val="superscript"/>
        </w:rPr>
        <w:t>22</w:t>
      </w:r>
      <w:r w:rsidR="008D772E" w:rsidRPr="00274EAE">
        <w:rPr>
          <w:rFonts w:ascii="Arial" w:hAnsi="Arial" w:cs="Arial"/>
          <w:bCs/>
          <w:sz w:val="24"/>
          <w:szCs w:val="24"/>
        </w:rPr>
        <w:fldChar w:fldCharType="end"/>
      </w:r>
      <w:r w:rsidR="008D772E" w:rsidRPr="00274EAE">
        <w:rPr>
          <w:rFonts w:ascii="Arial" w:hAnsi="Arial" w:cs="Arial"/>
          <w:bCs/>
          <w:sz w:val="24"/>
          <w:szCs w:val="24"/>
        </w:rPr>
        <w:t xml:space="preserve">  </w:t>
      </w:r>
      <w:r w:rsidR="008206AE" w:rsidRPr="00274EAE">
        <w:rPr>
          <w:rFonts w:ascii="Arial" w:hAnsi="Arial" w:cs="Arial"/>
          <w:bCs/>
          <w:sz w:val="24"/>
          <w:szCs w:val="24"/>
        </w:rPr>
        <w:t xml:space="preserve">An improvement in the x-y axis resolution however does not reduce </w:t>
      </w:r>
      <w:r w:rsidR="008D772E" w:rsidRPr="00274EAE">
        <w:rPr>
          <w:rFonts w:ascii="Arial" w:hAnsi="Arial" w:cs="Arial"/>
          <w:bCs/>
          <w:sz w:val="24"/>
          <w:szCs w:val="24"/>
        </w:rPr>
        <w:t xml:space="preserve">calcium blooming in the z-axis which is </w:t>
      </w:r>
      <w:r w:rsidR="00392729" w:rsidRPr="00274EAE">
        <w:rPr>
          <w:rFonts w:ascii="Arial" w:hAnsi="Arial" w:cs="Arial"/>
          <w:bCs/>
          <w:sz w:val="24"/>
          <w:szCs w:val="24"/>
        </w:rPr>
        <w:t>dependent</w:t>
      </w:r>
      <w:r w:rsidR="008D772E" w:rsidRPr="00274EAE">
        <w:rPr>
          <w:rFonts w:ascii="Arial" w:hAnsi="Arial" w:cs="Arial"/>
          <w:bCs/>
          <w:sz w:val="24"/>
          <w:szCs w:val="24"/>
        </w:rPr>
        <w:t xml:space="preserve"> on scanner slice thickness which has not substantially changed in the last 10 years.</w:t>
      </w:r>
      <w:r w:rsidR="008206AE" w:rsidRPr="00274EAE">
        <w:rPr>
          <w:rFonts w:ascii="Arial" w:hAnsi="Arial" w:cs="Arial"/>
          <w:bCs/>
          <w:sz w:val="24"/>
          <w:szCs w:val="24"/>
        </w:rPr>
        <w:t xml:space="preserve">  A clinical prototype scanner has recently been developed with an improved z-axis resolution of 0.23mm which may overcome this limitation.  </w:t>
      </w:r>
      <w:r w:rsidR="00E224F7">
        <w:rPr>
          <w:rFonts w:ascii="Arial" w:hAnsi="Arial" w:cs="Arial"/>
          <w:bCs/>
          <w:sz w:val="24"/>
          <w:szCs w:val="24"/>
        </w:rPr>
        <w:t>P</w:t>
      </w:r>
      <w:r w:rsidR="008206AE" w:rsidRPr="00274EAE">
        <w:rPr>
          <w:rFonts w:ascii="Arial" w:hAnsi="Arial" w:cs="Arial"/>
          <w:bCs/>
          <w:sz w:val="24"/>
          <w:szCs w:val="24"/>
        </w:rPr>
        <w:t>reliminary</w:t>
      </w:r>
      <w:r w:rsidR="00E224F7">
        <w:rPr>
          <w:rFonts w:ascii="Arial" w:hAnsi="Arial" w:cs="Arial"/>
          <w:bCs/>
          <w:sz w:val="24"/>
          <w:szCs w:val="24"/>
        </w:rPr>
        <w:t xml:space="preserve"> reports describe good</w:t>
      </w:r>
      <w:r w:rsidR="008206AE" w:rsidRPr="00274EAE">
        <w:rPr>
          <w:rFonts w:ascii="Arial" w:hAnsi="Arial" w:cs="Arial"/>
          <w:bCs/>
          <w:sz w:val="24"/>
          <w:szCs w:val="24"/>
        </w:rPr>
        <w:t xml:space="preserve"> accuracy compared with ICA, </w:t>
      </w:r>
      <w:r w:rsidR="00E224F7">
        <w:rPr>
          <w:rFonts w:ascii="Arial" w:hAnsi="Arial" w:cs="Arial"/>
          <w:bCs/>
          <w:sz w:val="24"/>
          <w:szCs w:val="24"/>
        </w:rPr>
        <w:t>with successful reduction in calcium blooming</w:t>
      </w:r>
      <w:r w:rsidR="00AE43AC">
        <w:rPr>
          <w:rFonts w:ascii="Arial" w:hAnsi="Arial" w:cs="Arial"/>
          <w:bCs/>
          <w:sz w:val="24"/>
          <w:szCs w:val="24"/>
        </w:rPr>
        <w:t xml:space="preserve"> and</w:t>
      </w:r>
      <w:r w:rsidR="00E224F7">
        <w:rPr>
          <w:rFonts w:ascii="Arial" w:hAnsi="Arial" w:cs="Arial"/>
          <w:bCs/>
          <w:sz w:val="24"/>
          <w:szCs w:val="24"/>
        </w:rPr>
        <w:t xml:space="preserve"> a reduction of false positives from 8 to 1 in 24 calcified segments</w:t>
      </w:r>
      <w:r w:rsidR="00AE43AC">
        <w:rPr>
          <w:rFonts w:ascii="Arial" w:hAnsi="Arial" w:cs="Arial"/>
          <w:bCs/>
          <w:sz w:val="24"/>
          <w:szCs w:val="24"/>
        </w:rPr>
        <w:t xml:space="preserve"> using high resolution images compared with standard resolution images</w:t>
      </w:r>
      <w:r w:rsidR="008206AE" w:rsidRPr="00274EAE">
        <w:rPr>
          <w:rFonts w:ascii="Arial" w:hAnsi="Arial" w:cs="Arial"/>
          <w:bCs/>
          <w:sz w:val="24"/>
          <w:szCs w:val="24"/>
        </w:rPr>
        <w:t>.</w:t>
      </w:r>
      <w:r w:rsidR="00E224F7">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10.1253/circj.CJ-17-1281","ISSN":"1346-9843","author":[{"dropping-particle":"","family":"Motoyama","given":"Sadako","non-dropping-particle":"","parse-names":false,"suffix":""},{"dropping-particle":"","family":"Ito","given":"Hajime","non-dropping-particle":"","parse-names":false,"suffix":""},{"dropping-particle":"","family":"Sarai","given":"Masayoshi","non-dropping-particle":"","parse-names":false,"suffix":""},{"dropping-particle":"","family":"Nagahara","given":"Yasuomi","non-dropping-particle":"","parse-names":false,"suffix":""},{"dropping-particle":"","family":"Miyajima","given":"Keiichi","non-dropping-particle":"","parse-names":false,"suffix":""},{"dropping-particle":"","family":"Matsumoto","given":"Ryota","non-dropping-particle":"","parse-names":false,"suffix":""},{"dropping-particle":"","family":"Doi","given":"Yujiro","non-dropping-particle":"","parse-names":false,"suffix":""},{"dropping-particle":"","family":"Kataoka","given":"Yumi","non-dropping-particle":"","parse-names":false,"suffix":""},{"dropping-particle":"","family":"Takahashi","given":"Hiroshi","non-dropping-particle":"","parse-names":false,"suffix":""},{"dropping-particle":"","family":"Ozaki","given":"Yukio","non-dropping-particle":"","parse-names":false,"suffix":""},{"dropping-particle":"","family":"Toyama","given":"Hiroshi","non-dropping-particle":"","parse-names":false,"suffix":""},{"dropping-particle":"","family":"Katada","given":"Kazuhiro","non-dropping-particle":"","parse-names":false,"suffix":""}],"container-title":"Circulation Journal","id":"ITEM-1","issue":"7","issued":{"date-parts":[["2018","6","25"]]},"page":"1844-1851","title":"Ultra-High-Resolution Computed Tomography Angiography for Assessment of Coronary Artery Stenosis","type":"article-journal","volume":"82"},"uris":["http://www.mendeley.com/documents/?uuid=7376f4e8-d9fc-4c33-8f34-6b6c568d0421"]},{"id":"ITEM-2","itemData":{"DOI":"10.1016/j.ejrad.2018.01.030","ISSN":"18727727","PMID":"29571798","abstract":"Purpose: Recently, ultra-high-resolution computed tomography (U-HRCT) with a 0.25 mm × 128-row detector was introduced. The purpose of this study was to evaluate the diagnostic performance of coronary CT angiography (CCTA) using U-HRCT. Methods: This retrospective study included 38 consecutive patients with suspected coronary artery disease (CAD) who underwent CCTA with U-HRCT followed by invasive coronary angiography (ICA). Per-segment diameter stenosis was calculated. Diagnostic performance of CCTA relative to ICA as the reference standard was determined. For segments with &gt;30% diameter stenosis, the correlation and agreement of percent diameter stenosis between CCTA and ICA were calculated. Results: Obstructive CAD was observed in 65 segments (12%) of 51 vessels (45%) in 32 patients (84%) during ICA. The per-patient, vessel, and segment analyses showed a sensitivity of 100% (95% confidence interval [CI], 95%–100%), 96% (95% CI: 89%–99%) and 95% (95% CI: 89%–98%), respectively, and a specificity of 67% (95% CI: 38%–67%), 81% (95% CI: 75%–83%) and 96% (95% CI: 96%–97%), respectively. The percentage of diameter stenosis, as determined by CCTA, demonstrated an excellent correlation with ICA (R = 0.90; 95% CI: 0.83–0.95) and a slight significant overestimation (mean: 4% ± 7%, p &lt;.01), with the agreed range of limits being ± 16%. The median effective radiation dose for CCTA was 5.4 mSv (range: 2.9–18.0 mSv). Conclusions: CCTA with U-HRCT demonstrated an excellent correlation and agreement with ICA in the quantification of coronary artery stenosis.","author":[{"dropping-particle":"","family":"Takagi","given":"Hidenobu","non-dropping-particle":"","parse-names":false,"suffix":""},{"dropping-particle":"","family":"Tanaka","given":"Ryoichi","non-dropping-particle":"","parse-names":false,"suffix":""},{"dropping-particle":"","family":"Nagata","given":"Kyohei","non-dropping-particle":"","parse-names":false,"suffix":""},{"dropping-particle":"","family":"Ninomiya","given":"Ryo","non-dropping-particle":"","parse-names":false,"suffix":""},{"dropping-particle":"","family":"Arakita","given":"Kazumasa","non-dropping-particle":"","parse-names":false,"suffix":""},{"dropping-particle":"","family":"Schuijf","given":"Joanne D.","non-dropping-particle":"","parse-names":false,"suffix":""},{"dropping-particle":"","family":"Yoshioka","given":"Kunihiro","non-dropping-particle":"","parse-names":false,"suffix":""}],"container-title":"European Journal of Radiology","id":"ITEM-2","issue":"January","issued":{"date-parts":[["2018"]]},"page":"30-37","publisher":"Elsevier","title":"Diagnostic performance of coronary CT angiography with ultra-high-resolution CT: Comparison with invasive coronary angiography","type":"article-journal","volume":"101"},"uris":["http://www.mendeley.com/documents/?uuid=9ddab47c-00eb-458e-b9c9-a20fbd830ad0"]}],"mendeley":{"formattedCitation":"&lt;sup&gt;23,24&lt;/sup&gt;","plainTextFormattedCitation":"23,24","previouslyFormattedCitation":"&lt;sup&gt;23,24&lt;/sup&gt;"},"properties":{"noteIndex":0},"schema":"https://github.com/citation-style-language/schema/raw/master/csl-citation.json"}</w:instrText>
      </w:r>
      <w:r w:rsidR="00E224F7">
        <w:rPr>
          <w:rFonts w:ascii="Arial" w:hAnsi="Arial" w:cs="Arial"/>
          <w:bCs/>
          <w:sz w:val="24"/>
          <w:szCs w:val="24"/>
        </w:rPr>
        <w:fldChar w:fldCharType="separate"/>
      </w:r>
      <w:r w:rsidR="00CB191B" w:rsidRPr="00CB191B">
        <w:rPr>
          <w:rFonts w:ascii="Arial" w:hAnsi="Arial" w:cs="Arial"/>
          <w:bCs/>
          <w:noProof/>
          <w:sz w:val="24"/>
          <w:szCs w:val="24"/>
          <w:vertAlign w:val="superscript"/>
        </w:rPr>
        <w:t>23,24</w:t>
      </w:r>
      <w:r w:rsidR="00E224F7">
        <w:rPr>
          <w:rFonts w:ascii="Arial" w:hAnsi="Arial" w:cs="Arial"/>
          <w:bCs/>
          <w:sz w:val="24"/>
          <w:szCs w:val="24"/>
        </w:rPr>
        <w:fldChar w:fldCharType="end"/>
      </w:r>
      <w:r w:rsidR="008206AE" w:rsidRPr="00274EAE">
        <w:rPr>
          <w:rFonts w:ascii="Arial" w:hAnsi="Arial" w:cs="Arial"/>
          <w:bCs/>
          <w:sz w:val="24"/>
          <w:szCs w:val="24"/>
        </w:rPr>
        <w:t xml:space="preserve"> </w:t>
      </w:r>
      <w:r w:rsidR="00566AA4" w:rsidRPr="00274EAE">
        <w:rPr>
          <w:rFonts w:ascii="Arial" w:hAnsi="Arial" w:cs="Arial"/>
          <w:bCs/>
          <w:sz w:val="24"/>
          <w:szCs w:val="24"/>
        </w:rPr>
        <w:t>Calcium subtraction</w:t>
      </w:r>
      <w:r w:rsidR="004B7ED6" w:rsidRPr="00274EAE">
        <w:rPr>
          <w:rFonts w:ascii="Arial" w:hAnsi="Arial" w:cs="Arial"/>
          <w:bCs/>
          <w:sz w:val="24"/>
          <w:szCs w:val="24"/>
        </w:rPr>
        <w:t xml:space="preserve"> has been useful in peripheral CT angiograp</w:t>
      </w:r>
      <w:r w:rsidR="00392729">
        <w:rPr>
          <w:rFonts w:ascii="Arial" w:hAnsi="Arial" w:cs="Arial"/>
          <w:bCs/>
          <w:sz w:val="24"/>
          <w:szCs w:val="24"/>
        </w:rPr>
        <w:t>h</w:t>
      </w:r>
      <w:r w:rsidR="004B7ED6" w:rsidRPr="00274EAE">
        <w:rPr>
          <w:rFonts w:ascii="Arial" w:hAnsi="Arial" w:cs="Arial"/>
          <w:bCs/>
          <w:sz w:val="24"/>
          <w:szCs w:val="24"/>
        </w:rPr>
        <w:t xml:space="preserve">y, but has been limited in CTA due to the need to acquire two scans of the heart resulting in both high radiation doses, and misregistration </w:t>
      </w:r>
      <w:r w:rsidR="002D20AB">
        <w:rPr>
          <w:rFonts w:ascii="Arial" w:hAnsi="Arial" w:cs="Arial"/>
          <w:bCs/>
          <w:sz w:val="24"/>
          <w:szCs w:val="24"/>
        </w:rPr>
        <w:t>artifact</w:t>
      </w:r>
      <w:r w:rsidR="004B7ED6" w:rsidRPr="00274EAE">
        <w:rPr>
          <w:rFonts w:ascii="Arial" w:hAnsi="Arial" w:cs="Arial"/>
          <w:bCs/>
          <w:sz w:val="24"/>
          <w:szCs w:val="24"/>
        </w:rPr>
        <w:t>s.</w:t>
      </w:r>
      <w:r w:rsidR="004B7ED6" w:rsidRPr="00274EAE">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{"citationItems":[{"id":"ITEM-1","itemData":{"DOI":"10.1007/s10554-015-0630-1","ISSN":"15730743","PMID":"25721727","abstract":"The purpose of this study was to explore the feasibility of subtraction coronary computed tomography angiography (CCTA) by second-generation 320-detector row CT in patients with severe coronary artery calcification using invasive coronary angiography (ICA) as the gold standard. This study was approved by the institutional board, and all subjects provided written consent. Twenty patients with calcium scores of[400 underwent conven- tional CCTA and subtraction CCTA followed by ICA. A total of 82 segments were evaluated for image quality using a 4-point scale and the presence of significant ([50 %) luminal stenosis by two independent readers. The average image quality was 2.3 ± 0.8 with conventional CCTA and 3.2 ± 0.6 with subtraction CCTA (P\\0.001). The per- centage of segments with non-diagnostic image quality was 43.9 %on conventional CCTA versus 8.5 %on subtraction CCTA (P = 0.004). The segment-based diagnostic accuracy for detecting significant stenosis according to ICA revealed an area under the receiver operating character- istics curve of 0.824 (95 % confidence interval [CI], 0.750–0.899) for conventional CCTA and 0.936 (95 % CI 0.889–0.936) for subtraction CCTA (P = 0.001). The sensitivity, specificity, positive predictive value, and negative predictive value for conventional CCTA were 88.2, 62.5, 62.5, and 88.2 %, respectively, and for subtraction CCTA they were 94.1, 85.4, 82.1, and 95.3 %, respectively. As compared to conventional, subtraction CCTA using a second-generation 320-detector row CT showed improvement in diagnostic accuracy at segment base analysis in patients with severe calcifications","author":[{"dropping-particle":"","family":"Yoshioka","given":"Kunihiro","non-dropping-particle":"","parse-names":false,"suffix":""},{"dropping-particle":"","family":"Tanaka","given":"Ryoichi","non-dropping-particle":"","parse-names":false,"suffix":""},{"dropping-particle":"","family":"Muranaka","given":"Kenta","non-dropping-particle":"","parse-names":false,"suffix":""},{"dropping-particle":"","family":"Sasaki","given":"Tadashi","non-dropping-particle":"","parse-names":false,"suffix":""},{"dropping-particle":"","family":"Ueda","given":"Takanori","non-dropping-particle":"","parse-names":false,"suffix":""},{"dropping-particle":"","family":"Chiba","given":"Takuya","non-dropping-particle":"","parse-names":false,"suffix":""},{"dropping-particle":"","family":"Takeda","given":"Kouta","non-dropping-particle":"","parse-names":false,"suffix":""},{"dropping-particle":"","family":"Sugawara","given":"Tsuyoshi","non-dropping-particle":"","parse-names":false,"suffix":""}],"container-title":"International Journal of Cardiovascular Imaging","id":"ITEM-1","issue":"1","issued":{"date-parts":[["2015"]]},"page":"51-58","publisher":"Springer Netherlands","title":"Subtraction coronary CT angiography using second-generation 320-detector row CT","type":"article-journal","volume":"31"},"uris":["http://www.mendeley.com/documents/?uuid=8e4e54d3-80cf-46a6-b89a-174c67f9d44a"]}],"mendeley":{"formattedCitation":"&lt;sup&gt;25&lt;/sup&gt;","plainTextFormattedCitation":"25","previouslyFormattedCitation":"&lt;sup&gt;25&lt;/sup&gt;"},"properties":{"noteIndex":0},"schema":"https://github.com/citation-style-language/schema/raw/master/csl-citation.json"}</w:instrText>
      </w:r>
      <w:r w:rsidR="004B7ED6" w:rsidRPr="00274EAE">
        <w:rPr>
          <w:rFonts w:ascii="Arial" w:hAnsi="Arial" w:cs="Arial"/>
          <w:bCs/>
          <w:sz w:val="24"/>
          <w:szCs w:val="24"/>
        </w:rPr>
        <w:fldChar w:fldCharType="separate"/>
      </w:r>
      <w:r w:rsidR="00CB191B" w:rsidRPr="00CB191B">
        <w:rPr>
          <w:rFonts w:ascii="Arial" w:hAnsi="Arial" w:cs="Arial"/>
          <w:bCs/>
          <w:noProof/>
          <w:sz w:val="24"/>
          <w:szCs w:val="24"/>
          <w:vertAlign w:val="superscript"/>
        </w:rPr>
        <w:t>25</w:t>
      </w:r>
      <w:r w:rsidR="004B7ED6" w:rsidRPr="00274EAE">
        <w:rPr>
          <w:rFonts w:ascii="Arial" w:hAnsi="Arial" w:cs="Arial"/>
          <w:bCs/>
          <w:sz w:val="24"/>
          <w:szCs w:val="24"/>
        </w:rPr>
        <w:fldChar w:fldCharType="end"/>
      </w:r>
      <w:r w:rsidR="00566AA4" w:rsidRPr="00274EAE">
        <w:rPr>
          <w:rFonts w:ascii="Arial" w:hAnsi="Arial" w:cs="Arial"/>
          <w:bCs/>
          <w:sz w:val="24"/>
          <w:szCs w:val="24"/>
        </w:rPr>
        <w:t xml:space="preserve"> </w:t>
      </w:r>
      <w:r w:rsidR="004B7ED6" w:rsidRPr="00274EAE">
        <w:rPr>
          <w:rFonts w:ascii="Arial" w:hAnsi="Arial" w:cs="Arial"/>
          <w:bCs/>
          <w:sz w:val="24"/>
          <w:szCs w:val="24"/>
        </w:rPr>
        <w:t>U</w:t>
      </w:r>
      <w:r w:rsidR="00566AA4" w:rsidRPr="00274EAE">
        <w:rPr>
          <w:rFonts w:ascii="Arial" w:hAnsi="Arial" w:cs="Arial"/>
          <w:bCs/>
          <w:sz w:val="24"/>
          <w:szCs w:val="24"/>
        </w:rPr>
        <w:t xml:space="preserve">sing </w:t>
      </w:r>
      <w:r w:rsidR="004B7ED6" w:rsidRPr="00274EAE">
        <w:rPr>
          <w:rFonts w:ascii="Arial" w:hAnsi="Arial" w:cs="Arial"/>
          <w:bCs/>
          <w:sz w:val="24"/>
          <w:szCs w:val="24"/>
        </w:rPr>
        <w:t>a dual source</w:t>
      </w:r>
      <w:r w:rsidR="00566AA4" w:rsidRPr="00274EAE">
        <w:rPr>
          <w:rFonts w:ascii="Arial" w:hAnsi="Arial" w:cs="Arial"/>
          <w:bCs/>
          <w:sz w:val="24"/>
          <w:szCs w:val="24"/>
        </w:rPr>
        <w:t xml:space="preserve"> CT</w:t>
      </w:r>
      <w:r w:rsidR="004B7ED6" w:rsidRPr="00274EAE">
        <w:rPr>
          <w:rFonts w:ascii="Arial" w:hAnsi="Arial" w:cs="Arial"/>
          <w:bCs/>
          <w:sz w:val="24"/>
          <w:szCs w:val="24"/>
        </w:rPr>
        <w:t xml:space="preserve"> scanner, De </w:t>
      </w:r>
      <w:proofErr w:type="spellStart"/>
      <w:r w:rsidR="004B7ED6" w:rsidRPr="00274EAE">
        <w:rPr>
          <w:rFonts w:ascii="Arial" w:hAnsi="Arial" w:cs="Arial"/>
          <w:bCs/>
          <w:sz w:val="24"/>
          <w:szCs w:val="24"/>
        </w:rPr>
        <w:t>Santis</w:t>
      </w:r>
      <w:proofErr w:type="spellEnd"/>
      <w:r w:rsidR="004B7ED6" w:rsidRPr="00274EAE">
        <w:rPr>
          <w:rFonts w:ascii="Arial" w:hAnsi="Arial" w:cs="Arial"/>
          <w:bCs/>
          <w:sz w:val="24"/>
          <w:szCs w:val="24"/>
        </w:rPr>
        <w:t xml:space="preserve"> and colleagues have recently been able to use dual energy CT to good effect, with improved lumen visualization and image quality reported compared with the </w:t>
      </w:r>
      <w:proofErr w:type="spellStart"/>
      <w:r w:rsidR="004B7ED6" w:rsidRPr="00274EAE">
        <w:rPr>
          <w:rFonts w:ascii="Arial" w:hAnsi="Arial" w:cs="Arial"/>
          <w:bCs/>
          <w:sz w:val="24"/>
          <w:szCs w:val="24"/>
        </w:rPr>
        <w:t>unsubtracted</w:t>
      </w:r>
      <w:proofErr w:type="spellEnd"/>
      <w:r w:rsidR="004B7ED6" w:rsidRPr="00274EAE">
        <w:rPr>
          <w:rFonts w:ascii="Arial" w:hAnsi="Arial" w:cs="Arial"/>
          <w:bCs/>
          <w:sz w:val="24"/>
          <w:szCs w:val="24"/>
        </w:rPr>
        <w:t xml:space="preserve"> images.</w:t>
      </w:r>
      <w:r w:rsidR="004B7ED6" w:rsidRPr="00274EAE">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{"citationItems":[{"id":"ITEM-1","itemData":{"DOI":"10.1097/RLI.0000000000000416","ISBN":"0000000000000","ISSN":"15360210","PMID":"29016370","abstract":"© 2017 Wolters Kluwer Health, Inc. All rights reserved. Objectives: The aim of this study was to evaluate a prototype dual-energy computed tomography calcium subtraction algorithm and its impact on luminal visualization in patients with heavily calcified coronary arteries. Materials and Methods: Twenty-nine patients (62% male; mean age, 64 ± 7 years) who had undergone dual-energy coronary computed tomography angiography were retrospectively included in this institutional review board-approved, Health Insurance Portability and Accountability Act-compliant study. Linearly blended (M0.6) and calcium-subtracted images were reconstructed. Two independent observers assessed luminal visualization of the coronary arteries in a segmentbased analysis, subjective image quality, and diagnostic confidence using 5-point Likert scales. Contrast-to-noise ratios for both data sets were calculated. Wilcoxon testing and Cohen's? were used for statistical comparisons. Results: Calcium-subtracted image series showed improved lumen visualization of the coronary arteries (P = 0.008), with excellent interreader agreement (mean score, 3.3; = 0.82), compared with M-0.6 series (mean score, 2.9; = 0.77). The calcium subtraction algorithm improved diagnostic confidence compared with the M-0.6 reconstructions (mean scores, 4.0 and 3.1, respectively; all P = 0.002). The image quality analysis showed no significant differences between calcium-subtracted and M-0.6 data sets (subjectively: mean scores, 4.1 and 4.2, respectively, P = 0.442; objectively: mean contrast-to-noise ratio, 37.0 and 38.2, respectively, P = 0.733). Conclusions: A prototype algorithm for calcium subtraction improves coronary lumen visualization and diagnostic confidence in patients with heavy coronary calcifications without differences in conventional subjective and objective measures of image quality.","author":[{"dropping-particle":"","family":"Santis","given":"Domenico","non-dropping-particle":"De","parse-names":false,"suffix":""},{"dropping-particle":"","family":"Jin","given":"Kwang Nam","non-dropping-particle":"","parse-names":false,"suffix":""},{"dropping-particle":"","family":"Joseph Schoepf","given":"U.","non-dropping-particle":"","parse-names":false,"suffix":""},{"dropping-particle":"","family":"Grant","given":"Katharine L.","non-dropping-particle":"","parse-names":false,"suffix":""},{"dropping-particle":"","family":"Cecco","given":"Carlo N.","non-dropping-particle":"De","parse-names":false,"suffix":""},{"dropping-particle":"","family":"Nance","given":"John W.","non-dropping-particle":"","parse-names":false,"suffix":""},{"dropping-particle":"","family":"Vogl","given":"Thomas J.","non-dropping-particle":"","parse-names":false,"suffix":""},{"dropping-particle":"","family":"Laghi","given":"Andrea","non-dropping-particle":"","parse-names":false,"suffix":""},{"dropping-particle":"","family":"Albrecht","given":"Moritz H.","non-dropping-particle":"","parse-names":false,"suffix":""}],"container-title":"Investigative Radiology","id":"ITEM-1","issue":"2","issued":{"date-parts":[["2018"]]},"page":"103-109","title":"Heavily calcified coronary arteries advanced calcium subtraction improves luminal visualization and diagnostic confidence in dual-energy coronary computed tomography angiography","type":"article-journal","volume":"53"},"uris":["http://www.mendeley.com/documents/?uuid=ae58a0f9-10e7-4041-a70d-e04c10402339"]}],"mendeley":{"formattedCitation":"&lt;sup&gt;26&lt;/sup&gt;","plainTextFormattedCitation":"26","previouslyFormattedCitation":"&lt;sup&gt;26&lt;/sup&gt;"},"properties":{"noteIndex":0},"schema":"https://github.com/citation-style-language/schema/raw/master/csl-citation.json"}</w:instrText>
      </w:r>
      <w:r w:rsidR="004B7ED6" w:rsidRPr="00274EAE">
        <w:rPr>
          <w:rFonts w:ascii="Arial" w:hAnsi="Arial" w:cs="Arial"/>
          <w:bCs/>
          <w:sz w:val="24"/>
          <w:szCs w:val="24"/>
        </w:rPr>
        <w:fldChar w:fldCharType="separate"/>
      </w:r>
      <w:r w:rsidR="00CB191B" w:rsidRPr="00CB191B">
        <w:rPr>
          <w:rFonts w:ascii="Arial" w:hAnsi="Arial" w:cs="Arial"/>
          <w:bCs/>
          <w:noProof/>
          <w:sz w:val="24"/>
          <w:szCs w:val="24"/>
          <w:vertAlign w:val="superscript"/>
        </w:rPr>
        <w:t>26</w:t>
      </w:r>
      <w:r w:rsidR="004B7ED6" w:rsidRPr="00274EAE">
        <w:rPr>
          <w:rFonts w:ascii="Arial" w:hAnsi="Arial" w:cs="Arial"/>
          <w:bCs/>
          <w:sz w:val="24"/>
          <w:szCs w:val="24"/>
        </w:rPr>
        <w:fldChar w:fldCharType="end"/>
      </w:r>
      <w:r w:rsidR="004B7ED6" w:rsidRPr="00274EAE">
        <w:rPr>
          <w:rFonts w:ascii="Arial" w:hAnsi="Arial" w:cs="Arial"/>
          <w:bCs/>
          <w:sz w:val="24"/>
          <w:szCs w:val="24"/>
        </w:rPr>
        <w:t xml:space="preserve">  However the impact of this on diagnostic accuracy has yet to be evaluated. </w:t>
      </w:r>
    </w:p>
    <w:p w14:paraId="006C00F4" w14:textId="77777777" w:rsidR="0085755A" w:rsidRPr="00274EAE" w:rsidRDefault="0085755A" w:rsidP="00252392">
      <w:pPr>
        <w:spacing w:line="360" w:lineRule="auto"/>
        <w:rPr>
          <w:rFonts w:ascii="Arial" w:hAnsi="Arial" w:cs="Arial"/>
          <w:bCs/>
          <w:sz w:val="24"/>
          <w:szCs w:val="24"/>
        </w:rPr>
      </w:pPr>
    </w:p>
    <w:p w14:paraId="2DD73287" w14:textId="780B9023" w:rsidR="008A03B8" w:rsidRPr="00274EAE" w:rsidRDefault="008206AE" w:rsidP="00252392">
      <w:pPr>
        <w:spacing w:line="360" w:lineRule="auto"/>
        <w:rPr>
          <w:rFonts w:ascii="Arial" w:hAnsi="Arial" w:cs="Arial"/>
          <w:bCs/>
          <w:sz w:val="24"/>
          <w:szCs w:val="24"/>
        </w:rPr>
      </w:pPr>
      <w:r w:rsidRPr="00274EAE">
        <w:rPr>
          <w:rFonts w:ascii="Arial" w:hAnsi="Arial" w:cs="Arial"/>
          <w:bCs/>
          <w:sz w:val="24"/>
          <w:szCs w:val="24"/>
        </w:rPr>
        <w:t>High</w:t>
      </w:r>
      <w:r w:rsidR="000D1AC9" w:rsidRPr="00274EAE">
        <w:rPr>
          <w:rFonts w:ascii="Arial" w:hAnsi="Arial" w:cs="Arial"/>
          <w:bCs/>
          <w:sz w:val="24"/>
          <w:szCs w:val="24"/>
        </w:rPr>
        <w:t>-convolution filter reconstruction algorithms</w:t>
      </w:r>
      <w:r w:rsidRPr="00274EAE">
        <w:rPr>
          <w:rFonts w:ascii="Arial" w:hAnsi="Arial" w:cs="Arial"/>
          <w:bCs/>
          <w:sz w:val="24"/>
          <w:szCs w:val="24"/>
        </w:rPr>
        <w:t xml:space="preserve"> have been used with good efficacy in stent evaluation, and hold promise in calcium blooming reduction</w:t>
      </w:r>
      <w:r w:rsidR="002224A4" w:rsidRPr="00274EAE">
        <w:rPr>
          <w:rFonts w:ascii="Arial" w:hAnsi="Arial" w:cs="Arial"/>
          <w:bCs/>
          <w:sz w:val="24"/>
          <w:szCs w:val="24"/>
        </w:rPr>
        <w:t xml:space="preserve"> although are associated with a sign</w:t>
      </w:r>
      <w:r w:rsidR="00B240D8" w:rsidRPr="00274EAE">
        <w:rPr>
          <w:rFonts w:ascii="Arial" w:hAnsi="Arial" w:cs="Arial"/>
          <w:bCs/>
          <w:sz w:val="24"/>
          <w:szCs w:val="24"/>
        </w:rPr>
        <w:t xml:space="preserve">ificant increase in image noise which is </w:t>
      </w:r>
      <w:r w:rsidR="002224A4" w:rsidRPr="00274EAE">
        <w:rPr>
          <w:rFonts w:ascii="Arial" w:hAnsi="Arial" w:cs="Arial"/>
          <w:bCs/>
          <w:sz w:val="24"/>
          <w:szCs w:val="24"/>
        </w:rPr>
        <w:t>problematic in those with an elevated BMI</w:t>
      </w:r>
      <w:r w:rsidRPr="00274EAE">
        <w:rPr>
          <w:rFonts w:ascii="Arial" w:hAnsi="Arial" w:cs="Arial"/>
          <w:bCs/>
          <w:sz w:val="24"/>
          <w:szCs w:val="24"/>
        </w:rPr>
        <w:t>.</w:t>
      </w:r>
      <w:r w:rsidR="002224A4" w:rsidRPr="00274EAE">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{"citationItems":[{"id":"ITEM-1","itemData":{"DOI":"10.1016/j.ejrad.2015.02.004","ISSN":"18727727","PMID":"25743247","abstract":"Objective The aim of this study was to evaluate the in vivo performance of four image reconstruction algorithms in a high-definition CT (HDCT) scanner with improved spatial resolution for the evaluation of coronary artery stents and intrastent lumina. Materials and methods Thirty-nine consecutive patients with a total of 71 implanted coronary stents underwent coronary CT angiography (CCTA) on a HDCT (Discovery CT 750 HD; GE Healthcare) with the high-resolution scanning mode. Four different reconstruction algorithms (HD-stand, HD-detail; HD-stand-plus; HD-detail-plus) were applied to reconstruct the stented coronary arteries. Image quality for stent characterization was assessed. Image noise and intrastent luminal diameter were measured. The relationship between the measurement of inner stent diameter (ISD) and the true stent diameter (TSD) and stent type were analysed. Results The stent-dedicated kernel (HD-detail) offered the highest percentage (53.5%) of good image quality for stent characterization and the highest ratio (68.0 ± 8.4%) of visible stent lumen/true stent lumen for luminal diameter measurement at the expense of an increased overall image noise. The Pearson correlation coefficient between the ISD and TSD measurement and spearman correlation coefficient between the ISD measurement and stent type were 0.83 and 0.48, respectively. Conclusions Compared with standard reconstruction algorithms, high-definition CT imaging technique with dedicated high-resolution reconstruction algorithm provides more accurate stent characterization and intrastent luminal diameter measurement.","author":[{"dropping-particle":"","family":"Cui","given":"Xiaoming","non-dropping-particle":"","parse-names":false,"suffix":""},{"dropping-particle":"","family":"Li","given":"Tao","non-dropping-particle":"","parse-names":false,"suffix":""},{"dropping-particle":"","family":"Li","given":"Xin","non-dropping-particle":"","parse-names":false,"suffix":""},{"dropping-particle":"","family":"Zhou","given":"Weihua","non-dropping-particle":"","parse-names":false,"suffix":""}],"container-title":"European Journal of Radiology","id":"ITEM-1","issue":"5","issued":{"date-parts":[["2015"]]},"page":"834-839","publisher":"Elsevier Ireland Ltd","title":"High-definition computed tomography for coronary artery stents imaging: Initial evaluation of the optimal reconstruction algorithm","type":"article-journal","volume":"84"},"uris":["http://www.mendeley.com/documents/?uuid=70589790-28c8-4806-a476-dd42c7bf59f8"]},{"id":"ITEM-2","itemData":{"DOI":"10.1097/MD.0000000000002148","ISBN":"0000000000","ISSN":"15365964","PMID":"26632895","abstract":"To compare the diagnostic value of coronary CT angiography (CCTA) with use of 2 image postprocessing methods (CCTA_S) and (CCTA_OS) and original data (CCTA_O) for the assessment of heavily calcified plaques. Fifty patients (41 men, 9 women; mean age 61.9 years +/- 9.1) with suspected coronary artery disease who underwent CCTA and invasive coronary angiography (ICA) examinations were included in the study. Image data were postprocessed with \"sharpen\" and smooth reconstruction algorithms in comparison with the original data without undergoing any image postprocessing to determine the effects on suppressing blooming artifacts due to heavy calcification in the coronary arteries. Minimal lumen diameter and degree of stenosis were measured and compared between CCTA_S, CCTA_OS, and CCTA_O with ICA as the reference method. The area under the curve (AUC) by receiver-operating characteristic curve analysis (ROC) was also compared among these 3 CCTA techniques. On a per-vessel assessment, the sensitivity, specificity, positive predictive value and negative predictive value, and 95% confidence interval (CI) were 100% (95% CI: 89%, 100%), 33% (95% CI: 22%, 45%), 41% (95% CI: 30%, 53%), 100% (95% CI: 85%, 100%) for CCTA_O, 94% (95% CI: 79%, 99%), 66% (95% CI: 54%, 77%), 57% (95% CI: 43%, 70%), and 95% (95% CI: 85%, 99%) for CCTA_S, 94% (95% CI: 79%, 99%), 44% (95% CI: 32%, 57%), 44% (95% CI: 32%, 57%), and 97% (95% CI: 79%, 99%) for CCTA_OS, respectively. The AUC by ROC curve analysis for CCTA_S showed significant improvement for detection of &gt;50% coronary stenosis in left anterior descending coronary artery compared to that of CCTA_OS and CCTA_O methods (P &lt; 0.05), with no significance differences for detection of coronary stenosis in the left circumflex and right coronary arteries (P &gt; 0.05).CCTA with \"sharpen\" reconstruction reduces blooming artifacts from heavy calcification, thus, leading to significant improvement of specificity and positive predictive value of CCTA in patients with heavily calcified plaques. However, specificity is still moderate and additional functional imaging may be needed.","author":[{"dropping-particle":"","family":"Sun","given":"Zhonghua","non-dropping-particle":"","parse-names":false,"suffix":""},{"dropping-particle":"","family":"Ng","given":"Curtise K.C.","non-dropping-particle":"","parse-names":false,"suffix":""},{"dropping-particle":"","family":"Xu","given":"Lei","non-dropping-particle":"","parse-names":false,"suffix":""},{"dropping-particle":"","family":"Fan","given":"Zhanming","non-dropping-particle":"","parse-names":false,"suffix":""},{"dropping-particle":"","family":"Lei","given":"Jing","non-dropping-particle":"","parse-names":false,"suffix":""}],"container-title":"Medicine (United States)","id":"ITEM-2","issue":"48","issued":{"date-parts":[["2015"]]},"page":"1-10","title":"Coronary ct angiography in heavily calcified coronary arteries: Improvement of coronary lumen visualization and coronary stenosis assessment with image postprocessing methods","type":"article-journal","volume":"94"},"uris":["http://www.mendeley.com/documents/?uuid=0cb8dd3d-6d37-410b-9e9e-f53319769012"]}],"mendeley":{"formattedCitation":"&lt;sup&gt;27,28&lt;/sup&gt;","plainTextFormattedCitation":"27,28","previouslyFormattedCitation":"&lt;sup&gt;27,28&lt;/sup&gt;"},"properties":{"noteIndex":0},"schema":"https://github.com/citation-style-language/schema/raw/master/csl-citation.json"}</w:instrText>
      </w:r>
      <w:r w:rsidR="002224A4" w:rsidRPr="00274EAE">
        <w:rPr>
          <w:rFonts w:ascii="Arial" w:hAnsi="Arial" w:cs="Arial"/>
          <w:bCs/>
          <w:sz w:val="24"/>
          <w:szCs w:val="24"/>
        </w:rPr>
        <w:fldChar w:fldCharType="separate"/>
      </w:r>
      <w:r w:rsidR="00CB191B" w:rsidRPr="00CB191B">
        <w:rPr>
          <w:rFonts w:ascii="Arial" w:hAnsi="Arial" w:cs="Arial"/>
          <w:bCs/>
          <w:noProof/>
          <w:sz w:val="24"/>
          <w:szCs w:val="24"/>
          <w:vertAlign w:val="superscript"/>
        </w:rPr>
        <w:t>27,28</w:t>
      </w:r>
      <w:r w:rsidR="002224A4" w:rsidRPr="00274EAE">
        <w:rPr>
          <w:rFonts w:ascii="Arial" w:hAnsi="Arial" w:cs="Arial"/>
          <w:bCs/>
          <w:sz w:val="24"/>
          <w:szCs w:val="24"/>
        </w:rPr>
        <w:fldChar w:fldCharType="end"/>
      </w:r>
      <w:r w:rsidRPr="00274EAE">
        <w:rPr>
          <w:rFonts w:ascii="Arial" w:hAnsi="Arial" w:cs="Arial"/>
          <w:bCs/>
          <w:sz w:val="24"/>
          <w:szCs w:val="24"/>
        </w:rPr>
        <w:t xml:space="preserve"> </w:t>
      </w:r>
      <w:r w:rsidR="0085755A" w:rsidRPr="00274EAE">
        <w:rPr>
          <w:rFonts w:ascii="Arial" w:hAnsi="Arial" w:cs="Arial"/>
          <w:bCs/>
          <w:sz w:val="24"/>
          <w:szCs w:val="24"/>
        </w:rPr>
        <w:t>This may in future be overcome through the combination of high convolution filters with model based iterative reconstruction which improves the signal to noise ratio as well as reducing the volume of calcification.</w:t>
      </w:r>
      <w:r w:rsidR="008A03B8" w:rsidRPr="00274EAE">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{"citationItems":[{"id":"ITEM-1","itemData":{"DOI":"10.1016/J.JCCT.2016.09.006","ISSN":"1934-5925","abstract":"PURPOSE\nThe purpose of this study was to study the effect of iterative reconstruction (IR) software on quantitative plaque measurements in coronary computed tomography angiography (CCTA). \n\nMETHODS\nThirty patients with a three clinical risk factors for coronary artery disease (CAD) had one CCTA performed. Images were reconstructed using FBP, 30% and 60% adaptive statistical IR (ASIR). Coronary plaque analysis was performed as per patient and per vessel (LM, LAD, CX and RCA) measurements. Lumen and vessel volumes and plaque burden measurements were based on automatic detected contours in each reconstruction. Lumen and plaque intensity measurements and HU based plaque characterization were based on corrected contours copied to each reconstruction. \n\nRESULTS\nNo significant changes between FBP and 30% ASIR were found except for lumen- (−2.53 HU) and plaque intensities (−1.28 HU). Between FBP and 60% ASIR the change in total volume showed an increase of 0.94%, 4.36% and 2.01% for lumen, plaque and vessel, respectively. The change in total plaque burden between FBP and 60% ASIR was 0.76%. Lumen and plaque intensities decreased between FBP and 60% ASIR with −9.90 HU and −1.97 HU, respectively. The total plaque component volume changes were all small with a maximum change of −1.13% of necrotic core between FBP and 60% ASIR. \n\nCONCLUSIONS\nQuantitative plaque measurements only showed modest differences between FBP and the 60% ASIR level. Differences were increased lumen-, vessel- and plaque volumes, decreased lumen- and plaque intensities and a small percentage change in the individual plaque component volumes.","author":[{"dropping-particle":"","family":"Precht","given":"Helle","non-dropping-particle":"","parse-names":false,"suffix":""},{"dropping-particle":"","family":"Kitslaar","given":"Pieter H.","non-dropping-particle":"","parse-names":false,"suffix":""},{"dropping-particle":"","family":"Broersen","given":"Alexander","non-dropping-particle":"","parse-names":false,"suffix":""},{"dropping-particle":"","family":"Dijkstra","given":"Jouke","non-dropping-particle":"","parse-names":false,"suffix":""},{"dropping-particle":"","family":"Gerke","given":"Oke","non-dropping-particle":"","parse-names":false,"suffix":""},{"dropping-particle":"","family":"Thygesen","given":"Jesper","non-dropping-particle":"","parse-names":false,"suffix":""},{"dropping-particle":"","family":"Egstrup","given":"Kenneth","non-dropping-particle":"","parse-names":false,"suffix":""},{"dropping-particle":"","family":"Lambrechtsen","given":"Jess","non-dropping-particle":"","parse-names":false,"suffix":""}],"container-title":"Journal of Cardiovascular Computed Tomography","id":"ITEM-1","issue":"6","issued":{"date-parts":[["2016","11","1"]]},"page":"507-516","publisher":"Elsevier","title":"Influence of Adaptive Statistical Iterative Reconstruction on coronary plaque analysis in coronary computed tomography angiography","type":"article-journal","volume":"10"},"uris":["http://www.mendeley.com/documents/?uuid=e84f0052-470d-3054-9b3f-d6758a0fd4f7"]},{"id":"ITEM-2","itemData":{"DOI":"10.1016/j.ejrad.2016.12.012","ISBN":"1872-7727 (Electronic) 0720-048X (Linking)","ISSN":"1872-7727","PMID":"28065380","abstract":"OBJECTIVE To assess the impact of iterative model reconstruction (IMR) on calcified plaque quantification as compared to filtered back projection reconstruction (FBP) and hybrid iterative reconstruction (HIR) in coronary computed tomography angiography (CTA). METHODS Raw image data of 52 patients who underwent 256-slice CTA were reconstructed with IMR, HIR and FBP. We evaluated qualitative, quantitative image quality parameters and quantified calcified and partially calcified plaque volumes using automated software. RESULTS Overall qualitative image quality significantly improved with HIR as compared to FBP, and further improved with IMR (p&lt;0.01 all). Contrast-to-noise ratios were improved with IMR, compared to HIR and FBP (51.0 [43.5-59.9], 20.3 [16.2-25.9] and 14.0 [11.2-17.7], respectively, all p&lt;0.01) Overall plaque volumes were lowest with IMR and highest with FBP (121.7 [79.3-168.4], 138.7 [90.6-191.7], 147.0 [100.7-183.6]). Similarly, calcified volumes (&gt;130 HU) were decreased with IMR as compared to HIR and FBP (105.9 [62.1-144.6], 110.2 [63.8-166.6], 115.9 [81.7-164.2], respectively, p&lt;0.05 all). High-attenuation non-calcified volumes (90-129 HU) yielded similar values with FBP and HIR (p=0.81), however it was lower with IMR (p &lt; 0.05 both). Intermediate- (30-89 HU) and low-attenuation (&lt;30 HU) non-calcified volumes showed no significant difference (p=0.22 and p=0.67, respectively). CONCLUSIONS IMR improves image quality of coronary CTA and decreases calcified plaque volumes.","author":[{"dropping-particle":"","family":"Károlyi","given":"Mihály","non-dropping-particle":"","parse-names":false,"suffix":""},{"dropping-particle":"","family":"Szilveszter","given":"Bálint","non-dropping-particle":"","parse-names":false,"suffix":""},{"dropping-particle":"","family":"Kolossváry","given":"Márton","non-dropping-particle":"","parse-names":false,"suffix":""},{"dropping-particle":"","family":"Takx","given":"Richard A P","non-dropping-particle":"","parse-names":false,"suffix":""},{"dropping-particle":"","family":"Celeng","given":"Csilla","non-dropping-particle":"","parse-names":false,"suffix":""},{"dropping-particle":"","family":"Bartykowszki","given":"Andrea","non-dropping-particle":"","parse-names":false,"suffix":""},{"dropping-particle":"","family":"Jermendy","given":"Ádám L","non-dropping-particle":"","parse-names":false,"suffix":""},{"dropping-particle":"","family":"Panajotu","given":"Alexisz","non-dropping-particle":"","parse-names":false,"suffix":""},{"dropping-particle":"","family":"Karády","given":"Júlia","non-dropping-particle":"","parse-names":false,"suffix":""},{"dropping-particle":"","family":"Raaijmakers","given":"Rolf","non-dropping-particle":"","parse-names":false,"suffix":""},{"dropping-particle":"","family":"Giepmans","given":"Walter","non-dropping-particle":"","parse-names":false,"suffix":""},{"dropping-particle":"","family":"Merkely","given":"Béla","non-dropping-particle":"","parse-names":false,"suffix":""},{"dropping-particle":"","family":"Maurovich-Horvat","given":"Pál","non-dropping-particle":"","parse-names":false,"suffix":""}],"container-title":"European journal of radiology","id":"ITEM-2","issued":{"date-parts":[["2017","2"]]},"page":"83-89","publisher":"Elsevier Ireland Ltd","title":"Iterative model reconstruction reduces calcified plaque volume in coronary CT angiography.","type":"article-journal","volume":"87"},"uris":["http://www.mendeley.com/documents/?uuid=94db79bd-22d1-4c35-ba98-a1088434e5c5"]}],"mendeley":{"formattedCitation":"&lt;sup&gt;29,30&lt;/sup&gt;","plainTextFormattedCitation":"29,30","previouslyFormattedCitation":"&lt;sup&gt;29,30&lt;/sup&gt;"},"properties":{"noteIndex":0},"schema":"https://github.com/citation-style-language/schema/raw/master/csl-citation.json"}</w:instrText>
      </w:r>
      <w:r w:rsidR="008A03B8" w:rsidRPr="00274EAE">
        <w:rPr>
          <w:rFonts w:ascii="Arial" w:hAnsi="Arial" w:cs="Arial"/>
          <w:bCs/>
          <w:sz w:val="24"/>
          <w:szCs w:val="24"/>
        </w:rPr>
        <w:fldChar w:fldCharType="separate"/>
      </w:r>
      <w:r w:rsidR="00CB191B" w:rsidRPr="00CB191B">
        <w:rPr>
          <w:rFonts w:ascii="Arial" w:hAnsi="Arial" w:cs="Arial"/>
          <w:bCs/>
          <w:noProof/>
          <w:sz w:val="24"/>
          <w:szCs w:val="24"/>
          <w:vertAlign w:val="superscript"/>
        </w:rPr>
        <w:t>29,30</w:t>
      </w:r>
      <w:r w:rsidR="008A03B8" w:rsidRPr="00274EAE">
        <w:rPr>
          <w:rFonts w:ascii="Arial" w:hAnsi="Arial" w:cs="Arial"/>
          <w:bCs/>
          <w:sz w:val="24"/>
          <w:szCs w:val="24"/>
        </w:rPr>
        <w:fldChar w:fldCharType="end"/>
      </w:r>
      <w:r w:rsidR="008A03B8" w:rsidRPr="00274EAE">
        <w:rPr>
          <w:rFonts w:ascii="Arial" w:hAnsi="Arial" w:cs="Arial"/>
          <w:bCs/>
          <w:sz w:val="24"/>
          <w:szCs w:val="24"/>
        </w:rPr>
        <w:t xml:space="preserve">  </w:t>
      </w:r>
      <w:r w:rsidR="00D036AC">
        <w:rPr>
          <w:rFonts w:ascii="Arial" w:hAnsi="Arial" w:cs="Arial"/>
          <w:bCs/>
          <w:sz w:val="24"/>
          <w:szCs w:val="24"/>
        </w:rPr>
        <w:t xml:space="preserve">Direct comparison of these techniques with the current </w:t>
      </w:r>
      <w:proofErr w:type="spellStart"/>
      <w:r w:rsidR="00D036AC">
        <w:rPr>
          <w:rFonts w:ascii="Arial" w:hAnsi="Arial" w:cs="Arial"/>
          <w:bCs/>
          <w:sz w:val="24"/>
          <w:szCs w:val="24"/>
        </w:rPr>
        <w:t>deblooming</w:t>
      </w:r>
      <w:proofErr w:type="spellEnd"/>
      <w:r w:rsidR="00D036AC">
        <w:rPr>
          <w:rFonts w:ascii="Arial" w:hAnsi="Arial" w:cs="Arial"/>
          <w:bCs/>
          <w:sz w:val="24"/>
          <w:szCs w:val="24"/>
        </w:rPr>
        <w:t xml:space="preserve"> algorithm will be useful in future iterations of the </w:t>
      </w:r>
      <w:proofErr w:type="spellStart"/>
      <w:r w:rsidR="00D036AC">
        <w:rPr>
          <w:rFonts w:ascii="Arial" w:hAnsi="Arial" w:cs="Arial"/>
          <w:bCs/>
          <w:sz w:val="24"/>
          <w:szCs w:val="24"/>
        </w:rPr>
        <w:t>deblooming</w:t>
      </w:r>
      <w:proofErr w:type="spellEnd"/>
      <w:r w:rsidR="00D036AC">
        <w:rPr>
          <w:rFonts w:ascii="Arial" w:hAnsi="Arial" w:cs="Arial"/>
          <w:bCs/>
          <w:sz w:val="24"/>
          <w:szCs w:val="24"/>
        </w:rPr>
        <w:t xml:space="preserve"> algorithm.</w:t>
      </w:r>
    </w:p>
    <w:p w14:paraId="0BA94EAA" w14:textId="77777777" w:rsidR="008A03B8" w:rsidRPr="00274EAE" w:rsidRDefault="008A03B8" w:rsidP="00252392">
      <w:pPr>
        <w:spacing w:line="360" w:lineRule="auto"/>
        <w:rPr>
          <w:rFonts w:ascii="Arial" w:hAnsi="Arial" w:cs="Arial"/>
          <w:bCs/>
          <w:sz w:val="24"/>
          <w:szCs w:val="24"/>
        </w:rPr>
      </w:pPr>
    </w:p>
    <w:p w14:paraId="429461EB" w14:textId="33893F5E" w:rsidR="00C73D11" w:rsidRPr="00274EAE" w:rsidRDefault="008A03B8" w:rsidP="00252392">
      <w:pPr>
        <w:spacing w:line="360" w:lineRule="auto"/>
        <w:rPr>
          <w:rFonts w:ascii="Arial" w:hAnsi="Arial" w:cs="Arial"/>
          <w:bCs/>
          <w:sz w:val="24"/>
          <w:szCs w:val="24"/>
        </w:rPr>
      </w:pPr>
      <w:r w:rsidRPr="00274EAE">
        <w:rPr>
          <w:rFonts w:ascii="Arial" w:hAnsi="Arial" w:cs="Arial"/>
          <w:bCs/>
          <w:sz w:val="24"/>
          <w:szCs w:val="24"/>
        </w:rPr>
        <w:t>In the current study we examined a</w:t>
      </w:r>
      <w:r w:rsidR="00484643" w:rsidRPr="00274EAE">
        <w:rPr>
          <w:rFonts w:ascii="Arial" w:hAnsi="Arial" w:cs="Arial"/>
          <w:bCs/>
          <w:sz w:val="24"/>
          <w:szCs w:val="24"/>
        </w:rPr>
        <w:t xml:space="preserve"> prototype</w:t>
      </w:r>
      <w:r w:rsidRPr="00274EAE">
        <w:rPr>
          <w:rFonts w:ascii="Arial" w:hAnsi="Arial" w:cs="Arial"/>
          <w:bCs/>
          <w:sz w:val="24"/>
          <w:szCs w:val="24"/>
        </w:rPr>
        <w:t xml:space="preserve"> calcium </w:t>
      </w:r>
      <w:proofErr w:type="spellStart"/>
      <w:r w:rsidRPr="00274EAE">
        <w:rPr>
          <w:rFonts w:ascii="Arial" w:hAnsi="Arial" w:cs="Arial"/>
          <w:bCs/>
          <w:sz w:val="24"/>
          <w:szCs w:val="24"/>
        </w:rPr>
        <w:t>deblooming</w:t>
      </w:r>
      <w:proofErr w:type="spellEnd"/>
      <w:r w:rsidRPr="00274EAE">
        <w:rPr>
          <w:rFonts w:ascii="Arial" w:hAnsi="Arial" w:cs="Arial"/>
          <w:bCs/>
          <w:sz w:val="24"/>
          <w:szCs w:val="24"/>
        </w:rPr>
        <w:t xml:space="preserve"> algorithm.  An advantage of this over hardware advances is its lack of </w:t>
      </w:r>
      <w:r w:rsidR="00B240D8" w:rsidRPr="00274EAE">
        <w:rPr>
          <w:rFonts w:ascii="Arial" w:hAnsi="Arial" w:cs="Arial"/>
          <w:bCs/>
          <w:sz w:val="24"/>
          <w:szCs w:val="24"/>
        </w:rPr>
        <w:t>requirement for new equipment</w:t>
      </w:r>
      <w:r w:rsidRPr="00274EAE">
        <w:rPr>
          <w:rFonts w:ascii="Arial" w:hAnsi="Arial" w:cs="Arial"/>
          <w:bCs/>
          <w:sz w:val="24"/>
          <w:szCs w:val="24"/>
        </w:rPr>
        <w:t xml:space="preserve">, and can therefore be rapidly adopted and retrofitted to already existent scanners.  Unlike high convolution filter techniques which increase image noise, it has previously been shown that the current technique both reduces calcium volume and increases </w:t>
      </w:r>
      <w:r w:rsidR="00C73D11" w:rsidRPr="00274EAE">
        <w:rPr>
          <w:rFonts w:ascii="Arial" w:hAnsi="Arial" w:cs="Arial"/>
          <w:bCs/>
          <w:sz w:val="24"/>
          <w:szCs w:val="24"/>
        </w:rPr>
        <w:t xml:space="preserve">the </w:t>
      </w:r>
      <w:r w:rsidR="00C73D11" w:rsidRPr="00274EAE">
        <w:rPr>
          <w:rFonts w:ascii="Arial" w:hAnsi="Arial" w:cs="Arial"/>
          <w:bCs/>
          <w:sz w:val="24"/>
          <w:szCs w:val="24"/>
        </w:rPr>
        <w:lastRenderedPageBreak/>
        <w:t>signal to noise ratio.</w:t>
      </w:r>
      <w:r w:rsidR="00C73D11" w:rsidRPr="00274EAE">
        <w:rPr>
          <w:rFonts w:ascii="Arial" w:hAnsi="Arial" w:cs="Arial"/>
          <w:bCs/>
          <w:sz w:val="24"/>
          <w:szCs w:val="24"/>
        </w:rPr>
        <w:fldChar w:fldCharType="begin" w:fldLock="1"/>
      </w:r>
      <w:r w:rsidR="00455D00">
        <w:rPr>
          <w:rFonts w:ascii="Arial" w:hAnsi="Arial" w:cs="Arial"/>
          <w:bCs/>
          <w:sz w:val="24"/>
          <w:szCs w:val="24"/>
        </w:rPr>
        <w:instrText>ADDIN CSL_CITATION {"citationItems":[{"id":"ITEM-1","itemData":{"DOI":"10.1038/s41598-018-25352-5","ISSN":"20452322","abstract":"The aim of this study was to investigate the use of de-blooming algorithm in coronary CT angiography (CCTA) for optimal evaluation of calcified plaques. Calcified plaques were simulated on a coronary vessel phantom and a cardiac motion phantom. Two convolution kernels, standard (STND) and high-definition standard (HD STND), were used for imaging reconstruction. A dedicated de-blooming algorithm was used for imaging processing. We found a smaller bias towards measurement of stenosis using the de-blooming algorithm (STND: bias 24.6% vs 15.0%, range 10.2% to 39.0% vs 4.0% to 25.9%; HD STND: bias 17.9% vs 11.0%, range 8.9% to 30.6% vs 0.5% to 21.5%). With use of de-blooming algorithm, specificity for diagnosing significant stenosis increased from 45.8% to 75.0% (STND), from 62.5% to 83.3% (HD STND); while positive predictive value (PPV) increased from 69.8% to 83.3% (STND), from 76.9% to 88.2% (HD STND). In the patient group, reduction in calcification volume was 48.1 ± 10.3%, reduction in coronary diameter stenosis over calcified plaque was 52.4 ± 24.2%. Our results suggest that the novel de-blooming algorithm could effectively decrease the blooming artifacts caused by coronary calcified plaques, and consequently improve diagnostic accuracy of CCTA in assessing coronary stenosis. Coronary CT angiography (CCTA) is a widely used non-invasive modality enabling high diagnostic performance for the diagnosis of coronary artery disease (CAD) 1–6 . Despite high diagnostic value achieved with recently devel-oped advanced CT scanners, CCTA still has moderate specificity in the assessment of calcified plaques due to the artifacts that result from significant calcification 7 . Calcification produces blooming and partial volume artifacts on CT imaging, which can cause erroneous enlargement of the appearance of calcification 8 . As a result blooming artifact prevents accurate evaluation of the coronary artery lumen and results in overestimation of the stenosis leading to false positive diagnosis 9–14 . Although CCTA is an excellent imaging modality for the assessment of patients with suspected CAD, calcified plaque presents a major challenge for CCTA scans. A new vendor-specific de-blooming algorithm is under investigation to help minimize the blooming artifact of coronary calcification, and this has not been well studied. We hypothesized that this brand new algorithm would allow for more accurate evaluation of coronary artery stenosis in the presence of calcified plaqu…","author":[{"dropping-particle":"","family":"Li","given":"Ping","non-dropping-particle":"","parse-names":false,"suffix":""},{"dropping-particle":"","family":"Xu","given":"Lei","non-dropping-particle":"","parse-names":false,"suffix":""},{"dropping-particle":"","family":"Yang","given":"Lin","non-dropping-particle":"","parse-names":false,"suffix":""},{"dropping-particle":"","family":"Wang","given":"Rui","non-dropping-particle":"","parse-names":false,"suffix":""},{"dropping-particle":"","family":"Hsieh","given":"Jiang","non-dropping-particle":"","parse-names":false,"suffix":""},{"dropping-particle":"","family":"Sun","given":"Zhonghua","non-dropping-particle":"","parse-names":false,"suffix":""},{"dropping-particle":"","family":"Fan","given":"Zhanming","non-dropping-particle":"","parse-names":false,"suffix":""},{"dropping-particle":"","family":"Leipsic","given":"Jonathon A.","non-dropping-particle":"","parse-names":false,"suffix":""}],"container-title":"Scientific Reports","id":"ITEM-1","issue":"1","issued":{"date-parts":[["2018"]]},"page":"1-8","publisher":"Springer US","title":"Blooming Artifact Reduction in Coronary Artery Calcification by A New De-blooming Algorithm: Initial Study","type":"article-journal","volume":"8"},"uris":["http://www.mendeley.com/documents/?uuid=d1989d25-dfda-4367-bc7b-3788d771064f"]}],"mendeley":{"formattedCitation":"&lt;sup&gt;9&lt;/sup&gt;","plainTextFormattedCitation":"9","previouslyFormattedCitation":"&lt;sup&gt;9&lt;/sup&gt;"},"properties":{"noteIndex":0},"schema":"https://github.com/citation-style-language/schema/raw/master/csl-citation.json"}</w:instrText>
      </w:r>
      <w:r w:rsidR="00C73D11" w:rsidRPr="00274EAE">
        <w:rPr>
          <w:rFonts w:ascii="Arial" w:hAnsi="Arial" w:cs="Arial"/>
          <w:bCs/>
          <w:sz w:val="24"/>
          <w:szCs w:val="24"/>
        </w:rPr>
        <w:fldChar w:fldCharType="separate"/>
      </w:r>
      <w:r w:rsidR="00C73D11" w:rsidRPr="00274EAE">
        <w:rPr>
          <w:rFonts w:ascii="Arial" w:hAnsi="Arial" w:cs="Arial"/>
          <w:bCs/>
          <w:noProof/>
          <w:sz w:val="24"/>
          <w:szCs w:val="24"/>
          <w:vertAlign w:val="superscript"/>
        </w:rPr>
        <w:t>9</w:t>
      </w:r>
      <w:r w:rsidR="00C73D11" w:rsidRPr="00274EAE">
        <w:rPr>
          <w:rFonts w:ascii="Arial" w:hAnsi="Arial" w:cs="Arial"/>
          <w:bCs/>
          <w:sz w:val="24"/>
          <w:szCs w:val="24"/>
        </w:rPr>
        <w:fldChar w:fldCharType="end"/>
      </w:r>
      <w:r w:rsidR="00C73D11" w:rsidRPr="00274EAE">
        <w:rPr>
          <w:rFonts w:ascii="Arial" w:hAnsi="Arial" w:cs="Arial"/>
          <w:bCs/>
          <w:sz w:val="24"/>
          <w:szCs w:val="24"/>
        </w:rPr>
        <w:t xml:space="preserve">  </w:t>
      </w:r>
      <w:r w:rsidR="008D467A" w:rsidRPr="00274EAE">
        <w:rPr>
          <w:rFonts w:ascii="Arial" w:hAnsi="Arial" w:cs="Arial"/>
          <w:bCs/>
          <w:sz w:val="24"/>
          <w:szCs w:val="24"/>
        </w:rPr>
        <w:t>In the current study we</w:t>
      </w:r>
      <w:r w:rsidR="00C73D11" w:rsidRPr="00274EAE">
        <w:rPr>
          <w:rFonts w:ascii="Arial" w:hAnsi="Arial" w:cs="Arial"/>
          <w:bCs/>
          <w:sz w:val="24"/>
          <w:szCs w:val="24"/>
        </w:rPr>
        <w:t xml:space="preserve"> found no difference between the two techniques in the presence of image noise.  </w:t>
      </w:r>
      <w:bookmarkStart w:id="0" w:name="_GoBack"/>
      <w:r w:rsidR="008D467A" w:rsidRPr="00274EAE">
        <w:rPr>
          <w:rFonts w:ascii="Arial" w:hAnsi="Arial" w:cs="Arial"/>
          <w:bCs/>
          <w:sz w:val="24"/>
          <w:szCs w:val="24"/>
        </w:rPr>
        <w:t xml:space="preserve">There was </w:t>
      </w:r>
      <w:r w:rsidR="00C73D11" w:rsidRPr="00274EAE">
        <w:rPr>
          <w:rFonts w:ascii="Arial" w:hAnsi="Arial" w:cs="Arial"/>
          <w:bCs/>
          <w:sz w:val="24"/>
          <w:szCs w:val="24"/>
        </w:rPr>
        <w:t xml:space="preserve">a significant reduction in the subjective degree of </w:t>
      </w:r>
      <w:r w:rsidR="008D467A" w:rsidRPr="00274EAE">
        <w:rPr>
          <w:rFonts w:ascii="Arial" w:hAnsi="Arial" w:cs="Arial"/>
          <w:bCs/>
          <w:sz w:val="24"/>
          <w:szCs w:val="24"/>
        </w:rPr>
        <w:t xml:space="preserve">calcium </w:t>
      </w:r>
      <w:r w:rsidR="00C73D11" w:rsidRPr="00274EAE">
        <w:rPr>
          <w:rFonts w:ascii="Arial" w:hAnsi="Arial" w:cs="Arial"/>
          <w:bCs/>
          <w:sz w:val="24"/>
          <w:szCs w:val="24"/>
        </w:rPr>
        <w:t>blooming, but at the cost of the occurrence of an intraluminal artifact</w:t>
      </w:r>
      <w:r w:rsidR="008D467A" w:rsidRPr="00274EAE">
        <w:rPr>
          <w:rFonts w:ascii="Arial" w:hAnsi="Arial" w:cs="Arial"/>
          <w:bCs/>
          <w:sz w:val="24"/>
          <w:szCs w:val="24"/>
        </w:rPr>
        <w:t xml:space="preserve"> in 17.5% of the studies</w:t>
      </w:r>
      <w:r w:rsidR="00C73D11" w:rsidRPr="00274EAE">
        <w:rPr>
          <w:rFonts w:ascii="Arial" w:hAnsi="Arial" w:cs="Arial"/>
          <w:bCs/>
          <w:sz w:val="24"/>
          <w:szCs w:val="24"/>
        </w:rPr>
        <w:t xml:space="preserve">.  This intra-luminal artifact may account for the fact that while a significant improvement in the specificity </w:t>
      </w:r>
      <w:r w:rsidR="008D467A" w:rsidRPr="00274EAE">
        <w:rPr>
          <w:rFonts w:ascii="Arial" w:hAnsi="Arial" w:cs="Arial"/>
          <w:bCs/>
          <w:sz w:val="24"/>
          <w:szCs w:val="24"/>
        </w:rPr>
        <w:t>with</w:t>
      </w:r>
      <w:r w:rsidR="00C73D11" w:rsidRPr="00274EAE">
        <w:rPr>
          <w:rFonts w:ascii="Arial" w:hAnsi="Arial" w:cs="Arial"/>
          <w:bCs/>
          <w:sz w:val="24"/>
          <w:szCs w:val="24"/>
        </w:rPr>
        <w:t xml:space="preserve"> the </w:t>
      </w:r>
      <w:proofErr w:type="spellStart"/>
      <w:r w:rsidR="00C73D11" w:rsidRPr="00274EAE">
        <w:rPr>
          <w:rFonts w:ascii="Arial" w:hAnsi="Arial" w:cs="Arial"/>
          <w:bCs/>
          <w:sz w:val="24"/>
          <w:szCs w:val="24"/>
        </w:rPr>
        <w:t>deblooming</w:t>
      </w:r>
      <w:proofErr w:type="spellEnd"/>
      <w:r w:rsidR="00C73D11" w:rsidRPr="00274EAE">
        <w:rPr>
          <w:rFonts w:ascii="Arial" w:hAnsi="Arial" w:cs="Arial"/>
          <w:bCs/>
          <w:sz w:val="24"/>
          <w:szCs w:val="24"/>
        </w:rPr>
        <w:t xml:space="preserve"> algorithm, this was not accompanied by a significant improvement in the overall diagnostic accur</w:t>
      </w:r>
      <w:r w:rsidR="008D467A" w:rsidRPr="00274EAE">
        <w:rPr>
          <w:rFonts w:ascii="Arial" w:hAnsi="Arial" w:cs="Arial"/>
          <w:bCs/>
          <w:sz w:val="24"/>
          <w:szCs w:val="24"/>
        </w:rPr>
        <w:t xml:space="preserve">acy.  </w:t>
      </w:r>
      <w:bookmarkEnd w:id="0"/>
      <w:r w:rsidR="00FF690C">
        <w:rPr>
          <w:rFonts w:ascii="Arial" w:hAnsi="Arial" w:cs="Arial"/>
          <w:bCs/>
          <w:sz w:val="24"/>
          <w:szCs w:val="24"/>
        </w:rPr>
        <w:t>Overall the inter-observer agreement on the presence of significant stenosis was only fair using both techniques with Kappa</w:t>
      </w:r>
      <w:r w:rsidR="009256B9">
        <w:rPr>
          <w:rFonts w:ascii="Arial" w:hAnsi="Arial" w:cs="Arial"/>
          <w:bCs/>
          <w:sz w:val="24"/>
          <w:szCs w:val="24"/>
        </w:rPr>
        <w:t xml:space="preserve"> values</w:t>
      </w:r>
      <w:r w:rsidR="00FF690C">
        <w:rPr>
          <w:rFonts w:ascii="Arial" w:hAnsi="Arial" w:cs="Arial"/>
          <w:bCs/>
          <w:sz w:val="24"/>
          <w:szCs w:val="24"/>
        </w:rPr>
        <w:t xml:space="preserve"> of 0.37-0.38.  This is comparable with those previous reported by Wi</w:t>
      </w:r>
      <w:r w:rsidR="00392729">
        <w:rPr>
          <w:rFonts w:ascii="Arial" w:hAnsi="Arial" w:cs="Arial"/>
          <w:bCs/>
          <w:sz w:val="24"/>
          <w:szCs w:val="24"/>
        </w:rPr>
        <w:t>l</w:t>
      </w:r>
      <w:r w:rsidR="00FF690C">
        <w:rPr>
          <w:rFonts w:ascii="Arial" w:hAnsi="Arial" w:cs="Arial"/>
          <w:bCs/>
          <w:sz w:val="24"/>
          <w:szCs w:val="24"/>
        </w:rPr>
        <w:t>liams et al., in the SCOT-HEART cohort with kappa</w:t>
      </w:r>
      <w:r w:rsidR="009256B9">
        <w:rPr>
          <w:rFonts w:ascii="Arial" w:hAnsi="Arial" w:cs="Arial"/>
          <w:bCs/>
          <w:sz w:val="24"/>
          <w:szCs w:val="24"/>
        </w:rPr>
        <w:t xml:space="preserve"> values</w:t>
      </w:r>
      <w:r w:rsidR="00FF690C">
        <w:rPr>
          <w:rFonts w:ascii="Arial" w:hAnsi="Arial" w:cs="Arial"/>
          <w:bCs/>
          <w:sz w:val="24"/>
          <w:szCs w:val="24"/>
        </w:rPr>
        <w:t xml:space="preserve"> of 0.46</w:t>
      </w:r>
      <w:r w:rsidR="009619EC">
        <w:rPr>
          <w:rFonts w:ascii="Arial" w:hAnsi="Arial" w:cs="Arial"/>
          <w:bCs/>
          <w:sz w:val="24"/>
          <w:szCs w:val="24"/>
        </w:rPr>
        <w:t xml:space="preserve"> on per segmental analysis.</w:t>
      </w:r>
      <w:r w:rsidR="009619EC">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{"citationItems":[{"id":"ITEM-1","itemData":{"DOI":"10.1136/openhrt-2014-000234","ISSN":"2053-3624","author":[{"dropping-particle":"","family":"Williams","given":"M. C.","non-dropping-particle":"","parse-names":false,"suffix":""},{"dropping-particle":"","family":"Golay","given":"S. K.","non-dropping-particle":"","parse-names":false,"suffix":""},{"dropping-particle":"","family":"Hunter","given":"a.","non-dropping-particle":"","parse-names":false,"suffix":""},{"dropping-particle":"","family":"Weir-McCall","given":"J. R.","non-dropping-particle":"","parse-names":false,"suffix":""},{"dropping-particle":"","family":"Mlynska","given":"L.","non-dropping-particle":"","parse-names":false,"suffix":""},{"dropping-particle":"","family":"Dweck","given":"M. R.","non-dropping-particle":"","parse-names":false,"suffix":""},{"dropping-particle":"","family":"Uren","given":"N. G.","non-dropping-particle":"","parse-names":false,"suffix":""},{"dropping-particle":"","family":"Reid","given":"J. H.","non-dropping-particle":"","parse-names":false,"suffix":""},{"dropping-particle":"","family":"Lewis","given":"S. C.","non-dropping-particle":"","parse-names":false,"suffix":""},{"dropping-particle":"","family":"Berry","given":"C.","non-dropping-particle":"","parse-names":false,"suffix":""},{"dropping-particle":"","family":"Beek","given":"E. J. R.","non-dropping-particle":"van","parse-names":false,"suffix":""},{"dropping-particle":"","family":"Roditi","given":"G.","non-dropping-particle":"","parse-names":false,"suffix":""},{"dropping-particle":"","family":"Newby","given":"D. E.","non-dropping-particle":"","parse-names":false,"suffix":""},{"dropping-particle":"","family":"Mirsadraee","given":"S.","non-dropping-particle":"","parse-names":false,"suffix":""}],"container-title":"Open Heart","id":"ITEM-1","issue":"1","issued":{"date-parts":[["2015"]]},"page":"e000234-e000234","title":"Observer variability in the assessment of CT coronary angiography and coronary artery calcium score: substudy of the Scottish COmputed Tomography of the HEART (SCOT-HEART) trial","type":"article-journal","volume":"2"},"uris":["http://www.mendeley.com/documents/?uuid=ff6cb8b3-7e9d-474f-9b7f-132eb536410f"]}],"mendeley":{"formattedCitation":"&lt;sup&gt;31&lt;/sup&gt;","plainTextFormattedCitation":"31","previouslyFormattedCitation":"&lt;sup&gt;31&lt;/sup&gt;"},"properties":{"noteIndex":0},"schema":"https://github.com/citation-style-language/schema/raw/master/csl-citation.json"}</w:instrText>
      </w:r>
      <w:r w:rsidR="009619EC">
        <w:rPr>
          <w:rFonts w:ascii="Arial" w:hAnsi="Arial" w:cs="Arial"/>
          <w:bCs/>
          <w:sz w:val="24"/>
          <w:szCs w:val="24"/>
        </w:rPr>
        <w:fldChar w:fldCharType="separate"/>
      </w:r>
      <w:r w:rsidR="00CB191B" w:rsidRPr="00CB191B">
        <w:rPr>
          <w:rFonts w:ascii="Arial" w:hAnsi="Arial" w:cs="Arial"/>
          <w:bCs/>
          <w:noProof/>
          <w:sz w:val="24"/>
          <w:szCs w:val="24"/>
          <w:vertAlign w:val="superscript"/>
        </w:rPr>
        <w:t>31</w:t>
      </w:r>
      <w:r w:rsidR="009619EC">
        <w:rPr>
          <w:rFonts w:ascii="Arial" w:hAnsi="Arial" w:cs="Arial"/>
          <w:bCs/>
          <w:sz w:val="24"/>
          <w:szCs w:val="24"/>
        </w:rPr>
        <w:fldChar w:fldCharType="end"/>
      </w:r>
      <w:r w:rsidR="009619EC">
        <w:rPr>
          <w:rFonts w:ascii="Arial" w:hAnsi="Arial" w:cs="Arial"/>
          <w:bCs/>
          <w:sz w:val="24"/>
          <w:szCs w:val="24"/>
        </w:rPr>
        <w:t xml:space="preserve"> This highlights a need to continue to improve on our current visual analysis technique</w:t>
      </w:r>
      <w:r w:rsidR="009256B9">
        <w:rPr>
          <w:rFonts w:ascii="Arial" w:hAnsi="Arial" w:cs="Arial"/>
          <w:bCs/>
          <w:sz w:val="24"/>
          <w:szCs w:val="24"/>
        </w:rPr>
        <w:t>s</w:t>
      </w:r>
      <w:r w:rsidR="009619EC">
        <w:rPr>
          <w:rFonts w:ascii="Arial" w:hAnsi="Arial" w:cs="Arial"/>
          <w:bCs/>
          <w:sz w:val="24"/>
          <w:szCs w:val="24"/>
        </w:rPr>
        <w:t>.</w:t>
      </w:r>
    </w:p>
    <w:p w14:paraId="4FD217EB" w14:textId="77777777" w:rsidR="00C73D11" w:rsidRPr="00274EAE" w:rsidRDefault="00C73D11" w:rsidP="00252392">
      <w:pPr>
        <w:spacing w:line="360" w:lineRule="auto"/>
        <w:rPr>
          <w:rFonts w:ascii="Arial" w:hAnsi="Arial" w:cs="Arial"/>
          <w:bCs/>
          <w:sz w:val="24"/>
          <w:szCs w:val="24"/>
        </w:rPr>
      </w:pPr>
    </w:p>
    <w:p w14:paraId="0F45DBB5" w14:textId="5C3E9848" w:rsidR="008206AE" w:rsidRPr="00274EAE" w:rsidRDefault="00C73D11" w:rsidP="00252392">
      <w:pPr>
        <w:spacing w:line="360" w:lineRule="auto"/>
        <w:rPr>
          <w:rFonts w:ascii="Arial" w:hAnsi="Arial" w:cs="Arial"/>
          <w:bCs/>
          <w:sz w:val="24"/>
          <w:szCs w:val="24"/>
          <w:vertAlign w:val="subscript"/>
        </w:rPr>
      </w:pPr>
      <w:r w:rsidRPr="00274EAE">
        <w:rPr>
          <w:rFonts w:ascii="Arial" w:hAnsi="Arial" w:cs="Arial"/>
          <w:bCs/>
          <w:sz w:val="24"/>
          <w:szCs w:val="24"/>
        </w:rPr>
        <w:t xml:space="preserve">There are several limitations to the current study.  It is a single </w:t>
      </w:r>
      <w:proofErr w:type="spellStart"/>
      <w:r w:rsidRPr="00274EAE">
        <w:rPr>
          <w:rFonts w:ascii="Arial" w:hAnsi="Arial" w:cs="Arial"/>
          <w:bCs/>
          <w:sz w:val="24"/>
          <w:szCs w:val="24"/>
        </w:rPr>
        <w:t>centre</w:t>
      </w:r>
      <w:proofErr w:type="spellEnd"/>
      <w:r w:rsidRPr="00274EAE">
        <w:rPr>
          <w:rFonts w:ascii="Arial" w:hAnsi="Arial" w:cs="Arial"/>
          <w:bCs/>
          <w:sz w:val="24"/>
          <w:szCs w:val="24"/>
        </w:rPr>
        <w:t xml:space="preserve"> study </w:t>
      </w:r>
      <w:r w:rsidR="001A1895">
        <w:rPr>
          <w:rFonts w:ascii="Arial" w:hAnsi="Arial" w:cs="Arial"/>
          <w:bCs/>
          <w:sz w:val="24"/>
          <w:szCs w:val="24"/>
        </w:rPr>
        <w:t>and as such it is limited by</w:t>
      </w:r>
      <w:r w:rsidR="0047025E">
        <w:rPr>
          <w:rFonts w:ascii="Arial" w:hAnsi="Arial" w:cs="Arial"/>
          <w:bCs/>
          <w:sz w:val="24"/>
          <w:szCs w:val="24"/>
        </w:rPr>
        <w:t xml:space="preserve"> </w:t>
      </w:r>
      <w:r w:rsidRPr="00274EAE">
        <w:rPr>
          <w:rFonts w:ascii="Arial" w:hAnsi="Arial" w:cs="Arial"/>
          <w:bCs/>
          <w:sz w:val="24"/>
          <w:szCs w:val="24"/>
        </w:rPr>
        <w:t>all the inherent biases th</w:t>
      </w:r>
      <w:r w:rsidR="001A1895">
        <w:rPr>
          <w:rFonts w:ascii="Arial" w:hAnsi="Arial" w:cs="Arial"/>
          <w:bCs/>
          <w:sz w:val="24"/>
          <w:szCs w:val="24"/>
        </w:rPr>
        <w:t>at are associated with this</w:t>
      </w:r>
      <w:r w:rsidRPr="00274EAE">
        <w:rPr>
          <w:rFonts w:ascii="Arial" w:hAnsi="Arial" w:cs="Arial"/>
          <w:bCs/>
          <w:sz w:val="24"/>
          <w:szCs w:val="24"/>
        </w:rPr>
        <w:t>.</w:t>
      </w:r>
      <w:r w:rsidR="00DB1546">
        <w:rPr>
          <w:rFonts w:ascii="Arial" w:hAnsi="Arial" w:cs="Arial"/>
          <w:bCs/>
          <w:sz w:val="24"/>
          <w:szCs w:val="24"/>
        </w:rPr>
        <w:t xml:space="preserve">  The cohort studied were those scheduled for ICA which could lead to an inclusion bias.</w:t>
      </w:r>
      <w:r w:rsidR="007A4099" w:rsidRPr="00274EAE">
        <w:rPr>
          <w:rFonts w:ascii="Arial" w:hAnsi="Arial" w:cs="Arial"/>
          <w:bCs/>
          <w:sz w:val="24"/>
          <w:szCs w:val="24"/>
        </w:rPr>
        <w:t xml:space="preserve">  Rate control was not used, nor was motion correction algorithms, as a result of which a significant number of scans suffered from motion artifact.</w:t>
      </w:r>
      <w:r w:rsidR="00B240D8" w:rsidRPr="00274EAE">
        <w:rPr>
          <w:rFonts w:ascii="Arial" w:hAnsi="Arial" w:cs="Arial"/>
          <w:bCs/>
          <w:sz w:val="24"/>
          <w:szCs w:val="24"/>
        </w:rPr>
        <w:t xml:space="preserve">  Despite this, only 20 out of 581 segments were non-evaluable</w:t>
      </w:r>
      <w:r w:rsidR="007A4099" w:rsidRPr="00274EAE">
        <w:rPr>
          <w:rFonts w:ascii="Arial" w:hAnsi="Arial" w:cs="Arial"/>
          <w:bCs/>
          <w:sz w:val="24"/>
          <w:szCs w:val="24"/>
        </w:rPr>
        <w:t xml:space="preserve"> </w:t>
      </w:r>
      <w:r w:rsidR="00B240D8" w:rsidRPr="00274EAE">
        <w:rPr>
          <w:rFonts w:ascii="Arial" w:hAnsi="Arial" w:cs="Arial"/>
          <w:bCs/>
          <w:sz w:val="24"/>
          <w:szCs w:val="24"/>
        </w:rPr>
        <w:t xml:space="preserve">showing that with current generation scanners that high accuracy is possible even without </w:t>
      </w:r>
      <w:r w:rsidR="00274EAE" w:rsidRPr="00274EAE">
        <w:rPr>
          <w:rFonts w:ascii="Arial" w:hAnsi="Arial" w:cs="Arial"/>
          <w:bCs/>
          <w:sz w:val="24"/>
          <w:szCs w:val="24"/>
        </w:rPr>
        <w:t>aggressive rate control.</w:t>
      </w:r>
      <w:r w:rsidR="00455D00">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{"citationItems":[{"id":"ITEM-1","itemData":{"DOI":"10.1016/j.crad.2017.03.004","ISBN":"1365-229X (Electronic)\\r0009-9260 (Linking)","ISSN":"1365229X","PMID":"28390673","abstract":"Aim To evaluate the image quality and diagnostic performance of coronary computed tomography angiography (CCTA) in patients with high heart rate within a single cardiac cycle using a 256-row detector CT system. Materials and methods Eighty-four consecutive symptomatic patients (mean age 60.4±9.1 years, 52 me</w:instrText>
      </w:r>
      <w:r w:rsidR="00CB191B">
        <w:rPr>
          <w:rFonts w:ascii="Arial" w:hAnsi="Arial" w:cs="Arial" w:hint="eastAsia"/>
          <w:bCs/>
          <w:sz w:val="24"/>
          <w:szCs w:val="24"/>
        </w:rPr>
        <w:instrText xml:space="preserve">n) with suspected coronary artery disease and heart rate </w:instrText>
      </w:r>
      <w:r w:rsidR="00CB191B">
        <w:rPr>
          <w:rFonts w:ascii="Arial" w:hAnsi="Arial" w:cs="Arial" w:hint="eastAsia"/>
          <w:bCs/>
          <w:sz w:val="24"/>
          <w:szCs w:val="24"/>
        </w:rPr>
        <w:instrText>≥</w:instrText>
      </w:r>
      <w:r w:rsidR="00CB191B">
        <w:rPr>
          <w:rFonts w:ascii="Arial" w:hAnsi="Arial" w:cs="Arial" w:hint="eastAsia"/>
          <w:bCs/>
          <w:sz w:val="24"/>
          <w:szCs w:val="24"/>
        </w:rPr>
        <w:instrText>75 beats/min undergoing CCTA and invasive coronary angiography (ICA) were enrolled retrospectively. Prospective electrocardiography (ECG)-triggered volume CCTA within a single cardiac cycle was per</w:instrText>
      </w:r>
      <w:r w:rsidR="00CB191B">
        <w:rPr>
          <w:rFonts w:ascii="Arial" w:hAnsi="Arial" w:cs="Arial"/>
          <w:bCs/>
          <w:sz w:val="24"/>
          <w:szCs w:val="24"/>
        </w:rPr>
        <w:instrText>formed using a 256-row, 16 cm detector CT system (Revolution CT, GE Healthcare) using automated tube voltage selection (kV Assist selecting 100 or 120 kV) and tube current modulation (Smart mA) techniques, with images reconstructed using 50% of adaptive s</w:instrText>
      </w:r>
      <w:r w:rsidR="00CB191B">
        <w:rPr>
          <w:rFonts w:ascii="Arial" w:hAnsi="Arial" w:cs="Arial" w:hint="eastAsia"/>
          <w:bCs/>
          <w:sz w:val="24"/>
          <w:szCs w:val="24"/>
        </w:rPr>
        <w:instrText xml:space="preserve">tatistical iterative reconstruction-V (ASiR-V). The image quality of coronary artery segments was evaluated by two reviewers using a four-point scale based on 18-segment model. The diagnostic accuracy of CCTA to detect </w:instrText>
      </w:r>
      <w:r w:rsidR="00CB191B">
        <w:rPr>
          <w:rFonts w:ascii="Arial" w:hAnsi="Arial" w:cs="Arial" w:hint="eastAsia"/>
          <w:bCs/>
          <w:sz w:val="24"/>
          <w:szCs w:val="24"/>
        </w:rPr>
        <w:instrText>≥</w:instrText>
      </w:r>
      <w:r w:rsidR="00CB191B">
        <w:rPr>
          <w:rFonts w:ascii="Arial" w:hAnsi="Arial" w:cs="Arial" w:hint="eastAsia"/>
          <w:bCs/>
          <w:sz w:val="24"/>
          <w:szCs w:val="24"/>
        </w:rPr>
        <w:instrText xml:space="preserve">50% stenosis on ICA was analysed. The sensitivity, specificity, positive predictive value, and negative predictive value of CCTA to detect a </w:instrText>
      </w:r>
      <w:r w:rsidR="00CB191B">
        <w:rPr>
          <w:rFonts w:ascii="Arial" w:hAnsi="Arial" w:cs="Arial" w:hint="eastAsia"/>
          <w:bCs/>
          <w:sz w:val="24"/>
          <w:szCs w:val="24"/>
        </w:rPr>
        <w:instrText>≥</w:instrText>
      </w:r>
      <w:r w:rsidR="00CB191B">
        <w:rPr>
          <w:rFonts w:ascii="Arial" w:hAnsi="Arial" w:cs="Arial" w:hint="eastAsia"/>
          <w:bCs/>
          <w:sz w:val="24"/>
          <w:szCs w:val="24"/>
        </w:rPr>
        <w:instrText>50% diameter stenosis on ICA were calculated from the chi-squared test of the contingency table on a per-segment, per-vessel, and per-patient basis.</w:instrText>
      </w:r>
      <w:r w:rsidR="00CB191B">
        <w:rPr>
          <w:rFonts w:ascii="Arial" w:hAnsi="Arial" w:cs="Arial"/>
          <w:bCs/>
          <w:sz w:val="24"/>
          <w:szCs w:val="24"/>
        </w:rPr>
        <w:instrText xml:space="preserve"> Results The body mass index was 25.6±3.5 kg/m2; the HR was 82.8±7.9 beats/min, and the mean HR variability was 8.3±4.8 beats/min. All of the coronary artery segments, 98.9% (1044/1056) of coronary segments were rated as having diagnostic image quality. The diagnostic sensitivity, specificity, positive predictive value, and negative predictive value of CCTA, were 91.5%, 95.6%, 77.7%, and 98.5% on a per-segment basis; 95.2%, 93.5%, 87%, and 97.7% on a per-vessel basis; 100%, 85.7%, 93.3%, and 100% on per-patient basis, respectively. The mean effective dose was 1.9±1 mSv. Conclusions CCTA using a 256-detector row CT with the snapshot freeze (SSF) technique can be performed in a single cardiac cycle with acquisition of images with high diagnostic value and low radiation dose in patients with high heart rates.","author":[{"dropping-particle":"","family":"Liang","given":"J.","non-dropping-particle":"","parse-names":false,"suffix":""},{"dropping-particle":"","family":"Wang","given":"H.","non-dropping-particle":"","parse-names":false,"suffix":""},{"dropping-particle":"","family":"Xu","given":"L.","non-dropping-particle":"","parse-names":false,"suffix":""},{"dropping-particle":"","family":"Yang","given":"L.","non-dropping-particle":"","parse-names":false,"suffix":""},{"dropping-particle":"","family":"Dong","given":"L.","non-dropping-particle":"","parse-names":false,"suffix":""},{"dropping-particle":"","family":"Fan","given":"Z.","non-dropping-particle":"","parse-names":false,"suffix":""},{"dropping-particle":"","family":"Wang","given":"R.","non-dropping-particle":"","parse-names":false,"suffix":""},{"dropping-particle":"","family":"Sun","given":"Z.","non-dropping-particle":"","parse-names":false,"suffix":""}],"container-title":"Clinical Radiology","id":"ITEM-1","issue":"8","issued":{"date-parts":[["2017"]]},"page":"694.e7-694.e14","title":"Diagnostic performance of 256-row detector coronary CT angiography in patients with high heart rates within a single cardiac cycle: a preliminary study","type":"article-journal","volume":"72"},"uris":["http://www.mendeley.com/documents/?uuid=e5186353-ddce-4d5a-ab82-5ff1afe33d00"]}],"mendeley":{"formattedCitation":"&lt;sup&gt;32&lt;/sup&gt;","plainTextFormattedCitation":"32","previouslyFormattedCitation":"&lt;sup&gt;32&lt;/sup&gt;"},"properties":{"noteIndex":0},"schema":"https://github.com/citation-style-language/schema/raw/master/csl-citation.json"}</w:instrText>
      </w:r>
      <w:r w:rsidR="00455D00">
        <w:rPr>
          <w:rFonts w:ascii="Arial" w:hAnsi="Arial" w:cs="Arial"/>
          <w:bCs/>
          <w:sz w:val="24"/>
          <w:szCs w:val="24"/>
        </w:rPr>
        <w:fldChar w:fldCharType="separate"/>
      </w:r>
      <w:r w:rsidR="00CB191B" w:rsidRPr="00CB191B">
        <w:rPr>
          <w:rFonts w:ascii="Arial" w:hAnsi="Arial" w:cs="Arial"/>
          <w:bCs/>
          <w:noProof/>
          <w:sz w:val="24"/>
          <w:szCs w:val="24"/>
          <w:vertAlign w:val="superscript"/>
        </w:rPr>
        <w:t>32</w:t>
      </w:r>
      <w:r w:rsidR="00455D00">
        <w:rPr>
          <w:rFonts w:ascii="Arial" w:hAnsi="Arial" w:cs="Arial"/>
          <w:bCs/>
          <w:sz w:val="24"/>
          <w:szCs w:val="24"/>
        </w:rPr>
        <w:fldChar w:fldCharType="end"/>
      </w:r>
      <w:r w:rsidR="007A4099" w:rsidRPr="00274EAE">
        <w:rPr>
          <w:rFonts w:ascii="Arial" w:hAnsi="Arial" w:cs="Arial"/>
          <w:bCs/>
          <w:sz w:val="24"/>
          <w:szCs w:val="24"/>
        </w:rPr>
        <w:t xml:space="preserve"> Further work is required to determine if the combination of the </w:t>
      </w:r>
      <w:proofErr w:type="spellStart"/>
      <w:r w:rsidR="007A4099" w:rsidRPr="00274EAE">
        <w:rPr>
          <w:rFonts w:ascii="Arial" w:hAnsi="Arial" w:cs="Arial"/>
          <w:bCs/>
          <w:sz w:val="24"/>
          <w:szCs w:val="24"/>
        </w:rPr>
        <w:t>deblooming</w:t>
      </w:r>
      <w:proofErr w:type="spellEnd"/>
      <w:r w:rsidR="007A4099" w:rsidRPr="00274EAE">
        <w:rPr>
          <w:rFonts w:ascii="Arial" w:hAnsi="Arial" w:cs="Arial"/>
          <w:bCs/>
          <w:sz w:val="24"/>
          <w:szCs w:val="24"/>
        </w:rPr>
        <w:t xml:space="preserve"> algorithm and motion correction results in further improvements in accuracy.</w:t>
      </w:r>
      <w:r w:rsidR="00501D9F">
        <w:rPr>
          <w:rFonts w:ascii="Arial" w:hAnsi="Arial" w:cs="Arial"/>
          <w:bCs/>
          <w:sz w:val="24"/>
          <w:szCs w:val="24"/>
        </w:rPr>
        <w:t xml:space="preserve">  Due to the recruitment criteria there were very few stenotic plaques without calcification within them, thus a comparison of calcified versus non-calcified plaque could not be performed. In future larger studies it would be useful to examine this as well as to combine this with plaque quantification to examine the effect of increasing plaque calcification on lumen visibility. </w:t>
      </w:r>
      <w:r w:rsidR="001E7940" w:rsidRPr="00274EAE">
        <w:rPr>
          <w:rFonts w:ascii="Arial" w:hAnsi="Arial" w:cs="Arial"/>
          <w:bCs/>
          <w:sz w:val="24"/>
          <w:szCs w:val="24"/>
        </w:rPr>
        <w:t>Finally, w</w:t>
      </w:r>
      <w:r w:rsidR="00A72AA4" w:rsidRPr="00274EAE">
        <w:rPr>
          <w:rFonts w:ascii="Arial" w:hAnsi="Arial" w:cs="Arial"/>
          <w:bCs/>
          <w:sz w:val="24"/>
          <w:szCs w:val="24"/>
        </w:rPr>
        <w:t xml:space="preserve">e </w:t>
      </w:r>
      <w:r w:rsidRPr="00274EAE">
        <w:rPr>
          <w:rFonts w:ascii="Arial" w:hAnsi="Arial" w:cs="Arial"/>
          <w:bCs/>
          <w:sz w:val="24"/>
          <w:szCs w:val="24"/>
        </w:rPr>
        <w:t xml:space="preserve">used a 50% threshold for the definition of significant coronary artery disease.  </w:t>
      </w:r>
      <w:r w:rsidR="00213314" w:rsidRPr="00274EAE">
        <w:rPr>
          <w:rFonts w:ascii="Arial" w:hAnsi="Arial" w:cs="Arial"/>
          <w:bCs/>
          <w:sz w:val="24"/>
          <w:szCs w:val="24"/>
        </w:rPr>
        <w:t>Traditionally a 70% diameter stenosis on invasive coronary angiography has been defined as being obstructive. However in the post-FAME era, such an anatomical cut point is less relevant, with significant numbers of those with a 50-70% stenosis being flow limiting</w:t>
      </w:r>
      <w:r w:rsidR="00A72AA4" w:rsidRPr="00274EAE">
        <w:rPr>
          <w:rFonts w:ascii="Arial" w:hAnsi="Arial" w:cs="Arial"/>
          <w:bCs/>
          <w:sz w:val="24"/>
          <w:szCs w:val="24"/>
        </w:rPr>
        <w:t xml:space="preserve">, and a smaller but equally significant fraction of those with &gt;70% stenosis being non-flow </w:t>
      </w:r>
      <w:r w:rsidR="00A72AA4" w:rsidRPr="00274EAE">
        <w:rPr>
          <w:rFonts w:ascii="Arial" w:hAnsi="Arial" w:cs="Arial"/>
          <w:bCs/>
          <w:sz w:val="24"/>
          <w:szCs w:val="24"/>
        </w:rPr>
        <w:lastRenderedPageBreak/>
        <w:t>limiting</w:t>
      </w:r>
      <w:r w:rsidR="00213314" w:rsidRPr="00274EAE">
        <w:rPr>
          <w:rFonts w:ascii="Arial" w:hAnsi="Arial" w:cs="Arial"/>
          <w:bCs/>
          <w:sz w:val="24"/>
          <w:szCs w:val="24"/>
        </w:rPr>
        <w:t>.</w:t>
      </w:r>
      <w:r w:rsidR="00A72AA4" w:rsidRPr="00274EAE">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{"citationItems":[{"id":"ITEM-1","itemData":{"DOI":"10.1056/NEJM199606273342604","ISBN":"0028-4793 (Print)\\r0028-4793 (Linking)","ISSN":"0028-4793","PMID":"8637515","abstract":"Background The clinical significance of coronary-artery stenoses of moderate severity can be difficult to determine. Myocardial fractional flow reserve (FFR) is a new index of the functional severity of coronary stenoses that is calculated from pressure measurements made during coronary arteriography. We compared this index with the results of noninvasive tests commonly used to detect myocardial ischemia, to determine the usefulness of the index. Methods In 45 consecutive patients with moderate coronary stenosis and chest pain of uncertain origin, we performed bicycle exercise testing, thallium scintigraphy, stress echocardiography with dobutamine, and quantitative coronary arteriography and compared the results with measurements of FFR. Results In all 21 patients with an FFR of less than 0.75, reversible myocardial ischemia was demonstrated unequivocally on at least one noninvasive test. After coronary angioplasty or bypass surgery was performed, all the positive test results reverted to normal. In contr...","author":[{"dropping-particle":"","family":"Pijls","given":"Nico H.J.","non-dropping-particle":"","parse-names":false,"suffix":""},{"dropping-particle":"","family":"Bruyne","given":"Bernard","non-dropping-particle":"de","parse-names":false,"suffix":""},{"dropping-particle":"","family":"Peels","given":"Kathinka","non-dropping-particle":"","parse-names":false,"suffix":""},{"dropping-particle":"","family":"Voort","given":"Pepijn H.","non-dropping-particle":"van der","parse-names":false,"suffix":""},{"dropping-particle":"","family":"Bonnier","given":"Hans J.R.M.","non-dropping-particle":"","parse-names":false,"suffix":""},{"dropping-particle":"","family":"Bartunek","given":"Jozef","non-dropping-particle":"","parse-names":false,"suffix":""},{"dropping-particle":"","family":"Koolen","given":"Jacques J.","non-dropping-particle":"","parse-names":false,"suffix":""}],"container-title":"New England Journal of Medicine","id":"ITEM-1","issue":"26","issued":{"date-parts":[["1996"]]},"page":"1703-1708","title":"Measurement of Fractional Flow Reserve to Assess the Functional Severity of Coronary-Artery Stenoses","type":"article-journal","volume":"334"},"uris":["http://www.mendeley.com/documents/?uuid=aae799cf-5ad4-40c7-b91d-918c85ae1bf8"]},{"id":"ITEM-2","itemData":{"DOI":"10.1161/CIRCINTERVENTIONS.113.000978","ISBN":"1941-7632 (Electronic)\\n1941-7640 (Linking)","ISSN":"19417632","PMID":"24642999","abstract":"BACKGROUND: The use of coronary angiography (CA) for diagnosis and management of chest pain (CP) has several flaws. The assessment of coronary artery disease using fractional flow reserve (FFR) is a well-validated technique for describing lesion-level ischemia and improves clinical outcome in the context of percutaneous coronary intervention. The impact of routine FFR at the time of diagnostic CA on patient management has not been determined. METHOD AND RESULTS: Two hundred patients with stable CP underwent CA for clinical indications. The supervising cardiologist (S.C.) made a management plan based on CA (optimal medical therapy alone, percutaneous coronary interven</w:instrText>
      </w:r>
      <w:r w:rsidR="00CB191B">
        <w:rPr>
          <w:rFonts w:ascii="Arial" w:hAnsi="Arial" w:cs="Arial" w:hint="eastAsia"/>
          <w:bCs/>
          <w:sz w:val="24"/>
          <w:szCs w:val="24"/>
        </w:rPr>
        <w:instrText>tion, coronary artery bypass grafting, or more information required) and also recorded which stenoses were significant. An interventional cardiologist then measured FFR in all patent coronary arteries of stentable diameter (</w:instrText>
      </w:r>
      <w:r w:rsidR="00CB191B">
        <w:rPr>
          <w:rFonts w:ascii="Arial" w:hAnsi="Arial" w:cs="Arial" w:hint="eastAsia"/>
          <w:bCs/>
          <w:sz w:val="24"/>
          <w:szCs w:val="24"/>
        </w:rPr>
        <w:instrText>≥</w:instrText>
      </w:r>
      <w:r w:rsidR="00CB191B">
        <w:rPr>
          <w:rFonts w:ascii="Arial" w:hAnsi="Arial" w:cs="Arial" w:hint="eastAsia"/>
          <w:bCs/>
          <w:sz w:val="24"/>
          <w:szCs w:val="24"/>
        </w:rPr>
        <w:instrText xml:space="preserve">2.25 mm). S.C. was then asked </w:instrText>
      </w:r>
      <w:r w:rsidR="00CB191B">
        <w:rPr>
          <w:rFonts w:ascii="Arial" w:hAnsi="Arial" w:cs="Arial"/>
          <w:bCs/>
          <w:sz w:val="24"/>
          <w:szCs w:val="24"/>
        </w:rPr>
        <w:instrText>to make a second management plan when FFR results were disclosed. Overall, after disclosure of FFR data, management plan based on CA alone was changed in 26% of patients, and the number and localization of functional stenoses changed in 32%. Specifically, of 72 cases in which optimal medical therapy was recommended after CA, 9 (13%) were actually referred for revascularization with FFR data. By contrast, of 89 cases in whom management plan was optimal medical therapy based on FFR, revascularization would have been recommended in 25 (28%) based on CA. CONCLUSIONS: Routine measurement of FFR at CA has important influence both on which coronary arteries have significant stenoses and on patient management. These findings could have important implications for clinical practice. CLINICAL TRIAL REGISTRATION: URL: http://www.clinicaltrial.gov. Unique identifier: NCT01070771.","author":[{"dropping-particle":"","family":"Curzen","given":"Nick","non-dropping-particle":"","parse-names":false,"suffix":""},{"dropping-particle":"","family":"Rana","given":"Omar","non-dropping-particle":"","parse-names":false,"suffix":""},{"dropping-particle":"","family":"Nicholas","given":"Zoe","non-dropping-particle":"","parse-names":false,"suffix":""},{"dropping-particle":"","family":"Golledge","given":"Peter","non-dropping-particle":"","parse-names":false,"suffix":""},{"dropping-particle":"","family":"Zaman","given":"Azfar","non-dropping-particle":"","parse-names":false,"suffix":""},{"dropping-particle":"","family":"Oldroyd","given":"Keith","non-dropping-particle":"","parse-names":false,"suffix":""},{"dropping-particle":"","family":"Hanratty","given":"Colm","non-dropping-particle":"","parse-names":false,"suffix":""},{"dropping-particle":"","family":"Banning","given":"Adrian","non-dropping-particle":"","parse-names":false,"suffix":""},{"dropping-particle":"","family":"Wheatcroft","given":"Stephen","non-dropping-particle":"","parse-names":false,"suffix":""},{"dropping-particle":"","family":"Hobson","given":"Alex","non-dropping-particle":"","parse-names":false,"suffix":""},{"dropping-particle":"","family":"Chitkara","given":"Kam","non-dropping-particle":"","parse-names":false,"suffix":""},{"dropping-particle":"","family":"Hildick-Smith","given":"David","non-dropping-particle":"","parse-names":false,"suffix":""},{"dropping-particle":"","family":"McKenzie","given":"Dan","non-dropping-particle":"","parse-names":false,"suffix":""},{"dropping-particle":"","family":"Calver","given":"Alison","non-dropping-particle":"","parse-names":false,"suffix":""},{"dropping-particle":"","family":"Dimitrov","given":"Borislav D.","non-dropping-particle":"","parse-names":false,"suffix":""},{"dropping-particle":"","family":"Corbett","given":"Simon","non-dropping-particle":"","parse-names":false,"suffix":""}],"container-title":"Circulation: Cardiovascular Interventions","id":"ITEM-2","issue":"2","issued":{"date-parts":[["2014"]]},"page":"248-255","title":"Does routine pressure wire assessment influence management strategy at coronary angiography for diagnosis of chest pain? the ripcord study","type":"article-journal","volume":"7"},"uris":["http://www.mendeley.com/documents/?uuid=122781b7-6705-44cd-87c9-d1b0fa24dce6"]}],"mendeley":{"formattedCitation":"&lt;sup&gt;33,34&lt;/sup&gt;","plainTextFormattedCitation":"33,34","previouslyFormattedCitation":"&lt;sup&gt;33,34&lt;/sup&gt;"},"properties":{"noteIndex":0},"schema":"https://github.com/citation-style-language/schema/raw/master/csl-citation.json"}</w:instrText>
      </w:r>
      <w:r w:rsidR="00A72AA4" w:rsidRPr="00274EAE">
        <w:rPr>
          <w:rFonts w:ascii="Arial" w:hAnsi="Arial" w:cs="Arial"/>
          <w:bCs/>
          <w:sz w:val="24"/>
          <w:szCs w:val="24"/>
        </w:rPr>
        <w:fldChar w:fldCharType="separate"/>
      </w:r>
      <w:r w:rsidR="00CB191B" w:rsidRPr="00CB191B">
        <w:rPr>
          <w:rFonts w:ascii="Arial" w:hAnsi="Arial" w:cs="Arial"/>
          <w:bCs/>
          <w:noProof/>
          <w:sz w:val="24"/>
          <w:szCs w:val="24"/>
          <w:vertAlign w:val="superscript"/>
        </w:rPr>
        <w:t>33,34</w:t>
      </w:r>
      <w:r w:rsidR="00A72AA4" w:rsidRPr="00274EAE">
        <w:rPr>
          <w:rFonts w:ascii="Arial" w:hAnsi="Arial" w:cs="Arial"/>
          <w:bCs/>
          <w:sz w:val="24"/>
          <w:szCs w:val="24"/>
        </w:rPr>
        <w:fldChar w:fldCharType="end"/>
      </w:r>
      <w:r w:rsidR="00213314" w:rsidRPr="00274EAE">
        <w:rPr>
          <w:rFonts w:ascii="Arial" w:hAnsi="Arial" w:cs="Arial"/>
          <w:bCs/>
          <w:sz w:val="24"/>
          <w:szCs w:val="24"/>
        </w:rPr>
        <w:t xml:space="preserve">  The more clinically important </w:t>
      </w:r>
      <w:r w:rsidR="00A72AA4" w:rsidRPr="00274EAE">
        <w:rPr>
          <w:rFonts w:ascii="Arial" w:hAnsi="Arial" w:cs="Arial"/>
          <w:bCs/>
          <w:sz w:val="24"/>
          <w:szCs w:val="24"/>
        </w:rPr>
        <w:t>questions</w:t>
      </w:r>
      <w:r w:rsidR="00213314" w:rsidRPr="00274EAE">
        <w:rPr>
          <w:rFonts w:ascii="Arial" w:hAnsi="Arial" w:cs="Arial"/>
          <w:bCs/>
          <w:sz w:val="24"/>
          <w:szCs w:val="24"/>
        </w:rPr>
        <w:t xml:space="preserve"> for CTA </w:t>
      </w:r>
      <w:r w:rsidR="00A72AA4" w:rsidRPr="00274EAE">
        <w:rPr>
          <w:rFonts w:ascii="Arial" w:hAnsi="Arial" w:cs="Arial"/>
          <w:bCs/>
          <w:sz w:val="24"/>
          <w:szCs w:val="24"/>
        </w:rPr>
        <w:t xml:space="preserve">are thus to first, identify or exclude coronary atherosclerosis, and second determine if further functional or invasive assessment is required, for which the 50% </w:t>
      </w:r>
      <w:r w:rsidR="00F27439" w:rsidRPr="00274EAE">
        <w:rPr>
          <w:rFonts w:ascii="Arial" w:hAnsi="Arial" w:cs="Arial"/>
          <w:bCs/>
          <w:sz w:val="24"/>
          <w:szCs w:val="24"/>
        </w:rPr>
        <w:t xml:space="preserve">stenosis </w:t>
      </w:r>
      <w:r w:rsidR="00A72AA4" w:rsidRPr="00274EAE">
        <w:rPr>
          <w:rFonts w:ascii="Arial" w:hAnsi="Arial" w:cs="Arial"/>
          <w:bCs/>
          <w:sz w:val="24"/>
          <w:szCs w:val="24"/>
        </w:rPr>
        <w:t>threshold is more appropriate.</w:t>
      </w:r>
      <w:r w:rsidR="00A72AA4" w:rsidRPr="00274EAE">
        <w:rPr>
          <w:rFonts w:ascii="Arial" w:hAnsi="Arial" w:cs="Arial"/>
          <w:bCs/>
          <w:sz w:val="24"/>
          <w:szCs w:val="24"/>
        </w:rPr>
        <w:fldChar w:fldCharType="begin" w:fldLock="1"/>
      </w:r>
      <w:r w:rsidR="00CB191B">
        <w:rPr>
          <w:rFonts w:ascii="Arial" w:hAnsi="Arial" w:cs="Arial"/>
          <w:bCs/>
          <w:sz w:val="24"/>
          <w:szCs w:val="24"/>
        </w:rPr>
        <w:instrText>ADDIN CSL_CITATION {"citationItems":[{"id":"ITEM-1","itemData":{"DOI":"10.1016/j.jcmg.2015.12.026","ISSN":"18767591","PMID":"27568119","abstract":"Objectives This study sought to determine the effect of adding computed tomography–derived fractional flow reserve (FFRCT) data to computed tomography angiographic (CTA) data alone for assessment of lesion severity and patient management in 200 patients with chest pain. Background Invasive and noninvasive tests used in the assessment of patients with angina all have disadvantages. The ideal screening test for patients presenting for the first time with chest pain would describe both coronary anatomy and the presence of ischemia and would be readily accessible, low cost, and noninvasive. Methods Two hundred patients with stable chest pain underwent CTA for clinical reasons, and FFRCT was calculated. Three experienced interventional cardiologists assessed the CTA result for each patient and by consensus developed a management plan (optimal medical therapy, percutaneous coronary intervention, coronary artery bypass graft surgery, or more information required). FFRCT data for each vessel were then revealed, and the interventional cardiologists made a second plan by consensus, using the same 4 options. The primary endpoint for the study was the difference between the 2 strategies. Results Overall, after disclosure of FFRCT data there was a change in the allocated management category on the basis of CTA alone in 72 cases (36%). This difference is explained by a disco</w:instrText>
      </w:r>
      <w:r w:rsidR="00CB191B">
        <w:rPr>
          <w:rFonts w:ascii="Arial" w:hAnsi="Arial" w:cs="Arial" w:hint="eastAsia"/>
          <w:bCs/>
          <w:sz w:val="24"/>
          <w:szCs w:val="24"/>
        </w:rPr>
        <w:instrText xml:space="preserve">rdance between the CTA- and FFRCT-derived assessments of lesion severity. For example, FFRCT was &gt;0.80 in 13 of 44 vessels (29.5%) graded as having a stenosis &gt;90%. In contrast, FFRCT was </w:instrText>
      </w:r>
      <w:r w:rsidR="00CB191B">
        <w:rPr>
          <w:rFonts w:ascii="Arial" w:hAnsi="Arial" w:cs="Arial" w:hint="eastAsia"/>
          <w:bCs/>
          <w:sz w:val="24"/>
          <w:szCs w:val="24"/>
        </w:rPr>
        <w:instrText>≤</w:instrText>
      </w:r>
      <w:r w:rsidR="00CB191B">
        <w:rPr>
          <w:rFonts w:ascii="Arial" w:hAnsi="Arial" w:cs="Arial" w:hint="eastAsia"/>
          <w:bCs/>
          <w:sz w:val="24"/>
          <w:szCs w:val="24"/>
        </w:rPr>
        <w:instrText xml:space="preserve">0.80 in 17 of 366 vessels (4.6%) graded as having stenosis </w:instrText>
      </w:r>
      <w:r w:rsidR="00CB191B">
        <w:rPr>
          <w:rFonts w:ascii="Arial" w:hAnsi="Arial" w:cs="Arial" w:hint="eastAsia"/>
          <w:bCs/>
          <w:sz w:val="24"/>
          <w:szCs w:val="24"/>
        </w:rPr>
        <w:instrText>≤</w:instrText>
      </w:r>
      <w:r w:rsidR="00CB191B">
        <w:rPr>
          <w:rFonts w:ascii="Arial" w:hAnsi="Arial" w:cs="Arial" w:hint="eastAsia"/>
          <w:bCs/>
          <w:sz w:val="24"/>
          <w:szCs w:val="24"/>
        </w:rPr>
        <w:instrText>50%. C</w:instrText>
      </w:r>
      <w:r w:rsidR="00CB191B">
        <w:rPr>
          <w:rFonts w:ascii="Arial" w:hAnsi="Arial" w:cs="Arial"/>
          <w:bCs/>
          <w:sz w:val="24"/>
          <w:szCs w:val="24"/>
        </w:rPr>
        <w:instrText>onclusions This study demonstrates proof of concept that the availability of FFRCT results has a substantial effect on the labeling of significant coronary artery disease and therefore on the management of patients compared to CTA alone. Further studies are needed to determine whether FFRCT has potential as a noninvasive diagnostic and management screening tool for patients with stable chest pain.","author":[{"dropping-particle":"","family":"Curzen","given":"Nicholas P.","non-dropping-particle":"","parse-names":false,"suffix":""},{"dropping-particle":"","family":"Nolan","given":"James","non-dropping-particle":"","parse-names":false,"suffix":""},{"dropping-particle":"","family":"Zaman","given":"Azfar G.","non-dropping-particle":"","parse-names":false,"suffix":""},{"dropping-particle":"","family":"Nørgaard","given":"Bjarne L.","non-dropping-particle":"","parse-names":false,"suffix":""},{"dropping-particle":"","family":"Rajani","given":"Ronak","non-dropping-particle":"","parse-names":false,"suffix":""}],"container-title":"JACC: Cardiovascular Imaging","id":"ITEM-1","issue":"10","issued":{"date-parts":[["2016"]]},"page":"1188-1194","title":"Does the Routine Availability of CT–Derived FFR Influence Management of Patients With Stable Chest Pain Compared to CT Angiography Alone?: The FFRCT RIPCORD Study","type":"article-journal","volume":"9"},"uris":["http://www.mendeley.com/documents/?uuid=242266e1-e05e-4b07-bb0a-f1cf7553f2cc"]},{"id":"ITEM-2","itemData":{"DOI":"10.1016/j.jcct.2016.04.005","ISBN":"1876-861X (Electronic)\r1876-861X (Linking)","ISSN":"1876-861X","PMID":"27318587","abstract":"The intent of CAD-RADS - Coronary Artery Disease Reporting and Data System is to create a standardized method to communicate findings of coronary CT angiography (coronary CTA) in order to facilitate decision-making regarding further patient management. The suggested CAD-RADS classification is applied on a per-patient basis and represents the highest-grade coronary artery lesion documented by coronary CTA. It ranges from CAD-RADS 0 (Zero) for the complete absence of stenosis and plaque to CAD-RADS 5 for the presence of at least one totally occluded coronary artery and should always be interpreted in conjunction with the impression found in the report. Specific recommendations are provided for further management of patients with stable or acute chest pain based on the CAD-RADS classification. The main goal of CAD-RADS is to standardize reporting of coronary CTA results and to facilitate communication of test results to referring physicians along with suggestions for subsequent patient management. In addition, CAD-RADS will provide a framework of standardization that may benefit education, research, peer-review and quality assurance with the potential to ultimately result in improved quality of care.","author":[{"dropping-particle":"","family":"Cury","given":"Ricardo C.","non-dropping-particle":"","parse-names":false,"suffix":""},{"dropping-particle":"","family":"Abbara","given":"Suhny","non-dropping-particle":"","parse-names":false,"suffix":""},{"dropping-particle":"","family":"Achenbach","given":"Stephan","non-dropping-particle":"","parse-names":false,"suffix":""},{"dropping-particle":"","family":"Agatston","given":"Arthur","non-dropping-particle":"","parse-names":false,"suffix":""},{"dropping-particle":"","family":"Berman","given":"Daniel S.","non-dropping-particle":"","parse-names":false,"suffix":""},{"dropping-particle":"","family":"Budoff","given":"Matthew J.","non-dropping-particle":"","parse-names":false,"suffix":""},{"dropping-particle":"","family":"Dill","given":"Karin E.","non-dropping-particle":"","parse-names":false,"suffix":""},{"dropping-particle":"","family":"Jacobs","given":"Jill E.","non-dropping-particle":"","parse-names":false,"suffix":""},{"dropping-particle":"","family":"Maroules","given":"Christopher D.","non-dropping-particle":"","parse-names":false,"suffix":""},{"dropping-particle":"","family":"Rubin","given":"Geoffrey D.","non-dropping-particle":"","parse-names":false,"suffix":""},{"dropping-particle":"","family":"Rybicki","given":"Frank J.","non-dropping-particle":"","parse-names":false,"suffix":""},{"dropping-particle":"","family":"Schoepf","given":"U. Joseph","non-dropping-particle":"","parse-names":false,"suffix":""},{"dropping-particle":"","family":"Shaw","given":"Leslee J.","non-dropping-particle":"","parse-names":false,"suffix":""},{"dropping-particle":"","family":"Stillman","given":"Arthur E.","non-dropping-particle":"","parse-names":false,"suffix":""},{"dropping-particle":"","family":"White","given":"Charles S.","non-dropping-particle":"","parse-names":false,"suffix":""},{"dropping-particle":"","family":"Woodard","given":"Pamela K.","non-dropping-particle":"","parse-names":false,"suffix":""},{"dropping-particle":"","family":"Leipsic","given":"Jonathon A.","non-dropping-particle":"","parse-names":false,"suffix":""}],"container-title":"Journal of cardiovascular computed tomography","id":"ITEM-2","issue":"4","issued":{"date-parts":[["2016"]]},"page":"269-81","publisher":"Elsevier Ltd","title":"CAD-RADS(TM) Coronary Artery Disease - Reporting and Data System. An expert consensus document of the Society of Cardiovascular Computed Tomography (SCCT), the American College of Radiology (ACR) and the North American Society for Cardiovascular Imaging (","type":"article-journal","volume":"10"},"uris":["http://www.mendeley.com/documents/?uuid=506307eb-07c8-4ac6-a8f4-173094de0120"]}],"mendeley":{"formattedCitation":"&lt;sup&gt;35,36&lt;/sup&gt;","plainTextFormattedCitation":"35,36","previouslyFormattedCitation":"&lt;sup&gt;35,36&lt;/sup&gt;"},"properties":{"noteIndex":0},"schema":"https://github.com/citation-style-language/schema/raw/master/csl-citation.json"}</w:instrText>
      </w:r>
      <w:r w:rsidR="00A72AA4" w:rsidRPr="00274EAE">
        <w:rPr>
          <w:rFonts w:ascii="Arial" w:hAnsi="Arial" w:cs="Arial"/>
          <w:bCs/>
          <w:sz w:val="24"/>
          <w:szCs w:val="24"/>
        </w:rPr>
        <w:fldChar w:fldCharType="separate"/>
      </w:r>
      <w:r w:rsidR="00CB191B" w:rsidRPr="00CB191B">
        <w:rPr>
          <w:rFonts w:ascii="Arial" w:hAnsi="Arial" w:cs="Arial"/>
          <w:bCs/>
          <w:noProof/>
          <w:sz w:val="24"/>
          <w:szCs w:val="24"/>
          <w:vertAlign w:val="superscript"/>
        </w:rPr>
        <w:t>35,36</w:t>
      </w:r>
      <w:r w:rsidR="00A72AA4" w:rsidRPr="00274EAE">
        <w:rPr>
          <w:rFonts w:ascii="Arial" w:hAnsi="Arial" w:cs="Arial"/>
          <w:bCs/>
          <w:sz w:val="24"/>
          <w:szCs w:val="24"/>
        </w:rPr>
        <w:fldChar w:fldCharType="end"/>
      </w:r>
    </w:p>
    <w:p w14:paraId="004B24C0" w14:textId="77777777" w:rsidR="008A03B8" w:rsidRPr="00274EAE" w:rsidRDefault="008A03B8" w:rsidP="00252392">
      <w:pPr>
        <w:spacing w:line="360" w:lineRule="auto"/>
        <w:rPr>
          <w:rFonts w:ascii="Arial" w:hAnsi="Arial" w:cs="Arial"/>
          <w:bCs/>
          <w:sz w:val="24"/>
          <w:szCs w:val="24"/>
        </w:rPr>
      </w:pPr>
    </w:p>
    <w:p w14:paraId="36905A03" w14:textId="1D9F8D6A" w:rsidR="0087379E" w:rsidRPr="00274EAE" w:rsidRDefault="006B2430" w:rsidP="00252392">
      <w:pPr>
        <w:spacing w:line="360" w:lineRule="auto"/>
        <w:rPr>
          <w:rFonts w:ascii="Arial" w:hAnsi="Arial" w:cs="Arial"/>
          <w:b/>
          <w:bCs/>
          <w:sz w:val="24"/>
          <w:szCs w:val="24"/>
        </w:rPr>
      </w:pPr>
      <w:r w:rsidRPr="00274EAE">
        <w:rPr>
          <w:rFonts w:ascii="Arial" w:hAnsi="Arial" w:cs="Arial"/>
          <w:b/>
          <w:bCs/>
          <w:sz w:val="24"/>
          <w:szCs w:val="24"/>
        </w:rPr>
        <w:t>Conclusion</w:t>
      </w:r>
    </w:p>
    <w:p w14:paraId="0D00EFE1" w14:textId="0A509FA7" w:rsidR="006B2430" w:rsidRPr="00274EAE" w:rsidRDefault="00D036AC" w:rsidP="00252392">
      <w:pPr>
        <w:spacing w:after="0" w:line="360" w:lineRule="auto"/>
        <w:rPr>
          <w:rFonts w:ascii="Arial" w:hAnsi="Arial" w:cs="Arial"/>
          <w:sz w:val="24"/>
          <w:szCs w:val="24"/>
        </w:rPr>
      </w:pPr>
      <w:r>
        <w:rPr>
          <w:rFonts w:ascii="Arial" w:hAnsi="Arial" w:cs="Arial"/>
          <w:sz w:val="24"/>
          <w:szCs w:val="24"/>
        </w:rPr>
        <w:t>In this proof of concept study c</w:t>
      </w:r>
      <w:r w:rsidR="001E7940" w:rsidRPr="00274EAE">
        <w:rPr>
          <w:rFonts w:ascii="Arial" w:hAnsi="Arial" w:cs="Arial"/>
          <w:sz w:val="24"/>
          <w:szCs w:val="24"/>
        </w:rPr>
        <w:t xml:space="preserve">oronary calcification </w:t>
      </w:r>
      <w:proofErr w:type="spellStart"/>
      <w:r w:rsidR="001E7940" w:rsidRPr="00274EAE">
        <w:rPr>
          <w:rFonts w:ascii="Arial" w:hAnsi="Arial" w:cs="Arial"/>
          <w:sz w:val="24"/>
          <w:szCs w:val="24"/>
        </w:rPr>
        <w:t>deblooming</w:t>
      </w:r>
      <w:proofErr w:type="spellEnd"/>
      <w:r w:rsidR="001E7940" w:rsidRPr="00274EAE">
        <w:rPr>
          <w:rFonts w:ascii="Arial" w:hAnsi="Arial" w:cs="Arial"/>
          <w:sz w:val="24"/>
          <w:szCs w:val="24"/>
        </w:rPr>
        <w:t xml:space="preserve"> using a post-processing algorithm is feasible and significantly reduces calcium blooming with an improvement of the </w:t>
      </w:r>
      <w:r w:rsidR="00BD065C" w:rsidRPr="00274EAE">
        <w:rPr>
          <w:rFonts w:ascii="Arial" w:hAnsi="Arial" w:cs="Arial"/>
          <w:sz w:val="24"/>
          <w:szCs w:val="24"/>
        </w:rPr>
        <w:t>specificity</w:t>
      </w:r>
      <w:r w:rsidR="001E7940" w:rsidRPr="00274EAE">
        <w:rPr>
          <w:rFonts w:ascii="Arial" w:hAnsi="Arial" w:cs="Arial"/>
          <w:sz w:val="24"/>
          <w:szCs w:val="24"/>
        </w:rPr>
        <w:t xml:space="preserve"> of the CTA exam.  </w:t>
      </w:r>
    </w:p>
    <w:p w14:paraId="22EF678B" w14:textId="77777777" w:rsidR="007D0A9F" w:rsidRPr="00274EAE" w:rsidRDefault="007D0A9F" w:rsidP="00252392">
      <w:pPr>
        <w:spacing w:line="360" w:lineRule="auto"/>
        <w:rPr>
          <w:rFonts w:ascii="Arial" w:hAnsi="Arial" w:cs="Arial"/>
          <w:b/>
          <w:bCs/>
          <w:sz w:val="24"/>
          <w:szCs w:val="24"/>
        </w:rPr>
      </w:pPr>
    </w:p>
    <w:p w14:paraId="7646F6F4" w14:textId="77777777" w:rsidR="0087379E" w:rsidRPr="00274EAE" w:rsidRDefault="0087379E" w:rsidP="00252392">
      <w:pPr>
        <w:spacing w:line="360" w:lineRule="auto"/>
        <w:rPr>
          <w:rFonts w:ascii="Arial" w:hAnsi="Arial" w:cs="Arial"/>
          <w:b/>
          <w:bCs/>
          <w:sz w:val="24"/>
          <w:szCs w:val="24"/>
        </w:rPr>
      </w:pPr>
      <w:r w:rsidRPr="00274EAE">
        <w:rPr>
          <w:rFonts w:ascii="Arial" w:hAnsi="Arial" w:cs="Arial"/>
          <w:b/>
          <w:bCs/>
          <w:sz w:val="24"/>
          <w:szCs w:val="24"/>
        </w:rPr>
        <w:br w:type="page"/>
      </w:r>
    </w:p>
    <w:p w14:paraId="513406A4" w14:textId="5AD9F2DD" w:rsidR="00570CD3" w:rsidRPr="00274EAE" w:rsidRDefault="00570CD3" w:rsidP="00252392">
      <w:pPr>
        <w:spacing w:line="360" w:lineRule="auto"/>
        <w:rPr>
          <w:rFonts w:ascii="Arial" w:hAnsi="Arial" w:cs="Arial"/>
          <w:b/>
          <w:bCs/>
          <w:sz w:val="24"/>
          <w:szCs w:val="24"/>
        </w:rPr>
      </w:pPr>
      <w:r w:rsidRPr="00274EAE">
        <w:rPr>
          <w:rFonts w:ascii="Arial" w:hAnsi="Arial" w:cs="Arial"/>
          <w:b/>
          <w:bCs/>
          <w:sz w:val="24"/>
          <w:szCs w:val="24"/>
        </w:rPr>
        <w:lastRenderedPageBreak/>
        <w:t>References</w:t>
      </w:r>
    </w:p>
    <w:p w14:paraId="4C6BC69F" w14:textId="0C861B34" w:rsidR="00CB191B" w:rsidRPr="00CB191B" w:rsidRDefault="00570CD3" w:rsidP="00CB191B">
      <w:pPr>
        <w:widowControl w:val="0"/>
        <w:autoSpaceDE w:val="0"/>
        <w:autoSpaceDN w:val="0"/>
        <w:adjustRightInd w:val="0"/>
        <w:spacing w:line="360" w:lineRule="auto"/>
        <w:ind w:left="640" w:hanging="640"/>
        <w:rPr>
          <w:rFonts w:ascii="Arial" w:hAnsi="Arial" w:cs="Arial"/>
          <w:noProof/>
          <w:sz w:val="24"/>
          <w:szCs w:val="24"/>
        </w:rPr>
      </w:pPr>
      <w:r w:rsidRPr="00274EAE">
        <w:rPr>
          <w:rFonts w:ascii="Arial" w:hAnsi="Arial" w:cs="Arial"/>
          <w:b/>
          <w:bCs/>
          <w:sz w:val="24"/>
          <w:szCs w:val="24"/>
        </w:rPr>
        <w:fldChar w:fldCharType="begin" w:fldLock="1"/>
      </w:r>
      <w:r w:rsidRPr="00274EAE">
        <w:rPr>
          <w:rFonts w:ascii="Arial" w:hAnsi="Arial" w:cs="Arial"/>
          <w:b/>
          <w:bCs/>
          <w:sz w:val="24"/>
          <w:szCs w:val="24"/>
        </w:rPr>
        <w:instrText xml:space="preserve">ADDIN Mendeley Bibliography CSL_BIBLIOGRAPHY </w:instrText>
      </w:r>
      <w:r w:rsidRPr="00274EAE">
        <w:rPr>
          <w:rFonts w:ascii="Arial" w:hAnsi="Arial" w:cs="Arial"/>
          <w:b/>
          <w:bCs/>
          <w:sz w:val="24"/>
          <w:szCs w:val="24"/>
        </w:rPr>
        <w:fldChar w:fldCharType="separate"/>
      </w:r>
      <w:r w:rsidR="00CB191B" w:rsidRPr="00CB191B">
        <w:rPr>
          <w:rFonts w:ascii="Arial" w:hAnsi="Arial" w:cs="Arial"/>
          <w:noProof/>
          <w:sz w:val="24"/>
          <w:szCs w:val="24"/>
        </w:rPr>
        <w:t xml:space="preserve">1. </w:t>
      </w:r>
      <w:r w:rsidR="00CB191B" w:rsidRPr="00CB191B">
        <w:rPr>
          <w:rFonts w:ascii="Arial" w:hAnsi="Arial" w:cs="Arial"/>
          <w:noProof/>
          <w:sz w:val="24"/>
          <w:szCs w:val="24"/>
        </w:rPr>
        <w:tab/>
        <w:t xml:space="preserve">Fihn SD, Gardin JM, Abrams J, et al. 2012 ACCF/AHA/ACP/AATS/PCNA/SCAI/STS guideline for the diagnosis and management of patients with stable ischemic heart disease. </w:t>
      </w:r>
      <w:r w:rsidR="00CB191B" w:rsidRPr="00CB191B">
        <w:rPr>
          <w:rFonts w:ascii="Arial" w:hAnsi="Arial" w:cs="Arial"/>
          <w:i/>
          <w:iCs/>
          <w:noProof/>
          <w:sz w:val="24"/>
          <w:szCs w:val="24"/>
        </w:rPr>
        <w:t>J Am Coll Cardiol</w:t>
      </w:r>
      <w:r w:rsidR="00CB191B" w:rsidRPr="00CB191B">
        <w:rPr>
          <w:rFonts w:ascii="Arial" w:hAnsi="Arial" w:cs="Arial"/>
          <w:noProof/>
          <w:sz w:val="24"/>
          <w:szCs w:val="24"/>
        </w:rPr>
        <w:t>. 2012;60(24):e44-e164. doi:10.1016/j.jacc.2012.07.013.</w:t>
      </w:r>
    </w:p>
    <w:p w14:paraId="5DAF96F4"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2. </w:t>
      </w:r>
      <w:r w:rsidRPr="00CB191B">
        <w:rPr>
          <w:rFonts w:ascii="Arial" w:hAnsi="Arial" w:cs="Arial"/>
          <w:noProof/>
          <w:sz w:val="24"/>
          <w:szCs w:val="24"/>
        </w:rPr>
        <w:tab/>
        <w:t xml:space="preserve">Montalescot G, Sechtem U, Achenbach S, et al. 2013 ESC guidelines on the management of stable coronary artery disease. </w:t>
      </w:r>
      <w:r w:rsidRPr="00CB191B">
        <w:rPr>
          <w:rFonts w:ascii="Arial" w:hAnsi="Arial" w:cs="Arial"/>
          <w:i/>
          <w:iCs/>
          <w:noProof/>
          <w:sz w:val="24"/>
          <w:szCs w:val="24"/>
        </w:rPr>
        <w:t>Eur Heart J</w:t>
      </w:r>
      <w:r w:rsidRPr="00CB191B">
        <w:rPr>
          <w:rFonts w:ascii="Arial" w:hAnsi="Arial" w:cs="Arial"/>
          <w:noProof/>
          <w:sz w:val="24"/>
          <w:szCs w:val="24"/>
        </w:rPr>
        <w:t>. 2013;34(38):2949-3003. doi:10.1093/eurheartj/eht296.</w:t>
      </w:r>
    </w:p>
    <w:p w14:paraId="343EFCA3"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3. </w:t>
      </w:r>
      <w:r w:rsidRPr="00CB191B">
        <w:rPr>
          <w:rFonts w:ascii="Arial" w:hAnsi="Arial" w:cs="Arial"/>
          <w:noProof/>
          <w:sz w:val="24"/>
          <w:szCs w:val="24"/>
        </w:rPr>
        <w:tab/>
        <w:t xml:space="preserve">Budoff MJ, Li D, Kazerooni EA, Thomas GS, Mieres JH, Shaw LJ. Diagnostic Accuracy of Noninvasive 64-row Computed Tomographic Coronary Angiography (CCTA) Compared with Myocardial Perfusion Imaging (MPI): The PICTURE Study, A Prospective Multicenter Trial. </w:t>
      </w:r>
      <w:r w:rsidRPr="00CB191B">
        <w:rPr>
          <w:rFonts w:ascii="Arial" w:hAnsi="Arial" w:cs="Arial"/>
          <w:i/>
          <w:iCs/>
          <w:noProof/>
          <w:sz w:val="24"/>
          <w:szCs w:val="24"/>
        </w:rPr>
        <w:t>Acad Radiol</w:t>
      </w:r>
      <w:r w:rsidRPr="00CB191B">
        <w:rPr>
          <w:rFonts w:ascii="Arial" w:hAnsi="Arial" w:cs="Arial"/>
          <w:noProof/>
          <w:sz w:val="24"/>
          <w:szCs w:val="24"/>
        </w:rPr>
        <w:t>. 2017;24(1):22-29. doi:10.1016/j.acra.2016.09.008.</w:t>
      </w:r>
    </w:p>
    <w:p w14:paraId="6F6EC590"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4. </w:t>
      </w:r>
      <w:r w:rsidRPr="00CB191B">
        <w:rPr>
          <w:rFonts w:ascii="Arial" w:hAnsi="Arial" w:cs="Arial"/>
          <w:noProof/>
          <w:sz w:val="24"/>
          <w:szCs w:val="24"/>
        </w:rPr>
        <w:tab/>
        <w:t xml:space="preserve">Neglia D, Rovai D, Caselli C, et al. Detection of significant coronary artery disease by noninvasive anatomical and functional imaging. </w:t>
      </w:r>
      <w:r w:rsidRPr="00CB191B">
        <w:rPr>
          <w:rFonts w:ascii="Arial" w:hAnsi="Arial" w:cs="Arial"/>
          <w:i/>
          <w:iCs/>
          <w:noProof/>
          <w:sz w:val="24"/>
          <w:szCs w:val="24"/>
        </w:rPr>
        <w:t>Circ Cardiovasc Imaging</w:t>
      </w:r>
      <w:r w:rsidRPr="00CB191B">
        <w:rPr>
          <w:rFonts w:ascii="Arial" w:hAnsi="Arial" w:cs="Arial"/>
          <w:noProof/>
          <w:sz w:val="24"/>
          <w:szCs w:val="24"/>
        </w:rPr>
        <w:t>. 2015;8(3). doi:10.1161/CIRCIMAGING.114.002179.</w:t>
      </w:r>
    </w:p>
    <w:p w14:paraId="079E290A"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5. </w:t>
      </w:r>
      <w:r w:rsidRPr="00CB191B">
        <w:rPr>
          <w:rFonts w:ascii="Arial" w:hAnsi="Arial" w:cs="Arial"/>
          <w:noProof/>
          <w:sz w:val="24"/>
          <w:szCs w:val="24"/>
        </w:rPr>
        <w:tab/>
        <w:t xml:space="preserve">Schuetz GM, Schlattmann P, Dewey M. Use of 3x2 tables with an intention to diagnose approach to assess clinical performance of diagnostic tests: meta-analytical evaluation of coronary CT angiography studies. </w:t>
      </w:r>
      <w:r w:rsidRPr="00CB191B">
        <w:rPr>
          <w:rFonts w:ascii="Arial" w:hAnsi="Arial" w:cs="Arial"/>
          <w:i/>
          <w:iCs/>
          <w:noProof/>
          <w:sz w:val="24"/>
          <w:szCs w:val="24"/>
        </w:rPr>
        <w:t>BMJ</w:t>
      </w:r>
      <w:r w:rsidRPr="00CB191B">
        <w:rPr>
          <w:rFonts w:ascii="Arial" w:hAnsi="Arial" w:cs="Arial"/>
          <w:noProof/>
          <w:sz w:val="24"/>
          <w:szCs w:val="24"/>
        </w:rPr>
        <w:t>. 2012;345(7881):e6717. doi:10.1136/bmj.e6717.</w:t>
      </w:r>
    </w:p>
    <w:p w14:paraId="599924B2"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6. </w:t>
      </w:r>
      <w:r w:rsidRPr="00CB191B">
        <w:rPr>
          <w:rFonts w:ascii="Arial" w:hAnsi="Arial" w:cs="Arial"/>
          <w:noProof/>
          <w:sz w:val="24"/>
          <w:szCs w:val="24"/>
        </w:rPr>
        <w:tab/>
        <w:t xml:space="preserve">Knuuti J, Ballo H, Juarez-Orozco LE, et al. The performance of non-invasive tests to rule-in and rule-out significant coronary artery stenosis in patients with stable angina: a meta-analysis focused on post-test disease probability. </w:t>
      </w:r>
      <w:r w:rsidRPr="00CB191B">
        <w:rPr>
          <w:rFonts w:ascii="Arial" w:hAnsi="Arial" w:cs="Arial"/>
          <w:i/>
          <w:iCs/>
          <w:noProof/>
          <w:sz w:val="24"/>
          <w:szCs w:val="24"/>
        </w:rPr>
        <w:t>Eur Heart J</w:t>
      </w:r>
      <w:r w:rsidRPr="00CB191B">
        <w:rPr>
          <w:rFonts w:ascii="Arial" w:hAnsi="Arial" w:cs="Arial"/>
          <w:noProof/>
          <w:sz w:val="24"/>
          <w:szCs w:val="24"/>
        </w:rPr>
        <w:t>. 2018;39(35):3322-3330. doi:10.1093/eurheartj/ehy267.</w:t>
      </w:r>
    </w:p>
    <w:p w14:paraId="6321A61D"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7. </w:t>
      </w:r>
      <w:r w:rsidRPr="00CB191B">
        <w:rPr>
          <w:rFonts w:ascii="Arial" w:hAnsi="Arial" w:cs="Arial"/>
          <w:noProof/>
          <w:sz w:val="24"/>
          <w:szCs w:val="24"/>
        </w:rPr>
        <w:tab/>
        <w:t xml:space="preserve">Schuhbaeck A, Schmid J, Zimmer T, et al. Influence of the coronary calcium score on the ability to rule out coronary artery stenoses by coronary CT angiography in patients with suspected coronary artery disease. </w:t>
      </w:r>
      <w:r w:rsidRPr="00CB191B">
        <w:rPr>
          <w:rFonts w:ascii="Arial" w:hAnsi="Arial" w:cs="Arial"/>
          <w:i/>
          <w:iCs/>
          <w:noProof/>
          <w:sz w:val="24"/>
          <w:szCs w:val="24"/>
        </w:rPr>
        <w:t>J Cardiovasc Comput Tomogr</w:t>
      </w:r>
      <w:r w:rsidRPr="00CB191B">
        <w:rPr>
          <w:rFonts w:ascii="Arial" w:hAnsi="Arial" w:cs="Arial"/>
          <w:noProof/>
          <w:sz w:val="24"/>
          <w:szCs w:val="24"/>
        </w:rPr>
        <w:t>. 2016;10(5):343-350. doi:10.1016/j.jcct.2016.07.014.</w:t>
      </w:r>
    </w:p>
    <w:p w14:paraId="1CEEA47E"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lastRenderedPageBreak/>
        <w:t xml:space="preserve">8. </w:t>
      </w:r>
      <w:r w:rsidRPr="00CB191B">
        <w:rPr>
          <w:rFonts w:ascii="Arial" w:hAnsi="Arial" w:cs="Arial"/>
          <w:noProof/>
          <w:sz w:val="24"/>
          <w:szCs w:val="24"/>
        </w:rPr>
        <w:tab/>
        <w:t xml:space="preserve">McClelland RL, Chung H, Detrano R, Post W, Kronmal RA. Distribution of coronary artery calcium by race, gender, and age: Results from the Multi-Ethnic Study of Atherosclerosis (MESA). </w:t>
      </w:r>
      <w:r w:rsidRPr="00CB191B">
        <w:rPr>
          <w:rFonts w:ascii="Arial" w:hAnsi="Arial" w:cs="Arial"/>
          <w:i/>
          <w:iCs/>
          <w:noProof/>
          <w:sz w:val="24"/>
          <w:szCs w:val="24"/>
        </w:rPr>
        <w:t>Circulation</w:t>
      </w:r>
      <w:r w:rsidRPr="00CB191B">
        <w:rPr>
          <w:rFonts w:ascii="Arial" w:hAnsi="Arial" w:cs="Arial"/>
          <w:noProof/>
          <w:sz w:val="24"/>
          <w:szCs w:val="24"/>
        </w:rPr>
        <w:t>. 2006;113(1):30-37. doi:10.1161/CIRCULATIONAHA.105.580696.</w:t>
      </w:r>
    </w:p>
    <w:p w14:paraId="0A293637"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9. </w:t>
      </w:r>
      <w:r w:rsidRPr="00CB191B">
        <w:rPr>
          <w:rFonts w:ascii="Arial" w:hAnsi="Arial" w:cs="Arial"/>
          <w:noProof/>
          <w:sz w:val="24"/>
          <w:szCs w:val="24"/>
        </w:rPr>
        <w:tab/>
        <w:t xml:space="preserve">Li P, Xu L, Yang L, et al. Blooming Artifact Reduction in Coronary Artery Calcification by A New De-blooming Algorithm: Initial Study. </w:t>
      </w:r>
      <w:r w:rsidRPr="00CB191B">
        <w:rPr>
          <w:rFonts w:ascii="Arial" w:hAnsi="Arial" w:cs="Arial"/>
          <w:i/>
          <w:iCs/>
          <w:noProof/>
          <w:sz w:val="24"/>
          <w:szCs w:val="24"/>
        </w:rPr>
        <w:t>Sci Rep</w:t>
      </w:r>
      <w:r w:rsidRPr="00CB191B">
        <w:rPr>
          <w:rFonts w:ascii="Arial" w:hAnsi="Arial" w:cs="Arial"/>
          <w:noProof/>
          <w:sz w:val="24"/>
          <w:szCs w:val="24"/>
        </w:rPr>
        <w:t>. 2018;8(1):1-8. doi:10.1038/s41598-018-25352-5.</w:t>
      </w:r>
    </w:p>
    <w:p w14:paraId="6A11978C"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10. </w:t>
      </w:r>
      <w:r w:rsidRPr="00CB191B">
        <w:rPr>
          <w:rFonts w:ascii="Arial" w:hAnsi="Arial" w:cs="Arial"/>
          <w:noProof/>
          <w:sz w:val="24"/>
          <w:szCs w:val="24"/>
        </w:rPr>
        <w:tab/>
        <w:t>Hsieh J, Dutta S. System and method for quality improvement in CT imaging, United States Patent: 8699812. 2011. http://patft.uspto.gov/netacgi/nph-Parser?Sect1=PTO1&amp;Sect2=HITOFF&amp;d=PALL&amp;p=1&amp;u=%2Fnetahtml%2FPTO%2Fsrchnum.htm&amp;r=1&amp;f=G&amp;l=50&amp;s1=8,699,812.PN.&amp;OS=PN/8,699,812&amp;RS=PN/8,699,812. Accessed April 12, 2019.</w:t>
      </w:r>
    </w:p>
    <w:p w14:paraId="3FEFBF35"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11. </w:t>
      </w:r>
      <w:r w:rsidRPr="00CB191B">
        <w:rPr>
          <w:rFonts w:ascii="Arial" w:hAnsi="Arial" w:cs="Arial"/>
          <w:noProof/>
          <w:sz w:val="24"/>
          <w:szCs w:val="24"/>
        </w:rPr>
        <w:tab/>
        <w:t xml:space="preserve">Nakanishi R, Sankaran S, Grady L, et al. Automated estimation of image quality for coronary computed tomographic angiography using machine learning. </w:t>
      </w:r>
      <w:r w:rsidRPr="00CB191B">
        <w:rPr>
          <w:rFonts w:ascii="Arial" w:hAnsi="Arial" w:cs="Arial"/>
          <w:i/>
          <w:iCs/>
          <w:noProof/>
          <w:sz w:val="24"/>
          <w:szCs w:val="24"/>
        </w:rPr>
        <w:t>Eur Radiol</w:t>
      </w:r>
      <w:r w:rsidRPr="00CB191B">
        <w:rPr>
          <w:rFonts w:ascii="Arial" w:hAnsi="Arial" w:cs="Arial"/>
          <w:noProof/>
          <w:sz w:val="24"/>
          <w:szCs w:val="24"/>
        </w:rPr>
        <w:t>. 2018;28(9):4018-4026. doi:10.1007/s00330-018-5348-8.</w:t>
      </w:r>
    </w:p>
    <w:p w14:paraId="6B873CED"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12. </w:t>
      </w:r>
      <w:r w:rsidRPr="00CB191B">
        <w:rPr>
          <w:rFonts w:ascii="Arial" w:hAnsi="Arial" w:cs="Arial"/>
          <w:noProof/>
          <w:sz w:val="24"/>
          <w:szCs w:val="24"/>
        </w:rPr>
        <w:tab/>
        <w:t xml:space="preserve">Leipsic J, Abbara S, Achenbach S, et al. SCCT guidelines for the interpretation and reporting of coronary CT angiography: a report of the Society of Cardiovascular Computed Tomography Guidelines Committee. </w:t>
      </w:r>
      <w:r w:rsidRPr="00CB191B">
        <w:rPr>
          <w:rFonts w:ascii="Arial" w:hAnsi="Arial" w:cs="Arial"/>
          <w:i/>
          <w:iCs/>
          <w:noProof/>
          <w:sz w:val="24"/>
          <w:szCs w:val="24"/>
        </w:rPr>
        <w:t>J Cardiovasc Comput Tomogr</w:t>
      </w:r>
      <w:r w:rsidRPr="00CB191B">
        <w:rPr>
          <w:rFonts w:ascii="Arial" w:hAnsi="Arial" w:cs="Arial"/>
          <w:noProof/>
          <w:sz w:val="24"/>
          <w:szCs w:val="24"/>
        </w:rPr>
        <w:t>. 2015;8(5):342-358. doi:10.1016/j.jcct.2014.07.003.</w:t>
      </w:r>
    </w:p>
    <w:p w14:paraId="3E3946C9"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13. </w:t>
      </w:r>
      <w:r w:rsidRPr="00CB191B">
        <w:rPr>
          <w:rFonts w:ascii="Arial" w:hAnsi="Arial" w:cs="Arial"/>
          <w:noProof/>
          <w:sz w:val="24"/>
          <w:szCs w:val="24"/>
        </w:rPr>
        <w:tab/>
        <w:t xml:space="preserve">Meijboom WB, Meijs MFL, Schuijf JD, et al. Diagnostic Accuracy of 64-Slice Computed Tomography Coronary Angiography. A Prospective, Multicenter, Multivendor Study. </w:t>
      </w:r>
      <w:r w:rsidRPr="00CB191B">
        <w:rPr>
          <w:rFonts w:ascii="Arial" w:hAnsi="Arial" w:cs="Arial"/>
          <w:i/>
          <w:iCs/>
          <w:noProof/>
          <w:sz w:val="24"/>
          <w:szCs w:val="24"/>
        </w:rPr>
        <w:t>J Am Coll Cardiol</w:t>
      </w:r>
      <w:r w:rsidRPr="00CB191B">
        <w:rPr>
          <w:rFonts w:ascii="Arial" w:hAnsi="Arial" w:cs="Arial"/>
          <w:noProof/>
          <w:sz w:val="24"/>
          <w:szCs w:val="24"/>
        </w:rPr>
        <w:t>. 2008;52(25):2135-2144. doi:10.1016/j.jacc.2008.08.058.</w:t>
      </w:r>
    </w:p>
    <w:p w14:paraId="365D5C12"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14. </w:t>
      </w:r>
      <w:r w:rsidRPr="00CB191B">
        <w:rPr>
          <w:rFonts w:ascii="Arial" w:hAnsi="Arial" w:cs="Arial"/>
          <w:noProof/>
          <w:sz w:val="24"/>
          <w:szCs w:val="24"/>
        </w:rPr>
        <w:tab/>
        <w:t xml:space="preserve">Dewey M, Clouse ME, Bush DE, Hoe JWM, Miller JM. Coronary Artery Stenoses : Accuracy of 64 – Detector Row CT Angiography in Segments with Mild , Subanalysis of the CORE-64 Trial 1 Methods : Results : </w:t>
      </w:r>
      <w:r w:rsidRPr="00CB191B">
        <w:rPr>
          <w:rFonts w:ascii="Arial" w:hAnsi="Arial" w:cs="Arial"/>
          <w:i/>
          <w:iCs/>
          <w:noProof/>
          <w:sz w:val="24"/>
          <w:szCs w:val="24"/>
        </w:rPr>
        <w:t>Radiology</w:t>
      </w:r>
      <w:r w:rsidRPr="00CB191B">
        <w:rPr>
          <w:rFonts w:ascii="Arial" w:hAnsi="Arial" w:cs="Arial"/>
          <w:noProof/>
          <w:sz w:val="24"/>
          <w:szCs w:val="24"/>
        </w:rPr>
        <w:t>. 2011;261(1):100-108. doi:10.1148/radiol.11110537/-/DC1.</w:t>
      </w:r>
    </w:p>
    <w:p w14:paraId="36A1EA38"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15. </w:t>
      </w:r>
      <w:r w:rsidRPr="00CB191B">
        <w:rPr>
          <w:rFonts w:ascii="Arial" w:hAnsi="Arial" w:cs="Arial"/>
          <w:noProof/>
          <w:sz w:val="24"/>
          <w:szCs w:val="24"/>
        </w:rPr>
        <w:tab/>
        <w:t xml:space="preserve">Ong TK, Chin SP, Liew CK, et al. Accuracy of 64-row multidetector computed </w:t>
      </w:r>
      <w:r w:rsidRPr="00CB191B">
        <w:rPr>
          <w:rFonts w:ascii="Arial" w:hAnsi="Arial" w:cs="Arial"/>
          <w:noProof/>
          <w:sz w:val="24"/>
          <w:szCs w:val="24"/>
        </w:rPr>
        <w:lastRenderedPageBreak/>
        <w:t xml:space="preserve">tomography in detecting coronary artery disease in 134 symptomatic patients: Influence of calcification. </w:t>
      </w:r>
      <w:r w:rsidRPr="00CB191B">
        <w:rPr>
          <w:rFonts w:ascii="Arial" w:hAnsi="Arial" w:cs="Arial"/>
          <w:i/>
          <w:iCs/>
          <w:noProof/>
          <w:sz w:val="24"/>
          <w:szCs w:val="24"/>
        </w:rPr>
        <w:t>Am Heart J</w:t>
      </w:r>
      <w:r w:rsidRPr="00CB191B">
        <w:rPr>
          <w:rFonts w:ascii="Arial" w:hAnsi="Arial" w:cs="Arial"/>
          <w:noProof/>
          <w:sz w:val="24"/>
          <w:szCs w:val="24"/>
        </w:rPr>
        <w:t>. 2006;151(6):4-9. doi:10.1016/j.ahj.2005.12.027.</w:t>
      </w:r>
    </w:p>
    <w:p w14:paraId="7CA32B59"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16. </w:t>
      </w:r>
      <w:r w:rsidRPr="00CB191B">
        <w:rPr>
          <w:rFonts w:ascii="Arial" w:hAnsi="Arial" w:cs="Arial"/>
          <w:noProof/>
          <w:sz w:val="24"/>
          <w:szCs w:val="24"/>
        </w:rPr>
        <w:tab/>
        <w:t xml:space="preserve">Palumbo AA, Maffei E, Martini C, et al. Coronary calcium score as gatekeeper for 64-slice computed tomography coronary angiography in patients with chest pain: Per-segment and per-patient analysis. </w:t>
      </w:r>
      <w:r w:rsidRPr="00CB191B">
        <w:rPr>
          <w:rFonts w:ascii="Arial" w:hAnsi="Arial" w:cs="Arial"/>
          <w:i/>
          <w:iCs/>
          <w:noProof/>
          <w:sz w:val="24"/>
          <w:szCs w:val="24"/>
        </w:rPr>
        <w:t>Eur Radiol</w:t>
      </w:r>
      <w:r w:rsidRPr="00CB191B">
        <w:rPr>
          <w:rFonts w:ascii="Arial" w:hAnsi="Arial" w:cs="Arial"/>
          <w:noProof/>
          <w:sz w:val="24"/>
          <w:szCs w:val="24"/>
        </w:rPr>
        <w:t>. 2009;19(9):2127-2135. doi:10.1007/s00330-009-1398-2.</w:t>
      </w:r>
    </w:p>
    <w:p w14:paraId="1AC300B4"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17. </w:t>
      </w:r>
      <w:r w:rsidRPr="00CB191B">
        <w:rPr>
          <w:rFonts w:ascii="Arial" w:hAnsi="Arial" w:cs="Arial"/>
          <w:noProof/>
          <w:sz w:val="24"/>
          <w:szCs w:val="24"/>
        </w:rPr>
        <w:tab/>
        <w:t xml:space="preserve">Ahn SJ, Kang DK, Sun JS, Yoon MH. Accuracy and predictive value of coronary computed tomography angiography for the detection of obstructive coronary heart disease in patients with an agatston calcium score above 400. </w:t>
      </w:r>
      <w:r w:rsidRPr="00CB191B">
        <w:rPr>
          <w:rFonts w:ascii="Arial" w:hAnsi="Arial" w:cs="Arial"/>
          <w:i/>
          <w:iCs/>
          <w:noProof/>
          <w:sz w:val="24"/>
          <w:szCs w:val="24"/>
        </w:rPr>
        <w:t>J Comput Assist Tomogr</w:t>
      </w:r>
      <w:r w:rsidRPr="00CB191B">
        <w:rPr>
          <w:rFonts w:ascii="Arial" w:hAnsi="Arial" w:cs="Arial"/>
          <w:noProof/>
          <w:sz w:val="24"/>
          <w:szCs w:val="24"/>
        </w:rPr>
        <w:t>. 2013;37(3):387-394. doi:http://dx.doi.org/10.1097/RCT.0b013e318282d61c.</w:t>
      </w:r>
    </w:p>
    <w:p w14:paraId="45FEA72C"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18. </w:t>
      </w:r>
      <w:r w:rsidRPr="00CB191B">
        <w:rPr>
          <w:rFonts w:ascii="Arial" w:hAnsi="Arial" w:cs="Arial"/>
          <w:noProof/>
          <w:sz w:val="24"/>
          <w:szCs w:val="24"/>
        </w:rPr>
        <w:tab/>
        <w:t xml:space="preserve">Qi L, Tang L-J, Xu Y, et al. The Diagnostic Performance of Coronary CT Angiography for the Assessment of Coronary Stenosis in Calcified Plaque. </w:t>
      </w:r>
      <w:r w:rsidRPr="00CB191B">
        <w:rPr>
          <w:rFonts w:ascii="Arial" w:hAnsi="Arial" w:cs="Arial"/>
          <w:i/>
          <w:iCs/>
          <w:noProof/>
          <w:sz w:val="24"/>
          <w:szCs w:val="24"/>
        </w:rPr>
        <w:t>PLoS One</w:t>
      </w:r>
      <w:r w:rsidRPr="00CB191B">
        <w:rPr>
          <w:rFonts w:ascii="Arial" w:hAnsi="Arial" w:cs="Arial"/>
          <w:noProof/>
          <w:sz w:val="24"/>
          <w:szCs w:val="24"/>
        </w:rPr>
        <w:t>. 2016;11(5):e0154852. doi:10.1371/journal.pone.0154852.</w:t>
      </w:r>
    </w:p>
    <w:p w14:paraId="55601C26"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19. </w:t>
      </w:r>
      <w:r w:rsidRPr="00CB191B">
        <w:rPr>
          <w:rFonts w:ascii="Arial" w:hAnsi="Arial" w:cs="Arial"/>
          <w:noProof/>
          <w:sz w:val="24"/>
          <w:szCs w:val="24"/>
        </w:rPr>
        <w:tab/>
        <w:t xml:space="preserve">Mitsutake R, Niimura H, Miura S, et al. Clinical significance of the coronary calcification score by multidetector row computed tomography for the evaluation of coronary stenosis in Japanese patients. </w:t>
      </w:r>
      <w:r w:rsidRPr="00CB191B">
        <w:rPr>
          <w:rFonts w:ascii="Arial" w:hAnsi="Arial" w:cs="Arial"/>
          <w:i/>
          <w:iCs/>
          <w:noProof/>
          <w:sz w:val="24"/>
          <w:szCs w:val="24"/>
        </w:rPr>
        <w:t>Circ J</w:t>
      </w:r>
      <w:r w:rsidRPr="00CB191B">
        <w:rPr>
          <w:rFonts w:ascii="Arial" w:hAnsi="Arial" w:cs="Arial"/>
          <w:noProof/>
          <w:sz w:val="24"/>
          <w:szCs w:val="24"/>
        </w:rPr>
        <w:t>. 2006;70(9):1122-1127. http://www.ncbi.nlm.nih.gov/pubmed/16936422.</w:t>
      </w:r>
    </w:p>
    <w:p w14:paraId="6324BD7C"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20. </w:t>
      </w:r>
      <w:r w:rsidRPr="00CB191B">
        <w:rPr>
          <w:rFonts w:ascii="Arial" w:hAnsi="Arial" w:cs="Arial"/>
          <w:noProof/>
          <w:sz w:val="24"/>
          <w:szCs w:val="24"/>
        </w:rPr>
        <w:tab/>
        <w:t xml:space="preserve">Lubbers M, Dedic A, Coenen A, et al. Calcium imaging and selective computed tomography angiography in comparison to functional testing for suspected coronary artery disease: The multicentre, randomized CRESCENT trial. </w:t>
      </w:r>
      <w:r w:rsidRPr="00CB191B">
        <w:rPr>
          <w:rFonts w:ascii="Arial" w:hAnsi="Arial" w:cs="Arial"/>
          <w:i/>
          <w:iCs/>
          <w:noProof/>
          <w:sz w:val="24"/>
          <w:szCs w:val="24"/>
        </w:rPr>
        <w:t>Eur Heart J</w:t>
      </w:r>
      <w:r w:rsidRPr="00CB191B">
        <w:rPr>
          <w:rFonts w:ascii="Arial" w:hAnsi="Arial" w:cs="Arial"/>
          <w:noProof/>
          <w:sz w:val="24"/>
          <w:szCs w:val="24"/>
        </w:rPr>
        <w:t>. 2016;37(15):1232-1243. doi:10.1093/eurheartj/ehv700.</w:t>
      </w:r>
    </w:p>
    <w:p w14:paraId="13863C87"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21. </w:t>
      </w:r>
      <w:r w:rsidRPr="00CB191B">
        <w:rPr>
          <w:rFonts w:ascii="Arial" w:hAnsi="Arial" w:cs="Arial"/>
          <w:noProof/>
          <w:sz w:val="24"/>
          <w:szCs w:val="24"/>
        </w:rPr>
        <w:tab/>
        <w:t xml:space="preserve">Lee S-E, Chang H-J, Sung JM, et al. Effects of Statins on Coronary Atherosclerotic Plaques: The PARADIGM (Progression of AtheRosclerotic PlAque DetermIned by Computed TomoGraphic Angiography Imaging) Study. </w:t>
      </w:r>
      <w:r w:rsidRPr="00CB191B">
        <w:rPr>
          <w:rFonts w:ascii="Arial" w:hAnsi="Arial" w:cs="Arial"/>
          <w:i/>
          <w:iCs/>
          <w:noProof/>
          <w:sz w:val="24"/>
          <w:szCs w:val="24"/>
        </w:rPr>
        <w:t>JACC Cardiovasc Imaging</w:t>
      </w:r>
      <w:r w:rsidRPr="00CB191B">
        <w:rPr>
          <w:rFonts w:ascii="Arial" w:hAnsi="Arial" w:cs="Arial"/>
          <w:noProof/>
          <w:sz w:val="24"/>
          <w:szCs w:val="24"/>
        </w:rPr>
        <w:t>. June 2018. doi:10.1016/j.jcmg.2018.04.015.</w:t>
      </w:r>
    </w:p>
    <w:p w14:paraId="1FCCD1E6"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22. </w:t>
      </w:r>
      <w:r w:rsidRPr="00CB191B">
        <w:rPr>
          <w:rFonts w:ascii="Arial" w:hAnsi="Arial" w:cs="Arial"/>
          <w:noProof/>
          <w:sz w:val="24"/>
          <w:szCs w:val="24"/>
        </w:rPr>
        <w:tab/>
        <w:t xml:space="preserve">Pontone G, Bertella E, Mushtaq S, et al. Coronary Artery Disease: Diagnostic </w:t>
      </w:r>
      <w:r w:rsidRPr="00CB191B">
        <w:rPr>
          <w:rFonts w:ascii="Arial" w:hAnsi="Arial" w:cs="Arial"/>
          <w:noProof/>
          <w:sz w:val="24"/>
          <w:szCs w:val="24"/>
        </w:rPr>
        <w:lastRenderedPageBreak/>
        <w:t xml:space="preserve">Accuracy of CT Coronary Angiography—A Comparison of High and Standard Spatial Resolution Scanning. </w:t>
      </w:r>
      <w:r w:rsidRPr="00CB191B">
        <w:rPr>
          <w:rFonts w:ascii="Arial" w:hAnsi="Arial" w:cs="Arial"/>
          <w:i/>
          <w:iCs/>
          <w:noProof/>
          <w:sz w:val="24"/>
          <w:szCs w:val="24"/>
        </w:rPr>
        <w:t>Radiology</w:t>
      </w:r>
      <w:r w:rsidRPr="00CB191B">
        <w:rPr>
          <w:rFonts w:ascii="Arial" w:hAnsi="Arial" w:cs="Arial"/>
          <w:noProof/>
          <w:sz w:val="24"/>
          <w:szCs w:val="24"/>
        </w:rPr>
        <w:t>. 2014;271(3):688-694. doi:10.1148/radiol.13130909.</w:t>
      </w:r>
    </w:p>
    <w:p w14:paraId="0F9D29A4"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23. </w:t>
      </w:r>
      <w:r w:rsidRPr="00CB191B">
        <w:rPr>
          <w:rFonts w:ascii="Arial" w:hAnsi="Arial" w:cs="Arial"/>
          <w:noProof/>
          <w:sz w:val="24"/>
          <w:szCs w:val="24"/>
        </w:rPr>
        <w:tab/>
        <w:t xml:space="preserve">Motoyama S, Ito H, Sarai M, et al. Ultra-High-Resolution Computed Tomography Angiography for Assessment of Coronary Artery Stenosis. </w:t>
      </w:r>
      <w:r w:rsidRPr="00CB191B">
        <w:rPr>
          <w:rFonts w:ascii="Arial" w:hAnsi="Arial" w:cs="Arial"/>
          <w:i/>
          <w:iCs/>
          <w:noProof/>
          <w:sz w:val="24"/>
          <w:szCs w:val="24"/>
        </w:rPr>
        <w:t>Circ J</w:t>
      </w:r>
      <w:r w:rsidRPr="00CB191B">
        <w:rPr>
          <w:rFonts w:ascii="Arial" w:hAnsi="Arial" w:cs="Arial"/>
          <w:noProof/>
          <w:sz w:val="24"/>
          <w:szCs w:val="24"/>
        </w:rPr>
        <w:t>. 2018;82(7):1844-1851. doi:10.1253/circj.CJ-17-1281.</w:t>
      </w:r>
    </w:p>
    <w:p w14:paraId="1B533E30"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24. </w:t>
      </w:r>
      <w:r w:rsidRPr="00CB191B">
        <w:rPr>
          <w:rFonts w:ascii="Arial" w:hAnsi="Arial" w:cs="Arial"/>
          <w:noProof/>
          <w:sz w:val="24"/>
          <w:szCs w:val="24"/>
        </w:rPr>
        <w:tab/>
        <w:t xml:space="preserve">Takagi H, Tanaka R, Nagata K, et al. Diagnostic performance of coronary CT angiography with ultra-high-resolution CT: Comparison with invasive coronary angiography. </w:t>
      </w:r>
      <w:r w:rsidRPr="00CB191B">
        <w:rPr>
          <w:rFonts w:ascii="Arial" w:hAnsi="Arial" w:cs="Arial"/>
          <w:i/>
          <w:iCs/>
          <w:noProof/>
          <w:sz w:val="24"/>
          <w:szCs w:val="24"/>
        </w:rPr>
        <w:t>Eur J Radiol</w:t>
      </w:r>
      <w:r w:rsidRPr="00CB191B">
        <w:rPr>
          <w:rFonts w:ascii="Arial" w:hAnsi="Arial" w:cs="Arial"/>
          <w:noProof/>
          <w:sz w:val="24"/>
          <w:szCs w:val="24"/>
        </w:rPr>
        <w:t>. 2018;101(January):30-37. doi:10.1016/j.ejrad.2018.01.030.</w:t>
      </w:r>
    </w:p>
    <w:p w14:paraId="63858776"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25. </w:t>
      </w:r>
      <w:r w:rsidRPr="00CB191B">
        <w:rPr>
          <w:rFonts w:ascii="Arial" w:hAnsi="Arial" w:cs="Arial"/>
          <w:noProof/>
          <w:sz w:val="24"/>
          <w:szCs w:val="24"/>
        </w:rPr>
        <w:tab/>
        <w:t xml:space="preserve">Yoshioka K, Tanaka R, Muranaka K, et al. Subtraction coronary CT angiography using second-generation 320-detector row CT. </w:t>
      </w:r>
      <w:r w:rsidRPr="00CB191B">
        <w:rPr>
          <w:rFonts w:ascii="Arial" w:hAnsi="Arial" w:cs="Arial"/>
          <w:i/>
          <w:iCs/>
          <w:noProof/>
          <w:sz w:val="24"/>
          <w:szCs w:val="24"/>
        </w:rPr>
        <w:t>Int J Cardiovasc Imaging</w:t>
      </w:r>
      <w:r w:rsidRPr="00CB191B">
        <w:rPr>
          <w:rFonts w:ascii="Arial" w:hAnsi="Arial" w:cs="Arial"/>
          <w:noProof/>
          <w:sz w:val="24"/>
          <w:szCs w:val="24"/>
        </w:rPr>
        <w:t>. 2015;31(1):51-58. doi:10.1007/s10554-015-0630-1.</w:t>
      </w:r>
    </w:p>
    <w:p w14:paraId="14AA9369"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26. </w:t>
      </w:r>
      <w:r w:rsidRPr="00CB191B">
        <w:rPr>
          <w:rFonts w:ascii="Arial" w:hAnsi="Arial" w:cs="Arial"/>
          <w:noProof/>
          <w:sz w:val="24"/>
          <w:szCs w:val="24"/>
        </w:rPr>
        <w:tab/>
        <w:t xml:space="preserve">De Santis D, Jin KN, Joseph Schoepf U, et al. Heavily calcified coronary arteries advanced calcium subtraction improves luminal visualization and diagnostic confidence in dual-energy coronary computed tomography angiography. </w:t>
      </w:r>
      <w:r w:rsidRPr="00CB191B">
        <w:rPr>
          <w:rFonts w:ascii="Arial" w:hAnsi="Arial" w:cs="Arial"/>
          <w:i/>
          <w:iCs/>
          <w:noProof/>
          <w:sz w:val="24"/>
          <w:szCs w:val="24"/>
        </w:rPr>
        <w:t>Invest Radiol</w:t>
      </w:r>
      <w:r w:rsidRPr="00CB191B">
        <w:rPr>
          <w:rFonts w:ascii="Arial" w:hAnsi="Arial" w:cs="Arial"/>
          <w:noProof/>
          <w:sz w:val="24"/>
          <w:szCs w:val="24"/>
        </w:rPr>
        <w:t>. 2018;53(2):103-109. doi:10.1097/RLI.0000000000000416.</w:t>
      </w:r>
    </w:p>
    <w:p w14:paraId="6EE5D8F1"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27. </w:t>
      </w:r>
      <w:r w:rsidRPr="00CB191B">
        <w:rPr>
          <w:rFonts w:ascii="Arial" w:hAnsi="Arial" w:cs="Arial"/>
          <w:noProof/>
          <w:sz w:val="24"/>
          <w:szCs w:val="24"/>
        </w:rPr>
        <w:tab/>
        <w:t xml:space="preserve">Cui X, Li T, Li X, Zhou W. High-definition computed tomography for coronary artery stents imaging: Initial evaluation of the optimal reconstruction algorithm. </w:t>
      </w:r>
      <w:r w:rsidRPr="00CB191B">
        <w:rPr>
          <w:rFonts w:ascii="Arial" w:hAnsi="Arial" w:cs="Arial"/>
          <w:i/>
          <w:iCs/>
          <w:noProof/>
          <w:sz w:val="24"/>
          <w:szCs w:val="24"/>
        </w:rPr>
        <w:t>Eur J Radiol</w:t>
      </w:r>
      <w:r w:rsidRPr="00CB191B">
        <w:rPr>
          <w:rFonts w:ascii="Arial" w:hAnsi="Arial" w:cs="Arial"/>
          <w:noProof/>
          <w:sz w:val="24"/>
          <w:szCs w:val="24"/>
        </w:rPr>
        <w:t>. 2015;84(5):834-839. doi:10.1016/j.ejrad.2015.02.004.</w:t>
      </w:r>
    </w:p>
    <w:p w14:paraId="02C07F6E"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28. </w:t>
      </w:r>
      <w:r w:rsidRPr="00CB191B">
        <w:rPr>
          <w:rFonts w:ascii="Arial" w:hAnsi="Arial" w:cs="Arial"/>
          <w:noProof/>
          <w:sz w:val="24"/>
          <w:szCs w:val="24"/>
        </w:rPr>
        <w:tab/>
        <w:t xml:space="preserve">Sun Z, Ng CKC, Xu L, Fan Z, Lei J. Coronary ct angiography in heavily calcified coronary arteries: Improvement of coronary lumen visualization and coronary stenosis assessment with image postprocessing methods. </w:t>
      </w:r>
      <w:r w:rsidRPr="00CB191B">
        <w:rPr>
          <w:rFonts w:ascii="Arial" w:hAnsi="Arial" w:cs="Arial"/>
          <w:i/>
          <w:iCs/>
          <w:noProof/>
          <w:sz w:val="24"/>
          <w:szCs w:val="24"/>
        </w:rPr>
        <w:t>Med (United States)</w:t>
      </w:r>
      <w:r w:rsidRPr="00CB191B">
        <w:rPr>
          <w:rFonts w:ascii="Arial" w:hAnsi="Arial" w:cs="Arial"/>
          <w:noProof/>
          <w:sz w:val="24"/>
          <w:szCs w:val="24"/>
        </w:rPr>
        <w:t>. 2015;94(48):1-10. doi:10.1097/MD.0000000000002148.</w:t>
      </w:r>
    </w:p>
    <w:p w14:paraId="2DE54567"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29. </w:t>
      </w:r>
      <w:r w:rsidRPr="00CB191B">
        <w:rPr>
          <w:rFonts w:ascii="Arial" w:hAnsi="Arial" w:cs="Arial"/>
          <w:noProof/>
          <w:sz w:val="24"/>
          <w:szCs w:val="24"/>
        </w:rPr>
        <w:tab/>
        <w:t xml:space="preserve">Precht H, Kitslaar PH, Broersen A, et al. Influence of Adaptive Statistical Iterative Reconstruction on coronary plaque analysis in coronary computed tomography angiography. </w:t>
      </w:r>
      <w:r w:rsidRPr="00CB191B">
        <w:rPr>
          <w:rFonts w:ascii="Arial" w:hAnsi="Arial" w:cs="Arial"/>
          <w:i/>
          <w:iCs/>
          <w:noProof/>
          <w:sz w:val="24"/>
          <w:szCs w:val="24"/>
        </w:rPr>
        <w:t>J Cardiovasc Comput Tomogr</w:t>
      </w:r>
      <w:r w:rsidRPr="00CB191B">
        <w:rPr>
          <w:rFonts w:ascii="Arial" w:hAnsi="Arial" w:cs="Arial"/>
          <w:noProof/>
          <w:sz w:val="24"/>
          <w:szCs w:val="24"/>
        </w:rPr>
        <w:t>. 2016;10(6):507-516. doi:10.1016/J.JCCT.2016.09.006.</w:t>
      </w:r>
    </w:p>
    <w:p w14:paraId="4FA43ADD"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lastRenderedPageBreak/>
        <w:t xml:space="preserve">30. </w:t>
      </w:r>
      <w:r w:rsidRPr="00CB191B">
        <w:rPr>
          <w:rFonts w:ascii="Arial" w:hAnsi="Arial" w:cs="Arial"/>
          <w:noProof/>
          <w:sz w:val="24"/>
          <w:szCs w:val="24"/>
        </w:rPr>
        <w:tab/>
        <w:t xml:space="preserve">Károlyi M, Szilveszter B, Kolossváry M, et al. Iterative model reconstruction reduces calcified plaque volume in coronary CT angiography. </w:t>
      </w:r>
      <w:r w:rsidRPr="00CB191B">
        <w:rPr>
          <w:rFonts w:ascii="Arial" w:hAnsi="Arial" w:cs="Arial"/>
          <w:i/>
          <w:iCs/>
          <w:noProof/>
          <w:sz w:val="24"/>
          <w:szCs w:val="24"/>
        </w:rPr>
        <w:t>Eur J Radiol</w:t>
      </w:r>
      <w:r w:rsidRPr="00CB191B">
        <w:rPr>
          <w:rFonts w:ascii="Arial" w:hAnsi="Arial" w:cs="Arial"/>
          <w:noProof/>
          <w:sz w:val="24"/>
          <w:szCs w:val="24"/>
        </w:rPr>
        <w:t>. 2017;87:83-89. doi:10.1016/j.ejrad.2016.12.012.</w:t>
      </w:r>
    </w:p>
    <w:p w14:paraId="6A7314D6"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31. </w:t>
      </w:r>
      <w:r w:rsidRPr="00CB191B">
        <w:rPr>
          <w:rFonts w:ascii="Arial" w:hAnsi="Arial" w:cs="Arial"/>
          <w:noProof/>
          <w:sz w:val="24"/>
          <w:szCs w:val="24"/>
        </w:rPr>
        <w:tab/>
        <w:t xml:space="preserve">Williams MC, Golay SK, Hunter  a., et al. Observer variability in the assessment of CT coronary angiography and coronary artery calcium score: substudy of the Scottish COmputed Tomography of the HEART (SCOT-HEART) trial. </w:t>
      </w:r>
      <w:r w:rsidRPr="00CB191B">
        <w:rPr>
          <w:rFonts w:ascii="Arial" w:hAnsi="Arial" w:cs="Arial"/>
          <w:i/>
          <w:iCs/>
          <w:noProof/>
          <w:sz w:val="24"/>
          <w:szCs w:val="24"/>
        </w:rPr>
        <w:t>Open Hear</w:t>
      </w:r>
      <w:r w:rsidRPr="00CB191B">
        <w:rPr>
          <w:rFonts w:ascii="Arial" w:hAnsi="Arial" w:cs="Arial"/>
          <w:noProof/>
          <w:sz w:val="24"/>
          <w:szCs w:val="24"/>
        </w:rPr>
        <w:t>. 2015;2(1):e000234-e000234. doi:10.1136/openhrt-2014-000234.</w:t>
      </w:r>
    </w:p>
    <w:p w14:paraId="5BF34CCD"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32. </w:t>
      </w:r>
      <w:r w:rsidRPr="00CB191B">
        <w:rPr>
          <w:rFonts w:ascii="Arial" w:hAnsi="Arial" w:cs="Arial"/>
          <w:noProof/>
          <w:sz w:val="24"/>
          <w:szCs w:val="24"/>
        </w:rPr>
        <w:tab/>
        <w:t xml:space="preserve">Liang J, Wang H, Xu L, et al. Diagnostic performance of 256-row detector coronary CT angiography in patients with high heart rates within a single cardiac cycle: a preliminary study. </w:t>
      </w:r>
      <w:r w:rsidRPr="00CB191B">
        <w:rPr>
          <w:rFonts w:ascii="Arial" w:hAnsi="Arial" w:cs="Arial"/>
          <w:i/>
          <w:iCs/>
          <w:noProof/>
          <w:sz w:val="24"/>
          <w:szCs w:val="24"/>
        </w:rPr>
        <w:t>Clin Radiol</w:t>
      </w:r>
      <w:r w:rsidRPr="00CB191B">
        <w:rPr>
          <w:rFonts w:ascii="Arial" w:hAnsi="Arial" w:cs="Arial"/>
          <w:noProof/>
          <w:sz w:val="24"/>
          <w:szCs w:val="24"/>
        </w:rPr>
        <w:t>. 2017;72(8):694.e7-694.e14. doi:10.1016/j.crad.2017.03.004.</w:t>
      </w:r>
    </w:p>
    <w:p w14:paraId="1FD6465E"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33. </w:t>
      </w:r>
      <w:r w:rsidRPr="00CB191B">
        <w:rPr>
          <w:rFonts w:ascii="Arial" w:hAnsi="Arial" w:cs="Arial"/>
          <w:noProof/>
          <w:sz w:val="24"/>
          <w:szCs w:val="24"/>
        </w:rPr>
        <w:tab/>
        <w:t xml:space="preserve">Pijls NHJ, de Bruyne B, Peels K, et al. Measurement of Fractional Flow Reserve to Assess the Functional Severity of Coronary-Artery Stenoses. </w:t>
      </w:r>
      <w:r w:rsidRPr="00CB191B">
        <w:rPr>
          <w:rFonts w:ascii="Arial" w:hAnsi="Arial" w:cs="Arial"/>
          <w:i/>
          <w:iCs/>
          <w:noProof/>
          <w:sz w:val="24"/>
          <w:szCs w:val="24"/>
        </w:rPr>
        <w:t>N Engl J Med</w:t>
      </w:r>
      <w:r w:rsidRPr="00CB191B">
        <w:rPr>
          <w:rFonts w:ascii="Arial" w:hAnsi="Arial" w:cs="Arial"/>
          <w:noProof/>
          <w:sz w:val="24"/>
          <w:szCs w:val="24"/>
        </w:rPr>
        <w:t>. 1996;334(26):1703-1708. doi:10.1056/NEJM199606273342604.</w:t>
      </w:r>
    </w:p>
    <w:p w14:paraId="7A563B38"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34. </w:t>
      </w:r>
      <w:r w:rsidRPr="00CB191B">
        <w:rPr>
          <w:rFonts w:ascii="Arial" w:hAnsi="Arial" w:cs="Arial"/>
          <w:noProof/>
          <w:sz w:val="24"/>
          <w:szCs w:val="24"/>
        </w:rPr>
        <w:tab/>
        <w:t xml:space="preserve">Curzen N, Rana O, Nicholas Z, et al. Does routine pressure wire assessment influence management strategy at coronary angiography for diagnosis of chest pain? the ripcord study. </w:t>
      </w:r>
      <w:r w:rsidRPr="00CB191B">
        <w:rPr>
          <w:rFonts w:ascii="Arial" w:hAnsi="Arial" w:cs="Arial"/>
          <w:i/>
          <w:iCs/>
          <w:noProof/>
          <w:sz w:val="24"/>
          <w:szCs w:val="24"/>
        </w:rPr>
        <w:t>Circ Cardiovasc Interv</w:t>
      </w:r>
      <w:r w:rsidRPr="00CB191B">
        <w:rPr>
          <w:rFonts w:ascii="Arial" w:hAnsi="Arial" w:cs="Arial"/>
          <w:noProof/>
          <w:sz w:val="24"/>
          <w:szCs w:val="24"/>
        </w:rPr>
        <w:t>. 2014;7(2):248-255. doi:10.1161/CIRCINTERVENTIONS.113.000978.</w:t>
      </w:r>
    </w:p>
    <w:p w14:paraId="592AC097"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szCs w:val="24"/>
        </w:rPr>
      </w:pPr>
      <w:r w:rsidRPr="00CB191B">
        <w:rPr>
          <w:rFonts w:ascii="Arial" w:hAnsi="Arial" w:cs="Arial"/>
          <w:noProof/>
          <w:sz w:val="24"/>
          <w:szCs w:val="24"/>
        </w:rPr>
        <w:t xml:space="preserve">35. </w:t>
      </w:r>
      <w:r w:rsidRPr="00CB191B">
        <w:rPr>
          <w:rFonts w:ascii="Arial" w:hAnsi="Arial" w:cs="Arial"/>
          <w:noProof/>
          <w:sz w:val="24"/>
          <w:szCs w:val="24"/>
        </w:rPr>
        <w:tab/>
        <w:t xml:space="preserve">Curzen NP, Nolan J, Zaman AG, Nørgaard BL, Rajani R. Does the Routine Availability of CT–Derived FFR Influence Management of Patients With Stable Chest Pain Compared to CT Angiography Alone?: The FFRCT RIPCORD Study. </w:t>
      </w:r>
      <w:r w:rsidRPr="00CB191B">
        <w:rPr>
          <w:rFonts w:ascii="Arial" w:hAnsi="Arial" w:cs="Arial"/>
          <w:i/>
          <w:iCs/>
          <w:noProof/>
          <w:sz w:val="24"/>
          <w:szCs w:val="24"/>
        </w:rPr>
        <w:t>JACC Cardiovasc Imaging</w:t>
      </w:r>
      <w:r w:rsidRPr="00CB191B">
        <w:rPr>
          <w:rFonts w:ascii="Arial" w:hAnsi="Arial" w:cs="Arial"/>
          <w:noProof/>
          <w:sz w:val="24"/>
          <w:szCs w:val="24"/>
        </w:rPr>
        <w:t>. 2016;9(10):1188-1194. doi:10.1016/j.jcmg.2015.12.026.</w:t>
      </w:r>
    </w:p>
    <w:p w14:paraId="582B3466" w14:textId="77777777" w:rsidR="00CB191B" w:rsidRPr="00CB191B" w:rsidRDefault="00CB191B" w:rsidP="00CB191B">
      <w:pPr>
        <w:widowControl w:val="0"/>
        <w:autoSpaceDE w:val="0"/>
        <w:autoSpaceDN w:val="0"/>
        <w:adjustRightInd w:val="0"/>
        <w:spacing w:line="360" w:lineRule="auto"/>
        <w:ind w:left="640" w:hanging="640"/>
        <w:rPr>
          <w:rFonts w:ascii="Arial" w:hAnsi="Arial" w:cs="Arial"/>
          <w:noProof/>
          <w:sz w:val="24"/>
        </w:rPr>
      </w:pPr>
      <w:r w:rsidRPr="00CB191B">
        <w:rPr>
          <w:rFonts w:ascii="Arial" w:hAnsi="Arial" w:cs="Arial"/>
          <w:noProof/>
          <w:sz w:val="24"/>
          <w:szCs w:val="24"/>
        </w:rPr>
        <w:t xml:space="preserve">36. </w:t>
      </w:r>
      <w:r w:rsidRPr="00CB191B">
        <w:rPr>
          <w:rFonts w:ascii="Arial" w:hAnsi="Arial" w:cs="Arial"/>
          <w:noProof/>
          <w:sz w:val="24"/>
          <w:szCs w:val="24"/>
        </w:rPr>
        <w:tab/>
        <w:t xml:space="preserve">Cury RC, Abbara S, Achenbach S, et al. CAD-RADS(TM) Coronary Artery Disease - Reporting and Data System. An expert consensus document of the Society of Cardiovascular Computed Tomography (SCCT), the American College of Radiology (ACR) and the North American Society for Cardiovascular Imaging (. </w:t>
      </w:r>
      <w:r w:rsidRPr="00CB191B">
        <w:rPr>
          <w:rFonts w:ascii="Arial" w:hAnsi="Arial" w:cs="Arial"/>
          <w:i/>
          <w:iCs/>
          <w:noProof/>
          <w:sz w:val="24"/>
          <w:szCs w:val="24"/>
        </w:rPr>
        <w:t>J Cardiovasc Comput Tomogr</w:t>
      </w:r>
      <w:r w:rsidRPr="00CB191B">
        <w:rPr>
          <w:rFonts w:ascii="Arial" w:hAnsi="Arial" w:cs="Arial"/>
          <w:noProof/>
          <w:sz w:val="24"/>
          <w:szCs w:val="24"/>
        </w:rPr>
        <w:t xml:space="preserve">. 2016;10(4):269-281. </w:t>
      </w:r>
      <w:r w:rsidRPr="00CB191B">
        <w:rPr>
          <w:rFonts w:ascii="Arial" w:hAnsi="Arial" w:cs="Arial"/>
          <w:noProof/>
          <w:sz w:val="24"/>
          <w:szCs w:val="24"/>
        </w:rPr>
        <w:lastRenderedPageBreak/>
        <w:t>doi:10.1016/j.jcct.2016.04.005.</w:t>
      </w:r>
    </w:p>
    <w:p w14:paraId="5A88E7DE" w14:textId="3A539EF8" w:rsidR="00570CD3" w:rsidRPr="00274EAE" w:rsidRDefault="00570CD3" w:rsidP="00CB191B">
      <w:pPr>
        <w:widowControl w:val="0"/>
        <w:autoSpaceDE w:val="0"/>
        <w:autoSpaceDN w:val="0"/>
        <w:adjustRightInd w:val="0"/>
        <w:spacing w:line="360" w:lineRule="auto"/>
        <w:ind w:left="640" w:hanging="640"/>
        <w:rPr>
          <w:rFonts w:ascii="Arial" w:hAnsi="Arial" w:cs="Arial"/>
          <w:b/>
          <w:bCs/>
          <w:sz w:val="24"/>
          <w:szCs w:val="24"/>
        </w:rPr>
      </w:pPr>
      <w:r w:rsidRPr="00274EAE">
        <w:rPr>
          <w:rFonts w:ascii="Arial" w:hAnsi="Arial" w:cs="Arial"/>
          <w:b/>
          <w:bCs/>
          <w:sz w:val="24"/>
          <w:szCs w:val="24"/>
        </w:rPr>
        <w:fldChar w:fldCharType="end"/>
      </w:r>
      <w:r w:rsidRPr="00274EAE">
        <w:rPr>
          <w:rFonts w:ascii="Arial" w:hAnsi="Arial" w:cs="Arial"/>
          <w:b/>
          <w:bCs/>
          <w:sz w:val="24"/>
          <w:szCs w:val="24"/>
        </w:rPr>
        <w:br w:type="page"/>
      </w:r>
    </w:p>
    <w:p w14:paraId="39D34A0B" w14:textId="3551BEFF" w:rsidR="00A64B05" w:rsidRDefault="00A64B05" w:rsidP="00A64B05">
      <w:pPr>
        <w:spacing w:line="360" w:lineRule="auto"/>
        <w:rPr>
          <w:rFonts w:ascii="Arial" w:hAnsi="Arial" w:cs="Arial"/>
          <w:sz w:val="24"/>
          <w:szCs w:val="24"/>
        </w:rPr>
      </w:pPr>
      <w:r w:rsidRPr="00A64B05">
        <w:rPr>
          <w:rFonts w:ascii="Arial" w:hAnsi="Arial" w:cs="Arial"/>
          <w:b/>
          <w:sz w:val="24"/>
          <w:szCs w:val="24"/>
        </w:rPr>
        <w:lastRenderedPageBreak/>
        <w:t>Figure 1:</w:t>
      </w:r>
      <w:r>
        <w:rPr>
          <w:rFonts w:ascii="Arial" w:hAnsi="Arial" w:cs="Arial"/>
          <w:sz w:val="24"/>
          <w:szCs w:val="24"/>
        </w:rPr>
        <w:t xml:space="preserve"> </w:t>
      </w:r>
      <w:r w:rsidR="004A3823">
        <w:rPr>
          <w:rFonts w:ascii="Arial" w:hAnsi="Arial" w:cs="Arial"/>
          <w:sz w:val="24"/>
          <w:szCs w:val="24"/>
        </w:rPr>
        <w:t>STARD participant flow diagram for the study</w:t>
      </w:r>
    </w:p>
    <w:p w14:paraId="0DBD72F5" w14:textId="1DCD170F" w:rsidR="00A64B05" w:rsidRDefault="00A64B05" w:rsidP="00D5356F">
      <w:pPr>
        <w:spacing w:line="360" w:lineRule="auto"/>
        <w:rPr>
          <w:rFonts w:ascii="Arial" w:hAnsi="Arial" w:cs="Arial"/>
          <w:b/>
          <w:bCs/>
          <w:noProof/>
          <w:sz w:val="24"/>
          <w:szCs w:val="24"/>
        </w:rPr>
      </w:pPr>
    </w:p>
    <w:p w14:paraId="540BDE4B" w14:textId="496B0CBF" w:rsidR="0090499D" w:rsidRDefault="0090499D" w:rsidP="0090499D">
      <w:pPr>
        <w:spacing w:line="360" w:lineRule="auto"/>
        <w:rPr>
          <w:rFonts w:ascii="Arial" w:hAnsi="Arial" w:cs="Arial"/>
          <w:b/>
          <w:bCs/>
          <w:sz w:val="24"/>
          <w:szCs w:val="24"/>
        </w:rPr>
      </w:pPr>
      <w:r>
        <w:rPr>
          <w:rFonts w:ascii="Arial" w:hAnsi="Arial" w:cs="Arial"/>
          <w:b/>
          <w:bCs/>
          <w:noProof/>
          <w:sz w:val="24"/>
          <w:szCs w:val="24"/>
        </w:rPr>
        <w:t>Figure 2:</w:t>
      </w:r>
      <w:r w:rsidRPr="004A3823">
        <w:rPr>
          <w:rFonts w:ascii="Arial" w:hAnsi="Arial" w:cs="Arial"/>
          <w:sz w:val="24"/>
          <w:szCs w:val="24"/>
        </w:rPr>
        <w:t xml:space="preserve"> </w:t>
      </w:r>
      <w:r>
        <w:rPr>
          <w:rFonts w:ascii="Arial" w:hAnsi="Arial" w:cs="Arial"/>
          <w:sz w:val="24"/>
          <w:szCs w:val="24"/>
        </w:rPr>
        <w:t>Comparison of the left anterior descending artery using a standard (</w:t>
      </w:r>
      <w:r w:rsidR="00BD5CE1">
        <w:rPr>
          <w:rFonts w:ascii="Arial" w:hAnsi="Arial" w:cs="Arial"/>
          <w:sz w:val="24"/>
          <w:szCs w:val="24"/>
        </w:rPr>
        <w:t>left</w:t>
      </w:r>
      <w:r>
        <w:rPr>
          <w:rFonts w:ascii="Arial" w:hAnsi="Arial" w:cs="Arial"/>
          <w:sz w:val="24"/>
          <w:szCs w:val="24"/>
        </w:rPr>
        <w:t xml:space="preserve">) and </w:t>
      </w:r>
      <w:proofErr w:type="spellStart"/>
      <w:r>
        <w:rPr>
          <w:rFonts w:ascii="Arial" w:hAnsi="Arial" w:cs="Arial"/>
          <w:sz w:val="24"/>
          <w:szCs w:val="24"/>
        </w:rPr>
        <w:t>deblooming</w:t>
      </w:r>
      <w:proofErr w:type="spellEnd"/>
      <w:r>
        <w:rPr>
          <w:rFonts w:ascii="Arial" w:hAnsi="Arial" w:cs="Arial"/>
          <w:sz w:val="24"/>
          <w:szCs w:val="24"/>
        </w:rPr>
        <w:t xml:space="preserve"> (</w:t>
      </w:r>
      <w:r w:rsidR="00BD5CE1">
        <w:rPr>
          <w:rFonts w:ascii="Arial" w:hAnsi="Arial" w:cs="Arial"/>
          <w:sz w:val="24"/>
          <w:szCs w:val="24"/>
        </w:rPr>
        <w:t>right</w:t>
      </w:r>
      <w:r>
        <w:rPr>
          <w:rFonts w:ascii="Arial" w:hAnsi="Arial" w:cs="Arial"/>
          <w:sz w:val="24"/>
          <w:szCs w:val="24"/>
        </w:rPr>
        <w:t xml:space="preserve">) reconstruction algorithm.  Compared with </w:t>
      </w:r>
      <w:r w:rsidR="00BD5CE1">
        <w:rPr>
          <w:rFonts w:ascii="Arial" w:hAnsi="Arial" w:cs="Arial"/>
          <w:sz w:val="24"/>
          <w:szCs w:val="24"/>
        </w:rPr>
        <w:t>the standard reconstruction on the left</w:t>
      </w:r>
      <w:r>
        <w:rPr>
          <w:rFonts w:ascii="Arial" w:hAnsi="Arial" w:cs="Arial"/>
          <w:sz w:val="24"/>
          <w:szCs w:val="24"/>
        </w:rPr>
        <w:t xml:space="preserve"> there is a significant reduction in the degree of blooming with a resultant reduction in the severity of the stenosis proximally</w:t>
      </w:r>
      <w:r w:rsidR="00BD5CE1">
        <w:rPr>
          <w:rFonts w:ascii="Arial" w:hAnsi="Arial" w:cs="Arial"/>
          <w:sz w:val="24"/>
          <w:szCs w:val="24"/>
        </w:rPr>
        <w:t xml:space="preserve"> on the right</w:t>
      </w:r>
      <w:r>
        <w:rPr>
          <w:rFonts w:ascii="Arial" w:hAnsi="Arial" w:cs="Arial"/>
          <w:sz w:val="24"/>
          <w:szCs w:val="24"/>
        </w:rPr>
        <w:t>.</w:t>
      </w:r>
    </w:p>
    <w:p w14:paraId="238C39F4" w14:textId="77777777" w:rsidR="0090499D" w:rsidRDefault="0090499D" w:rsidP="00D5356F">
      <w:pPr>
        <w:spacing w:line="360" w:lineRule="auto"/>
        <w:rPr>
          <w:rFonts w:ascii="Arial" w:hAnsi="Arial" w:cs="Arial"/>
          <w:b/>
          <w:bCs/>
          <w:noProof/>
          <w:sz w:val="24"/>
          <w:szCs w:val="24"/>
        </w:rPr>
      </w:pPr>
    </w:p>
    <w:p w14:paraId="5FFA5B09" w14:textId="36618194" w:rsidR="004A3823" w:rsidRDefault="004A3823" w:rsidP="00D5356F">
      <w:pPr>
        <w:spacing w:line="360" w:lineRule="auto"/>
        <w:rPr>
          <w:rFonts w:ascii="Arial" w:hAnsi="Arial" w:cs="Arial"/>
          <w:b/>
          <w:bCs/>
          <w:sz w:val="24"/>
          <w:szCs w:val="24"/>
        </w:rPr>
      </w:pPr>
      <w:r>
        <w:rPr>
          <w:rFonts w:ascii="Arial" w:hAnsi="Arial" w:cs="Arial"/>
          <w:b/>
          <w:bCs/>
          <w:noProof/>
          <w:sz w:val="24"/>
          <w:szCs w:val="24"/>
        </w:rPr>
        <w:t xml:space="preserve">Figure </w:t>
      </w:r>
      <w:r w:rsidR="0090499D">
        <w:rPr>
          <w:rFonts w:ascii="Arial" w:hAnsi="Arial" w:cs="Arial"/>
          <w:b/>
          <w:bCs/>
          <w:noProof/>
          <w:sz w:val="24"/>
          <w:szCs w:val="24"/>
        </w:rPr>
        <w:t>3</w:t>
      </w:r>
      <w:r>
        <w:rPr>
          <w:rFonts w:ascii="Arial" w:hAnsi="Arial" w:cs="Arial"/>
          <w:b/>
          <w:bCs/>
          <w:noProof/>
          <w:sz w:val="24"/>
          <w:szCs w:val="24"/>
        </w:rPr>
        <w:t>:</w:t>
      </w:r>
      <w:r w:rsidRPr="004A3823">
        <w:rPr>
          <w:rFonts w:ascii="Arial" w:hAnsi="Arial" w:cs="Arial"/>
          <w:sz w:val="24"/>
          <w:szCs w:val="24"/>
        </w:rPr>
        <w:t xml:space="preserve"> </w:t>
      </w:r>
      <w:r w:rsidR="0090499D">
        <w:rPr>
          <w:rFonts w:ascii="Arial" w:hAnsi="Arial" w:cs="Arial"/>
          <w:sz w:val="24"/>
          <w:szCs w:val="24"/>
        </w:rPr>
        <w:t xml:space="preserve">Example of </w:t>
      </w:r>
      <w:r w:rsidR="0090499D" w:rsidRPr="0090499D">
        <w:rPr>
          <w:rFonts w:ascii="Arial" w:hAnsi="Arial" w:cs="Arial"/>
          <w:sz w:val="24"/>
          <w:szCs w:val="24"/>
        </w:rPr>
        <w:t>the</w:t>
      </w:r>
      <w:r>
        <w:rPr>
          <w:rFonts w:ascii="Arial" w:hAnsi="Arial" w:cs="Arial"/>
          <w:sz w:val="24"/>
          <w:szCs w:val="24"/>
        </w:rPr>
        <w:t xml:space="preserve"> intra-luminal high attenuation artifact which was present in 17.5% of studies.</w:t>
      </w:r>
    </w:p>
    <w:p w14:paraId="06F68184" w14:textId="77777777" w:rsidR="00A64B05" w:rsidRDefault="00A64B05">
      <w:pPr>
        <w:rPr>
          <w:rFonts w:ascii="Arial" w:hAnsi="Arial" w:cs="Arial"/>
          <w:b/>
          <w:bCs/>
          <w:sz w:val="24"/>
          <w:szCs w:val="24"/>
        </w:rPr>
      </w:pPr>
      <w:r>
        <w:rPr>
          <w:rFonts w:ascii="Arial" w:hAnsi="Arial" w:cs="Arial"/>
          <w:b/>
          <w:bCs/>
          <w:sz w:val="24"/>
          <w:szCs w:val="24"/>
        </w:rPr>
        <w:br w:type="page"/>
      </w:r>
    </w:p>
    <w:p w14:paraId="4F98C891" w14:textId="37EFD621" w:rsidR="00D5356F" w:rsidRPr="00274EAE" w:rsidRDefault="00D5356F" w:rsidP="00D5356F">
      <w:pPr>
        <w:spacing w:line="360" w:lineRule="auto"/>
        <w:rPr>
          <w:rFonts w:ascii="Arial" w:hAnsi="Arial" w:cs="Arial"/>
          <w:sz w:val="24"/>
          <w:szCs w:val="24"/>
        </w:rPr>
      </w:pPr>
      <w:r w:rsidRPr="00274EAE">
        <w:rPr>
          <w:rFonts w:ascii="Arial" w:hAnsi="Arial" w:cs="Arial"/>
          <w:b/>
          <w:bCs/>
          <w:sz w:val="24"/>
          <w:szCs w:val="24"/>
        </w:rPr>
        <w:lastRenderedPageBreak/>
        <w:t>Table 1:</w:t>
      </w:r>
      <w:r w:rsidRPr="00274EAE">
        <w:rPr>
          <w:rFonts w:ascii="Arial" w:hAnsi="Arial" w:cs="Arial"/>
          <w:sz w:val="24"/>
          <w:szCs w:val="24"/>
        </w:rPr>
        <w:t xml:space="preserve"> Baseline patient characteristics </w:t>
      </w:r>
    </w:p>
    <w:tbl>
      <w:tblPr>
        <w:tblStyle w:val="TableGrid"/>
        <w:tblW w:w="0" w:type="auto"/>
        <w:tblLook w:val="04A0" w:firstRow="1" w:lastRow="0" w:firstColumn="1" w:lastColumn="0" w:noHBand="0" w:noVBand="1"/>
      </w:tblPr>
      <w:tblGrid>
        <w:gridCol w:w="3085"/>
        <w:gridCol w:w="2744"/>
      </w:tblGrid>
      <w:tr w:rsidR="00D5356F" w:rsidRPr="00274EAE" w14:paraId="0D5F1151" w14:textId="77777777" w:rsidTr="000715B6">
        <w:trPr>
          <w:trHeight w:val="497"/>
        </w:trPr>
        <w:tc>
          <w:tcPr>
            <w:tcW w:w="3085" w:type="dxa"/>
            <w:hideMark/>
          </w:tcPr>
          <w:p w14:paraId="33533D57" w14:textId="77777777" w:rsidR="00D5356F" w:rsidRPr="00274EAE" w:rsidRDefault="00D5356F" w:rsidP="000715B6">
            <w:pPr>
              <w:spacing w:line="360" w:lineRule="auto"/>
              <w:rPr>
                <w:rFonts w:ascii="Arial" w:eastAsia="Times New Roman" w:hAnsi="Arial" w:cs="Arial"/>
                <w:sz w:val="24"/>
                <w:szCs w:val="24"/>
                <w:lang w:val="en-GB"/>
              </w:rPr>
            </w:pPr>
          </w:p>
        </w:tc>
        <w:tc>
          <w:tcPr>
            <w:tcW w:w="2744" w:type="dxa"/>
          </w:tcPr>
          <w:p w14:paraId="1B650434" w14:textId="77777777" w:rsidR="00D5356F" w:rsidRPr="00274EAE" w:rsidRDefault="00D5356F" w:rsidP="000715B6">
            <w:pPr>
              <w:spacing w:line="360" w:lineRule="auto"/>
              <w:rPr>
                <w:rFonts w:ascii="Arial" w:hAnsi="Arial" w:cs="Arial"/>
                <w:bCs/>
                <w:kern w:val="24"/>
                <w:sz w:val="24"/>
                <w:szCs w:val="24"/>
              </w:rPr>
            </w:pPr>
            <w:r w:rsidRPr="00274EAE">
              <w:rPr>
                <w:rFonts w:ascii="Arial" w:hAnsi="Arial" w:cs="Arial"/>
                <w:bCs/>
                <w:kern w:val="24"/>
                <w:sz w:val="24"/>
                <w:szCs w:val="24"/>
              </w:rPr>
              <w:t>Total</w:t>
            </w:r>
          </w:p>
        </w:tc>
      </w:tr>
      <w:tr w:rsidR="00D5356F" w:rsidRPr="00274EAE" w14:paraId="43F8CB2E" w14:textId="77777777" w:rsidTr="000715B6">
        <w:trPr>
          <w:trHeight w:val="497"/>
        </w:trPr>
        <w:tc>
          <w:tcPr>
            <w:tcW w:w="3085" w:type="dxa"/>
          </w:tcPr>
          <w:p w14:paraId="1327FC69" w14:textId="77777777" w:rsidR="00D5356F" w:rsidRPr="00274EAE" w:rsidRDefault="00D5356F" w:rsidP="000715B6">
            <w:pPr>
              <w:spacing w:line="360" w:lineRule="auto"/>
              <w:ind w:right="58"/>
              <w:rPr>
                <w:rFonts w:ascii="Arial" w:eastAsia="Times New Roman" w:hAnsi="Arial" w:cs="Arial"/>
                <w:bCs/>
                <w:color w:val="000000"/>
                <w:kern w:val="24"/>
                <w:sz w:val="24"/>
                <w:szCs w:val="24"/>
              </w:rPr>
            </w:pPr>
            <w:r w:rsidRPr="00274EAE">
              <w:rPr>
                <w:rFonts w:ascii="Arial" w:eastAsia="Times New Roman" w:hAnsi="Arial" w:cs="Arial"/>
                <w:bCs/>
                <w:color w:val="000000"/>
                <w:kern w:val="24"/>
                <w:sz w:val="24"/>
                <w:szCs w:val="24"/>
              </w:rPr>
              <w:t>N</w:t>
            </w:r>
          </w:p>
        </w:tc>
        <w:tc>
          <w:tcPr>
            <w:tcW w:w="2744" w:type="dxa"/>
          </w:tcPr>
          <w:p w14:paraId="000B1387"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40</w:t>
            </w:r>
          </w:p>
        </w:tc>
      </w:tr>
      <w:tr w:rsidR="00D5356F" w:rsidRPr="00274EAE" w14:paraId="04603BAF" w14:textId="77777777" w:rsidTr="000715B6">
        <w:trPr>
          <w:trHeight w:val="497"/>
        </w:trPr>
        <w:tc>
          <w:tcPr>
            <w:tcW w:w="3085" w:type="dxa"/>
            <w:hideMark/>
          </w:tcPr>
          <w:p w14:paraId="3A9772D6" w14:textId="77777777" w:rsidR="00D5356F" w:rsidRPr="00274EAE" w:rsidRDefault="00D5356F" w:rsidP="000715B6">
            <w:pPr>
              <w:spacing w:line="360" w:lineRule="auto"/>
              <w:ind w:right="58"/>
              <w:rPr>
                <w:rFonts w:ascii="Arial" w:hAnsi="Arial" w:cs="Arial"/>
                <w:sz w:val="24"/>
                <w:szCs w:val="24"/>
                <w:lang w:val="en-GB"/>
              </w:rPr>
            </w:pPr>
            <w:r w:rsidRPr="00274EAE">
              <w:rPr>
                <w:rFonts w:ascii="Arial" w:eastAsia="Times New Roman" w:hAnsi="Arial" w:cs="Arial"/>
                <w:bCs/>
                <w:color w:val="000000"/>
                <w:kern w:val="24"/>
                <w:sz w:val="24"/>
                <w:szCs w:val="24"/>
              </w:rPr>
              <w:t>Age (years)</w:t>
            </w:r>
          </w:p>
        </w:tc>
        <w:tc>
          <w:tcPr>
            <w:tcW w:w="2744" w:type="dxa"/>
          </w:tcPr>
          <w:p w14:paraId="5F1D5C06"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61±7</w:t>
            </w:r>
          </w:p>
        </w:tc>
      </w:tr>
      <w:tr w:rsidR="00D5356F" w:rsidRPr="00274EAE" w14:paraId="43DE7A13" w14:textId="77777777" w:rsidTr="000715B6">
        <w:trPr>
          <w:trHeight w:val="497"/>
        </w:trPr>
        <w:tc>
          <w:tcPr>
            <w:tcW w:w="3085" w:type="dxa"/>
            <w:hideMark/>
          </w:tcPr>
          <w:p w14:paraId="7ADE5275"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color w:val="000000" w:themeColor="dark1"/>
                <w:kern w:val="24"/>
                <w:sz w:val="24"/>
                <w:szCs w:val="24"/>
              </w:rPr>
              <w:t>Sex (male)</w:t>
            </w:r>
          </w:p>
        </w:tc>
        <w:tc>
          <w:tcPr>
            <w:tcW w:w="2744" w:type="dxa"/>
          </w:tcPr>
          <w:p w14:paraId="3E0E40F3"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31m/9f</w:t>
            </w:r>
          </w:p>
        </w:tc>
      </w:tr>
      <w:tr w:rsidR="00D5356F" w:rsidRPr="00274EAE" w14:paraId="13854505" w14:textId="77777777" w:rsidTr="000715B6">
        <w:trPr>
          <w:trHeight w:val="497"/>
        </w:trPr>
        <w:tc>
          <w:tcPr>
            <w:tcW w:w="3085" w:type="dxa"/>
            <w:hideMark/>
          </w:tcPr>
          <w:p w14:paraId="48FE15E6" w14:textId="5FF55F97" w:rsidR="00D5356F" w:rsidRPr="00274EAE" w:rsidRDefault="00D5356F" w:rsidP="000715B6">
            <w:pPr>
              <w:spacing w:line="360" w:lineRule="auto"/>
              <w:rPr>
                <w:rFonts w:ascii="Arial" w:hAnsi="Arial" w:cs="Arial"/>
                <w:sz w:val="24"/>
                <w:szCs w:val="24"/>
                <w:lang w:val="en-GB"/>
              </w:rPr>
            </w:pPr>
            <w:r w:rsidRPr="00274EAE">
              <w:rPr>
                <w:rFonts w:ascii="Arial" w:hAnsi="Arial" w:cs="Arial"/>
                <w:bCs/>
                <w:color w:val="000000" w:themeColor="dark1"/>
                <w:kern w:val="24"/>
                <w:sz w:val="24"/>
                <w:szCs w:val="24"/>
              </w:rPr>
              <w:t>BMI</w:t>
            </w:r>
            <w:r w:rsidR="006C49B8">
              <w:rPr>
                <w:rFonts w:ascii="Arial" w:hAnsi="Arial" w:cs="Arial"/>
                <w:bCs/>
                <w:color w:val="000000" w:themeColor="dark1"/>
                <w:kern w:val="24"/>
                <w:sz w:val="24"/>
                <w:szCs w:val="24"/>
              </w:rPr>
              <w:t xml:space="preserve"> (kg/m</w:t>
            </w:r>
            <w:r w:rsidR="006C49B8" w:rsidRPr="006C49B8">
              <w:rPr>
                <w:rFonts w:ascii="Arial" w:hAnsi="Arial" w:cs="Arial"/>
                <w:bCs/>
                <w:color w:val="000000" w:themeColor="dark1"/>
                <w:kern w:val="24"/>
                <w:sz w:val="24"/>
                <w:szCs w:val="24"/>
                <w:vertAlign w:val="superscript"/>
              </w:rPr>
              <w:t>2</w:t>
            </w:r>
            <w:r w:rsidR="006C49B8">
              <w:rPr>
                <w:rFonts w:ascii="Arial" w:hAnsi="Arial" w:cs="Arial"/>
                <w:bCs/>
                <w:color w:val="000000" w:themeColor="dark1"/>
                <w:kern w:val="24"/>
                <w:sz w:val="24"/>
                <w:szCs w:val="24"/>
              </w:rPr>
              <w:t>)</w:t>
            </w:r>
          </w:p>
        </w:tc>
        <w:tc>
          <w:tcPr>
            <w:tcW w:w="2744" w:type="dxa"/>
          </w:tcPr>
          <w:p w14:paraId="569B0114"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31±11</w:t>
            </w:r>
          </w:p>
        </w:tc>
      </w:tr>
      <w:tr w:rsidR="00D5356F" w:rsidRPr="00274EAE" w14:paraId="369FBA7B" w14:textId="77777777" w:rsidTr="000715B6">
        <w:trPr>
          <w:trHeight w:val="497"/>
        </w:trPr>
        <w:tc>
          <w:tcPr>
            <w:tcW w:w="3085" w:type="dxa"/>
            <w:hideMark/>
          </w:tcPr>
          <w:p w14:paraId="7AB581BE" w14:textId="63610110" w:rsidR="00D5356F" w:rsidRPr="00274EAE" w:rsidRDefault="00D5356F" w:rsidP="000715B6">
            <w:pPr>
              <w:spacing w:line="360" w:lineRule="auto"/>
              <w:rPr>
                <w:rFonts w:ascii="Arial" w:hAnsi="Arial" w:cs="Arial"/>
                <w:sz w:val="24"/>
                <w:szCs w:val="24"/>
                <w:lang w:val="en-GB"/>
              </w:rPr>
            </w:pPr>
            <w:r w:rsidRPr="00274EAE">
              <w:rPr>
                <w:rFonts w:ascii="Arial" w:hAnsi="Arial" w:cs="Arial"/>
                <w:bCs/>
                <w:color w:val="000000" w:themeColor="dark1"/>
                <w:kern w:val="24"/>
                <w:sz w:val="24"/>
                <w:szCs w:val="24"/>
              </w:rPr>
              <w:t>SBP</w:t>
            </w:r>
            <w:r w:rsidR="006C49B8">
              <w:rPr>
                <w:rFonts w:ascii="Arial" w:hAnsi="Arial" w:cs="Arial"/>
                <w:bCs/>
                <w:color w:val="000000" w:themeColor="dark1"/>
                <w:kern w:val="24"/>
                <w:sz w:val="24"/>
                <w:szCs w:val="24"/>
              </w:rPr>
              <w:t xml:space="preserve"> (mmHg)</w:t>
            </w:r>
          </w:p>
        </w:tc>
        <w:tc>
          <w:tcPr>
            <w:tcW w:w="2744" w:type="dxa"/>
          </w:tcPr>
          <w:p w14:paraId="203F4751"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129±14</w:t>
            </w:r>
          </w:p>
        </w:tc>
      </w:tr>
      <w:tr w:rsidR="00D5356F" w:rsidRPr="00274EAE" w14:paraId="1CF39F9F" w14:textId="77777777" w:rsidTr="000715B6">
        <w:trPr>
          <w:trHeight w:val="497"/>
        </w:trPr>
        <w:tc>
          <w:tcPr>
            <w:tcW w:w="3085" w:type="dxa"/>
            <w:hideMark/>
          </w:tcPr>
          <w:p w14:paraId="28C1C22C" w14:textId="13655934" w:rsidR="00D5356F" w:rsidRPr="00274EAE" w:rsidRDefault="00D5356F" w:rsidP="000715B6">
            <w:pPr>
              <w:spacing w:line="360" w:lineRule="auto"/>
              <w:ind w:right="58"/>
              <w:rPr>
                <w:rFonts w:ascii="Arial" w:hAnsi="Arial" w:cs="Arial"/>
                <w:sz w:val="24"/>
                <w:szCs w:val="24"/>
                <w:lang w:val="en-GB"/>
              </w:rPr>
            </w:pPr>
            <w:r w:rsidRPr="00274EAE">
              <w:rPr>
                <w:rFonts w:ascii="Arial" w:eastAsia="Times New Roman" w:hAnsi="Arial" w:cs="Arial"/>
                <w:color w:val="000000"/>
                <w:kern w:val="24"/>
                <w:sz w:val="24"/>
                <w:szCs w:val="24"/>
              </w:rPr>
              <w:t>DBP</w:t>
            </w:r>
            <w:r w:rsidR="006C49B8">
              <w:rPr>
                <w:rFonts w:ascii="Arial" w:eastAsia="Times New Roman" w:hAnsi="Arial" w:cs="Arial"/>
                <w:color w:val="000000"/>
                <w:kern w:val="24"/>
                <w:sz w:val="24"/>
                <w:szCs w:val="24"/>
              </w:rPr>
              <w:t xml:space="preserve"> </w:t>
            </w:r>
            <w:r w:rsidR="006C49B8">
              <w:rPr>
                <w:rFonts w:ascii="Arial" w:hAnsi="Arial" w:cs="Arial"/>
                <w:bCs/>
                <w:color w:val="000000" w:themeColor="dark1"/>
                <w:kern w:val="24"/>
                <w:sz w:val="24"/>
                <w:szCs w:val="24"/>
              </w:rPr>
              <w:t>(mmHg)</w:t>
            </w:r>
          </w:p>
        </w:tc>
        <w:tc>
          <w:tcPr>
            <w:tcW w:w="2744" w:type="dxa"/>
          </w:tcPr>
          <w:p w14:paraId="2C42E262"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76±9</w:t>
            </w:r>
          </w:p>
        </w:tc>
      </w:tr>
      <w:tr w:rsidR="00D5356F" w:rsidRPr="00274EAE" w14:paraId="188EBA78" w14:textId="77777777" w:rsidTr="000715B6">
        <w:trPr>
          <w:trHeight w:val="497"/>
        </w:trPr>
        <w:tc>
          <w:tcPr>
            <w:tcW w:w="3085" w:type="dxa"/>
            <w:hideMark/>
          </w:tcPr>
          <w:p w14:paraId="493F5E51"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bCs/>
                <w:color w:val="000000" w:themeColor="dark1"/>
                <w:kern w:val="24"/>
                <w:sz w:val="24"/>
                <w:szCs w:val="24"/>
              </w:rPr>
              <w:t>DM</w:t>
            </w:r>
          </w:p>
        </w:tc>
        <w:tc>
          <w:tcPr>
            <w:tcW w:w="2744" w:type="dxa"/>
          </w:tcPr>
          <w:p w14:paraId="1F12352D"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14</w:t>
            </w:r>
          </w:p>
        </w:tc>
      </w:tr>
      <w:tr w:rsidR="00D5356F" w:rsidRPr="00274EAE" w14:paraId="64FC8667" w14:textId="77777777" w:rsidTr="000715B6">
        <w:trPr>
          <w:trHeight w:val="497"/>
        </w:trPr>
        <w:tc>
          <w:tcPr>
            <w:tcW w:w="3085" w:type="dxa"/>
            <w:hideMark/>
          </w:tcPr>
          <w:p w14:paraId="36944D22"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bCs/>
                <w:color w:val="000000" w:themeColor="dark1"/>
                <w:kern w:val="24"/>
                <w:sz w:val="24"/>
                <w:szCs w:val="24"/>
              </w:rPr>
              <w:t>Hypertension</w:t>
            </w:r>
          </w:p>
        </w:tc>
        <w:tc>
          <w:tcPr>
            <w:tcW w:w="2744" w:type="dxa"/>
          </w:tcPr>
          <w:p w14:paraId="725FEC63"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27</w:t>
            </w:r>
          </w:p>
        </w:tc>
      </w:tr>
      <w:tr w:rsidR="00D5356F" w:rsidRPr="00274EAE" w14:paraId="18F17E9C" w14:textId="77777777" w:rsidTr="000715B6">
        <w:trPr>
          <w:trHeight w:val="497"/>
        </w:trPr>
        <w:tc>
          <w:tcPr>
            <w:tcW w:w="3085" w:type="dxa"/>
            <w:hideMark/>
          </w:tcPr>
          <w:p w14:paraId="46BD0199" w14:textId="77777777" w:rsidR="00D5356F" w:rsidRPr="00274EAE" w:rsidRDefault="00D5356F" w:rsidP="000715B6">
            <w:pPr>
              <w:spacing w:line="360" w:lineRule="auto"/>
              <w:rPr>
                <w:rFonts w:ascii="Arial" w:hAnsi="Arial" w:cs="Arial"/>
                <w:sz w:val="24"/>
                <w:szCs w:val="24"/>
                <w:lang w:val="en-GB"/>
              </w:rPr>
            </w:pPr>
            <w:proofErr w:type="spellStart"/>
            <w:r w:rsidRPr="00274EAE">
              <w:rPr>
                <w:rFonts w:ascii="Arial" w:hAnsi="Arial" w:cs="Arial"/>
                <w:bCs/>
                <w:color w:val="000000" w:themeColor="dark1"/>
                <w:kern w:val="24"/>
                <w:sz w:val="24"/>
                <w:szCs w:val="24"/>
              </w:rPr>
              <w:t>Hyperlipidaemia</w:t>
            </w:r>
            <w:proofErr w:type="spellEnd"/>
          </w:p>
        </w:tc>
        <w:tc>
          <w:tcPr>
            <w:tcW w:w="2744" w:type="dxa"/>
          </w:tcPr>
          <w:p w14:paraId="5BF31ECD"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12</w:t>
            </w:r>
          </w:p>
        </w:tc>
      </w:tr>
      <w:tr w:rsidR="00D5356F" w:rsidRPr="00274EAE" w14:paraId="77DD6631" w14:textId="77777777" w:rsidTr="000715B6">
        <w:trPr>
          <w:trHeight w:val="497"/>
        </w:trPr>
        <w:tc>
          <w:tcPr>
            <w:tcW w:w="3085" w:type="dxa"/>
            <w:hideMark/>
          </w:tcPr>
          <w:p w14:paraId="0392DBE0"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color w:val="000000" w:themeColor="dark1"/>
                <w:kern w:val="24"/>
                <w:sz w:val="24"/>
                <w:szCs w:val="24"/>
              </w:rPr>
              <w:t>Smoking Hx:</w:t>
            </w:r>
          </w:p>
        </w:tc>
        <w:tc>
          <w:tcPr>
            <w:tcW w:w="2744" w:type="dxa"/>
          </w:tcPr>
          <w:p w14:paraId="3409D281" w14:textId="77777777" w:rsidR="00D5356F" w:rsidRPr="00274EAE" w:rsidRDefault="00D5356F" w:rsidP="000715B6">
            <w:pPr>
              <w:spacing w:line="360" w:lineRule="auto"/>
              <w:rPr>
                <w:rFonts w:ascii="Arial" w:hAnsi="Arial" w:cs="Arial"/>
                <w:sz w:val="24"/>
                <w:szCs w:val="24"/>
                <w:lang w:val="en-GB"/>
              </w:rPr>
            </w:pPr>
          </w:p>
        </w:tc>
      </w:tr>
      <w:tr w:rsidR="00D5356F" w:rsidRPr="00274EAE" w14:paraId="718AB4E7" w14:textId="77777777" w:rsidTr="000715B6">
        <w:trPr>
          <w:trHeight w:val="497"/>
        </w:trPr>
        <w:tc>
          <w:tcPr>
            <w:tcW w:w="3085" w:type="dxa"/>
          </w:tcPr>
          <w:p w14:paraId="03A66303" w14:textId="77777777" w:rsidR="00D5356F" w:rsidRPr="00274EAE" w:rsidRDefault="00D5356F" w:rsidP="000715B6">
            <w:pPr>
              <w:spacing w:line="360" w:lineRule="auto"/>
              <w:rPr>
                <w:rFonts w:ascii="Arial" w:hAnsi="Arial" w:cs="Arial"/>
                <w:color w:val="000000" w:themeColor="dark1"/>
                <w:kern w:val="24"/>
                <w:sz w:val="24"/>
                <w:szCs w:val="24"/>
              </w:rPr>
            </w:pPr>
            <w:r w:rsidRPr="00274EAE">
              <w:rPr>
                <w:rFonts w:ascii="Arial" w:hAnsi="Arial" w:cs="Arial"/>
                <w:color w:val="000000" w:themeColor="dark1"/>
                <w:kern w:val="24"/>
                <w:sz w:val="24"/>
                <w:szCs w:val="24"/>
              </w:rPr>
              <w:t>- Current</w:t>
            </w:r>
          </w:p>
        </w:tc>
        <w:tc>
          <w:tcPr>
            <w:tcW w:w="2744" w:type="dxa"/>
          </w:tcPr>
          <w:p w14:paraId="21310B49"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13</w:t>
            </w:r>
          </w:p>
        </w:tc>
      </w:tr>
      <w:tr w:rsidR="00D5356F" w:rsidRPr="00274EAE" w14:paraId="3DA862FD" w14:textId="77777777" w:rsidTr="000715B6">
        <w:trPr>
          <w:trHeight w:val="497"/>
        </w:trPr>
        <w:tc>
          <w:tcPr>
            <w:tcW w:w="3085" w:type="dxa"/>
          </w:tcPr>
          <w:p w14:paraId="714AE366" w14:textId="77777777" w:rsidR="00D5356F" w:rsidRPr="00274EAE" w:rsidRDefault="00D5356F" w:rsidP="000715B6">
            <w:pPr>
              <w:spacing w:line="360" w:lineRule="auto"/>
              <w:rPr>
                <w:rFonts w:ascii="Arial" w:hAnsi="Arial" w:cs="Arial"/>
                <w:color w:val="000000" w:themeColor="dark1"/>
                <w:kern w:val="24"/>
                <w:sz w:val="24"/>
                <w:szCs w:val="24"/>
              </w:rPr>
            </w:pPr>
            <w:r w:rsidRPr="00274EAE">
              <w:rPr>
                <w:rFonts w:ascii="Arial" w:hAnsi="Arial" w:cs="Arial"/>
                <w:color w:val="000000" w:themeColor="dark1"/>
                <w:kern w:val="24"/>
                <w:sz w:val="24"/>
                <w:szCs w:val="24"/>
              </w:rPr>
              <w:t>- Previous</w:t>
            </w:r>
          </w:p>
        </w:tc>
        <w:tc>
          <w:tcPr>
            <w:tcW w:w="2744" w:type="dxa"/>
          </w:tcPr>
          <w:p w14:paraId="6102A608"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4</w:t>
            </w:r>
          </w:p>
        </w:tc>
      </w:tr>
      <w:tr w:rsidR="00D5356F" w:rsidRPr="00274EAE" w14:paraId="3B93AFB6" w14:textId="77777777" w:rsidTr="000715B6">
        <w:trPr>
          <w:trHeight w:val="497"/>
        </w:trPr>
        <w:tc>
          <w:tcPr>
            <w:tcW w:w="3085" w:type="dxa"/>
          </w:tcPr>
          <w:p w14:paraId="7FEA54D4" w14:textId="77777777" w:rsidR="00D5356F" w:rsidRPr="00274EAE" w:rsidRDefault="00D5356F" w:rsidP="000715B6">
            <w:pPr>
              <w:spacing w:line="360" w:lineRule="auto"/>
              <w:rPr>
                <w:rFonts w:ascii="Arial" w:hAnsi="Arial" w:cs="Arial"/>
                <w:color w:val="000000" w:themeColor="dark1"/>
                <w:kern w:val="24"/>
                <w:sz w:val="24"/>
                <w:szCs w:val="24"/>
              </w:rPr>
            </w:pPr>
            <w:r w:rsidRPr="00274EAE">
              <w:rPr>
                <w:rFonts w:ascii="Arial" w:hAnsi="Arial" w:cs="Arial"/>
                <w:color w:val="000000" w:themeColor="dark1"/>
                <w:kern w:val="24"/>
                <w:sz w:val="24"/>
                <w:szCs w:val="24"/>
              </w:rPr>
              <w:t>- Never</w:t>
            </w:r>
          </w:p>
        </w:tc>
        <w:tc>
          <w:tcPr>
            <w:tcW w:w="2744" w:type="dxa"/>
          </w:tcPr>
          <w:p w14:paraId="5BC54FCF"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23</w:t>
            </w:r>
          </w:p>
        </w:tc>
      </w:tr>
      <w:tr w:rsidR="00D5356F" w:rsidRPr="00274EAE" w14:paraId="3A70F617" w14:textId="77777777" w:rsidTr="000715B6">
        <w:trPr>
          <w:trHeight w:val="497"/>
        </w:trPr>
        <w:tc>
          <w:tcPr>
            <w:tcW w:w="3085" w:type="dxa"/>
          </w:tcPr>
          <w:p w14:paraId="2BC8A818" w14:textId="77777777" w:rsidR="00D5356F" w:rsidRPr="00274EAE" w:rsidRDefault="00D5356F" w:rsidP="000715B6">
            <w:pPr>
              <w:spacing w:line="360" w:lineRule="auto"/>
              <w:rPr>
                <w:rFonts w:ascii="Arial" w:hAnsi="Arial" w:cs="Arial"/>
                <w:color w:val="000000" w:themeColor="dark1"/>
                <w:kern w:val="24"/>
                <w:sz w:val="24"/>
                <w:szCs w:val="24"/>
              </w:rPr>
            </w:pPr>
            <w:proofErr w:type="spellStart"/>
            <w:r w:rsidRPr="00274EAE">
              <w:rPr>
                <w:rFonts w:ascii="Arial" w:hAnsi="Arial" w:cs="Arial"/>
                <w:color w:val="000000" w:themeColor="dark1"/>
                <w:kern w:val="24"/>
                <w:sz w:val="24"/>
                <w:szCs w:val="24"/>
              </w:rPr>
              <w:t>FHx</w:t>
            </w:r>
            <w:proofErr w:type="spellEnd"/>
            <w:r w:rsidRPr="00274EAE">
              <w:rPr>
                <w:rFonts w:ascii="Arial" w:hAnsi="Arial" w:cs="Arial"/>
                <w:color w:val="000000" w:themeColor="dark1"/>
                <w:kern w:val="24"/>
                <w:sz w:val="24"/>
                <w:szCs w:val="24"/>
              </w:rPr>
              <w:t xml:space="preserve"> CVD</w:t>
            </w:r>
          </w:p>
        </w:tc>
        <w:tc>
          <w:tcPr>
            <w:tcW w:w="2744" w:type="dxa"/>
          </w:tcPr>
          <w:p w14:paraId="4BE5656D" w14:textId="77777777" w:rsidR="00D5356F" w:rsidRPr="00274EAE" w:rsidRDefault="00D5356F" w:rsidP="000715B6">
            <w:pPr>
              <w:spacing w:line="360" w:lineRule="auto"/>
              <w:rPr>
                <w:rFonts w:ascii="Arial" w:hAnsi="Arial" w:cs="Arial"/>
                <w:sz w:val="24"/>
                <w:szCs w:val="24"/>
                <w:lang w:val="en-GB"/>
              </w:rPr>
            </w:pPr>
            <w:r w:rsidRPr="00274EAE">
              <w:rPr>
                <w:rFonts w:ascii="Arial" w:hAnsi="Arial" w:cs="Arial"/>
                <w:sz w:val="24"/>
                <w:szCs w:val="24"/>
                <w:lang w:val="en-GB"/>
              </w:rPr>
              <w:t>15</w:t>
            </w:r>
          </w:p>
        </w:tc>
      </w:tr>
      <w:tr w:rsidR="00D5356F" w:rsidRPr="00274EAE" w14:paraId="1F2FA864" w14:textId="77777777" w:rsidTr="000715B6">
        <w:trPr>
          <w:trHeight w:val="497"/>
        </w:trPr>
        <w:tc>
          <w:tcPr>
            <w:tcW w:w="3085" w:type="dxa"/>
          </w:tcPr>
          <w:p w14:paraId="1A9DB4FD" w14:textId="77777777" w:rsidR="00D5356F" w:rsidRPr="00274EAE" w:rsidRDefault="00D5356F" w:rsidP="000715B6">
            <w:pPr>
              <w:spacing w:line="360" w:lineRule="auto"/>
              <w:rPr>
                <w:rFonts w:ascii="Arial" w:hAnsi="Arial" w:cs="Arial"/>
                <w:color w:val="000000" w:themeColor="dark1"/>
                <w:kern w:val="24"/>
                <w:sz w:val="24"/>
                <w:szCs w:val="24"/>
              </w:rPr>
            </w:pPr>
            <w:r w:rsidRPr="00274EAE">
              <w:rPr>
                <w:rFonts w:ascii="Arial" w:hAnsi="Arial" w:cs="Arial"/>
                <w:color w:val="000000" w:themeColor="dark1"/>
                <w:kern w:val="24"/>
                <w:sz w:val="24"/>
                <w:szCs w:val="24"/>
              </w:rPr>
              <w:t>Obstructive disease on ICA*</w:t>
            </w:r>
          </w:p>
        </w:tc>
        <w:tc>
          <w:tcPr>
            <w:tcW w:w="2744" w:type="dxa"/>
          </w:tcPr>
          <w:p w14:paraId="2F34FF37" w14:textId="77777777" w:rsidR="00D5356F" w:rsidRPr="00274EAE" w:rsidRDefault="00D5356F" w:rsidP="000715B6">
            <w:pPr>
              <w:spacing w:line="360" w:lineRule="auto"/>
              <w:rPr>
                <w:rFonts w:ascii="Arial" w:hAnsi="Arial" w:cs="Arial"/>
                <w:sz w:val="24"/>
                <w:szCs w:val="24"/>
                <w:lang w:val="en-GB"/>
              </w:rPr>
            </w:pPr>
          </w:p>
        </w:tc>
      </w:tr>
      <w:tr w:rsidR="00D5356F" w:rsidRPr="00274EAE" w14:paraId="6EC73FE1" w14:textId="77777777" w:rsidTr="000715B6">
        <w:trPr>
          <w:trHeight w:val="497"/>
        </w:trPr>
        <w:tc>
          <w:tcPr>
            <w:tcW w:w="3085" w:type="dxa"/>
          </w:tcPr>
          <w:p w14:paraId="025BBBC7" w14:textId="77777777" w:rsidR="00D5356F" w:rsidRPr="00274EAE" w:rsidRDefault="00D5356F" w:rsidP="000715B6">
            <w:pPr>
              <w:spacing w:line="360" w:lineRule="auto"/>
              <w:ind w:left="720"/>
              <w:rPr>
                <w:rFonts w:ascii="Arial" w:hAnsi="Arial" w:cs="Arial"/>
                <w:color w:val="000000" w:themeColor="dark1"/>
                <w:kern w:val="24"/>
                <w:sz w:val="24"/>
                <w:szCs w:val="24"/>
              </w:rPr>
            </w:pPr>
            <w:r w:rsidRPr="00274EAE">
              <w:rPr>
                <w:rFonts w:ascii="Arial" w:hAnsi="Arial" w:cs="Arial"/>
                <w:color w:val="000000" w:themeColor="dark1"/>
                <w:kern w:val="24"/>
                <w:sz w:val="24"/>
                <w:szCs w:val="24"/>
              </w:rPr>
              <w:t>No obstructive disease</w:t>
            </w:r>
          </w:p>
          <w:p w14:paraId="143F84A8" w14:textId="77777777" w:rsidR="00D5356F" w:rsidRPr="00274EAE" w:rsidRDefault="00D5356F" w:rsidP="000715B6">
            <w:pPr>
              <w:spacing w:line="360" w:lineRule="auto"/>
              <w:ind w:left="720"/>
              <w:rPr>
                <w:rFonts w:ascii="Arial" w:hAnsi="Arial" w:cs="Arial"/>
                <w:color w:val="000000" w:themeColor="dark1"/>
                <w:kern w:val="24"/>
                <w:sz w:val="24"/>
                <w:szCs w:val="24"/>
              </w:rPr>
            </w:pPr>
            <w:r w:rsidRPr="00274EAE">
              <w:rPr>
                <w:rFonts w:ascii="Arial" w:hAnsi="Arial" w:cs="Arial"/>
                <w:color w:val="000000" w:themeColor="dark1"/>
                <w:kern w:val="24"/>
                <w:sz w:val="24"/>
                <w:szCs w:val="24"/>
              </w:rPr>
              <w:t>Single vessel</w:t>
            </w:r>
          </w:p>
          <w:p w14:paraId="63D0DFD2" w14:textId="77777777" w:rsidR="00D5356F" w:rsidRPr="00274EAE" w:rsidRDefault="00D5356F" w:rsidP="000715B6">
            <w:pPr>
              <w:spacing w:line="360" w:lineRule="auto"/>
              <w:ind w:left="720"/>
              <w:rPr>
                <w:rFonts w:ascii="Arial" w:hAnsi="Arial" w:cs="Arial"/>
                <w:color w:val="000000" w:themeColor="dark1"/>
                <w:kern w:val="24"/>
                <w:sz w:val="24"/>
                <w:szCs w:val="24"/>
              </w:rPr>
            </w:pPr>
            <w:r w:rsidRPr="00274EAE">
              <w:rPr>
                <w:rFonts w:ascii="Arial" w:hAnsi="Arial" w:cs="Arial"/>
                <w:color w:val="000000" w:themeColor="dark1"/>
                <w:kern w:val="24"/>
                <w:sz w:val="24"/>
                <w:szCs w:val="24"/>
              </w:rPr>
              <w:t>Two vessel</w:t>
            </w:r>
          </w:p>
          <w:p w14:paraId="5F27745F" w14:textId="77777777" w:rsidR="00D5356F" w:rsidRPr="00274EAE" w:rsidRDefault="00D5356F" w:rsidP="000715B6">
            <w:pPr>
              <w:spacing w:line="360" w:lineRule="auto"/>
              <w:ind w:left="720"/>
              <w:rPr>
                <w:rFonts w:ascii="Arial" w:hAnsi="Arial" w:cs="Arial"/>
                <w:color w:val="000000" w:themeColor="dark1"/>
                <w:kern w:val="24"/>
                <w:sz w:val="24"/>
                <w:szCs w:val="24"/>
              </w:rPr>
            </w:pPr>
            <w:r w:rsidRPr="00274EAE">
              <w:rPr>
                <w:rFonts w:ascii="Arial" w:hAnsi="Arial" w:cs="Arial"/>
                <w:color w:val="000000" w:themeColor="dark1"/>
                <w:kern w:val="24"/>
                <w:sz w:val="24"/>
                <w:szCs w:val="24"/>
              </w:rPr>
              <w:t>Left main/Three vessel</w:t>
            </w:r>
          </w:p>
        </w:tc>
        <w:tc>
          <w:tcPr>
            <w:tcW w:w="2744" w:type="dxa"/>
          </w:tcPr>
          <w:p w14:paraId="07A84EBC" w14:textId="77777777" w:rsidR="00D5356F" w:rsidRPr="00274EAE" w:rsidRDefault="00D5356F" w:rsidP="000715B6">
            <w:pPr>
              <w:spacing w:line="360" w:lineRule="auto"/>
              <w:jc w:val="center"/>
              <w:rPr>
                <w:rFonts w:ascii="Arial" w:hAnsi="Arial" w:cs="Arial"/>
                <w:sz w:val="24"/>
                <w:szCs w:val="24"/>
                <w:lang w:val="en-GB"/>
              </w:rPr>
            </w:pPr>
            <w:r w:rsidRPr="00274EAE">
              <w:rPr>
                <w:rFonts w:ascii="Arial" w:hAnsi="Arial" w:cs="Arial"/>
                <w:sz w:val="24"/>
                <w:szCs w:val="24"/>
                <w:lang w:val="en-GB"/>
              </w:rPr>
              <w:t>22 (55%)</w:t>
            </w:r>
          </w:p>
          <w:p w14:paraId="5EE13D30" w14:textId="77777777" w:rsidR="00D5356F" w:rsidRPr="00274EAE" w:rsidRDefault="00D5356F" w:rsidP="000715B6">
            <w:pPr>
              <w:spacing w:line="360" w:lineRule="auto"/>
              <w:jc w:val="center"/>
              <w:rPr>
                <w:rFonts w:ascii="Arial" w:hAnsi="Arial" w:cs="Arial"/>
                <w:sz w:val="24"/>
                <w:szCs w:val="24"/>
                <w:lang w:val="en-GB"/>
              </w:rPr>
            </w:pPr>
          </w:p>
          <w:p w14:paraId="01F551CD" w14:textId="77777777" w:rsidR="00D5356F" w:rsidRPr="00274EAE" w:rsidRDefault="00D5356F" w:rsidP="000715B6">
            <w:pPr>
              <w:spacing w:line="360" w:lineRule="auto"/>
              <w:jc w:val="center"/>
              <w:rPr>
                <w:rFonts w:ascii="Arial" w:hAnsi="Arial" w:cs="Arial"/>
                <w:sz w:val="24"/>
                <w:szCs w:val="24"/>
                <w:lang w:val="en-GB"/>
              </w:rPr>
            </w:pPr>
            <w:r w:rsidRPr="00274EAE">
              <w:rPr>
                <w:rFonts w:ascii="Arial" w:hAnsi="Arial" w:cs="Arial"/>
                <w:sz w:val="24"/>
                <w:szCs w:val="24"/>
                <w:lang w:val="en-GB"/>
              </w:rPr>
              <w:t>12 (30%)</w:t>
            </w:r>
          </w:p>
          <w:p w14:paraId="3B4FE683" w14:textId="77777777" w:rsidR="00D5356F" w:rsidRPr="00274EAE" w:rsidRDefault="00D5356F" w:rsidP="000715B6">
            <w:pPr>
              <w:spacing w:line="360" w:lineRule="auto"/>
              <w:jc w:val="center"/>
              <w:rPr>
                <w:rFonts w:ascii="Arial" w:hAnsi="Arial" w:cs="Arial"/>
                <w:sz w:val="24"/>
                <w:szCs w:val="24"/>
                <w:lang w:val="en-GB"/>
              </w:rPr>
            </w:pPr>
            <w:r w:rsidRPr="00274EAE">
              <w:rPr>
                <w:rFonts w:ascii="Arial" w:hAnsi="Arial" w:cs="Arial"/>
                <w:sz w:val="24"/>
                <w:szCs w:val="24"/>
                <w:lang w:val="en-GB"/>
              </w:rPr>
              <w:t>4 (10%)</w:t>
            </w:r>
          </w:p>
          <w:p w14:paraId="034AFC8C" w14:textId="77777777" w:rsidR="00D5356F" w:rsidRPr="00274EAE" w:rsidRDefault="00D5356F" w:rsidP="000715B6">
            <w:pPr>
              <w:spacing w:line="360" w:lineRule="auto"/>
              <w:jc w:val="center"/>
              <w:rPr>
                <w:rFonts w:ascii="Arial" w:hAnsi="Arial" w:cs="Arial"/>
                <w:sz w:val="24"/>
                <w:szCs w:val="24"/>
                <w:lang w:val="en-GB"/>
              </w:rPr>
            </w:pPr>
            <w:r w:rsidRPr="00274EAE">
              <w:rPr>
                <w:rFonts w:ascii="Arial" w:hAnsi="Arial" w:cs="Arial"/>
                <w:sz w:val="24"/>
                <w:szCs w:val="24"/>
                <w:lang w:val="en-GB"/>
              </w:rPr>
              <w:t>2 (5%)</w:t>
            </w:r>
          </w:p>
        </w:tc>
      </w:tr>
    </w:tbl>
    <w:p w14:paraId="79DF3CB3" w14:textId="321BE6A0" w:rsidR="00D5356F" w:rsidRPr="00274EAE" w:rsidRDefault="00D5356F" w:rsidP="00D5356F">
      <w:pPr>
        <w:spacing w:line="360" w:lineRule="auto"/>
        <w:rPr>
          <w:rFonts w:ascii="Arial" w:hAnsi="Arial" w:cs="Arial"/>
          <w:sz w:val="24"/>
          <w:szCs w:val="24"/>
        </w:rPr>
      </w:pPr>
      <w:r w:rsidRPr="00274EAE">
        <w:rPr>
          <w:rFonts w:ascii="Arial" w:hAnsi="Arial" w:cs="Arial"/>
          <w:sz w:val="24"/>
          <w:szCs w:val="24"/>
        </w:rPr>
        <w:t>*LM≥50% or LAD/RCA/</w:t>
      </w:r>
      <w:proofErr w:type="spellStart"/>
      <w:r w:rsidRPr="00274EAE">
        <w:rPr>
          <w:rFonts w:ascii="Arial" w:hAnsi="Arial" w:cs="Arial"/>
          <w:sz w:val="24"/>
          <w:szCs w:val="24"/>
        </w:rPr>
        <w:t>LCx</w:t>
      </w:r>
      <w:proofErr w:type="spellEnd"/>
      <w:r w:rsidRPr="00274EAE">
        <w:rPr>
          <w:rFonts w:ascii="Arial" w:hAnsi="Arial" w:cs="Arial"/>
          <w:sz w:val="24"/>
          <w:szCs w:val="24"/>
        </w:rPr>
        <w:t xml:space="preserve"> with ≥70%</w:t>
      </w:r>
      <w:r w:rsidR="006C49B8">
        <w:rPr>
          <w:rFonts w:ascii="Arial" w:hAnsi="Arial" w:cs="Arial"/>
          <w:sz w:val="24"/>
          <w:szCs w:val="24"/>
        </w:rPr>
        <w:t xml:space="preserve"> diameter stenosis</w:t>
      </w:r>
      <w:r w:rsidRPr="00274EAE">
        <w:rPr>
          <w:rFonts w:ascii="Arial" w:hAnsi="Arial" w:cs="Arial"/>
          <w:sz w:val="24"/>
          <w:szCs w:val="24"/>
        </w:rPr>
        <w:t>.</w:t>
      </w:r>
    </w:p>
    <w:p w14:paraId="04289D83" w14:textId="77777777" w:rsidR="00D5356F" w:rsidRPr="00274EAE" w:rsidRDefault="00D5356F" w:rsidP="00D5356F">
      <w:pPr>
        <w:spacing w:line="360" w:lineRule="auto"/>
        <w:rPr>
          <w:rFonts w:ascii="Arial" w:hAnsi="Arial" w:cs="Arial"/>
          <w:sz w:val="24"/>
          <w:szCs w:val="24"/>
        </w:rPr>
        <w:sectPr w:rsidR="00D5356F" w:rsidRPr="00274EAE" w:rsidSect="00577659">
          <w:pgSz w:w="12240" w:h="15840"/>
          <w:pgMar w:top="1440" w:right="1440" w:bottom="1440" w:left="1440" w:header="720" w:footer="720" w:gutter="0"/>
          <w:cols w:space="720"/>
          <w:docGrid w:linePitch="360"/>
        </w:sectPr>
      </w:pPr>
      <w:r w:rsidRPr="00274EAE">
        <w:rPr>
          <w:rFonts w:ascii="Arial" w:hAnsi="Arial" w:cs="Arial"/>
          <w:sz w:val="24"/>
          <w:szCs w:val="24"/>
        </w:rPr>
        <w:lastRenderedPageBreak/>
        <w:t xml:space="preserve">BMI – Body mass index; CAD – coronary artery disease; CACS – Coronary artery calcium score; DBP – Diastolic blood pressure; DM – Diabetes mellitus; </w:t>
      </w:r>
      <w:proofErr w:type="spellStart"/>
      <w:r w:rsidRPr="00274EAE">
        <w:rPr>
          <w:rFonts w:ascii="Arial" w:hAnsi="Arial" w:cs="Arial"/>
          <w:sz w:val="24"/>
          <w:szCs w:val="24"/>
        </w:rPr>
        <w:t>FHx</w:t>
      </w:r>
      <w:proofErr w:type="spellEnd"/>
      <w:r w:rsidRPr="00274EAE">
        <w:rPr>
          <w:rFonts w:ascii="Arial" w:hAnsi="Arial" w:cs="Arial"/>
          <w:sz w:val="24"/>
          <w:szCs w:val="24"/>
        </w:rPr>
        <w:t xml:space="preserve"> – Family history; ICA – Invasive Catheter Angiography; SBP – Systolic blood pressure.</w:t>
      </w:r>
    </w:p>
    <w:p w14:paraId="6BF27A61" w14:textId="4E91C17C" w:rsidR="00AC15AB" w:rsidRPr="00274EAE" w:rsidRDefault="00E40A8E" w:rsidP="00252392">
      <w:pPr>
        <w:spacing w:line="360" w:lineRule="auto"/>
        <w:rPr>
          <w:rFonts w:ascii="Arial" w:hAnsi="Arial" w:cs="Arial"/>
          <w:sz w:val="24"/>
          <w:szCs w:val="24"/>
        </w:rPr>
      </w:pPr>
      <w:r w:rsidRPr="00274EAE">
        <w:rPr>
          <w:rFonts w:ascii="Arial" w:hAnsi="Arial" w:cs="Arial"/>
          <w:b/>
          <w:sz w:val="24"/>
          <w:szCs w:val="24"/>
        </w:rPr>
        <w:lastRenderedPageBreak/>
        <w:t>Table 2:</w:t>
      </w:r>
      <w:r w:rsidRPr="00274EAE">
        <w:rPr>
          <w:rFonts w:ascii="Arial" w:hAnsi="Arial" w:cs="Arial"/>
          <w:sz w:val="24"/>
          <w:szCs w:val="24"/>
        </w:rPr>
        <w:t xml:space="preserve">  </w:t>
      </w:r>
      <w:r w:rsidR="00321C9F" w:rsidRPr="00274EAE">
        <w:rPr>
          <w:rFonts w:ascii="Arial" w:hAnsi="Arial" w:cs="Arial"/>
          <w:sz w:val="24"/>
          <w:szCs w:val="24"/>
        </w:rPr>
        <w:t xml:space="preserve">Sensitivity, specificity, accuracy, positive predictive value and negative predictive value of CTA with (CTADEBLOOM) and without (CTASTAND) application of the calcification </w:t>
      </w:r>
      <w:proofErr w:type="spellStart"/>
      <w:r w:rsidR="00321C9F" w:rsidRPr="00274EAE">
        <w:rPr>
          <w:rFonts w:ascii="Arial" w:hAnsi="Arial" w:cs="Arial"/>
          <w:sz w:val="24"/>
          <w:szCs w:val="24"/>
        </w:rPr>
        <w:t>deblooming</w:t>
      </w:r>
      <w:proofErr w:type="spellEnd"/>
      <w:r w:rsidR="00321C9F" w:rsidRPr="00274EAE">
        <w:rPr>
          <w:rFonts w:ascii="Arial" w:hAnsi="Arial" w:cs="Arial"/>
          <w:sz w:val="24"/>
          <w:szCs w:val="24"/>
        </w:rPr>
        <w:t xml:space="preserve"> algorithm.</w:t>
      </w:r>
    </w:p>
    <w:tbl>
      <w:tblPr>
        <w:tblStyle w:val="TableGrid"/>
        <w:tblW w:w="0" w:type="auto"/>
        <w:tblLayout w:type="fixed"/>
        <w:tblLook w:val="04A0" w:firstRow="1" w:lastRow="0" w:firstColumn="1" w:lastColumn="0" w:noHBand="0" w:noVBand="1"/>
      </w:tblPr>
      <w:tblGrid>
        <w:gridCol w:w="1809"/>
        <w:gridCol w:w="1160"/>
        <w:gridCol w:w="1160"/>
        <w:gridCol w:w="1160"/>
        <w:gridCol w:w="1160"/>
        <w:gridCol w:w="1160"/>
        <w:gridCol w:w="1160"/>
        <w:gridCol w:w="1160"/>
        <w:gridCol w:w="1160"/>
        <w:gridCol w:w="1161"/>
      </w:tblGrid>
      <w:tr w:rsidR="00610BF1" w:rsidRPr="00274EAE" w14:paraId="26D7462D" w14:textId="5BAD3BC7" w:rsidTr="00610BF1">
        <w:tc>
          <w:tcPr>
            <w:tcW w:w="1809" w:type="dxa"/>
          </w:tcPr>
          <w:p w14:paraId="74EBF640" w14:textId="77777777" w:rsidR="00610BF1" w:rsidRPr="00274EAE" w:rsidRDefault="00610BF1" w:rsidP="00252392">
            <w:pPr>
              <w:spacing w:line="360" w:lineRule="auto"/>
              <w:rPr>
                <w:rFonts w:ascii="Arial" w:hAnsi="Arial" w:cs="Arial"/>
                <w:szCs w:val="24"/>
              </w:rPr>
            </w:pPr>
          </w:p>
        </w:tc>
        <w:tc>
          <w:tcPr>
            <w:tcW w:w="1160" w:type="dxa"/>
          </w:tcPr>
          <w:p w14:paraId="509B2C5C" w14:textId="6DE2842D" w:rsidR="00610BF1" w:rsidRPr="00274EAE" w:rsidRDefault="00610BF1" w:rsidP="00252392">
            <w:pPr>
              <w:spacing w:line="360" w:lineRule="auto"/>
              <w:jc w:val="center"/>
              <w:rPr>
                <w:rFonts w:ascii="Arial" w:hAnsi="Arial" w:cs="Arial"/>
                <w:b/>
                <w:szCs w:val="24"/>
              </w:rPr>
            </w:pPr>
            <w:r w:rsidRPr="00274EAE">
              <w:rPr>
                <w:rFonts w:ascii="Arial" w:hAnsi="Arial" w:cs="Arial"/>
                <w:b/>
                <w:szCs w:val="24"/>
              </w:rPr>
              <w:t>TP</w:t>
            </w:r>
          </w:p>
        </w:tc>
        <w:tc>
          <w:tcPr>
            <w:tcW w:w="1160" w:type="dxa"/>
          </w:tcPr>
          <w:p w14:paraId="5DABCB70" w14:textId="25F59E79" w:rsidR="00610BF1" w:rsidRPr="00274EAE" w:rsidRDefault="00610BF1" w:rsidP="00252392">
            <w:pPr>
              <w:spacing w:line="360" w:lineRule="auto"/>
              <w:jc w:val="center"/>
              <w:rPr>
                <w:rFonts w:ascii="Arial" w:hAnsi="Arial" w:cs="Arial"/>
                <w:b/>
                <w:szCs w:val="24"/>
              </w:rPr>
            </w:pPr>
            <w:r w:rsidRPr="00274EAE">
              <w:rPr>
                <w:rFonts w:ascii="Arial" w:hAnsi="Arial" w:cs="Arial"/>
                <w:b/>
                <w:szCs w:val="24"/>
              </w:rPr>
              <w:t>FP</w:t>
            </w:r>
          </w:p>
        </w:tc>
        <w:tc>
          <w:tcPr>
            <w:tcW w:w="1160" w:type="dxa"/>
          </w:tcPr>
          <w:p w14:paraId="4EBBBA4E" w14:textId="5ACD3FA1" w:rsidR="00610BF1" w:rsidRPr="00274EAE" w:rsidRDefault="00610BF1" w:rsidP="00252392">
            <w:pPr>
              <w:spacing w:line="360" w:lineRule="auto"/>
              <w:jc w:val="center"/>
              <w:rPr>
                <w:rFonts w:ascii="Arial" w:hAnsi="Arial" w:cs="Arial"/>
                <w:b/>
                <w:szCs w:val="24"/>
              </w:rPr>
            </w:pPr>
            <w:r w:rsidRPr="00274EAE">
              <w:rPr>
                <w:rFonts w:ascii="Arial" w:hAnsi="Arial" w:cs="Arial"/>
                <w:b/>
                <w:szCs w:val="24"/>
              </w:rPr>
              <w:t>TN</w:t>
            </w:r>
          </w:p>
        </w:tc>
        <w:tc>
          <w:tcPr>
            <w:tcW w:w="1160" w:type="dxa"/>
          </w:tcPr>
          <w:p w14:paraId="12E71D01" w14:textId="0F0EDBC2" w:rsidR="00610BF1" w:rsidRPr="00274EAE" w:rsidRDefault="00610BF1" w:rsidP="00252392">
            <w:pPr>
              <w:spacing w:line="360" w:lineRule="auto"/>
              <w:jc w:val="center"/>
              <w:rPr>
                <w:rFonts w:ascii="Arial" w:hAnsi="Arial" w:cs="Arial"/>
                <w:b/>
                <w:szCs w:val="24"/>
              </w:rPr>
            </w:pPr>
            <w:r w:rsidRPr="00274EAE">
              <w:rPr>
                <w:rFonts w:ascii="Arial" w:hAnsi="Arial" w:cs="Arial"/>
                <w:b/>
                <w:szCs w:val="24"/>
              </w:rPr>
              <w:t>FN</w:t>
            </w:r>
          </w:p>
        </w:tc>
        <w:tc>
          <w:tcPr>
            <w:tcW w:w="1160" w:type="dxa"/>
          </w:tcPr>
          <w:p w14:paraId="750A76E8" w14:textId="222C11EA" w:rsidR="00610BF1" w:rsidRPr="00274EAE" w:rsidRDefault="00610BF1" w:rsidP="00252392">
            <w:pPr>
              <w:spacing w:line="360" w:lineRule="auto"/>
              <w:jc w:val="center"/>
              <w:rPr>
                <w:rFonts w:ascii="Arial" w:hAnsi="Arial" w:cs="Arial"/>
                <w:b/>
                <w:szCs w:val="24"/>
              </w:rPr>
            </w:pPr>
            <w:r w:rsidRPr="00274EAE">
              <w:rPr>
                <w:rFonts w:ascii="Arial" w:hAnsi="Arial" w:cs="Arial"/>
                <w:szCs w:val="24"/>
              </w:rPr>
              <w:t xml:space="preserve">Sensitivity </w:t>
            </w:r>
          </w:p>
        </w:tc>
        <w:tc>
          <w:tcPr>
            <w:tcW w:w="1160" w:type="dxa"/>
          </w:tcPr>
          <w:p w14:paraId="1FDB379B" w14:textId="1773E0D5" w:rsidR="00610BF1" w:rsidRPr="00274EAE" w:rsidRDefault="00610BF1" w:rsidP="00252392">
            <w:pPr>
              <w:spacing w:line="360" w:lineRule="auto"/>
              <w:jc w:val="center"/>
              <w:rPr>
                <w:rFonts w:ascii="Arial" w:hAnsi="Arial" w:cs="Arial"/>
                <w:szCs w:val="24"/>
              </w:rPr>
            </w:pPr>
            <w:r w:rsidRPr="00274EAE">
              <w:rPr>
                <w:rFonts w:ascii="Arial" w:hAnsi="Arial" w:cs="Arial"/>
                <w:szCs w:val="24"/>
              </w:rPr>
              <w:t>Specificity</w:t>
            </w:r>
          </w:p>
        </w:tc>
        <w:tc>
          <w:tcPr>
            <w:tcW w:w="1160" w:type="dxa"/>
          </w:tcPr>
          <w:p w14:paraId="37F107E1" w14:textId="3F256075" w:rsidR="00610BF1" w:rsidRPr="00274EAE" w:rsidRDefault="00610BF1" w:rsidP="00252392">
            <w:pPr>
              <w:spacing w:line="360" w:lineRule="auto"/>
              <w:jc w:val="center"/>
              <w:rPr>
                <w:rFonts w:ascii="Arial" w:hAnsi="Arial" w:cs="Arial"/>
                <w:szCs w:val="24"/>
              </w:rPr>
            </w:pPr>
            <w:r w:rsidRPr="00274EAE">
              <w:rPr>
                <w:rFonts w:ascii="Arial" w:hAnsi="Arial" w:cs="Arial"/>
                <w:szCs w:val="24"/>
              </w:rPr>
              <w:t xml:space="preserve">Accuracy </w:t>
            </w:r>
          </w:p>
        </w:tc>
        <w:tc>
          <w:tcPr>
            <w:tcW w:w="1160" w:type="dxa"/>
          </w:tcPr>
          <w:p w14:paraId="34C82306" w14:textId="4238CF0A" w:rsidR="00610BF1" w:rsidRPr="00274EAE" w:rsidRDefault="00610BF1" w:rsidP="00252392">
            <w:pPr>
              <w:spacing w:line="360" w:lineRule="auto"/>
              <w:jc w:val="center"/>
              <w:rPr>
                <w:rFonts w:ascii="Arial" w:hAnsi="Arial" w:cs="Arial"/>
                <w:szCs w:val="24"/>
              </w:rPr>
            </w:pPr>
            <w:r w:rsidRPr="00274EAE">
              <w:rPr>
                <w:rFonts w:ascii="Arial" w:hAnsi="Arial" w:cs="Arial"/>
                <w:szCs w:val="24"/>
              </w:rPr>
              <w:t xml:space="preserve">Positive predictive value </w:t>
            </w:r>
          </w:p>
        </w:tc>
        <w:tc>
          <w:tcPr>
            <w:tcW w:w="1161" w:type="dxa"/>
          </w:tcPr>
          <w:p w14:paraId="7CF46050" w14:textId="718E48E7" w:rsidR="00610BF1" w:rsidRPr="00274EAE" w:rsidRDefault="00610BF1" w:rsidP="00252392">
            <w:pPr>
              <w:spacing w:line="360" w:lineRule="auto"/>
              <w:jc w:val="center"/>
              <w:rPr>
                <w:rFonts w:ascii="Arial" w:hAnsi="Arial" w:cs="Arial"/>
                <w:szCs w:val="24"/>
              </w:rPr>
            </w:pPr>
            <w:r w:rsidRPr="00274EAE">
              <w:rPr>
                <w:rFonts w:ascii="Arial" w:hAnsi="Arial" w:cs="Arial"/>
                <w:szCs w:val="24"/>
              </w:rPr>
              <w:t>Negative predictive value</w:t>
            </w:r>
          </w:p>
        </w:tc>
      </w:tr>
      <w:tr w:rsidR="00610BF1" w:rsidRPr="00274EAE" w14:paraId="1281C2C6" w14:textId="31BE6922" w:rsidTr="003E5428">
        <w:tc>
          <w:tcPr>
            <w:tcW w:w="12250" w:type="dxa"/>
            <w:gridSpan w:val="10"/>
          </w:tcPr>
          <w:p w14:paraId="4B111306" w14:textId="11FAF5DF" w:rsidR="00610BF1" w:rsidRPr="00274EAE" w:rsidRDefault="00610BF1" w:rsidP="00252392">
            <w:pPr>
              <w:spacing w:line="360" w:lineRule="auto"/>
              <w:rPr>
                <w:rFonts w:ascii="Arial" w:hAnsi="Arial" w:cs="Arial"/>
                <w:b/>
                <w:szCs w:val="24"/>
              </w:rPr>
            </w:pPr>
            <w:r w:rsidRPr="00274EAE">
              <w:rPr>
                <w:rFonts w:ascii="Arial" w:hAnsi="Arial" w:cs="Arial"/>
                <w:b/>
                <w:szCs w:val="24"/>
              </w:rPr>
              <w:t>Per Segment</w:t>
            </w:r>
          </w:p>
        </w:tc>
      </w:tr>
      <w:tr w:rsidR="00B2744E" w:rsidRPr="00274EAE" w14:paraId="27D02ED1" w14:textId="1A7067D4" w:rsidTr="00A25B7E">
        <w:tc>
          <w:tcPr>
            <w:tcW w:w="1809" w:type="dxa"/>
          </w:tcPr>
          <w:p w14:paraId="50F8D999" w14:textId="42B22D79" w:rsidR="00B2744E" w:rsidRPr="00274EAE" w:rsidRDefault="00B2744E" w:rsidP="00252392">
            <w:pPr>
              <w:spacing w:line="360" w:lineRule="auto"/>
              <w:rPr>
                <w:rFonts w:ascii="Arial" w:eastAsia="Gulim" w:hAnsi="Arial" w:cs="Arial"/>
                <w:bCs/>
                <w:kern w:val="24"/>
                <w:szCs w:val="24"/>
              </w:rPr>
            </w:pPr>
            <w:r w:rsidRPr="00274EAE">
              <w:rPr>
                <w:rFonts w:ascii="Arial" w:hAnsi="Arial" w:cs="Arial"/>
                <w:b/>
                <w:szCs w:val="24"/>
              </w:rPr>
              <w:t>CTADEBLOOM</w:t>
            </w:r>
          </w:p>
        </w:tc>
        <w:tc>
          <w:tcPr>
            <w:tcW w:w="1160" w:type="dxa"/>
            <w:vAlign w:val="bottom"/>
          </w:tcPr>
          <w:p w14:paraId="75C0A8DB" w14:textId="663C74D6" w:rsidR="00B2744E" w:rsidRPr="00274EAE" w:rsidRDefault="00B2744E" w:rsidP="00252392">
            <w:pPr>
              <w:spacing w:line="360" w:lineRule="auto"/>
              <w:rPr>
                <w:rFonts w:ascii="Arial" w:hAnsi="Arial" w:cs="Arial"/>
                <w:szCs w:val="24"/>
              </w:rPr>
            </w:pPr>
            <w:r w:rsidRPr="00274EAE">
              <w:rPr>
                <w:rFonts w:ascii="Arial" w:eastAsia="Times New Roman" w:hAnsi="Arial" w:cs="Arial"/>
                <w:color w:val="000000"/>
                <w:sz w:val="24"/>
                <w:szCs w:val="24"/>
              </w:rPr>
              <w:t>2</w:t>
            </w:r>
            <w:r w:rsidR="003A524B" w:rsidRPr="00274EAE">
              <w:rPr>
                <w:rFonts w:ascii="Arial" w:eastAsia="Times New Roman" w:hAnsi="Arial" w:cs="Arial"/>
                <w:color w:val="000000"/>
                <w:sz w:val="24"/>
                <w:szCs w:val="24"/>
              </w:rPr>
              <w:t>9</w:t>
            </w:r>
          </w:p>
        </w:tc>
        <w:tc>
          <w:tcPr>
            <w:tcW w:w="1160" w:type="dxa"/>
            <w:vAlign w:val="bottom"/>
          </w:tcPr>
          <w:p w14:paraId="4FC7C385" w14:textId="1E25D71B" w:rsidR="00B2744E" w:rsidRPr="00274EAE" w:rsidRDefault="00B2744E" w:rsidP="00252392">
            <w:pPr>
              <w:spacing w:line="360" w:lineRule="auto"/>
              <w:rPr>
                <w:rFonts w:ascii="Arial" w:hAnsi="Arial" w:cs="Arial"/>
                <w:szCs w:val="24"/>
              </w:rPr>
            </w:pPr>
            <w:r w:rsidRPr="00274EAE">
              <w:rPr>
                <w:rFonts w:ascii="Arial" w:eastAsia="Times New Roman" w:hAnsi="Arial" w:cs="Arial"/>
                <w:color w:val="000000"/>
                <w:sz w:val="24"/>
                <w:szCs w:val="24"/>
              </w:rPr>
              <w:t>7</w:t>
            </w:r>
            <w:r w:rsidR="003A524B" w:rsidRPr="00274EAE">
              <w:rPr>
                <w:rFonts w:ascii="Arial" w:eastAsia="Times New Roman" w:hAnsi="Arial" w:cs="Arial"/>
                <w:color w:val="000000"/>
                <w:sz w:val="24"/>
                <w:szCs w:val="24"/>
              </w:rPr>
              <w:t>6</w:t>
            </w:r>
          </w:p>
        </w:tc>
        <w:tc>
          <w:tcPr>
            <w:tcW w:w="1160" w:type="dxa"/>
            <w:vAlign w:val="bottom"/>
          </w:tcPr>
          <w:p w14:paraId="7151FDFE" w14:textId="0BC227CE" w:rsidR="00B2744E" w:rsidRPr="00274EAE" w:rsidRDefault="00B2744E" w:rsidP="00EE73AB">
            <w:pPr>
              <w:spacing w:line="360" w:lineRule="auto"/>
              <w:rPr>
                <w:rFonts w:ascii="Arial" w:hAnsi="Arial" w:cs="Arial"/>
                <w:szCs w:val="24"/>
              </w:rPr>
            </w:pPr>
            <w:r w:rsidRPr="00274EAE">
              <w:rPr>
                <w:rFonts w:ascii="Arial" w:eastAsia="Times New Roman" w:hAnsi="Arial" w:cs="Arial"/>
                <w:color w:val="000000"/>
                <w:sz w:val="24"/>
                <w:szCs w:val="24"/>
              </w:rPr>
              <w:t>4</w:t>
            </w:r>
            <w:r w:rsidR="00EE73AB">
              <w:rPr>
                <w:rFonts w:ascii="Arial" w:eastAsia="Times New Roman" w:hAnsi="Arial" w:cs="Arial"/>
                <w:color w:val="000000"/>
                <w:sz w:val="24"/>
                <w:szCs w:val="24"/>
              </w:rPr>
              <w:t>28</w:t>
            </w:r>
          </w:p>
        </w:tc>
        <w:tc>
          <w:tcPr>
            <w:tcW w:w="1160" w:type="dxa"/>
            <w:vAlign w:val="bottom"/>
          </w:tcPr>
          <w:p w14:paraId="7189E159" w14:textId="203B708D" w:rsidR="00B2744E" w:rsidRPr="00274EAE" w:rsidRDefault="00B2744E" w:rsidP="00252392">
            <w:pPr>
              <w:spacing w:line="360" w:lineRule="auto"/>
              <w:rPr>
                <w:rFonts w:ascii="Arial" w:hAnsi="Arial" w:cs="Arial"/>
                <w:szCs w:val="24"/>
              </w:rPr>
            </w:pPr>
            <w:r w:rsidRPr="00274EAE">
              <w:rPr>
                <w:rFonts w:ascii="Arial" w:eastAsia="Times New Roman" w:hAnsi="Arial" w:cs="Arial"/>
                <w:color w:val="000000"/>
                <w:sz w:val="24"/>
                <w:szCs w:val="24"/>
              </w:rPr>
              <w:t>1</w:t>
            </w:r>
            <w:r w:rsidR="00EE73AB">
              <w:rPr>
                <w:rFonts w:ascii="Arial" w:eastAsia="Times New Roman" w:hAnsi="Arial" w:cs="Arial"/>
                <w:color w:val="000000"/>
                <w:sz w:val="24"/>
                <w:szCs w:val="24"/>
              </w:rPr>
              <w:t>5</w:t>
            </w:r>
          </w:p>
        </w:tc>
        <w:tc>
          <w:tcPr>
            <w:tcW w:w="1160" w:type="dxa"/>
            <w:vAlign w:val="bottom"/>
          </w:tcPr>
          <w:p w14:paraId="36B8F0E7" w14:textId="1B3A10AC" w:rsidR="00B2744E" w:rsidRPr="00274EAE" w:rsidRDefault="00B2744E" w:rsidP="00EE73AB">
            <w:pPr>
              <w:spacing w:line="360" w:lineRule="auto"/>
              <w:rPr>
                <w:rFonts w:ascii="Arial" w:hAnsi="Arial" w:cs="Arial"/>
                <w:szCs w:val="24"/>
              </w:rPr>
            </w:pPr>
            <w:r w:rsidRPr="00274EAE">
              <w:rPr>
                <w:rFonts w:ascii="Arial" w:eastAsia="Times New Roman" w:hAnsi="Arial" w:cs="Arial"/>
                <w:color w:val="000000"/>
                <w:sz w:val="24"/>
                <w:szCs w:val="24"/>
              </w:rPr>
              <w:t>6</w:t>
            </w:r>
            <w:r w:rsidR="00EE73AB">
              <w:rPr>
                <w:rFonts w:ascii="Arial" w:eastAsia="Times New Roman" w:hAnsi="Arial" w:cs="Arial"/>
                <w:color w:val="000000"/>
                <w:sz w:val="24"/>
                <w:szCs w:val="24"/>
              </w:rPr>
              <w:t>5.9</w:t>
            </w:r>
          </w:p>
        </w:tc>
        <w:tc>
          <w:tcPr>
            <w:tcW w:w="1160" w:type="dxa"/>
            <w:vAlign w:val="bottom"/>
          </w:tcPr>
          <w:p w14:paraId="654BE36A" w14:textId="5D8248C9" w:rsidR="00B2744E" w:rsidRPr="00274EAE" w:rsidRDefault="003A524B" w:rsidP="00EE73AB">
            <w:pPr>
              <w:spacing w:line="360" w:lineRule="auto"/>
              <w:rPr>
                <w:rFonts w:ascii="Arial" w:hAnsi="Arial" w:cs="Arial"/>
                <w:szCs w:val="24"/>
              </w:rPr>
            </w:pPr>
            <w:r w:rsidRPr="00274EAE">
              <w:rPr>
                <w:rFonts w:ascii="Arial" w:eastAsia="Times New Roman" w:hAnsi="Arial" w:cs="Arial"/>
                <w:color w:val="000000"/>
                <w:sz w:val="24"/>
                <w:szCs w:val="24"/>
              </w:rPr>
              <w:t>8</w:t>
            </w:r>
            <w:r w:rsidR="00EE73AB">
              <w:rPr>
                <w:rFonts w:ascii="Arial" w:eastAsia="Times New Roman" w:hAnsi="Arial" w:cs="Arial"/>
                <w:color w:val="000000"/>
                <w:sz w:val="24"/>
                <w:szCs w:val="24"/>
              </w:rPr>
              <w:t>4.9</w:t>
            </w:r>
          </w:p>
        </w:tc>
        <w:tc>
          <w:tcPr>
            <w:tcW w:w="1160" w:type="dxa"/>
            <w:vAlign w:val="bottom"/>
          </w:tcPr>
          <w:p w14:paraId="2B604A94" w14:textId="5D2BD29B" w:rsidR="00B2744E" w:rsidRPr="00274EAE" w:rsidRDefault="00B2744E" w:rsidP="00EE73AB">
            <w:pPr>
              <w:spacing w:line="360" w:lineRule="auto"/>
              <w:rPr>
                <w:rFonts w:ascii="Arial" w:hAnsi="Arial" w:cs="Arial"/>
                <w:szCs w:val="24"/>
              </w:rPr>
            </w:pPr>
            <w:r w:rsidRPr="00274EAE">
              <w:rPr>
                <w:rFonts w:ascii="Arial" w:eastAsia="Times New Roman" w:hAnsi="Arial" w:cs="Arial"/>
                <w:color w:val="000000"/>
                <w:sz w:val="24"/>
                <w:szCs w:val="24"/>
              </w:rPr>
              <w:t>83.</w:t>
            </w:r>
            <w:r w:rsidR="00EE73AB">
              <w:rPr>
                <w:rFonts w:ascii="Arial" w:eastAsia="Times New Roman" w:hAnsi="Arial" w:cs="Arial"/>
                <w:color w:val="000000"/>
                <w:sz w:val="24"/>
                <w:szCs w:val="24"/>
              </w:rPr>
              <w:t>4</w:t>
            </w:r>
          </w:p>
        </w:tc>
        <w:tc>
          <w:tcPr>
            <w:tcW w:w="1160" w:type="dxa"/>
            <w:vAlign w:val="bottom"/>
          </w:tcPr>
          <w:p w14:paraId="2819C6EA" w14:textId="1C78EDDE" w:rsidR="00B2744E" w:rsidRPr="00274EAE" w:rsidRDefault="00EF4D54" w:rsidP="00252392">
            <w:pPr>
              <w:spacing w:line="360" w:lineRule="auto"/>
              <w:rPr>
                <w:rFonts w:ascii="Arial" w:hAnsi="Arial" w:cs="Arial"/>
                <w:szCs w:val="24"/>
              </w:rPr>
            </w:pPr>
            <w:r>
              <w:rPr>
                <w:rFonts w:ascii="Arial" w:eastAsia="Times New Roman" w:hAnsi="Arial" w:cs="Arial"/>
                <w:color w:val="000000"/>
                <w:sz w:val="24"/>
                <w:szCs w:val="24"/>
              </w:rPr>
              <w:t>27</w:t>
            </w:r>
            <w:r w:rsidR="00B2744E" w:rsidRPr="00274EAE">
              <w:rPr>
                <w:rFonts w:ascii="Arial" w:eastAsia="Times New Roman" w:hAnsi="Arial" w:cs="Arial"/>
                <w:color w:val="000000"/>
                <w:sz w:val="24"/>
                <w:szCs w:val="24"/>
              </w:rPr>
              <w:t>.</w:t>
            </w:r>
            <w:r w:rsidR="003A524B" w:rsidRPr="00274EAE">
              <w:rPr>
                <w:rFonts w:ascii="Arial" w:eastAsia="Times New Roman" w:hAnsi="Arial" w:cs="Arial"/>
                <w:color w:val="000000"/>
                <w:sz w:val="24"/>
                <w:szCs w:val="24"/>
              </w:rPr>
              <w:t>6</w:t>
            </w:r>
          </w:p>
        </w:tc>
        <w:tc>
          <w:tcPr>
            <w:tcW w:w="1161" w:type="dxa"/>
            <w:vAlign w:val="bottom"/>
          </w:tcPr>
          <w:p w14:paraId="7FF0CCDB" w14:textId="25DE18B6" w:rsidR="00B2744E" w:rsidRPr="00274EAE" w:rsidRDefault="00EE73AB" w:rsidP="00252392">
            <w:pPr>
              <w:spacing w:line="360" w:lineRule="auto"/>
              <w:rPr>
                <w:rFonts w:ascii="Arial" w:eastAsia="Times New Roman" w:hAnsi="Arial" w:cs="Arial"/>
                <w:color w:val="000000"/>
                <w:sz w:val="24"/>
                <w:szCs w:val="24"/>
              </w:rPr>
            </w:pPr>
            <w:r>
              <w:rPr>
                <w:rFonts w:ascii="Arial" w:eastAsia="Times New Roman" w:hAnsi="Arial" w:cs="Arial"/>
                <w:color w:val="000000"/>
                <w:sz w:val="24"/>
                <w:szCs w:val="24"/>
              </w:rPr>
              <w:t>96.6</w:t>
            </w:r>
          </w:p>
        </w:tc>
      </w:tr>
      <w:tr w:rsidR="00B2744E" w:rsidRPr="00274EAE" w14:paraId="4C773990" w14:textId="56799F23" w:rsidTr="00A25B7E">
        <w:tc>
          <w:tcPr>
            <w:tcW w:w="1809" w:type="dxa"/>
            <w:vAlign w:val="center"/>
          </w:tcPr>
          <w:p w14:paraId="09A3DA51" w14:textId="2043790A" w:rsidR="00B2744E" w:rsidRPr="00274EAE" w:rsidRDefault="00B2744E" w:rsidP="00252392">
            <w:pPr>
              <w:spacing w:line="360" w:lineRule="auto"/>
              <w:rPr>
                <w:rFonts w:ascii="Arial" w:eastAsia="Gulim" w:hAnsi="Arial" w:cs="Arial"/>
                <w:b/>
                <w:bCs/>
                <w:kern w:val="24"/>
                <w:szCs w:val="24"/>
              </w:rPr>
            </w:pPr>
            <w:r w:rsidRPr="00274EAE">
              <w:rPr>
                <w:rFonts w:ascii="Arial" w:eastAsia="Gulim" w:hAnsi="Arial" w:cs="Arial"/>
                <w:b/>
                <w:bCs/>
                <w:kern w:val="24"/>
                <w:szCs w:val="24"/>
              </w:rPr>
              <w:t>CTASTAND</w:t>
            </w:r>
          </w:p>
        </w:tc>
        <w:tc>
          <w:tcPr>
            <w:tcW w:w="1160" w:type="dxa"/>
            <w:vAlign w:val="bottom"/>
          </w:tcPr>
          <w:p w14:paraId="6DFB0EBE" w14:textId="192716C4" w:rsidR="00B2744E" w:rsidRPr="00274EAE" w:rsidRDefault="00B2744E" w:rsidP="00252392">
            <w:pPr>
              <w:spacing w:line="360" w:lineRule="auto"/>
              <w:rPr>
                <w:rFonts w:ascii="Arial" w:hAnsi="Arial" w:cs="Arial"/>
                <w:szCs w:val="24"/>
              </w:rPr>
            </w:pPr>
            <w:r w:rsidRPr="00274EAE">
              <w:rPr>
                <w:rFonts w:ascii="Arial" w:eastAsia="Times New Roman" w:hAnsi="Arial" w:cs="Arial"/>
                <w:color w:val="000000"/>
                <w:sz w:val="24"/>
                <w:szCs w:val="24"/>
              </w:rPr>
              <w:t>33</w:t>
            </w:r>
          </w:p>
        </w:tc>
        <w:tc>
          <w:tcPr>
            <w:tcW w:w="1160" w:type="dxa"/>
            <w:vAlign w:val="bottom"/>
          </w:tcPr>
          <w:p w14:paraId="53718D80" w14:textId="239393FA" w:rsidR="00B2744E" w:rsidRPr="00274EAE" w:rsidRDefault="00B2744E" w:rsidP="00252392">
            <w:pPr>
              <w:spacing w:line="360" w:lineRule="auto"/>
              <w:rPr>
                <w:rFonts w:ascii="Arial" w:hAnsi="Arial" w:cs="Arial"/>
                <w:szCs w:val="24"/>
              </w:rPr>
            </w:pPr>
            <w:r w:rsidRPr="00274EAE">
              <w:rPr>
                <w:rFonts w:ascii="Arial" w:eastAsia="Times New Roman" w:hAnsi="Arial" w:cs="Arial"/>
                <w:color w:val="000000"/>
                <w:sz w:val="24"/>
                <w:szCs w:val="24"/>
              </w:rPr>
              <w:t>9</w:t>
            </w:r>
            <w:r w:rsidR="0060674E">
              <w:rPr>
                <w:rFonts w:ascii="Arial" w:eastAsia="Times New Roman" w:hAnsi="Arial" w:cs="Arial"/>
                <w:color w:val="000000"/>
                <w:sz w:val="24"/>
                <w:szCs w:val="24"/>
              </w:rPr>
              <w:t>1</w:t>
            </w:r>
          </w:p>
        </w:tc>
        <w:tc>
          <w:tcPr>
            <w:tcW w:w="1160" w:type="dxa"/>
            <w:vAlign w:val="bottom"/>
          </w:tcPr>
          <w:p w14:paraId="464E58B7" w14:textId="00BBC236" w:rsidR="00B2744E" w:rsidRPr="00274EAE" w:rsidRDefault="00B2744E" w:rsidP="00EE73AB">
            <w:pPr>
              <w:spacing w:line="360" w:lineRule="auto"/>
              <w:rPr>
                <w:rFonts w:ascii="Arial" w:hAnsi="Arial" w:cs="Arial"/>
                <w:szCs w:val="24"/>
              </w:rPr>
            </w:pPr>
            <w:r w:rsidRPr="00274EAE">
              <w:rPr>
                <w:rFonts w:ascii="Arial" w:eastAsia="Times New Roman" w:hAnsi="Arial" w:cs="Arial"/>
                <w:color w:val="000000"/>
                <w:sz w:val="24"/>
                <w:szCs w:val="24"/>
              </w:rPr>
              <w:t>4</w:t>
            </w:r>
            <w:r w:rsidR="00EE73AB">
              <w:rPr>
                <w:rFonts w:ascii="Arial" w:eastAsia="Times New Roman" w:hAnsi="Arial" w:cs="Arial"/>
                <w:color w:val="000000"/>
                <w:sz w:val="24"/>
                <w:szCs w:val="24"/>
              </w:rPr>
              <w:t>1</w:t>
            </w:r>
            <w:r w:rsidR="0060674E">
              <w:rPr>
                <w:rFonts w:ascii="Arial" w:eastAsia="Times New Roman" w:hAnsi="Arial" w:cs="Arial"/>
                <w:color w:val="000000"/>
                <w:sz w:val="24"/>
                <w:szCs w:val="24"/>
              </w:rPr>
              <w:t>3</w:t>
            </w:r>
          </w:p>
        </w:tc>
        <w:tc>
          <w:tcPr>
            <w:tcW w:w="1160" w:type="dxa"/>
            <w:vAlign w:val="bottom"/>
          </w:tcPr>
          <w:p w14:paraId="46AE4FED" w14:textId="529AF307" w:rsidR="00B2744E" w:rsidRPr="00274EAE" w:rsidRDefault="00B2744E" w:rsidP="00252392">
            <w:pPr>
              <w:spacing w:line="360" w:lineRule="auto"/>
              <w:rPr>
                <w:rFonts w:ascii="Arial" w:hAnsi="Arial" w:cs="Arial"/>
                <w:szCs w:val="24"/>
              </w:rPr>
            </w:pPr>
            <w:r w:rsidRPr="00274EAE">
              <w:rPr>
                <w:rFonts w:ascii="Arial" w:eastAsia="Times New Roman" w:hAnsi="Arial" w:cs="Arial"/>
                <w:color w:val="000000"/>
                <w:sz w:val="24"/>
                <w:szCs w:val="24"/>
              </w:rPr>
              <w:t>11</w:t>
            </w:r>
          </w:p>
        </w:tc>
        <w:tc>
          <w:tcPr>
            <w:tcW w:w="1160" w:type="dxa"/>
            <w:vAlign w:val="bottom"/>
          </w:tcPr>
          <w:p w14:paraId="283D2312" w14:textId="0FA08027" w:rsidR="00B2744E" w:rsidRPr="00274EAE" w:rsidRDefault="00B2744E" w:rsidP="00252392">
            <w:pPr>
              <w:spacing w:line="360" w:lineRule="auto"/>
              <w:rPr>
                <w:rFonts w:ascii="Arial" w:hAnsi="Arial" w:cs="Arial"/>
                <w:szCs w:val="24"/>
              </w:rPr>
            </w:pPr>
            <w:r w:rsidRPr="00274EAE">
              <w:rPr>
                <w:rFonts w:ascii="Arial" w:eastAsia="Times New Roman" w:hAnsi="Arial" w:cs="Arial"/>
                <w:color w:val="000000"/>
                <w:sz w:val="24"/>
                <w:szCs w:val="24"/>
              </w:rPr>
              <w:t>75</w:t>
            </w:r>
          </w:p>
        </w:tc>
        <w:tc>
          <w:tcPr>
            <w:tcW w:w="1160" w:type="dxa"/>
            <w:vAlign w:val="bottom"/>
          </w:tcPr>
          <w:p w14:paraId="12DADF9A" w14:textId="796AE41C" w:rsidR="00B2744E" w:rsidRPr="00274EAE" w:rsidRDefault="00B2744E" w:rsidP="00252392">
            <w:pPr>
              <w:spacing w:line="360" w:lineRule="auto"/>
              <w:rPr>
                <w:rFonts w:ascii="Arial" w:hAnsi="Arial" w:cs="Arial"/>
                <w:szCs w:val="24"/>
              </w:rPr>
            </w:pPr>
            <w:r w:rsidRPr="00274EAE">
              <w:rPr>
                <w:rFonts w:ascii="Arial" w:eastAsia="Times New Roman" w:hAnsi="Arial" w:cs="Arial"/>
                <w:color w:val="000000"/>
                <w:sz w:val="24"/>
                <w:szCs w:val="24"/>
              </w:rPr>
              <w:t>81.</w:t>
            </w:r>
            <w:r w:rsidR="0060674E">
              <w:rPr>
                <w:rFonts w:ascii="Arial" w:eastAsia="Times New Roman" w:hAnsi="Arial" w:cs="Arial"/>
                <w:color w:val="000000"/>
                <w:sz w:val="24"/>
                <w:szCs w:val="24"/>
              </w:rPr>
              <w:t>9</w:t>
            </w:r>
          </w:p>
        </w:tc>
        <w:tc>
          <w:tcPr>
            <w:tcW w:w="1160" w:type="dxa"/>
            <w:vAlign w:val="bottom"/>
          </w:tcPr>
          <w:p w14:paraId="71C0E145" w14:textId="58BF85EE" w:rsidR="00B2744E" w:rsidRPr="00274EAE" w:rsidRDefault="00B2744E" w:rsidP="00252392">
            <w:pPr>
              <w:spacing w:line="360" w:lineRule="auto"/>
              <w:rPr>
                <w:rFonts w:ascii="Arial" w:hAnsi="Arial" w:cs="Arial"/>
                <w:szCs w:val="24"/>
              </w:rPr>
            </w:pPr>
            <w:r w:rsidRPr="00274EAE">
              <w:rPr>
                <w:rFonts w:ascii="Arial" w:eastAsia="Times New Roman" w:hAnsi="Arial" w:cs="Arial"/>
                <w:color w:val="000000"/>
                <w:sz w:val="24"/>
                <w:szCs w:val="24"/>
              </w:rPr>
              <w:t>81.</w:t>
            </w:r>
            <w:r w:rsidR="0060674E">
              <w:rPr>
                <w:rFonts w:ascii="Arial" w:eastAsia="Times New Roman" w:hAnsi="Arial" w:cs="Arial"/>
                <w:color w:val="000000"/>
                <w:sz w:val="24"/>
                <w:szCs w:val="24"/>
              </w:rPr>
              <w:t>4</w:t>
            </w:r>
          </w:p>
        </w:tc>
        <w:tc>
          <w:tcPr>
            <w:tcW w:w="1160" w:type="dxa"/>
            <w:vAlign w:val="bottom"/>
          </w:tcPr>
          <w:p w14:paraId="0F8F1B77" w14:textId="7E175A2F" w:rsidR="00B2744E" w:rsidRPr="00274EAE" w:rsidRDefault="00B2744E" w:rsidP="00EE73AB">
            <w:pPr>
              <w:spacing w:line="360" w:lineRule="auto"/>
              <w:rPr>
                <w:rFonts w:ascii="Arial" w:hAnsi="Arial" w:cs="Arial"/>
                <w:szCs w:val="24"/>
              </w:rPr>
            </w:pPr>
            <w:r w:rsidRPr="00274EAE">
              <w:rPr>
                <w:rFonts w:ascii="Arial" w:eastAsia="Times New Roman" w:hAnsi="Arial" w:cs="Arial"/>
                <w:color w:val="000000"/>
                <w:sz w:val="24"/>
                <w:szCs w:val="24"/>
              </w:rPr>
              <w:t>2</w:t>
            </w:r>
            <w:r w:rsidR="00EE73AB">
              <w:rPr>
                <w:rFonts w:ascii="Arial" w:eastAsia="Times New Roman" w:hAnsi="Arial" w:cs="Arial"/>
                <w:color w:val="000000"/>
                <w:sz w:val="24"/>
                <w:szCs w:val="24"/>
              </w:rPr>
              <w:t>6.</w:t>
            </w:r>
            <w:r w:rsidR="0060674E">
              <w:rPr>
                <w:rFonts w:ascii="Arial" w:eastAsia="Times New Roman" w:hAnsi="Arial" w:cs="Arial"/>
                <w:color w:val="000000"/>
                <w:sz w:val="24"/>
                <w:szCs w:val="24"/>
              </w:rPr>
              <w:t>6</w:t>
            </w:r>
          </w:p>
        </w:tc>
        <w:tc>
          <w:tcPr>
            <w:tcW w:w="1161" w:type="dxa"/>
            <w:vAlign w:val="bottom"/>
          </w:tcPr>
          <w:p w14:paraId="001D6067" w14:textId="07CB2B70" w:rsidR="007A22C3" w:rsidRPr="00274EAE" w:rsidRDefault="00B2744E" w:rsidP="00252392">
            <w:pPr>
              <w:spacing w:line="360" w:lineRule="auto"/>
              <w:rPr>
                <w:rFonts w:ascii="Arial" w:eastAsia="Times New Roman" w:hAnsi="Arial" w:cs="Arial"/>
                <w:color w:val="000000"/>
                <w:sz w:val="24"/>
                <w:szCs w:val="24"/>
              </w:rPr>
            </w:pPr>
            <w:r w:rsidRPr="00274EAE">
              <w:rPr>
                <w:rFonts w:ascii="Arial" w:eastAsia="Times New Roman" w:hAnsi="Arial" w:cs="Arial"/>
                <w:color w:val="000000"/>
                <w:sz w:val="24"/>
                <w:szCs w:val="24"/>
              </w:rPr>
              <w:t>97.</w:t>
            </w:r>
            <w:r w:rsidR="00EE73AB">
              <w:rPr>
                <w:rFonts w:ascii="Arial" w:eastAsia="Times New Roman" w:hAnsi="Arial" w:cs="Arial"/>
                <w:color w:val="000000"/>
                <w:sz w:val="24"/>
                <w:szCs w:val="24"/>
              </w:rPr>
              <w:t>4</w:t>
            </w:r>
          </w:p>
        </w:tc>
      </w:tr>
      <w:tr w:rsidR="002C5356" w:rsidRPr="00274EAE" w14:paraId="72223BDB" w14:textId="0808C009" w:rsidTr="003E5428">
        <w:tc>
          <w:tcPr>
            <w:tcW w:w="12250" w:type="dxa"/>
            <w:gridSpan w:val="10"/>
            <w:vAlign w:val="center"/>
          </w:tcPr>
          <w:p w14:paraId="38B4ED1A" w14:textId="623B9F4A" w:rsidR="002C5356" w:rsidRPr="00274EAE" w:rsidRDefault="002C5356" w:rsidP="00252392">
            <w:pPr>
              <w:spacing w:line="360" w:lineRule="auto"/>
              <w:rPr>
                <w:rFonts w:ascii="Arial" w:eastAsia="Gulim" w:hAnsi="Arial" w:cs="Arial"/>
                <w:b/>
                <w:bCs/>
                <w:kern w:val="24"/>
                <w:szCs w:val="24"/>
              </w:rPr>
            </w:pPr>
            <w:r w:rsidRPr="00274EAE">
              <w:rPr>
                <w:rFonts w:ascii="Arial" w:eastAsia="Gulim" w:hAnsi="Arial" w:cs="Arial"/>
                <w:b/>
                <w:bCs/>
                <w:kern w:val="24"/>
                <w:szCs w:val="24"/>
              </w:rPr>
              <w:t>Per Vessel</w:t>
            </w:r>
          </w:p>
        </w:tc>
      </w:tr>
      <w:tr w:rsidR="002C5356" w:rsidRPr="00274EAE" w14:paraId="7BF14887" w14:textId="0138E054" w:rsidTr="00A25B7E">
        <w:tc>
          <w:tcPr>
            <w:tcW w:w="1809" w:type="dxa"/>
          </w:tcPr>
          <w:p w14:paraId="335082BD" w14:textId="1E14CCF6" w:rsidR="002C5356" w:rsidRPr="00274EAE" w:rsidRDefault="002C5356" w:rsidP="00252392">
            <w:pPr>
              <w:spacing w:line="360" w:lineRule="auto"/>
              <w:rPr>
                <w:rFonts w:ascii="Arial" w:eastAsia="Gulim" w:hAnsi="Arial" w:cs="Arial"/>
                <w:b/>
                <w:bCs/>
                <w:kern w:val="24"/>
                <w:szCs w:val="24"/>
              </w:rPr>
            </w:pPr>
            <w:r w:rsidRPr="00274EAE">
              <w:rPr>
                <w:rFonts w:ascii="Arial" w:hAnsi="Arial" w:cs="Arial"/>
                <w:b/>
                <w:szCs w:val="24"/>
              </w:rPr>
              <w:t>CTADEBLOOM</w:t>
            </w:r>
          </w:p>
        </w:tc>
        <w:tc>
          <w:tcPr>
            <w:tcW w:w="1160" w:type="dxa"/>
            <w:vAlign w:val="bottom"/>
          </w:tcPr>
          <w:p w14:paraId="32B458DD" w14:textId="0E6E796A"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33</w:t>
            </w:r>
          </w:p>
        </w:tc>
        <w:tc>
          <w:tcPr>
            <w:tcW w:w="1160" w:type="dxa"/>
            <w:vAlign w:val="bottom"/>
          </w:tcPr>
          <w:p w14:paraId="4BC1E5B5" w14:textId="3F348E48"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29</w:t>
            </w:r>
          </w:p>
        </w:tc>
        <w:tc>
          <w:tcPr>
            <w:tcW w:w="1160" w:type="dxa"/>
            <w:vAlign w:val="bottom"/>
          </w:tcPr>
          <w:p w14:paraId="68963F45" w14:textId="5E433187"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53</w:t>
            </w:r>
          </w:p>
        </w:tc>
        <w:tc>
          <w:tcPr>
            <w:tcW w:w="1160" w:type="dxa"/>
            <w:vAlign w:val="bottom"/>
          </w:tcPr>
          <w:p w14:paraId="67063732" w14:textId="52CFEBEC"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5</w:t>
            </w:r>
          </w:p>
        </w:tc>
        <w:tc>
          <w:tcPr>
            <w:tcW w:w="1160" w:type="dxa"/>
            <w:vAlign w:val="bottom"/>
          </w:tcPr>
          <w:p w14:paraId="7480600A" w14:textId="590BD2FA"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86.8</w:t>
            </w:r>
          </w:p>
        </w:tc>
        <w:tc>
          <w:tcPr>
            <w:tcW w:w="1160" w:type="dxa"/>
            <w:vAlign w:val="bottom"/>
          </w:tcPr>
          <w:p w14:paraId="7E02A98A" w14:textId="35A994BE"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64.6</w:t>
            </w:r>
          </w:p>
        </w:tc>
        <w:tc>
          <w:tcPr>
            <w:tcW w:w="1160" w:type="dxa"/>
            <w:vAlign w:val="bottom"/>
          </w:tcPr>
          <w:p w14:paraId="472F07B9" w14:textId="440F88E2"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71.7</w:t>
            </w:r>
          </w:p>
        </w:tc>
        <w:tc>
          <w:tcPr>
            <w:tcW w:w="1160" w:type="dxa"/>
            <w:vAlign w:val="bottom"/>
          </w:tcPr>
          <w:p w14:paraId="72481B7F" w14:textId="23031B86"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53.2</w:t>
            </w:r>
          </w:p>
        </w:tc>
        <w:tc>
          <w:tcPr>
            <w:tcW w:w="1161" w:type="dxa"/>
            <w:vAlign w:val="bottom"/>
          </w:tcPr>
          <w:p w14:paraId="5353C86D" w14:textId="4172268C"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91.4</w:t>
            </w:r>
          </w:p>
        </w:tc>
      </w:tr>
      <w:tr w:rsidR="002C5356" w:rsidRPr="00274EAE" w14:paraId="2020A3DE" w14:textId="776F0FF2" w:rsidTr="00A25B7E">
        <w:tc>
          <w:tcPr>
            <w:tcW w:w="1809" w:type="dxa"/>
            <w:vAlign w:val="center"/>
          </w:tcPr>
          <w:p w14:paraId="514C1B26" w14:textId="1F07B829" w:rsidR="002C5356" w:rsidRPr="00274EAE" w:rsidRDefault="002C5356" w:rsidP="00252392">
            <w:pPr>
              <w:spacing w:line="360" w:lineRule="auto"/>
              <w:rPr>
                <w:rFonts w:ascii="Arial" w:eastAsia="Gulim" w:hAnsi="Arial" w:cs="Arial"/>
                <w:b/>
                <w:bCs/>
                <w:kern w:val="24"/>
                <w:szCs w:val="24"/>
              </w:rPr>
            </w:pPr>
            <w:r w:rsidRPr="00274EAE">
              <w:rPr>
                <w:rFonts w:ascii="Arial" w:eastAsia="Gulim" w:hAnsi="Arial" w:cs="Arial"/>
                <w:b/>
                <w:bCs/>
                <w:kern w:val="24"/>
                <w:szCs w:val="24"/>
              </w:rPr>
              <w:t>CTASTAND</w:t>
            </w:r>
          </w:p>
        </w:tc>
        <w:tc>
          <w:tcPr>
            <w:tcW w:w="1160" w:type="dxa"/>
            <w:vAlign w:val="bottom"/>
          </w:tcPr>
          <w:p w14:paraId="6FBA71F2" w14:textId="657B1FCB"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35</w:t>
            </w:r>
          </w:p>
        </w:tc>
        <w:tc>
          <w:tcPr>
            <w:tcW w:w="1160" w:type="dxa"/>
            <w:vAlign w:val="bottom"/>
          </w:tcPr>
          <w:p w14:paraId="5EB23564" w14:textId="3F7F970C"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33</w:t>
            </w:r>
          </w:p>
        </w:tc>
        <w:tc>
          <w:tcPr>
            <w:tcW w:w="1160" w:type="dxa"/>
            <w:vAlign w:val="bottom"/>
          </w:tcPr>
          <w:p w14:paraId="75B72D7E" w14:textId="1CD286AC"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49</w:t>
            </w:r>
          </w:p>
        </w:tc>
        <w:tc>
          <w:tcPr>
            <w:tcW w:w="1160" w:type="dxa"/>
            <w:vAlign w:val="bottom"/>
          </w:tcPr>
          <w:p w14:paraId="0F5937C2" w14:textId="538529C2"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3</w:t>
            </w:r>
          </w:p>
        </w:tc>
        <w:tc>
          <w:tcPr>
            <w:tcW w:w="1160" w:type="dxa"/>
            <w:vAlign w:val="bottom"/>
          </w:tcPr>
          <w:p w14:paraId="6CBCC00D" w14:textId="533DA758"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92.1</w:t>
            </w:r>
          </w:p>
        </w:tc>
        <w:tc>
          <w:tcPr>
            <w:tcW w:w="1160" w:type="dxa"/>
            <w:vAlign w:val="bottom"/>
          </w:tcPr>
          <w:p w14:paraId="7AC3B34B" w14:textId="49F217A3"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59.8</w:t>
            </w:r>
          </w:p>
        </w:tc>
        <w:tc>
          <w:tcPr>
            <w:tcW w:w="1160" w:type="dxa"/>
            <w:vAlign w:val="bottom"/>
          </w:tcPr>
          <w:p w14:paraId="40C2322B" w14:textId="6C388687"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70.0</w:t>
            </w:r>
          </w:p>
        </w:tc>
        <w:tc>
          <w:tcPr>
            <w:tcW w:w="1160" w:type="dxa"/>
            <w:vAlign w:val="bottom"/>
          </w:tcPr>
          <w:p w14:paraId="750B6114" w14:textId="309BA6D0"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51.5</w:t>
            </w:r>
          </w:p>
        </w:tc>
        <w:tc>
          <w:tcPr>
            <w:tcW w:w="1161" w:type="dxa"/>
            <w:vAlign w:val="bottom"/>
          </w:tcPr>
          <w:p w14:paraId="509824B7" w14:textId="5E5B3594"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94.2</w:t>
            </w:r>
          </w:p>
        </w:tc>
      </w:tr>
      <w:tr w:rsidR="002C5356" w:rsidRPr="00274EAE" w14:paraId="180EC3F9" w14:textId="1659AD9A" w:rsidTr="003E5428">
        <w:tc>
          <w:tcPr>
            <w:tcW w:w="12250" w:type="dxa"/>
            <w:gridSpan w:val="10"/>
            <w:vAlign w:val="center"/>
          </w:tcPr>
          <w:p w14:paraId="761839AB" w14:textId="7892EDFF" w:rsidR="002C5356" w:rsidRPr="00274EAE" w:rsidRDefault="002C5356" w:rsidP="00252392">
            <w:pPr>
              <w:spacing w:line="360" w:lineRule="auto"/>
              <w:rPr>
                <w:rFonts w:ascii="Arial" w:eastAsia="Gulim" w:hAnsi="Arial" w:cs="Arial"/>
                <w:b/>
                <w:bCs/>
                <w:kern w:val="24"/>
                <w:szCs w:val="24"/>
              </w:rPr>
            </w:pPr>
            <w:r w:rsidRPr="00274EAE">
              <w:rPr>
                <w:rFonts w:ascii="Arial" w:eastAsia="Gulim" w:hAnsi="Arial" w:cs="Arial"/>
                <w:b/>
                <w:bCs/>
                <w:kern w:val="24"/>
                <w:szCs w:val="24"/>
              </w:rPr>
              <w:t>Per Patient</w:t>
            </w:r>
          </w:p>
        </w:tc>
      </w:tr>
      <w:tr w:rsidR="002C5356" w:rsidRPr="00274EAE" w14:paraId="6EAD856C" w14:textId="5D4505AA" w:rsidTr="00A25B7E">
        <w:trPr>
          <w:trHeight w:val="598"/>
        </w:trPr>
        <w:tc>
          <w:tcPr>
            <w:tcW w:w="1809" w:type="dxa"/>
          </w:tcPr>
          <w:p w14:paraId="4381C39A" w14:textId="4D365D85" w:rsidR="002C5356" w:rsidRPr="00274EAE" w:rsidRDefault="002C5356" w:rsidP="00252392">
            <w:pPr>
              <w:spacing w:line="360" w:lineRule="auto"/>
              <w:rPr>
                <w:rFonts w:ascii="Arial" w:eastAsia="Gulim" w:hAnsi="Arial" w:cs="Arial"/>
                <w:b/>
                <w:bCs/>
                <w:kern w:val="24"/>
                <w:szCs w:val="24"/>
              </w:rPr>
            </w:pPr>
            <w:r w:rsidRPr="00274EAE">
              <w:rPr>
                <w:rFonts w:ascii="Arial" w:hAnsi="Arial" w:cs="Arial"/>
                <w:b/>
                <w:szCs w:val="24"/>
              </w:rPr>
              <w:t>CTADEBLOOM</w:t>
            </w:r>
          </w:p>
        </w:tc>
        <w:tc>
          <w:tcPr>
            <w:tcW w:w="1160" w:type="dxa"/>
            <w:vAlign w:val="bottom"/>
          </w:tcPr>
          <w:p w14:paraId="6439B619" w14:textId="71253A83"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24</w:t>
            </w:r>
          </w:p>
        </w:tc>
        <w:tc>
          <w:tcPr>
            <w:tcW w:w="1160" w:type="dxa"/>
            <w:vAlign w:val="bottom"/>
          </w:tcPr>
          <w:p w14:paraId="150BBE0B" w14:textId="3C42BA17"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10</w:t>
            </w:r>
          </w:p>
        </w:tc>
        <w:tc>
          <w:tcPr>
            <w:tcW w:w="1160" w:type="dxa"/>
            <w:vAlign w:val="bottom"/>
          </w:tcPr>
          <w:p w14:paraId="7E86611E" w14:textId="66E9D08E"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3</w:t>
            </w:r>
          </w:p>
        </w:tc>
        <w:tc>
          <w:tcPr>
            <w:tcW w:w="1160" w:type="dxa"/>
            <w:vAlign w:val="bottom"/>
          </w:tcPr>
          <w:p w14:paraId="0448B3CA" w14:textId="32F2CD60"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3</w:t>
            </w:r>
          </w:p>
        </w:tc>
        <w:tc>
          <w:tcPr>
            <w:tcW w:w="1160" w:type="dxa"/>
            <w:vAlign w:val="bottom"/>
          </w:tcPr>
          <w:p w14:paraId="7425F178" w14:textId="0A2E02F8"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88.9</w:t>
            </w:r>
          </w:p>
        </w:tc>
        <w:tc>
          <w:tcPr>
            <w:tcW w:w="1160" w:type="dxa"/>
            <w:vAlign w:val="bottom"/>
          </w:tcPr>
          <w:p w14:paraId="3BF73ED3" w14:textId="56D58BA4"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23.1</w:t>
            </w:r>
          </w:p>
        </w:tc>
        <w:tc>
          <w:tcPr>
            <w:tcW w:w="1160" w:type="dxa"/>
            <w:vAlign w:val="bottom"/>
          </w:tcPr>
          <w:p w14:paraId="1731E5FE" w14:textId="168FB65D"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67.5</w:t>
            </w:r>
          </w:p>
        </w:tc>
        <w:tc>
          <w:tcPr>
            <w:tcW w:w="1160" w:type="dxa"/>
            <w:vAlign w:val="bottom"/>
          </w:tcPr>
          <w:p w14:paraId="705103BB" w14:textId="0B8D40CD"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70.6</w:t>
            </w:r>
          </w:p>
        </w:tc>
        <w:tc>
          <w:tcPr>
            <w:tcW w:w="1161" w:type="dxa"/>
            <w:vAlign w:val="bottom"/>
          </w:tcPr>
          <w:p w14:paraId="6F09218E" w14:textId="1FFA9BD2"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50.0</w:t>
            </w:r>
          </w:p>
        </w:tc>
      </w:tr>
      <w:tr w:rsidR="002C5356" w:rsidRPr="00274EAE" w14:paraId="099973A5" w14:textId="671D54E6" w:rsidTr="00A25B7E">
        <w:tc>
          <w:tcPr>
            <w:tcW w:w="1809" w:type="dxa"/>
            <w:vAlign w:val="center"/>
          </w:tcPr>
          <w:p w14:paraId="1A31B7D2" w14:textId="39AE9235" w:rsidR="002C5356" w:rsidRPr="00274EAE" w:rsidRDefault="002C5356" w:rsidP="00252392">
            <w:pPr>
              <w:spacing w:line="360" w:lineRule="auto"/>
              <w:rPr>
                <w:rFonts w:ascii="Arial" w:eastAsia="Gulim" w:hAnsi="Arial" w:cs="Arial"/>
                <w:b/>
                <w:bCs/>
                <w:kern w:val="24"/>
                <w:szCs w:val="24"/>
              </w:rPr>
            </w:pPr>
            <w:r w:rsidRPr="00274EAE">
              <w:rPr>
                <w:rFonts w:ascii="Arial" w:eastAsia="Gulim" w:hAnsi="Arial" w:cs="Arial"/>
                <w:b/>
                <w:bCs/>
                <w:kern w:val="24"/>
                <w:szCs w:val="24"/>
              </w:rPr>
              <w:t>CTASTAND</w:t>
            </w:r>
          </w:p>
        </w:tc>
        <w:tc>
          <w:tcPr>
            <w:tcW w:w="1160" w:type="dxa"/>
            <w:vAlign w:val="bottom"/>
          </w:tcPr>
          <w:p w14:paraId="0065A1D3" w14:textId="348BE581"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27</w:t>
            </w:r>
          </w:p>
        </w:tc>
        <w:tc>
          <w:tcPr>
            <w:tcW w:w="1160" w:type="dxa"/>
            <w:vAlign w:val="bottom"/>
          </w:tcPr>
          <w:p w14:paraId="55FDC769" w14:textId="75F052A9"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10</w:t>
            </w:r>
          </w:p>
        </w:tc>
        <w:tc>
          <w:tcPr>
            <w:tcW w:w="1160" w:type="dxa"/>
            <w:vAlign w:val="bottom"/>
          </w:tcPr>
          <w:p w14:paraId="03D7E3FC" w14:textId="1FA02491"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3</w:t>
            </w:r>
          </w:p>
        </w:tc>
        <w:tc>
          <w:tcPr>
            <w:tcW w:w="1160" w:type="dxa"/>
            <w:vAlign w:val="bottom"/>
          </w:tcPr>
          <w:p w14:paraId="0C51FE6F" w14:textId="5DA79C3A"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0</w:t>
            </w:r>
          </w:p>
        </w:tc>
        <w:tc>
          <w:tcPr>
            <w:tcW w:w="1160" w:type="dxa"/>
            <w:vAlign w:val="bottom"/>
          </w:tcPr>
          <w:p w14:paraId="409AB188" w14:textId="022136D7"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100</w:t>
            </w:r>
          </w:p>
        </w:tc>
        <w:tc>
          <w:tcPr>
            <w:tcW w:w="1160" w:type="dxa"/>
            <w:vAlign w:val="bottom"/>
          </w:tcPr>
          <w:p w14:paraId="6B4EDA56" w14:textId="064277FB"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23.1</w:t>
            </w:r>
          </w:p>
        </w:tc>
        <w:tc>
          <w:tcPr>
            <w:tcW w:w="1160" w:type="dxa"/>
            <w:vAlign w:val="bottom"/>
          </w:tcPr>
          <w:p w14:paraId="4B1B0CD4" w14:textId="0C4DCE93"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75.0</w:t>
            </w:r>
          </w:p>
        </w:tc>
        <w:tc>
          <w:tcPr>
            <w:tcW w:w="1160" w:type="dxa"/>
            <w:vAlign w:val="bottom"/>
          </w:tcPr>
          <w:p w14:paraId="67C7F6F5" w14:textId="3691A403"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73.0</w:t>
            </w:r>
          </w:p>
        </w:tc>
        <w:tc>
          <w:tcPr>
            <w:tcW w:w="1161" w:type="dxa"/>
            <w:vAlign w:val="bottom"/>
          </w:tcPr>
          <w:p w14:paraId="7D59FBF4" w14:textId="60FB82D9" w:rsidR="002C5356" w:rsidRPr="00274EAE" w:rsidRDefault="002C5356" w:rsidP="00252392">
            <w:pPr>
              <w:spacing w:line="360" w:lineRule="auto"/>
              <w:rPr>
                <w:rFonts w:ascii="Arial" w:hAnsi="Arial" w:cs="Arial"/>
                <w:szCs w:val="24"/>
              </w:rPr>
            </w:pPr>
            <w:r w:rsidRPr="00274EAE">
              <w:rPr>
                <w:rFonts w:ascii="Arial" w:eastAsia="Times New Roman" w:hAnsi="Arial" w:cs="Arial"/>
                <w:color w:val="000000"/>
                <w:sz w:val="24"/>
                <w:szCs w:val="24"/>
              </w:rPr>
              <w:t>100</w:t>
            </w:r>
          </w:p>
        </w:tc>
      </w:tr>
    </w:tbl>
    <w:p w14:paraId="2F5FC4F0" w14:textId="77777777" w:rsidR="00D43058" w:rsidRPr="00274EAE" w:rsidRDefault="00D43058" w:rsidP="00252392">
      <w:pPr>
        <w:spacing w:line="360" w:lineRule="auto"/>
        <w:rPr>
          <w:rFonts w:ascii="Arial" w:hAnsi="Arial" w:cs="Arial"/>
          <w:sz w:val="24"/>
          <w:szCs w:val="24"/>
        </w:rPr>
      </w:pPr>
    </w:p>
    <w:sectPr w:rsidR="00D43058" w:rsidRPr="00274EAE" w:rsidSect="00321C9F">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F32143" w14:textId="77777777" w:rsidR="001F5B9D" w:rsidRDefault="001F5B9D" w:rsidP="007E0F74">
      <w:pPr>
        <w:spacing w:after="0" w:line="240" w:lineRule="auto"/>
      </w:pPr>
      <w:r>
        <w:separator/>
      </w:r>
    </w:p>
  </w:endnote>
  <w:endnote w:type="continuationSeparator" w:id="0">
    <w:p w14:paraId="70FA0DD2" w14:textId="77777777" w:rsidR="001F5B9D" w:rsidRDefault="001F5B9D" w:rsidP="007E0F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altName w:val="Sylfaen"/>
    <w:panose1 w:val="020B0604020202020204"/>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ulim">
    <w:altName w:val="굴림"/>
    <w:panose1 w:val="020B0600000101010101"/>
    <w:charset w:val="81"/>
    <w:family w:val="swiss"/>
    <w:notTrueType/>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2957B7" w14:textId="77777777" w:rsidR="001F5B9D" w:rsidRDefault="001F5B9D" w:rsidP="007E0F74">
      <w:pPr>
        <w:spacing w:after="0" w:line="240" w:lineRule="auto"/>
      </w:pPr>
      <w:r>
        <w:separator/>
      </w:r>
    </w:p>
  </w:footnote>
  <w:footnote w:type="continuationSeparator" w:id="0">
    <w:p w14:paraId="414CD03E" w14:textId="77777777" w:rsidR="001F5B9D" w:rsidRDefault="001F5B9D" w:rsidP="007E0F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AB44E7"/>
    <w:multiLevelType w:val="multilevel"/>
    <w:tmpl w:val="1D965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C8288E"/>
    <w:multiLevelType w:val="hybridMultilevel"/>
    <w:tmpl w:val="37D43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1D4C5F"/>
    <w:multiLevelType w:val="hybridMultilevel"/>
    <w:tmpl w:val="175C6DA2"/>
    <w:lvl w:ilvl="0" w:tplc="3D4CF7E2">
      <w:start w:val="1"/>
      <w:numFmt w:val="bullet"/>
      <w:lvlText w:val="•"/>
      <w:lvlJc w:val="left"/>
      <w:pPr>
        <w:tabs>
          <w:tab w:val="num" w:pos="720"/>
        </w:tabs>
        <w:ind w:left="720" w:hanging="360"/>
      </w:pPr>
      <w:rPr>
        <w:rFonts w:ascii="Arial" w:hAnsi="Arial" w:hint="default"/>
      </w:rPr>
    </w:lvl>
    <w:lvl w:ilvl="1" w:tplc="50067FF6">
      <w:start w:val="560"/>
      <w:numFmt w:val="bullet"/>
      <w:lvlText w:val="•"/>
      <w:lvlJc w:val="left"/>
      <w:pPr>
        <w:tabs>
          <w:tab w:val="num" w:pos="1440"/>
        </w:tabs>
        <w:ind w:left="1440" w:hanging="360"/>
      </w:pPr>
      <w:rPr>
        <w:rFonts w:ascii="Arial" w:hAnsi="Arial" w:hint="default"/>
      </w:rPr>
    </w:lvl>
    <w:lvl w:ilvl="2" w:tplc="7CFC49FA" w:tentative="1">
      <w:start w:val="1"/>
      <w:numFmt w:val="bullet"/>
      <w:lvlText w:val="•"/>
      <w:lvlJc w:val="left"/>
      <w:pPr>
        <w:tabs>
          <w:tab w:val="num" w:pos="2160"/>
        </w:tabs>
        <w:ind w:left="2160" w:hanging="360"/>
      </w:pPr>
      <w:rPr>
        <w:rFonts w:ascii="Arial" w:hAnsi="Arial" w:hint="default"/>
      </w:rPr>
    </w:lvl>
    <w:lvl w:ilvl="3" w:tplc="746E3AB0" w:tentative="1">
      <w:start w:val="1"/>
      <w:numFmt w:val="bullet"/>
      <w:lvlText w:val="•"/>
      <w:lvlJc w:val="left"/>
      <w:pPr>
        <w:tabs>
          <w:tab w:val="num" w:pos="2880"/>
        </w:tabs>
        <w:ind w:left="2880" w:hanging="360"/>
      </w:pPr>
      <w:rPr>
        <w:rFonts w:ascii="Arial" w:hAnsi="Arial" w:hint="default"/>
      </w:rPr>
    </w:lvl>
    <w:lvl w:ilvl="4" w:tplc="C10CA438" w:tentative="1">
      <w:start w:val="1"/>
      <w:numFmt w:val="bullet"/>
      <w:lvlText w:val="•"/>
      <w:lvlJc w:val="left"/>
      <w:pPr>
        <w:tabs>
          <w:tab w:val="num" w:pos="3600"/>
        </w:tabs>
        <w:ind w:left="3600" w:hanging="360"/>
      </w:pPr>
      <w:rPr>
        <w:rFonts w:ascii="Arial" w:hAnsi="Arial" w:hint="default"/>
      </w:rPr>
    </w:lvl>
    <w:lvl w:ilvl="5" w:tplc="6EEA6928" w:tentative="1">
      <w:start w:val="1"/>
      <w:numFmt w:val="bullet"/>
      <w:lvlText w:val="•"/>
      <w:lvlJc w:val="left"/>
      <w:pPr>
        <w:tabs>
          <w:tab w:val="num" w:pos="4320"/>
        </w:tabs>
        <w:ind w:left="4320" w:hanging="360"/>
      </w:pPr>
      <w:rPr>
        <w:rFonts w:ascii="Arial" w:hAnsi="Arial" w:hint="default"/>
      </w:rPr>
    </w:lvl>
    <w:lvl w:ilvl="6" w:tplc="86669BF2" w:tentative="1">
      <w:start w:val="1"/>
      <w:numFmt w:val="bullet"/>
      <w:lvlText w:val="•"/>
      <w:lvlJc w:val="left"/>
      <w:pPr>
        <w:tabs>
          <w:tab w:val="num" w:pos="5040"/>
        </w:tabs>
        <w:ind w:left="5040" w:hanging="360"/>
      </w:pPr>
      <w:rPr>
        <w:rFonts w:ascii="Arial" w:hAnsi="Arial" w:hint="default"/>
      </w:rPr>
    </w:lvl>
    <w:lvl w:ilvl="7" w:tplc="05CE183E" w:tentative="1">
      <w:start w:val="1"/>
      <w:numFmt w:val="bullet"/>
      <w:lvlText w:val="•"/>
      <w:lvlJc w:val="left"/>
      <w:pPr>
        <w:tabs>
          <w:tab w:val="num" w:pos="5760"/>
        </w:tabs>
        <w:ind w:left="5760" w:hanging="360"/>
      </w:pPr>
      <w:rPr>
        <w:rFonts w:ascii="Arial" w:hAnsi="Arial" w:hint="default"/>
      </w:rPr>
    </w:lvl>
    <w:lvl w:ilvl="8" w:tplc="7CA41AA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81F15E0"/>
    <w:multiLevelType w:val="hybridMultilevel"/>
    <w:tmpl w:val="92C40F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921FE0"/>
    <w:multiLevelType w:val="hybridMultilevel"/>
    <w:tmpl w:val="14205A9A"/>
    <w:lvl w:ilvl="0" w:tplc="4566BE6E">
      <w:start w:val="1"/>
      <w:numFmt w:val="bullet"/>
      <w:lvlText w:val="•"/>
      <w:lvlJc w:val="left"/>
      <w:pPr>
        <w:tabs>
          <w:tab w:val="num" w:pos="720"/>
        </w:tabs>
        <w:ind w:left="720" w:hanging="360"/>
      </w:pPr>
      <w:rPr>
        <w:rFonts w:ascii="Arial" w:hAnsi="Arial" w:hint="default"/>
      </w:rPr>
    </w:lvl>
    <w:lvl w:ilvl="1" w:tplc="1DDA90DE" w:tentative="1">
      <w:start w:val="1"/>
      <w:numFmt w:val="bullet"/>
      <w:lvlText w:val="•"/>
      <w:lvlJc w:val="left"/>
      <w:pPr>
        <w:tabs>
          <w:tab w:val="num" w:pos="1440"/>
        </w:tabs>
        <w:ind w:left="1440" w:hanging="360"/>
      </w:pPr>
      <w:rPr>
        <w:rFonts w:ascii="Arial" w:hAnsi="Arial" w:hint="default"/>
      </w:rPr>
    </w:lvl>
    <w:lvl w:ilvl="2" w:tplc="FADC631C" w:tentative="1">
      <w:start w:val="1"/>
      <w:numFmt w:val="bullet"/>
      <w:lvlText w:val="•"/>
      <w:lvlJc w:val="left"/>
      <w:pPr>
        <w:tabs>
          <w:tab w:val="num" w:pos="2160"/>
        </w:tabs>
        <w:ind w:left="2160" w:hanging="360"/>
      </w:pPr>
      <w:rPr>
        <w:rFonts w:ascii="Arial" w:hAnsi="Arial" w:hint="default"/>
      </w:rPr>
    </w:lvl>
    <w:lvl w:ilvl="3" w:tplc="C546A5F4" w:tentative="1">
      <w:start w:val="1"/>
      <w:numFmt w:val="bullet"/>
      <w:lvlText w:val="•"/>
      <w:lvlJc w:val="left"/>
      <w:pPr>
        <w:tabs>
          <w:tab w:val="num" w:pos="2880"/>
        </w:tabs>
        <w:ind w:left="2880" w:hanging="360"/>
      </w:pPr>
      <w:rPr>
        <w:rFonts w:ascii="Arial" w:hAnsi="Arial" w:hint="default"/>
      </w:rPr>
    </w:lvl>
    <w:lvl w:ilvl="4" w:tplc="0A5245D6" w:tentative="1">
      <w:start w:val="1"/>
      <w:numFmt w:val="bullet"/>
      <w:lvlText w:val="•"/>
      <w:lvlJc w:val="left"/>
      <w:pPr>
        <w:tabs>
          <w:tab w:val="num" w:pos="3600"/>
        </w:tabs>
        <w:ind w:left="3600" w:hanging="360"/>
      </w:pPr>
      <w:rPr>
        <w:rFonts w:ascii="Arial" w:hAnsi="Arial" w:hint="default"/>
      </w:rPr>
    </w:lvl>
    <w:lvl w:ilvl="5" w:tplc="A824FB5C" w:tentative="1">
      <w:start w:val="1"/>
      <w:numFmt w:val="bullet"/>
      <w:lvlText w:val="•"/>
      <w:lvlJc w:val="left"/>
      <w:pPr>
        <w:tabs>
          <w:tab w:val="num" w:pos="4320"/>
        </w:tabs>
        <w:ind w:left="4320" w:hanging="360"/>
      </w:pPr>
      <w:rPr>
        <w:rFonts w:ascii="Arial" w:hAnsi="Arial" w:hint="default"/>
      </w:rPr>
    </w:lvl>
    <w:lvl w:ilvl="6" w:tplc="A3A450C6" w:tentative="1">
      <w:start w:val="1"/>
      <w:numFmt w:val="bullet"/>
      <w:lvlText w:val="•"/>
      <w:lvlJc w:val="left"/>
      <w:pPr>
        <w:tabs>
          <w:tab w:val="num" w:pos="5040"/>
        </w:tabs>
        <w:ind w:left="5040" w:hanging="360"/>
      </w:pPr>
      <w:rPr>
        <w:rFonts w:ascii="Arial" w:hAnsi="Arial" w:hint="default"/>
      </w:rPr>
    </w:lvl>
    <w:lvl w:ilvl="7" w:tplc="38441568" w:tentative="1">
      <w:start w:val="1"/>
      <w:numFmt w:val="bullet"/>
      <w:lvlText w:val="•"/>
      <w:lvlJc w:val="left"/>
      <w:pPr>
        <w:tabs>
          <w:tab w:val="num" w:pos="5760"/>
        </w:tabs>
        <w:ind w:left="5760" w:hanging="360"/>
      </w:pPr>
      <w:rPr>
        <w:rFonts w:ascii="Arial" w:hAnsi="Arial" w:hint="default"/>
      </w:rPr>
    </w:lvl>
    <w:lvl w:ilvl="8" w:tplc="9A4826B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23B6A7F"/>
    <w:multiLevelType w:val="hybridMultilevel"/>
    <w:tmpl w:val="C480FE12"/>
    <w:lvl w:ilvl="0" w:tplc="8FFAEB76">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E26310C"/>
    <w:multiLevelType w:val="hybridMultilevel"/>
    <w:tmpl w:val="8842D8CC"/>
    <w:lvl w:ilvl="0" w:tplc="9C54F3C6">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FF0F3C"/>
    <w:multiLevelType w:val="hybridMultilevel"/>
    <w:tmpl w:val="B1DCCA6A"/>
    <w:lvl w:ilvl="0" w:tplc="CDE6A0A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9133C99"/>
    <w:multiLevelType w:val="hybridMultilevel"/>
    <w:tmpl w:val="A26A583A"/>
    <w:lvl w:ilvl="0" w:tplc="EFBEF07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0D43AF7"/>
    <w:multiLevelType w:val="hybridMultilevel"/>
    <w:tmpl w:val="B61860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3DE3E2F"/>
    <w:multiLevelType w:val="hybridMultilevel"/>
    <w:tmpl w:val="8FF87F12"/>
    <w:lvl w:ilvl="0" w:tplc="4182AB40">
      <w:start w:val="1"/>
      <w:numFmt w:val="bullet"/>
      <w:lvlText w:val="•"/>
      <w:lvlJc w:val="left"/>
      <w:pPr>
        <w:tabs>
          <w:tab w:val="num" w:pos="720"/>
        </w:tabs>
        <w:ind w:left="720" w:hanging="360"/>
      </w:pPr>
      <w:rPr>
        <w:rFonts w:ascii="Arial" w:hAnsi="Arial" w:hint="default"/>
      </w:rPr>
    </w:lvl>
    <w:lvl w:ilvl="1" w:tplc="5880A4D6" w:tentative="1">
      <w:start w:val="1"/>
      <w:numFmt w:val="bullet"/>
      <w:lvlText w:val="•"/>
      <w:lvlJc w:val="left"/>
      <w:pPr>
        <w:tabs>
          <w:tab w:val="num" w:pos="1440"/>
        </w:tabs>
        <w:ind w:left="1440" w:hanging="360"/>
      </w:pPr>
      <w:rPr>
        <w:rFonts w:ascii="Arial" w:hAnsi="Arial" w:hint="default"/>
      </w:rPr>
    </w:lvl>
    <w:lvl w:ilvl="2" w:tplc="47FC1B24" w:tentative="1">
      <w:start w:val="1"/>
      <w:numFmt w:val="bullet"/>
      <w:lvlText w:val="•"/>
      <w:lvlJc w:val="left"/>
      <w:pPr>
        <w:tabs>
          <w:tab w:val="num" w:pos="2160"/>
        </w:tabs>
        <w:ind w:left="2160" w:hanging="360"/>
      </w:pPr>
      <w:rPr>
        <w:rFonts w:ascii="Arial" w:hAnsi="Arial" w:hint="default"/>
      </w:rPr>
    </w:lvl>
    <w:lvl w:ilvl="3" w:tplc="958489FA" w:tentative="1">
      <w:start w:val="1"/>
      <w:numFmt w:val="bullet"/>
      <w:lvlText w:val="•"/>
      <w:lvlJc w:val="left"/>
      <w:pPr>
        <w:tabs>
          <w:tab w:val="num" w:pos="2880"/>
        </w:tabs>
        <w:ind w:left="2880" w:hanging="360"/>
      </w:pPr>
      <w:rPr>
        <w:rFonts w:ascii="Arial" w:hAnsi="Arial" w:hint="default"/>
      </w:rPr>
    </w:lvl>
    <w:lvl w:ilvl="4" w:tplc="BD9A3B0A" w:tentative="1">
      <w:start w:val="1"/>
      <w:numFmt w:val="bullet"/>
      <w:lvlText w:val="•"/>
      <w:lvlJc w:val="left"/>
      <w:pPr>
        <w:tabs>
          <w:tab w:val="num" w:pos="3600"/>
        </w:tabs>
        <w:ind w:left="3600" w:hanging="360"/>
      </w:pPr>
      <w:rPr>
        <w:rFonts w:ascii="Arial" w:hAnsi="Arial" w:hint="default"/>
      </w:rPr>
    </w:lvl>
    <w:lvl w:ilvl="5" w:tplc="69E859AE" w:tentative="1">
      <w:start w:val="1"/>
      <w:numFmt w:val="bullet"/>
      <w:lvlText w:val="•"/>
      <w:lvlJc w:val="left"/>
      <w:pPr>
        <w:tabs>
          <w:tab w:val="num" w:pos="4320"/>
        </w:tabs>
        <w:ind w:left="4320" w:hanging="360"/>
      </w:pPr>
      <w:rPr>
        <w:rFonts w:ascii="Arial" w:hAnsi="Arial" w:hint="default"/>
      </w:rPr>
    </w:lvl>
    <w:lvl w:ilvl="6" w:tplc="D512BD02" w:tentative="1">
      <w:start w:val="1"/>
      <w:numFmt w:val="bullet"/>
      <w:lvlText w:val="•"/>
      <w:lvlJc w:val="left"/>
      <w:pPr>
        <w:tabs>
          <w:tab w:val="num" w:pos="5040"/>
        </w:tabs>
        <w:ind w:left="5040" w:hanging="360"/>
      </w:pPr>
      <w:rPr>
        <w:rFonts w:ascii="Arial" w:hAnsi="Arial" w:hint="default"/>
      </w:rPr>
    </w:lvl>
    <w:lvl w:ilvl="7" w:tplc="A9BE7496" w:tentative="1">
      <w:start w:val="1"/>
      <w:numFmt w:val="bullet"/>
      <w:lvlText w:val="•"/>
      <w:lvlJc w:val="left"/>
      <w:pPr>
        <w:tabs>
          <w:tab w:val="num" w:pos="5760"/>
        </w:tabs>
        <w:ind w:left="5760" w:hanging="360"/>
      </w:pPr>
      <w:rPr>
        <w:rFonts w:ascii="Arial" w:hAnsi="Arial" w:hint="default"/>
      </w:rPr>
    </w:lvl>
    <w:lvl w:ilvl="8" w:tplc="43EE970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66A93F77"/>
    <w:multiLevelType w:val="hybridMultilevel"/>
    <w:tmpl w:val="FD3C85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2"/>
  </w:num>
  <w:num w:numId="4">
    <w:abstractNumId w:val="10"/>
  </w:num>
  <w:num w:numId="5">
    <w:abstractNumId w:val="5"/>
  </w:num>
  <w:num w:numId="6">
    <w:abstractNumId w:val="8"/>
  </w:num>
  <w:num w:numId="7">
    <w:abstractNumId w:val="3"/>
  </w:num>
  <w:num w:numId="8">
    <w:abstractNumId w:val="7"/>
  </w:num>
  <w:num w:numId="9">
    <w:abstractNumId w:val="1"/>
  </w:num>
  <w:num w:numId="10">
    <w:abstractNumId w:val="11"/>
  </w:num>
  <w:num w:numId="11">
    <w:abstractNumId w:val="0"/>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E03"/>
    <w:rsid w:val="0000325A"/>
    <w:rsid w:val="000051AD"/>
    <w:rsid w:val="000064D4"/>
    <w:rsid w:val="000101F4"/>
    <w:rsid w:val="000140FF"/>
    <w:rsid w:val="0002430F"/>
    <w:rsid w:val="000245A0"/>
    <w:rsid w:val="0003735B"/>
    <w:rsid w:val="00037C95"/>
    <w:rsid w:val="00037DDD"/>
    <w:rsid w:val="00045E60"/>
    <w:rsid w:val="000519E3"/>
    <w:rsid w:val="00057047"/>
    <w:rsid w:val="00057F9E"/>
    <w:rsid w:val="0006380D"/>
    <w:rsid w:val="00067912"/>
    <w:rsid w:val="000715B6"/>
    <w:rsid w:val="00071E58"/>
    <w:rsid w:val="00074118"/>
    <w:rsid w:val="00085571"/>
    <w:rsid w:val="00086894"/>
    <w:rsid w:val="00092945"/>
    <w:rsid w:val="0009361A"/>
    <w:rsid w:val="000A02BB"/>
    <w:rsid w:val="000A11C3"/>
    <w:rsid w:val="000A628A"/>
    <w:rsid w:val="000B2BA9"/>
    <w:rsid w:val="000C3575"/>
    <w:rsid w:val="000C6515"/>
    <w:rsid w:val="000D1AC9"/>
    <w:rsid w:val="000D6372"/>
    <w:rsid w:val="000E493D"/>
    <w:rsid w:val="000E5570"/>
    <w:rsid w:val="000E6597"/>
    <w:rsid w:val="00104891"/>
    <w:rsid w:val="00106053"/>
    <w:rsid w:val="0012044C"/>
    <w:rsid w:val="00120593"/>
    <w:rsid w:val="001233D9"/>
    <w:rsid w:val="00136983"/>
    <w:rsid w:val="001436ED"/>
    <w:rsid w:val="00143F0B"/>
    <w:rsid w:val="001447F5"/>
    <w:rsid w:val="00144838"/>
    <w:rsid w:val="00147806"/>
    <w:rsid w:val="001674F9"/>
    <w:rsid w:val="00173F31"/>
    <w:rsid w:val="00180CFB"/>
    <w:rsid w:val="001817D1"/>
    <w:rsid w:val="00181D15"/>
    <w:rsid w:val="0018480F"/>
    <w:rsid w:val="001926D3"/>
    <w:rsid w:val="00196686"/>
    <w:rsid w:val="001A1895"/>
    <w:rsid w:val="001A77A7"/>
    <w:rsid w:val="001B148A"/>
    <w:rsid w:val="001C70CF"/>
    <w:rsid w:val="001D4139"/>
    <w:rsid w:val="001E707C"/>
    <w:rsid w:val="001E7940"/>
    <w:rsid w:val="001F1E1B"/>
    <w:rsid w:val="001F5B9D"/>
    <w:rsid w:val="002026A9"/>
    <w:rsid w:val="00206A12"/>
    <w:rsid w:val="00213314"/>
    <w:rsid w:val="00216E67"/>
    <w:rsid w:val="002224A4"/>
    <w:rsid w:val="00222F0D"/>
    <w:rsid w:val="00230BA7"/>
    <w:rsid w:val="00237469"/>
    <w:rsid w:val="0024016A"/>
    <w:rsid w:val="002463D0"/>
    <w:rsid w:val="00251376"/>
    <w:rsid w:val="00252392"/>
    <w:rsid w:val="00265E81"/>
    <w:rsid w:val="0026786D"/>
    <w:rsid w:val="00274EAE"/>
    <w:rsid w:val="0027552A"/>
    <w:rsid w:val="002807D0"/>
    <w:rsid w:val="00284BF3"/>
    <w:rsid w:val="00296586"/>
    <w:rsid w:val="0029753C"/>
    <w:rsid w:val="002A0DC8"/>
    <w:rsid w:val="002A58BC"/>
    <w:rsid w:val="002A685C"/>
    <w:rsid w:val="002A6D42"/>
    <w:rsid w:val="002B2FF3"/>
    <w:rsid w:val="002B5FBD"/>
    <w:rsid w:val="002B7453"/>
    <w:rsid w:val="002C064A"/>
    <w:rsid w:val="002C4674"/>
    <w:rsid w:val="002C5356"/>
    <w:rsid w:val="002C5D15"/>
    <w:rsid w:val="002C72BE"/>
    <w:rsid w:val="002D20AB"/>
    <w:rsid w:val="002D59AA"/>
    <w:rsid w:val="002D63F5"/>
    <w:rsid w:val="002D7765"/>
    <w:rsid w:val="002E7435"/>
    <w:rsid w:val="002E74FE"/>
    <w:rsid w:val="002F08CD"/>
    <w:rsid w:val="002F0D1D"/>
    <w:rsid w:val="002F7053"/>
    <w:rsid w:val="003019BA"/>
    <w:rsid w:val="00320F21"/>
    <w:rsid w:val="00321C9F"/>
    <w:rsid w:val="0032280C"/>
    <w:rsid w:val="0033066C"/>
    <w:rsid w:val="00342B0B"/>
    <w:rsid w:val="00347225"/>
    <w:rsid w:val="00347618"/>
    <w:rsid w:val="0035100A"/>
    <w:rsid w:val="003510D4"/>
    <w:rsid w:val="00356BAB"/>
    <w:rsid w:val="0035725A"/>
    <w:rsid w:val="00363F9A"/>
    <w:rsid w:val="00392729"/>
    <w:rsid w:val="003958F1"/>
    <w:rsid w:val="003A2F42"/>
    <w:rsid w:val="003A524B"/>
    <w:rsid w:val="003C5751"/>
    <w:rsid w:val="003D0DB9"/>
    <w:rsid w:val="003D0E7C"/>
    <w:rsid w:val="003D6D2C"/>
    <w:rsid w:val="003D774D"/>
    <w:rsid w:val="003E0D33"/>
    <w:rsid w:val="003E2B2F"/>
    <w:rsid w:val="003E4093"/>
    <w:rsid w:val="003E5428"/>
    <w:rsid w:val="003F15E6"/>
    <w:rsid w:val="003F3FE8"/>
    <w:rsid w:val="00400424"/>
    <w:rsid w:val="0040460D"/>
    <w:rsid w:val="004057D2"/>
    <w:rsid w:val="00414559"/>
    <w:rsid w:val="00422172"/>
    <w:rsid w:val="00425BA4"/>
    <w:rsid w:val="004267A8"/>
    <w:rsid w:val="00433B07"/>
    <w:rsid w:val="004354DC"/>
    <w:rsid w:val="00446B3C"/>
    <w:rsid w:val="00453BD9"/>
    <w:rsid w:val="0045444C"/>
    <w:rsid w:val="00455D00"/>
    <w:rsid w:val="0046376B"/>
    <w:rsid w:val="004646BF"/>
    <w:rsid w:val="0046526B"/>
    <w:rsid w:val="00470020"/>
    <w:rsid w:val="0047025E"/>
    <w:rsid w:val="00471CE1"/>
    <w:rsid w:val="00476F7E"/>
    <w:rsid w:val="004830D9"/>
    <w:rsid w:val="00484643"/>
    <w:rsid w:val="004A073E"/>
    <w:rsid w:val="004A1D15"/>
    <w:rsid w:val="004A3823"/>
    <w:rsid w:val="004A5288"/>
    <w:rsid w:val="004A5CE5"/>
    <w:rsid w:val="004A70D2"/>
    <w:rsid w:val="004B050C"/>
    <w:rsid w:val="004B257F"/>
    <w:rsid w:val="004B2F9C"/>
    <w:rsid w:val="004B5309"/>
    <w:rsid w:val="004B71C6"/>
    <w:rsid w:val="004B7ED6"/>
    <w:rsid w:val="004C31B6"/>
    <w:rsid w:val="004C3C41"/>
    <w:rsid w:val="004C4834"/>
    <w:rsid w:val="004D1A7C"/>
    <w:rsid w:val="004E0111"/>
    <w:rsid w:val="004E2C27"/>
    <w:rsid w:val="004E645B"/>
    <w:rsid w:val="004E718C"/>
    <w:rsid w:val="005016B7"/>
    <w:rsid w:val="00501D9F"/>
    <w:rsid w:val="005022B3"/>
    <w:rsid w:val="00520D0B"/>
    <w:rsid w:val="00530BDF"/>
    <w:rsid w:val="005414CC"/>
    <w:rsid w:val="005415CB"/>
    <w:rsid w:val="00551468"/>
    <w:rsid w:val="00553C71"/>
    <w:rsid w:val="00554D4D"/>
    <w:rsid w:val="005652C9"/>
    <w:rsid w:val="00566AA4"/>
    <w:rsid w:val="00570CD3"/>
    <w:rsid w:val="0057726B"/>
    <w:rsid w:val="00577659"/>
    <w:rsid w:val="005836A6"/>
    <w:rsid w:val="005846B0"/>
    <w:rsid w:val="0058744B"/>
    <w:rsid w:val="0059005A"/>
    <w:rsid w:val="005B0A32"/>
    <w:rsid w:val="005B172C"/>
    <w:rsid w:val="005C2737"/>
    <w:rsid w:val="005C3469"/>
    <w:rsid w:val="005D156D"/>
    <w:rsid w:val="005D2DDD"/>
    <w:rsid w:val="005E01B4"/>
    <w:rsid w:val="005E13F3"/>
    <w:rsid w:val="005E2E7C"/>
    <w:rsid w:val="005E4CC0"/>
    <w:rsid w:val="0060674E"/>
    <w:rsid w:val="00610BF1"/>
    <w:rsid w:val="00625B03"/>
    <w:rsid w:val="00631AF4"/>
    <w:rsid w:val="006333DD"/>
    <w:rsid w:val="0063768F"/>
    <w:rsid w:val="00640FAC"/>
    <w:rsid w:val="00644160"/>
    <w:rsid w:val="006474C7"/>
    <w:rsid w:val="0065540E"/>
    <w:rsid w:val="00655676"/>
    <w:rsid w:val="00660A52"/>
    <w:rsid w:val="006665F8"/>
    <w:rsid w:val="00672B63"/>
    <w:rsid w:val="00675FF6"/>
    <w:rsid w:val="00682D74"/>
    <w:rsid w:val="00683FCE"/>
    <w:rsid w:val="006916E5"/>
    <w:rsid w:val="00691AE3"/>
    <w:rsid w:val="006943CE"/>
    <w:rsid w:val="006A2D3A"/>
    <w:rsid w:val="006A5BD5"/>
    <w:rsid w:val="006B2430"/>
    <w:rsid w:val="006C36A3"/>
    <w:rsid w:val="006C49B8"/>
    <w:rsid w:val="006D0024"/>
    <w:rsid w:val="006D1451"/>
    <w:rsid w:val="006E1863"/>
    <w:rsid w:val="006E3EFF"/>
    <w:rsid w:val="006E488D"/>
    <w:rsid w:val="006E4D44"/>
    <w:rsid w:val="006E7A1E"/>
    <w:rsid w:val="006F2173"/>
    <w:rsid w:val="006F4D0B"/>
    <w:rsid w:val="006F71CA"/>
    <w:rsid w:val="00716311"/>
    <w:rsid w:val="00724A33"/>
    <w:rsid w:val="00727BEE"/>
    <w:rsid w:val="00727FB5"/>
    <w:rsid w:val="00736D9C"/>
    <w:rsid w:val="007422D3"/>
    <w:rsid w:val="007471D5"/>
    <w:rsid w:val="00755D2B"/>
    <w:rsid w:val="0076010A"/>
    <w:rsid w:val="00763871"/>
    <w:rsid w:val="00772EA9"/>
    <w:rsid w:val="00773FCF"/>
    <w:rsid w:val="00776C95"/>
    <w:rsid w:val="007771DA"/>
    <w:rsid w:val="00777234"/>
    <w:rsid w:val="007811BD"/>
    <w:rsid w:val="00786B2A"/>
    <w:rsid w:val="007A0D97"/>
    <w:rsid w:val="007A22C3"/>
    <w:rsid w:val="007A4099"/>
    <w:rsid w:val="007A42BC"/>
    <w:rsid w:val="007A47B7"/>
    <w:rsid w:val="007A4969"/>
    <w:rsid w:val="007A6663"/>
    <w:rsid w:val="007A7DD4"/>
    <w:rsid w:val="007C1EC4"/>
    <w:rsid w:val="007C60B6"/>
    <w:rsid w:val="007D0A9F"/>
    <w:rsid w:val="007D18C8"/>
    <w:rsid w:val="007D38A7"/>
    <w:rsid w:val="007D3A62"/>
    <w:rsid w:val="007D3E50"/>
    <w:rsid w:val="007D66C0"/>
    <w:rsid w:val="007D71D4"/>
    <w:rsid w:val="007E0F74"/>
    <w:rsid w:val="007E2A09"/>
    <w:rsid w:val="007E2EB3"/>
    <w:rsid w:val="007E71F0"/>
    <w:rsid w:val="007E7D45"/>
    <w:rsid w:val="007F1A99"/>
    <w:rsid w:val="007F4D92"/>
    <w:rsid w:val="007F54D9"/>
    <w:rsid w:val="0080151F"/>
    <w:rsid w:val="00804369"/>
    <w:rsid w:val="00805C3A"/>
    <w:rsid w:val="00806548"/>
    <w:rsid w:val="00806BAD"/>
    <w:rsid w:val="00811B5C"/>
    <w:rsid w:val="008206AE"/>
    <w:rsid w:val="00832670"/>
    <w:rsid w:val="00833CB8"/>
    <w:rsid w:val="00841263"/>
    <w:rsid w:val="008443BB"/>
    <w:rsid w:val="00846629"/>
    <w:rsid w:val="0084769D"/>
    <w:rsid w:val="008515CE"/>
    <w:rsid w:val="00852A1E"/>
    <w:rsid w:val="0085755A"/>
    <w:rsid w:val="00863296"/>
    <w:rsid w:val="00863D6A"/>
    <w:rsid w:val="00870070"/>
    <w:rsid w:val="0087379E"/>
    <w:rsid w:val="00875350"/>
    <w:rsid w:val="0088247D"/>
    <w:rsid w:val="0088283F"/>
    <w:rsid w:val="00886B7B"/>
    <w:rsid w:val="00893230"/>
    <w:rsid w:val="008935AB"/>
    <w:rsid w:val="008957FB"/>
    <w:rsid w:val="008A03B8"/>
    <w:rsid w:val="008A622A"/>
    <w:rsid w:val="008A6373"/>
    <w:rsid w:val="008A7D17"/>
    <w:rsid w:val="008B4D3F"/>
    <w:rsid w:val="008C2CD3"/>
    <w:rsid w:val="008C5001"/>
    <w:rsid w:val="008C5CDC"/>
    <w:rsid w:val="008D373F"/>
    <w:rsid w:val="008D467A"/>
    <w:rsid w:val="008D4C34"/>
    <w:rsid w:val="008D772E"/>
    <w:rsid w:val="008E0F72"/>
    <w:rsid w:val="008E4D43"/>
    <w:rsid w:val="008E4D58"/>
    <w:rsid w:val="00900115"/>
    <w:rsid w:val="0090499D"/>
    <w:rsid w:val="00906D18"/>
    <w:rsid w:val="00913CB0"/>
    <w:rsid w:val="009145FC"/>
    <w:rsid w:val="009225DC"/>
    <w:rsid w:val="009256B9"/>
    <w:rsid w:val="00930F3F"/>
    <w:rsid w:val="00931384"/>
    <w:rsid w:val="00934E17"/>
    <w:rsid w:val="0093629D"/>
    <w:rsid w:val="00936A00"/>
    <w:rsid w:val="00960DDB"/>
    <w:rsid w:val="00961856"/>
    <w:rsid w:val="009619EC"/>
    <w:rsid w:val="0096277C"/>
    <w:rsid w:val="00962E10"/>
    <w:rsid w:val="00964C4A"/>
    <w:rsid w:val="009716DA"/>
    <w:rsid w:val="00973ED9"/>
    <w:rsid w:val="009847D4"/>
    <w:rsid w:val="0098740A"/>
    <w:rsid w:val="00997148"/>
    <w:rsid w:val="00997B82"/>
    <w:rsid w:val="009A181B"/>
    <w:rsid w:val="009A2A3D"/>
    <w:rsid w:val="009A2F88"/>
    <w:rsid w:val="009A3D4B"/>
    <w:rsid w:val="009B0812"/>
    <w:rsid w:val="009B0CB8"/>
    <w:rsid w:val="009B4BF2"/>
    <w:rsid w:val="009B7880"/>
    <w:rsid w:val="009C1961"/>
    <w:rsid w:val="009C3715"/>
    <w:rsid w:val="009C4424"/>
    <w:rsid w:val="009D3F01"/>
    <w:rsid w:val="009E0DE9"/>
    <w:rsid w:val="009E1D1A"/>
    <w:rsid w:val="009E31DF"/>
    <w:rsid w:val="009E3265"/>
    <w:rsid w:val="009E5FCD"/>
    <w:rsid w:val="009F56AC"/>
    <w:rsid w:val="009F6740"/>
    <w:rsid w:val="00A04BE5"/>
    <w:rsid w:val="00A14E24"/>
    <w:rsid w:val="00A14F92"/>
    <w:rsid w:val="00A16D9D"/>
    <w:rsid w:val="00A17D15"/>
    <w:rsid w:val="00A20399"/>
    <w:rsid w:val="00A222C4"/>
    <w:rsid w:val="00A25B7E"/>
    <w:rsid w:val="00A273FF"/>
    <w:rsid w:val="00A27C92"/>
    <w:rsid w:val="00A52534"/>
    <w:rsid w:val="00A55986"/>
    <w:rsid w:val="00A55D59"/>
    <w:rsid w:val="00A55EED"/>
    <w:rsid w:val="00A63307"/>
    <w:rsid w:val="00A64B05"/>
    <w:rsid w:val="00A66621"/>
    <w:rsid w:val="00A72471"/>
    <w:rsid w:val="00A726AD"/>
    <w:rsid w:val="00A72AA4"/>
    <w:rsid w:val="00A73B4B"/>
    <w:rsid w:val="00A73DC3"/>
    <w:rsid w:val="00A84552"/>
    <w:rsid w:val="00AB123E"/>
    <w:rsid w:val="00AC054D"/>
    <w:rsid w:val="00AC15AB"/>
    <w:rsid w:val="00AC1F6E"/>
    <w:rsid w:val="00AC3F16"/>
    <w:rsid w:val="00AC4752"/>
    <w:rsid w:val="00AC74D2"/>
    <w:rsid w:val="00AE43AC"/>
    <w:rsid w:val="00AE6B63"/>
    <w:rsid w:val="00AF54B4"/>
    <w:rsid w:val="00B05361"/>
    <w:rsid w:val="00B05659"/>
    <w:rsid w:val="00B12DA9"/>
    <w:rsid w:val="00B131F2"/>
    <w:rsid w:val="00B15A89"/>
    <w:rsid w:val="00B17772"/>
    <w:rsid w:val="00B17C73"/>
    <w:rsid w:val="00B20803"/>
    <w:rsid w:val="00B240D8"/>
    <w:rsid w:val="00B2744E"/>
    <w:rsid w:val="00B30D7C"/>
    <w:rsid w:val="00B354E0"/>
    <w:rsid w:val="00B41D82"/>
    <w:rsid w:val="00B4728A"/>
    <w:rsid w:val="00B506AB"/>
    <w:rsid w:val="00B55963"/>
    <w:rsid w:val="00B560ED"/>
    <w:rsid w:val="00B6734B"/>
    <w:rsid w:val="00B80FEC"/>
    <w:rsid w:val="00B84505"/>
    <w:rsid w:val="00B93551"/>
    <w:rsid w:val="00B93DEE"/>
    <w:rsid w:val="00BA3374"/>
    <w:rsid w:val="00BB6621"/>
    <w:rsid w:val="00BC0069"/>
    <w:rsid w:val="00BD065C"/>
    <w:rsid w:val="00BD5CE1"/>
    <w:rsid w:val="00BD7F29"/>
    <w:rsid w:val="00BE15F7"/>
    <w:rsid w:val="00BE227D"/>
    <w:rsid w:val="00BE587E"/>
    <w:rsid w:val="00BE5E1B"/>
    <w:rsid w:val="00BF0824"/>
    <w:rsid w:val="00BF5FC3"/>
    <w:rsid w:val="00BF606B"/>
    <w:rsid w:val="00C01050"/>
    <w:rsid w:val="00C01800"/>
    <w:rsid w:val="00C0214C"/>
    <w:rsid w:val="00C0405C"/>
    <w:rsid w:val="00C127F8"/>
    <w:rsid w:val="00C1422A"/>
    <w:rsid w:val="00C1597E"/>
    <w:rsid w:val="00C15A47"/>
    <w:rsid w:val="00C172E6"/>
    <w:rsid w:val="00C23023"/>
    <w:rsid w:val="00C3477D"/>
    <w:rsid w:val="00C46E03"/>
    <w:rsid w:val="00C4709A"/>
    <w:rsid w:val="00C56D77"/>
    <w:rsid w:val="00C619C5"/>
    <w:rsid w:val="00C71F44"/>
    <w:rsid w:val="00C73D11"/>
    <w:rsid w:val="00C74C19"/>
    <w:rsid w:val="00C84C60"/>
    <w:rsid w:val="00C92718"/>
    <w:rsid w:val="00C9356F"/>
    <w:rsid w:val="00C94DD5"/>
    <w:rsid w:val="00CA3F8F"/>
    <w:rsid w:val="00CB191B"/>
    <w:rsid w:val="00CB561A"/>
    <w:rsid w:val="00CB7BB2"/>
    <w:rsid w:val="00CC313C"/>
    <w:rsid w:val="00CC4ECC"/>
    <w:rsid w:val="00CD13C4"/>
    <w:rsid w:val="00CD27E5"/>
    <w:rsid w:val="00CD78D8"/>
    <w:rsid w:val="00CE4A26"/>
    <w:rsid w:val="00CE5469"/>
    <w:rsid w:val="00CF2AE6"/>
    <w:rsid w:val="00CF2BBA"/>
    <w:rsid w:val="00D00ED6"/>
    <w:rsid w:val="00D036AC"/>
    <w:rsid w:val="00D043F3"/>
    <w:rsid w:val="00D06B6C"/>
    <w:rsid w:val="00D06ED7"/>
    <w:rsid w:val="00D0785F"/>
    <w:rsid w:val="00D13FEB"/>
    <w:rsid w:val="00D14CE9"/>
    <w:rsid w:val="00D20C03"/>
    <w:rsid w:val="00D369F9"/>
    <w:rsid w:val="00D43058"/>
    <w:rsid w:val="00D5356F"/>
    <w:rsid w:val="00D55F48"/>
    <w:rsid w:val="00D673A3"/>
    <w:rsid w:val="00D707AF"/>
    <w:rsid w:val="00D71CB9"/>
    <w:rsid w:val="00D7646B"/>
    <w:rsid w:val="00D82359"/>
    <w:rsid w:val="00D84A0D"/>
    <w:rsid w:val="00D84EE1"/>
    <w:rsid w:val="00D85046"/>
    <w:rsid w:val="00D85728"/>
    <w:rsid w:val="00D93FA9"/>
    <w:rsid w:val="00D94C16"/>
    <w:rsid w:val="00D95DAB"/>
    <w:rsid w:val="00DA04A6"/>
    <w:rsid w:val="00DA2D36"/>
    <w:rsid w:val="00DA66D2"/>
    <w:rsid w:val="00DA718C"/>
    <w:rsid w:val="00DB14B8"/>
    <w:rsid w:val="00DB1546"/>
    <w:rsid w:val="00DB2AEF"/>
    <w:rsid w:val="00DB6592"/>
    <w:rsid w:val="00DB7176"/>
    <w:rsid w:val="00DE1C08"/>
    <w:rsid w:val="00DE39FB"/>
    <w:rsid w:val="00DE4374"/>
    <w:rsid w:val="00DE6CBD"/>
    <w:rsid w:val="00E0213B"/>
    <w:rsid w:val="00E060CE"/>
    <w:rsid w:val="00E2215B"/>
    <w:rsid w:val="00E224F7"/>
    <w:rsid w:val="00E351FA"/>
    <w:rsid w:val="00E35AE3"/>
    <w:rsid w:val="00E3639D"/>
    <w:rsid w:val="00E40A8E"/>
    <w:rsid w:val="00E40BDD"/>
    <w:rsid w:val="00E4455D"/>
    <w:rsid w:val="00E4501F"/>
    <w:rsid w:val="00E46B7D"/>
    <w:rsid w:val="00E47873"/>
    <w:rsid w:val="00E501E4"/>
    <w:rsid w:val="00E55393"/>
    <w:rsid w:val="00E57E2D"/>
    <w:rsid w:val="00E61BFF"/>
    <w:rsid w:val="00E6490C"/>
    <w:rsid w:val="00E739F0"/>
    <w:rsid w:val="00E82325"/>
    <w:rsid w:val="00E8357B"/>
    <w:rsid w:val="00E87350"/>
    <w:rsid w:val="00E8739B"/>
    <w:rsid w:val="00E87965"/>
    <w:rsid w:val="00E900DE"/>
    <w:rsid w:val="00E906D1"/>
    <w:rsid w:val="00E96988"/>
    <w:rsid w:val="00EA30EB"/>
    <w:rsid w:val="00EB1B27"/>
    <w:rsid w:val="00EB6ED3"/>
    <w:rsid w:val="00EC14F2"/>
    <w:rsid w:val="00EC54CB"/>
    <w:rsid w:val="00ED0C94"/>
    <w:rsid w:val="00EE413F"/>
    <w:rsid w:val="00EE693E"/>
    <w:rsid w:val="00EE73AB"/>
    <w:rsid w:val="00EF0D6E"/>
    <w:rsid w:val="00EF1580"/>
    <w:rsid w:val="00EF4D54"/>
    <w:rsid w:val="00F023D3"/>
    <w:rsid w:val="00F0791A"/>
    <w:rsid w:val="00F07DE8"/>
    <w:rsid w:val="00F1241B"/>
    <w:rsid w:val="00F14A54"/>
    <w:rsid w:val="00F22A52"/>
    <w:rsid w:val="00F23AD8"/>
    <w:rsid w:val="00F27439"/>
    <w:rsid w:val="00F3243D"/>
    <w:rsid w:val="00F33FF8"/>
    <w:rsid w:val="00F35781"/>
    <w:rsid w:val="00F45F10"/>
    <w:rsid w:val="00F51B03"/>
    <w:rsid w:val="00F56A5D"/>
    <w:rsid w:val="00F638A7"/>
    <w:rsid w:val="00F7425D"/>
    <w:rsid w:val="00F752BA"/>
    <w:rsid w:val="00F80E7D"/>
    <w:rsid w:val="00F84F2A"/>
    <w:rsid w:val="00F878B4"/>
    <w:rsid w:val="00F91616"/>
    <w:rsid w:val="00F922F2"/>
    <w:rsid w:val="00FA02DD"/>
    <w:rsid w:val="00FA1585"/>
    <w:rsid w:val="00FA1AFA"/>
    <w:rsid w:val="00FA2715"/>
    <w:rsid w:val="00FB0977"/>
    <w:rsid w:val="00FC117B"/>
    <w:rsid w:val="00FC1748"/>
    <w:rsid w:val="00FC26FA"/>
    <w:rsid w:val="00FC3FAE"/>
    <w:rsid w:val="00FE2A1C"/>
    <w:rsid w:val="00FE5521"/>
    <w:rsid w:val="00FF690C"/>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DFDD859"/>
  <w15:docId w15:val="{A0026584-67E7-1647-947A-623F04862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4C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15CE"/>
    <w:pPr>
      <w:ind w:left="720"/>
      <w:contextualSpacing/>
    </w:pPr>
  </w:style>
  <w:style w:type="paragraph" w:styleId="NormalWeb">
    <w:name w:val="Normal (Web)"/>
    <w:basedOn w:val="Normal"/>
    <w:uiPriority w:val="99"/>
    <w:unhideWhenUsed/>
    <w:rsid w:val="00886B7B"/>
    <w:pPr>
      <w:spacing w:before="100" w:beforeAutospacing="1" w:after="100" w:afterAutospacing="1" w:line="240" w:lineRule="auto"/>
    </w:pPr>
    <w:rPr>
      <w:rFonts w:ascii="Times New Roman" w:eastAsia="Times New Roman" w:hAnsi="Times New Roman" w:cs="Times New Roman"/>
      <w:sz w:val="24"/>
      <w:szCs w:val="24"/>
      <w:lang w:bidi="he-IL"/>
    </w:rPr>
  </w:style>
  <w:style w:type="table" w:styleId="TableGrid">
    <w:name w:val="Table Grid"/>
    <w:basedOn w:val="TableNormal"/>
    <w:uiPriority w:val="59"/>
    <w:rsid w:val="007A0D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57047"/>
    <w:rPr>
      <w:sz w:val="16"/>
      <w:szCs w:val="16"/>
    </w:rPr>
  </w:style>
  <w:style w:type="paragraph" w:styleId="CommentText">
    <w:name w:val="annotation text"/>
    <w:basedOn w:val="Normal"/>
    <w:link w:val="CommentTextChar"/>
    <w:uiPriority w:val="99"/>
    <w:semiHidden/>
    <w:unhideWhenUsed/>
    <w:rsid w:val="00057047"/>
    <w:pPr>
      <w:spacing w:line="240" w:lineRule="auto"/>
    </w:pPr>
    <w:rPr>
      <w:sz w:val="20"/>
      <w:szCs w:val="20"/>
    </w:rPr>
  </w:style>
  <w:style w:type="character" w:customStyle="1" w:styleId="CommentTextChar">
    <w:name w:val="Comment Text Char"/>
    <w:basedOn w:val="DefaultParagraphFont"/>
    <w:link w:val="CommentText"/>
    <w:uiPriority w:val="99"/>
    <w:semiHidden/>
    <w:rsid w:val="00057047"/>
    <w:rPr>
      <w:sz w:val="20"/>
      <w:szCs w:val="20"/>
    </w:rPr>
  </w:style>
  <w:style w:type="paragraph" w:styleId="CommentSubject">
    <w:name w:val="annotation subject"/>
    <w:basedOn w:val="CommentText"/>
    <w:next w:val="CommentText"/>
    <w:link w:val="CommentSubjectChar"/>
    <w:uiPriority w:val="99"/>
    <w:semiHidden/>
    <w:unhideWhenUsed/>
    <w:rsid w:val="00057047"/>
    <w:rPr>
      <w:b/>
      <w:bCs/>
    </w:rPr>
  </w:style>
  <w:style w:type="character" w:customStyle="1" w:styleId="CommentSubjectChar">
    <w:name w:val="Comment Subject Char"/>
    <w:basedOn w:val="CommentTextChar"/>
    <w:link w:val="CommentSubject"/>
    <w:uiPriority w:val="99"/>
    <w:semiHidden/>
    <w:rsid w:val="00057047"/>
    <w:rPr>
      <w:b/>
      <w:bCs/>
      <w:sz w:val="20"/>
      <w:szCs w:val="20"/>
    </w:rPr>
  </w:style>
  <w:style w:type="paragraph" w:styleId="BalloonText">
    <w:name w:val="Balloon Text"/>
    <w:basedOn w:val="Normal"/>
    <w:link w:val="BalloonTextChar"/>
    <w:uiPriority w:val="99"/>
    <w:semiHidden/>
    <w:unhideWhenUsed/>
    <w:rsid w:val="000570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57047"/>
    <w:rPr>
      <w:rFonts w:ascii="Segoe UI" w:hAnsi="Segoe UI" w:cs="Segoe UI"/>
      <w:sz w:val="18"/>
      <w:szCs w:val="18"/>
    </w:rPr>
  </w:style>
  <w:style w:type="paragraph" w:styleId="Revision">
    <w:name w:val="Revision"/>
    <w:hidden/>
    <w:uiPriority w:val="99"/>
    <w:semiHidden/>
    <w:rsid w:val="00EE693E"/>
    <w:pPr>
      <w:spacing w:after="0" w:line="240" w:lineRule="auto"/>
    </w:pPr>
  </w:style>
  <w:style w:type="character" w:styleId="Hyperlink">
    <w:name w:val="Hyperlink"/>
    <w:basedOn w:val="DefaultParagraphFont"/>
    <w:uiPriority w:val="99"/>
    <w:unhideWhenUsed/>
    <w:rsid w:val="005D2DDD"/>
    <w:rPr>
      <w:color w:val="0000FF" w:themeColor="hyperlink"/>
      <w:u w:val="single"/>
    </w:rPr>
  </w:style>
  <w:style w:type="character" w:customStyle="1" w:styleId="apple-converted-space">
    <w:name w:val="apple-converted-space"/>
    <w:basedOn w:val="DefaultParagraphFont"/>
    <w:rsid w:val="004A70D2"/>
  </w:style>
  <w:style w:type="character" w:styleId="Emphasis">
    <w:name w:val="Emphasis"/>
    <w:basedOn w:val="DefaultParagraphFont"/>
    <w:uiPriority w:val="20"/>
    <w:qFormat/>
    <w:rsid w:val="004A70D2"/>
    <w:rPr>
      <w:i/>
      <w:iCs/>
    </w:rPr>
  </w:style>
  <w:style w:type="character" w:styleId="Strong">
    <w:name w:val="Strong"/>
    <w:basedOn w:val="DefaultParagraphFont"/>
    <w:uiPriority w:val="22"/>
    <w:qFormat/>
    <w:rsid w:val="004A70D2"/>
    <w:rPr>
      <w:b/>
      <w:bCs/>
    </w:rPr>
  </w:style>
  <w:style w:type="paragraph" w:styleId="Header">
    <w:name w:val="header"/>
    <w:basedOn w:val="Normal"/>
    <w:link w:val="HeaderChar"/>
    <w:uiPriority w:val="99"/>
    <w:unhideWhenUsed/>
    <w:rsid w:val="007E0F74"/>
    <w:pPr>
      <w:pBdr>
        <w:bottom w:val="single" w:sz="6" w:space="1" w:color="auto"/>
      </w:pBdr>
      <w:tabs>
        <w:tab w:val="center" w:pos="4153"/>
        <w:tab w:val="right" w:pos="8306"/>
      </w:tabs>
      <w:snapToGrid w:val="0"/>
      <w:spacing w:line="240" w:lineRule="auto"/>
      <w:jc w:val="center"/>
    </w:pPr>
    <w:rPr>
      <w:sz w:val="18"/>
      <w:szCs w:val="18"/>
    </w:rPr>
  </w:style>
  <w:style w:type="character" w:customStyle="1" w:styleId="HeaderChar">
    <w:name w:val="Header Char"/>
    <w:basedOn w:val="DefaultParagraphFont"/>
    <w:link w:val="Header"/>
    <w:uiPriority w:val="99"/>
    <w:rsid w:val="007E0F74"/>
    <w:rPr>
      <w:sz w:val="18"/>
      <w:szCs w:val="18"/>
    </w:rPr>
  </w:style>
  <w:style w:type="paragraph" w:styleId="Footer">
    <w:name w:val="footer"/>
    <w:basedOn w:val="Normal"/>
    <w:link w:val="FooterChar"/>
    <w:uiPriority w:val="99"/>
    <w:unhideWhenUsed/>
    <w:rsid w:val="007E0F74"/>
    <w:pPr>
      <w:tabs>
        <w:tab w:val="center" w:pos="4153"/>
        <w:tab w:val="right" w:pos="8306"/>
      </w:tabs>
      <w:snapToGrid w:val="0"/>
      <w:spacing w:line="240" w:lineRule="auto"/>
    </w:pPr>
    <w:rPr>
      <w:sz w:val="18"/>
      <w:szCs w:val="18"/>
    </w:rPr>
  </w:style>
  <w:style w:type="character" w:customStyle="1" w:styleId="FooterChar">
    <w:name w:val="Footer Char"/>
    <w:basedOn w:val="DefaultParagraphFont"/>
    <w:link w:val="Footer"/>
    <w:uiPriority w:val="99"/>
    <w:rsid w:val="007E0F7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017169">
      <w:bodyDiv w:val="1"/>
      <w:marLeft w:val="0"/>
      <w:marRight w:val="0"/>
      <w:marTop w:val="0"/>
      <w:marBottom w:val="0"/>
      <w:divBdr>
        <w:top w:val="none" w:sz="0" w:space="0" w:color="auto"/>
        <w:left w:val="none" w:sz="0" w:space="0" w:color="auto"/>
        <w:bottom w:val="none" w:sz="0" w:space="0" w:color="auto"/>
        <w:right w:val="none" w:sz="0" w:space="0" w:color="auto"/>
      </w:divBdr>
      <w:divsChild>
        <w:div w:id="636373694">
          <w:marLeft w:val="0"/>
          <w:marRight w:val="0"/>
          <w:marTop w:val="0"/>
          <w:marBottom w:val="0"/>
          <w:divBdr>
            <w:top w:val="none" w:sz="0" w:space="0" w:color="auto"/>
            <w:left w:val="none" w:sz="0" w:space="0" w:color="auto"/>
            <w:bottom w:val="none" w:sz="0" w:space="0" w:color="auto"/>
            <w:right w:val="none" w:sz="0" w:space="0" w:color="auto"/>
          </w:divBdr>
          <w:divsChild>
            <w:div w:id="1990401651">
              <w:marLeft w:val="0"/>
              <w:marRight w:val="0"/>
              <w:marTop w:val="0"/>
              <w:marBottom w:val="0"/>
              <w:divBdr>
                <w:top w:val="none" w:sz="0" w:space="0" w:color="auto"/>
                <w:left w:val="none" w:sz="0" w:space="0" w:color="auto"/>
                <w:bottom w:val="none" w:sz="0" w:space="0" w:color="auto"/>
                <w:right w:val="none" w:sz="0" w:space="0" w:color="auto"/>
              </w:divBdr>
              <w:divsChild>
                <w:div w:id="1520123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367840">
      <w:bodyDiv w:val="1"/>
      <w:marLeft w:val="0"/>
      <w:marRight w:val="0"/>
      <w:marTop w:val="0"/>
      <w:marBottom w:val="0"/>
      <w:divBdr>
        <w:top w:val="none" w:sz="0" w:space="0" w:color="auto"/>
        <w:left w:val="none" w:sz="0" w:space="0" w:color="auto"/>
        <w:bottom w:val="none" w:sz="0" w:space="0" w:color="auto"/>
        <w:right w:val="none" w:sz="0" w:space="0" w:color="auto"/>
      </w:divBdr>
    </w:div>
    <w:div w:id="355665049">
      <w:bodyDiv w:val="1"/>
      <w:marLeft w:val="0"/>
      <w:marRight w:val="0"/>
      <w:marTop w:val="0"/>
      <w:marBottom w:val="0"/>
      <w:divBdr>
        <w:top w:val="none" w:sz="0" w:space="0" w:color="auto"/>
        <w:left w:val="none" w:sz="0" w:space="0" w:color="auto"/>
        <w:bottom w:val="none" w:sz="0" w:space="0" w:color="auto"/>
        <w:right w:val="none" w:sz="0" w:space="0" w:color="auto"/>
      </w:divBdr>
    </w:div>
    <w:div w:id="397629236">
      <w:bodyDiv w:val="1"/>
      <w:marLeft w:val="0"/>
      <w:marRight w:val="0"/>
      <w:marTop w:val="0"/>
      <w:marBottom w:val="0"/>
      <w:divBdr>
        <w:top w:val="none" w:sz="0" w:space="0" w:color="auto"/>
        <w:left w:val="none" w:sz="0" w:space="0" w:color="auto"/>
        <w:bottom w:val="none" w:sz="0" w:space="0" w:color="auto"/>
        <w:right w:val="none" w:sz="0" w:space="0" w:color="auto"/>
      </w:divBdr>
    </w:div>
    <w:div w:id="410667095">
      <w:bodyDiv w:val="1"/>
      <w:marLeft w:val="0"/>
      <w:marRight w:val="0"/>
      <w:marTop w:val="0"/>
      <w:marBottom w:val="0"/>
      <w:divBdr>
        <w:top w:val="none" w:sz="0" w:space="0" w:color="auto"/>
        <w:left w:val="none" w:sz="0" w:space="0" w:color="auto"/>
        <w:bottom w:val="none" w:sz="0" w:space="0" w:color="auto"/>
        <w:right w:val="none" w:sz="0" w:space="0" w:color="auto"/>
      </w:divBdr>
    </w:div>
    <w:div w:id="455292244">
      <w:bodyDiv w:val="1"/>
      <w:marLeft w:val="0"/>
      <w:marRight w:val="0"/>
      <w:marTop w:val="0"/>
      <w:marBottom w:val="0"/>
      <w:divBdr>
        <w:top w:val="none" w:sz="0" w:space="0" w:color="auto"/>
        <w:left w:val="none" w:sz="0" w:space="0" w:color="auto"/>
        <w:bottom w:val="none" w:sz="0" w:space="0" w:color="auto"/>
        <w:right w:val="none" w:sz="0" w:space="0" w:color="auto"/>
      </w:divBdr>
    </w:div>
    <w:div w:id="676075582">
      <w:bodyDiv w:val="1"/>
      <w:marLeft w:val="0"/>
      <w:marRight w:val="0"/>
      <w:marTop w:val="0"/>
      <w:marBottom w:val="0"/>
      <w:divBdr>
        <w:top w:val="none" w:sz="0" w:space="0" w:color="auto"/>
        <w:left w:val="none" w:sz="0" w:space="0" w:color="auto"/>
        <w:bottom w:val="none" w:sz="0" w:space="0" w:color="auto"/>
        <w:right w:val="none" w:sz="0" w:space="0" w:color="auto"/>
      </w:divBdr>
      <w:divsChild>
        <w:div w:id="850605621">
          <w:marLeft w:val="0"/>
          <w:marRight w:val="0"/>
          <w:marTop w:val="0"/>
          <w:marBottom w:val="0"/>
          <w:divBdr>
            <w:top w:val="none" w:sz="0" w:space="0" w:color="auto"/>
            <w:left w:val="none" w:sz="0" w:space="0" w:color="auto"/>
            <w:bottom w:val="none" w:sz="0" w:space="0" w:color="auto"/>
            <w:right w:val="none" w:sz="0" w:space="0" w:color="auto"/>
          </w:divBdr>
        </w:div>
        <w:div w:id="505556693">
          <w:marLeft w:val="0"/>
          <w:marRight w:val="0"/>
          <w:marTop w:val="0"/>
          <w:marBottom w:val="0"/>
          <w:divBdr>
            <w:top w:val="none" w:sz="0" w:space="0" w:color="auto"/>
            <w:left w:val="none" w:sz="0" w:space="0" w:color="auto"/>
            <w:bottom w:val="none" w:sz="0" w:space="0" w:color="auto"/>
            <w:right w:val="none" w:sz="0" w:space="0" w:color="auto"/>
          </w:divBdr>
        </w:div>
      </w:divsChild>
    </w:div>
    <w:div w:id="696851762">
      <w:bodyDiv w:val="1"/>
      <w:marLeft w:val="0"/>
      <w:marRight w:val="0"/>
      <w:marTop w:val="0"/>
      <w:marBottom w:val="0"/>
      <w:divBdr>
        <w:top w:val="none" w:sz="0" w:space="0" w:color="auto"/>
        <w:left w:val="none" w:sz="0" w:space="0" w:color="auto"/>
        <w:bottom w:val="none" w:sz="0" w:space="0" w:color="auto"/>
        <w:right w:val="none" w:sz="0" w:space="0" w:color="auto"/>
      </w:divBdr>
      <w:divsChild>
        <w:div w:id="392390561">
          <w:marLeft w:val="0"/>
          <w:marRight w:val="0"/>
          <w:marTop w:val="0"/>
          <w:marBottom w:val="0"/>
          <w:divBdr>
            <w:top w:val="none" w:sz="0" w:space="0" w:color="auto"/>
            <w:left w:val="none" w:sz="0" w:space="0" w:color="auto"/>
            <w:bottom w:val="none" w:sz="0" w:space="0" w:color="auto"/>
            <w:right w:val="none" w:sz="0" w:space="0" w:color="auto"/>
          </w:divBdr>
        </w:div>
        <w:div w:id="1002003003">
          <w:marLeft w:val="0"/>
          <w:marRight w:val="0"/>
          <w:marTop w:val="0"/>
          <w:marBottom w:val="0"/>
          <w:divBdr>
            <w:top w:val="none" w:sz="0" w:space="0" w:color="auto"/>
            <w:left w:val="none" w:sz="0" w:space="0" w:color="auto"/>
            <w:bottom w:val="none" w:sz="0" w:space="0" w:color="auto"/>
            <w:right w:val="none" w:sz="0" w:space="0" w:color="auto"/>
          </w:divBdr>
        </w:div>
      </w:divsChild>
    </w:div>
    <w:div w:id="713310429">
      <w:bodyDiv w:val="1"/>
      <w:marLeft w:val="0"/>
      <w:marRight w:val="0"/>
      <w:marTop w:val="0"/>
      <w:marBottom w:val="0"/>
      <w:divBdr>
        <w:top w:val="none" w:sz="0" w:space="0" w:color="auto"/>
        <w:left w:val="none" w:sz="0" w:space="0" w:color="auto"/>
        <w:bottom w:val="none" w:sz="0" w:space="0" w:color="auto"/>
        <w:right w:val="none" w:sz="0" w:space="0" w:color="auto"/>
      </w:divBdr>
    </w:div>
    <w:div w:id="793018036">
      <w:bodyDiv w:val="1"/>
      <w:marLeft w:val="0"/>
      <w:marRight w:val="0"/>
      <w:marTop w:val="0"/>
      <w:marBottom w:val="0"/>
      <w:divBdr>
        <w:top w:val="none" w:sz="0" w:space="0" w:color="auto"/>
        <w:left w:val="none" w:sz="0" w:space="0" w:color="auto"/>
        <w:bottom w:val="none" w:sz="0" w:space="0" w:color="auto"/>
        <w:right w:val="none" w:sz="0" w:space="0" w:color="auto"/>
      </w:divBdr>
    </w:div>
    <w:div w:id="795174241">
      <w:bodyDiv w:val="1"/>
      <w:marLeft w:val="0"/>
      <w:marRight w:val="0"/>
      <w:marTop w:val="0"/>
      <w:marBottom w:val="0"/>
      <w:divBdr>
        <w:top w:val="none" w:sz="0" w:space="0" w:color="auto"/>
        <w:left w:val="none" w:sz="0" w:space="0" w:color="auto"/>
        <w:bottom w:val="none" w:sz="0" w:space="0" w:color="auto"/>
        <w:right w:val="none" w:sz="0" w:space="0" w:color="auto"/>
      </w:divBdr>
    </w:div>
    <w:div w:id="827483660">
      <w:bodyDiv w:val="1"/>
      <w:marLeft w:val="0"/>
      <w:marRight w:val="0"/>
      <w:marTop w:val="0"/>
      <w:marBottom w:val="0"/>
      <w:divBdr>
        <w:top w:val="none" w:sz="0" w:space="0" w:color="auto"/>
        <w:left w:val="none" w:sz="0" w:space="0" w:color="auto"/>
        <w:bottom w:val="none" w:sz="0" w:space="0" w:color="auto"/>
        <w:right w:val="none" w:sz="0" w:space="0" w:color="auto"/>
      </w:divBdr>
    </w:div>
    <w:div w:id="875509906">
      <w:bodyDiv w:val="1"/>
      <w:marLeft w:val="0"/>
      <w:marRight w:val="0"/>
      <w:marTop w:val="0"/>
      <w:marBottom w:val="0"/>
      <w:divBdr>
        <w:top w:val="none" w:sz="0" w:space="0" w:color="auto"/>
        <w:left w:val="none" w:sz="0" w:space="0" w:color="auto"/>
        <w:bottom w:val="none" w:sz="0" w:space="0" w:color="auto"/>
        <w:right w:val="none" w:sz="0" w:space="0" w:color="auto"/>
      </w:divBdr>
      <w:divsChild>
        <w:div w:id="589703296">
          <w:marLeft w:val="907"/>
          <w:marRight w:val="0"/>
          <w:marTop w:val="77"/>
          <w:marBottom w:val="0"/>
          <w:divBdr>
            <w:top w:val="none" w:sz="0" w:space="0" w:color="auto"/>
            <w:left w:val="none" w:sz="0" w:space="0" w:color="auto"/>
            <w:bottom w:val="none" w:sz="0" w:space="0" w:color="auto"/>
            <w:right w:val="none" w:sz="0" w:space="0" w:color="auto"/>
          </w:divBdr>
        </w:div>
        <w:div w:id="742993354">
          <w:marLeft w:val="288"/>
          <w:marRight w:val="0"/>
          <w:marTop w:val="96"/>
          <w:marBottom w:val="0"/>
          <w:divBdr>
            <w:top w:val="none" w:sz="0" w:space="0" w:color="auto"/>
            <w:left w:val="none" w:sz="0" w:space="0" w:color="auto"/>
            <w:bottom w:val="none" w:sz="0" w:space="0" w:color="auto"/>
            <w:right w:val="none" w:sz="0" w:space="0" w:color="auto"/>
          </w:divBdr>
        </w:div>
        <w:div w:id="990409918">
          <w:marLeft w:val="288"/>
          <w:marRight w:val="0"/>
          <w:marTop w:val="96"/>
          <w:marBottom w:val="0"/>
          <w:divBdr>
            <w:top w:val="none" w:sz="0" w:space="0" w:color="auto"/>
            <w:left w:val="none" w:sz="0" w:space="0" w:color="auto"/>
            <w:bottom w:val="none" w:sz="0" w:space="0" w:color="auto"/>
            <w:right w:val="none" w:sz="0" w:space="0" w:color="auto"/>
          </w:divBdr>
        </w:div>
        <w:div w:id="1095176437">
          <w:marLeft w:val="288"/>
          <w:marRight w:val="0"/>
          <w:marTop w:val="96"/>
          <w:marBottom w:val="0"/>
          <w:divBdr>
            <w:top w:val="none" w:sz="0" w:space="0" w:color="auto"/>
            <w:left w:val="none" w:sz="0" w:space="0" w:color="auto"/>
            <w:bottom w:val="none" w:sz="0" w:space="0" w:color="auto"/>
            <w:right w:val="none" w:sz="0" w:space="0" w:color="auto"/>
          </w:divBdr>
        </w:div>
        <w:div w:id="1514609880">
          <w:marLeft w:val="288"/>
          <w:marRight w:val="0"/>
          <w:marTop w:val="96"/>
          <w:marBottom w:val="0"/>
          <w:divBdr>
            <w:top w:val="none" w:sz="0" w:space="0" w:color="auto"/>
            <w:left w:val="none" w:sz="0" w:space="0" w:color="auto"/>
            <w:bottom w:val="none" w:sz="0" w:space="0" w:color="auto"/>
            <w:right w:val="none" w:sz="0" w:space="0" w:color="auto"/>
          </w:divBdr>
        </w:div>
      </w:divsChild>
    </w:div>
    <w:div w:id="924067472">
      <w:bodyDiv w:val="1"/>
      <w:marLeft w:val="0"/>
      <w:marRight w:val="0"/>
      <w:marTop w:val="0"/>
      <w:marBottom w:val="0"/>
      <w:divBdr>
        <w:top w:val="none" w:sz="0" w:space="0" w:color="auto"/>
        <w:left w:val="none" w:sz="0" w:space="0" w:color="auto"/>
        <w:bottom w:val="none" w:sz="0" w:space="0" w:color="auto"/>
        <w:right w:val="none" w:sz="0" w:space="0" w:color="auto"/>
      </w:divBdr>
    </w:div>
    <w:div w:id="937563367">
      <w:bodyDiv w:val="1"/>
      <w:marLeft w:val="0"/>
      <w:marRight w:val="0"/>
      <w:marTop w:val="0"/>
      <w:marBottom w:val="0"/>
      <w:divBdr>
        <w:top w:val="none" w:sz="0" w:space="0" w:color="auto"/>
        <w:left w:val="none" w:sz="0" w:space="0" w:color="auto"/>
        <w:bottom w:val="none" w:sz="0" w:space="0" w:color="auto"/>
        <w:right w:val="none" w:sz="0" w:space="0" w:color="auto"/>
      </w:divBdr>
    </w:div>
    <w:div w:id="976495216">
      <w:bodyDiv w:val="1"/>
      <w:marLeft w:val="0"/>
      <w:marRight w:val="0"/>
      <w:marTop w:val="0"/>
      <w:marBottom w:val="0"/>
      <w:divBdr>
        <w:top w:val="none" w:sz="0" w:space="0" w:color="auto"/>
        <w:left w:val="none" w:sz="0" w:space="0" w:color="auto"/>
        <w:bottom w:val="none" w:sz="0" w:space="0" w:color="auto"/>
        <w:right w:val="none" w:sz="0" w:space="0" w:color="auto"/>
      </w:divBdr>
      <w:divsChild>
        <w:div w:id="775053620">
          <w:marLeft w:val="0"/>
          <w:marRight w:val="0"/>
          <w:marTop w:val="0"/>
          <w:marBottom w:val="0"/>
          <w:divBdr>
            <w:top w:val="none" w:sz="0" w:space="0" w:color="auto"/>
            <w:left w:val="none" w:sz="0" w:space="0" w:color="auto"/>
            <w:bottom w:val="none" w:sz="0" w:space="0" w:color="auto"/>
            <w:right w:val="none" w:sz="0" w:space="0" w:color="auto"/>
          </w:divBdr>
          <w:divsChild>
            <w:div w:id="116071040">
              <w:marLeft w:val="0"/>
              <w:marRight w:val="0"/>
              <w:marTop w:val="0"/>
              <w:marBottom w:val="0"/>
              <w:divBdr>
                <w:top w:val="none" w:sz="0" w:space="0" w:color="auto"/>
                <w:left w:val="none" w:sz="0" w:space="0" w:color="auto"/>
                <w:bottom w:val="none" w:sz="0" w:space="0" w:color="auto"/>
                <w:right w:val="none" w:sz="0" w:space="0" w:color="auto"/>
              </w:divBdr>
              <w:divsChild>
                <w:div w:id="1731230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6205513">
      <w:bodyDiv w:val="1"/>
      <w:marLeft w:val="0"/>
      <w:marRight w:val="0"/>
      <w:marTop w:val="0"/>
      <w:marBottom w:val="0"/>
      <w:divBdr>
        <w:top w:val="none" w:sz="0" w:space="0" w:color="auto"/>
        <w:left w:val="none" w:sz="0" w:space="0" w:color="auto"/>
        <w:bottom w:val="none" w:sz="0" w:space="0" w:color="auto"/>
        <w:right w:val="none" w:sz="0" w:space="0" w:color="auto"/>
      </w:divBdr>
    </w:div>
    <w:div w:id="1121723964">
      <w:bodyDiv w:val="1"/>
      <w:marLeft w:val="0"/>
      <w:marRight w:val="0"/>
      <w:marTop w:val="0"/>
      <w:marBottom w:val="0"/>
      <w:divBdr>
        <w:top w:val="none" w:sz="0" w:space="0" w:color="auto"/>
        <w:left w:val="none" w:sz="0" w:space="0" w:color="auto"/>
        <w:bottom w:val="none" w:sz="0" w:space="0" w:color="auto"/>
        <w:right w:val="none" w:sz="0" w:space="0" w:color="auto"/>
      </w:divBdr>
    </w:div>
    <w:div w:id="1357463016">
      <w:bodyDiv w:val="1"/>
      <w:marLeft w:val="0"/>
      <w:marRight w:val="0"/>
      <w:marTop w:val="0"/>
      <w:marBottom w:val="0"/>
      <w:divBdr>
        <w:top w:val="none" w:sz="0" w:space="0" w:color="auto"/>
        <w:left w:val="none" w:sz="0" w:space="0" w:color="auto"/>
        <w:bottom w:val="none" w:sz="0" w:space="0" w:color="auto"/>
        <w:right w:val="none" w:sz="0" w:space="0" w:color="auto"/>
      </w:divBdr>
    </w:div>
    <w:div w:id="1385325539">
      <w:bodyDiv w:val="1"/>
      <w:marLeft w:val="0"/>
      <w:marRight w:val="0"/>
      <w:marTop w:val="0"/>
      <w:marBottom w:val="0"/>
      <w:divBdr>
        <w:top w:val="none" w:sz="0" w:space="0" w:color="auto"/>
        <w:left w:val="none" w:sz="0" w:space="0" w:color="auto"/>
        <w:bottom w:val="none" w:sz="0" w:space="0" w:color="auto"/>
        <w:right w:val="none" w:sz="0" w:space="0" w:color="auto"/>
      </w:divBdr>
    </w:div>
    <w:div w:id="1443453885">
      <w:bodyDiv w:val="1"/>
      <w:marLeft w:val="0"/>
      <w:marRight w:val="0"/>
      <w:marTop w:val="0"/>
      <w:marBottom w:val="0"/>
      <w:divBdr>
        <w:top w:val="none" w:sz="0" w:space="0" w:color="auto"/>
        <w:left w:val="none" w:sz="0" w:space="0" w:color="auto"/>
        <w:bottom w:val="none" w:sz="0" w:space="0" w:color="auto"/>
        <w:right w:val="none" w:sz="0" w:space="0" w:color="auto"/>
      </w:divBdr>
    </w:div>
    <w:div w:id="1584224102">
      <w:bodyDiv w:val="1"/>
      <w:marLeft w:val="0"/>
      <w:marRight w:val="0"/>
      <w:marTop w:val="0"/>
      <w:marBottom w:val="0"/>
      <w:divBdr>
        <w:top w:val="none" w:sz="0" w:space="0" w:color="auto"/>
        <w:left w:val="none" w:sz="0" w:space="0" w:color="auto"/>
        <w:bottom w:val="none" w:sz="0" w:space="0" w:color="auto"/>
        <w:right w:val="none" w:sz="0" w:space="0" w:color="auto"/>
      </w:divBdr>
    </w:div>
    <w:div w:id="1664552652">
      <w:bodyDiv w:val="1"/>
      <w:marLeft w:val="0"/>
      <w:marRight w:val="0"/>
      <w:marTop w:val="0"/>
      <w:marBottom w:val="0"/>
      <w:divBdr>
        <w:top w:val="none" w:sz="0" w:space="0" w:color="auto"/>
        <w:left w:val="none" w:sz="0" w:space="0" w:color="auto"/>
        <w:bottom w:val="none" w:sz="0" w:space="0" w:color="auto"/>
        <w:right w:val="none" w:sz="0" w:space="0" w:color="auto"/>
      </w:divBdr>
    </w:div>
    <w:div w:id="1688946246">
      <w:bodyDiv w:val="1"/>
      <w:marLeft w:val="0"/>
      <w:marRight w:val="0"/>
      <w:marTop w:val="0"/>
      <w:marBottom w:val="0"/>
      <w:divBdr>
        <w:top w:val="none" w:sz="0" w:space="0" w:color="auto"/>
        <w:left w:val="none" w:sz="0" w:space="0" w:color="auto"/>
        <w:bottom w:val="none" w:sz="0" w:space="0" w:color="auto"/>
        <w:right w:val="none" w:sz="0" w:space="0" w:color="auto"/>
      </w:divBdr>
    </w:div>
    <w:div w:id="1694653108">
      <w:bodyDiv w:val="1"/>
      <w:marLeft w:val="0"/>
      <w:marRight w:val="0"/>
      <w:marTop w:val="0"/>
      <w:marBottom w:val="0"/>
      <w:divBdr>
        <w:top w:val="none" w:sz="0" w:space="0" w:color="auto"/>
        <w:left w:val="none" w:sz="0" w:space="0" w:color="auto"/>
        <w:bottom w:val="none" w:sz="0" w:space="0" w:color="auto"/>
        <w:right w:val="none" w:sz="0" w:space="0" w:color="auto"/>
      </w:divBdr>
    </w:div>
    <w:div w:id="1719620922">
      <w:bodyDiv w:val="1"/>
      <w:marLeft w:val="0"/>
      <w:marRight w:val="0"/>
      <w:marTop w:val="0"/>
      <w:marBottom w:val="0"/>
      <w:divBdr>
        <w:top w:val="none" w:sz="0" w:space="0" w:color="auto"/>
        <w:left w:val="none" w:sz="0" w:space="0" w:color="auto"/>
        <w:bottom w:val="none" w:sz="0" w:space="0" w:color="auto"/>
        <w:right w:val="none" w:sz="0" w:space="0" w:color="auto"/>
      </w:divBdr>
    </w:div>
    <w:div w:id="1764110755">
      <w:bodyDiv w:val="1"/>
      <w:marLeft w:val="0"/>
      <w:marRight w:val="0"/>
      <w:marTop w:val="0"/>
      <w:marBottom w:val="0"/>
      <w:divBdr>
        <w:top w:val="none" w:sz="0" w:space="0" w:color="auto"/>
        <w:left w:val="none" w:sz="0" w:space="0" w:color="auto"/>
        <w:bottom w:val="none" w:sz="0" w:space="0" w:color="auto"/>
        <w:right w:val="none" w:sz="0" w:space="0" w:color="auto"/>
      </w:divBdr>
    </w:div>
    <w:div w:id="1904372007">
      <w:bodyDiv w:val="1"/>
      <w:marLeft w:val="0"/>
      <w:marRight w:val="0"/>
      <w:marTop w:val="0"/>
      <w:marBottom w:val="0"/>
      <w:divBdr>
        <w:top w:val="none" w:sz="0" w:space="0" w:color="auto"/>
        <w:left w:val="none" w:sz="0" w:space="0" w:color="auto"/>
        <w:bottom w:val="none" w:sz="0" w:space="0" w:color="auto"/>
        <w:right w:val="none" w:sz="0" w:space="0" w:color="auto"/>
      </w:divBdr>
    </w:div>
    <w:div w:id="1941983527">
      <w:bodyDiv w:val="1"/>
      <w:marLeft w:val="0"/>
      <w:marRight w:val="0"/>
      <w:marTop w:val="0"/>
      <w:marBottom w:val="0"/>
      <w:divBdr>
        <w:top w:val="none" w:sz="0" w:space="0" w:color="auto"/>
        <w:left w:val="none" w:sz="0" w:space="0" w:color="auto"/>
        <w:bottom w:val="none" w:sz="0" w:space="0" w:color="auto"/>
        <w:right w:val="none" w:sz="0" w:space="0" w:color="auto"/>
      </w:divBdr>
    </w:div>
    <w:div w:id="1948148710">
      <w:bodyDiv w:val="1"/>
      <w:marLeft w:val="0"/>
      <w:marRight w:val="0"/>
      <w:marTop w:val="0"/>
      <w:marBottom w:val="0"/>
      <w:divBdr>
        <w:top w:val="none" w:sz="0" w:space="0" w:color="auto"/>
        <w:left w:val="none" w:sz="0" w:space="0" w:color="auto"/>
        <w:bottom w:val="none" w:sz="0" w:space="0" w:color="auto"/>
        <w:right w:val="none" w:sz="0" w:space="0" w:color="auto"/>
      </w:divBdr>
    </w:div>
    <w:div w:id="2044481920">
      <w:bodyDiv w:val="1"/>
      <w:marLeft w:val="0"/>
      <w:marRight w:val="0"/>
      <w:marTop w:val="0"/>
      <w:marBottom w:val="0"/>
      <w:divBdr>
        <w:top w:val="none" w:sz="0" w:space="0" w:color="auto"/>
        <w:left w:val="none" w:sz="0" w:space="0" w:color="auto"/>
        <w:bottom w:val="none" w:sz="0" w:space="0" w:color="auto"/>
        <w:right w:val="none" w:sz="0" w:space="0" w:color="auto"/>
      </w:divBdr>
    </w:div>
    <w:div w:id="2138253332">
      <w:bodyDiv w:val="1"/>
      <w:marLeft w:val="0"/>
      <w:marRight w:val="0"/>
      <w:marTop w:val="0"/>
      <w:marBottom w:val="0"/>
      <w:divBdr>
        <w:top w:val="none" w:sz="0" w:space="0" w:color="auto"/>
        <w:left w:val="none" w:sz="0" w:space="0" w:color="auto"/>
        <w:bottom w:val="none" w:sz="0" w:space="0" w:color="auto"/>
        <w:right w:val="none" w:sz="0" w:space="0" w:color="auto"/>
      </w:divBdr>
    </w:div>
    <w:div w:id="2138597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leixu2001@hot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28488</Words>
  <Characters>162382</Characters>
  <Application>Microsoft Office Word</Application>
  <DocSecurity>0</DocSecurity>
  <Lines>1353</Lines>
  <Paragraphs>380</Paragraphs>
  <ScaleCrop>false</ScaleCrop>
  <HeadingPairs>
    <vt:vector size="2" baseType="variant">
      <vt:variant>
        <vt:lpstr>Title</vt:lpstr>
      </vt:variant>
      <vt:variant>
        <vt:i4>1</vt:i4>
      </vt:variant>
    </vt:vector>
  </HeadingPairs>
  <TitlesOfParts>
    <vt:vector size="1" baseType="lpstr">
      <vt:lpstr/>
    </vt:vector>
  </TitlesOfParts>
  <Company>Health Shared Services BC</Company>
  <LinksUpToDate>false</LinksUpToDate>
  <CharactersWithSpaces>190490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Jonathan Weir-Mccall</cp:lastModifiedBy>
  <cp:revision>9</cp:revision>
  <dcterms:created xsi:type="dcterms:W3CDTF">2019-06-18T10:55:00Z</dcterms:created>
  <dcterms:modified xsi:type="dcterms:W3CDTF">2019-07-07T20:11:00Z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0d5da936-576a-357b-b284-7dbbb111a506</vt:lpwstr>
  </property>
  <property fmtid="{D5CDD505-2E9C-101B-9397-08002B2CF9AE}" pid="4" name="Mendeley Citation Style_1">
    <vt:lpwstr>http://www.zotero.org/styles/journal-of-cardiovascular-computed-tomography</vt:lpwstr>
  </property>
  <property fmtid="{D5CDD505-2E9C-101B-9397-08002B2CF9AE}" pid="5" name="Mendeley Recent Style Id 0_1">
    <vt:lpwstr>http://www.zotero.org/styles/american-heart-association</vt:lpwstr>
  </property>
  <property fmtid="{D5CDD505-2E9C-101B-9397-08002B2CF9AE}" pid="6" name="Mendeley Recent Style Name 0_1">
    <vt:lpwstr>American Heart Association</vt:lpwstr>
  </property>
  <property fmtid="{D5CDD505-2E9C-101B-9397-08002B2CF9AE}" pid="7" name="Mendeley Recent Style Id 1_1">
    <vt:lpwstr>http://csl.mendeley.com/styles/15772013/Hypertension</vt:lpwstr>
  </property>
  <property fmtid="{D5CDD505-2E9C-101B-9397-08002B2CF9AE}" pid="8" name="Mendeley Recent Style Name 1_1">
    <vt:lpwstr>American Heart Association - Jonathan Weir-McCall</vt:lpwstr>
  </property>
  <property fmtid="{D5CDD505-2E9C-101B-9397-08002B2CF9AE}" pid="9" name="Mendeley Recent Style Id 2_1">
    <vt:lpwstr>http://csl.mendeley.com/styles/15772013/american-heart-association</vt:lpwstr>
  </property>
  <property fmtid="{D5CDD505-2E9C-101B-9397-08002B2CF9AE}" pid="10" name="Mendeley Recent Style Name 2_1">
    <vt:lpwstr>American Heart Association - Jonathan Weir-McCall</vt:lpwstr>
  </property>
  <property fmtid="{D5CDD505-2E9C-101B-9397-08002B2CF9AE}" pid="11" name="Mendeley Recent Style Id 3_1">
    <vt:lpwstr>http://www.zotero.org/styles/american-medical-association</vt:lpwstr>
  </property>
  <property fmtid="{D5CDD505-2E9C-101B-9397-08002B2CF9AE}" pid="12" name="Mendeley Recent Style Name 3_1">
    <vt:lpwstr>American Medical Association</vt:lpwstr>
  </property>
  <property fmtid="{D5CDD505-2E9C-101B-9397-08002B2CF9AE}" pid="13" name="Mendeley Recent Style Id 4_1">
    <vt:lpwstr>http://www.zotero.org/styles/circulation</vt:lpwstr>
  </property>
  <property fmtid="{D5CDD505-2E9C-101B-9397-08002B2CF9AE}" pid="14" name="Mendeley Recent Style Name 4_1">
    <vt:lpwstr>Circulation</vt:lpwstr>
  </property>
  <property fmtid="{D5CDD505-2E9C-101B-9397-08002B2CF9AE}" pid="15" name="Mendeley Recent Style Id 5_1">
    <vt:lpwstr>http://www.zotero.org/styles/jacc-cardiovascular-imaging</vt:lpwstr>
  </property>
  <property fmtid="{D5CDD505-2E9C-101B-9397-08002B2CF9AE}" pid="16" name="Mendeley Recent Style Name 5_1">
    <vt:lpwstr>JACC: Cardiovascular Imaging</vt:lpwstr>
  </property>
  <property fmtid="{D5CDD505-2E9C-101B-9397-08002B2CF9AE}" pid="17" name="Mendeley Recent Style Id 6_1">
    <vt:lpwstr>http://www.zotero.org/styles/jama</vt:lpwstr>
  </property>
  <property fmtid="{D5CDD505-2E9C-101B-9397-08002B2CF9AE}" pid="18" name="Mendeley Recent Style Name 6_1">
    <vt:lpwstr>JAMA (The Journal of the American Medical Association)</vt:lpwstr>
  </property>
  <property fmtid="{D5CDD505-2E9C-101B-9397-08002B2CF9AE}" pid="19" name="Mendeley Recent Style Id 7_1">
    <vt:lpwstr>http://www.zotero.org/styles/journal-of-cardiovascular-computed-tomography</vt:lpwstr>
  </property>
  <property fmtid="{D5CDD505-2E9C-101B-9397-08002B2CF9AE}" pid="20" name="Mendeley Recent Style Name 7_1">
    <vt:lpwstr>Journal of Cardiovascular Computed Tomography</vt:lpwstr>
  </property>
  <property fmtid="{D5CDD505-2E9C-101B-9397-08002B2CF9AE}" pid="21" name="Mendeley Recent Style Id 8_1">
    <vt:lpwstr>http://www.zotero.org/styles/journal-of-the-american-heart-association</vt:lpwstr>
  </property>
  <property fmtid="{D5CDD505-2E9C-101B-9397-08002B2CF9AE}" pid="22" name="Mendeley Recent Style Name 8_1">
    <vt:lpwstr>Journal of the American Heart Association</vt:lpwstr>
  </property>
  <property fmtid="{D5CDD505-2E9C-101B-9397-08002B2CF9AE}" pid="23" name="Mendeley Recent Style Id 9_1">
    <vt:lpwstr>http://www.zotero.org/styles/radiology</vt:lpwstr>
  </property>
  <property fmtid="{D5CDD505-2E9C-101B-9397-08002B2CF9AE}" pid="24" name="Mendeley Recent Style Name 9_1">
    <vt:lpwstr>Radiology</vt:lpwstr>
  </property>
</Properties>
</file>