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92B514" w14:textId="46E3A5E0" w:rsidR="00572B71" w:rsidRDefault="00572B71" w:rsidP="0031613E">
      <w:pPr>
        <w:spacing w:line="480" w:lineRule="auto"/>
        <w:jc w:val="center"/>
        <w:rPr>
          <w:rFonts w:ascii="Times New Roman" w:hAnsi="Times New Roman" w:cs="Times New Roman"/>
          <w:b/>
          <w:sz w:val="24"/>
          <w:szCs w:val="24"/>
          <w:lang w:val="en-US"/>
        </w:rPr>
      </w:pPr>
      <w:r w:rsidRPr="001417BE">
        <w:rPr>
          <w:rFonts w:ascii="Times New Roman" w:hAnsi="Times New Roman" w:cs="Times New Roman"/>
          <w:b/>
          <w:sz w:val="24"/>
          <w:szCs w:val="24"/>
          <w:lang w:val="en-US"/>
        </w:rPr>
        <w:t xml:space="preserve">BROWN </w:t>
      </w:r>
      <w:r w:rsidR="00861434">
        <w:rPr>
          <w:rFonts w:ascii="Times New Roman" w:hAnsi="Times New Roman" w:cs="Times New Roman"/>
          <w:b/>
          <w:sz w:val="24"/>
          <w:szCs w:val="24"/>
          <w:lang w:val="en-US"/>
        </w:rPr>
        <w:t xml:space="preserve">ADIPOSE TISSUE </w:t>
      </w:r>
      <w:r w:rsidRPr="001417BE">
        <w:rPr>
          <w:rFonts w:ascii="Times New Roman" w:hAnsi="Times New Roman" w:cs="Times New Roman"/>
          <w:b/>
          <w:sz w:val="24"/>
          <w:szCs w:val="24"/>
          <w:lang w:val="en-US"/>
        </w:rPr>
        <w:t xml:space="preserve">VOLUME </w:t>
      </w:r>
      <w:r w:rsidR="00861434">
        <w:rPr>
          <w:rFonts w:ascii="Times New Roman" w:hAnsi="Times New Roman" w:cs="Times New Roman"/>
          <w:b/>
          <w:sz w:val="24"/>
          <w:szCs w:val="24"/>
          <w:lang w:val="en-US"/>
        </w:rPr>
        <w:t>AND FAT CONTENT ARE</w:t>
      </w:r>
      <w:r w:rsidRPr="001417BE">
        <w:rPr>
          <w:rFonts w:ascii="Times New Roman" w:hAnsi="Times New Roman" w:cs="Times New Roman"/>
          <w:b/>
          <w:sz w:val="24"/>
          <w:szCs w:val="24"/>
          <w:lang w:val="en-US"/>
        </w:rPr>
        <w:t xml:space="preserve"> POSITIVELY ASSOCIATED WITH WHOLE-BODY ADIPOSITY</w:t>
      </w:r>
      <w:r>
        <w:rPr>
          <w:rFonts w:ascii="Times New Roman" w:hAnsi="Times New Roman" w:cs="Times New Roman"/>
          <w:b/>
          <w:sz w:val="24"/>
          <w:szCs w:val="24"/>
          <w:lang w:val="en-US"/>
        </w:rPr>
        <w:t xml:space="preserve"> IN YOUNG MEN, NOT IN WOMEN</w:t>
      </w:r>
    </w:p>
    <w:p w14:paraId="265F6296" w14:textId="1C5CFC07" w:rsidR="0031613E" w:rsidRPr="0031613E" w:rsidRDefault="0031613E" w:rsidP="0031613E">
      <w:pPr>
        <w:jc w:val="center"/>
        <w:rPr>
          <w:rFonts w:ascii="Times New Roman" w:hAnsi="Times New Roman" w:cs="Times New Roman"/>
          <w:bCs/>
          <w:sz w:val="24"/>
          <w:szCs w:val="24"/>
          <w:lang w:val="en-US"/>
        </w:rPr>
      </w:pPr>
      <w:r>
        <w:rPr>
          <w:rFonts w:ascii="Times New Roman" w:hAnsi="Times New Roman" w:cs="Times New Roman"/>
          <w:b/>
          <w:sz w:val="24"/>
          <w:szCs w:val="24"/>
          <w:lang w:val="en-US"/>
        </w:rPr>
        <w:t xml:space="preserve">Running title: </w:t>
      </w:r>
      <w:r w:rsidRPr="0031613E">
        <w:rPr>
          <w:rFonts w:ascii="Times New Roman" w:hAnsi="Times New Roman" w:cs="Times New Roman"/>
          <w:bCs/>
          <w:sz w:val="24"/>
          <w:szCs w:val="24"/>
          <w:lang w:val="en-US"/>
        </w:rPr>
        <w:t>Human brown</w:t>
      </w:r>
      <w:r>
        <w:rPr>
          <w:rFonts w:ascii="Times New Roman" w:hAnsi="Times New Roman" w:cs="Times New Roman"/>
          <w:bCs/>
          <w:sz w:val="24"/>
          <w:szCs w:val="24"/>
          <w:lang w:val="en-US"/>
        </w:rPr>
        <w:t xml:space="preserve"> fat associations with body adiposity</w:t>
      </w:r>
    </w:p>
    <w:p w14:paraId="67180EC7" w14:textId="7F66CF24" w:rsidR="0096104C" w:rsidRPr="00D82583" w:rsidRDefault="000E5813" w:rsidP="0031613E">
      <w:pPr>
        <w:spacing w:line="480" w:lineRule="auto"/>
        <w:jc w:val="center"/>
        <w:rPr>
          <w:rFonts w:ascii="Times New Roman" w:hAnsi="Times New Roman" w:cs="Times New Roman"/>
          <w:b/>
          <w:sz w:val="24"/>
          <w:szCs w:val="24"/>
        </w:rPr>
      </w:pPr>
      <w:r w:rsidRPr="00D82583">
        <w:rPr>
          <w:rFonts w:ascii="Times New Roman" w:hAnsi="Times New Roman" w:cs="Times New Roman"/>
          <w:sz w:val="24"/>
          <w:szCs w:val="24"/>
        </w:rPr>
        <w:t>Guillermo Sanchez-Delgado</w:t>
      </w:r>
      <w:r w:rsidR="0077191A" w:rsidRPr="00D82583">
        <w:rPr>
          <w:rFonts w:ascii="Times New Roman" w:hAnsi="Times New Roman" w:cs="Times New Roman"/>
          <w:sz w:val="24"/>
          <w:szCs w:val="24"/>
          <w:vertAlign w:val="superscript"/>
        </w:rPr>
        <w:t>1</w:t>
      </w:r>
      <w:r w:rsidR="00030A12" w:rsidRPr="00D82583">
        <w:rPr>
          <w:rFonts w:ascii="Times New Roman" w:hAnsi="Times New Roman" w:cs="Times New Roman"/>
          <w:sz w:val="24"/>
          <w:szCs w:val="24"/>
          <w:vertAlign w:val="superscript"/>
        </w:rPr>
        <w:t>,2</w:t>
      </w:r>
      <w:r w:rsidRPr="00D82583">
        <w:rPr>
          <w:rFonts w:ascii="Times New Roman" w:hAnsi="Times New Roman" w:cs="Times New Roman"/>
          <w:sz w:val="24"/>
          <w:szCs w:val="24"/>
        </w:rPr>
        <w:t>, Borja Martinez-Tellez</w:t>
      </w:r>
      <w:r w:rsidR="0077191A" w:rsidRPr="00D82583">
        <w:rPr>
          <w:rFonts w:ascii="Times New Roman" w:hAnsi="Times New Roman" w:cs="Times New Roman"/>
          <w:sz w:val="24"/>
          <w:szCs w:val="24"/>
          <w:vertAlign w:val="superscript"/>
        </w:rPr>
        <w:t>1,</w:t>
      </w:r>
      <w:r w:rsidR="005F124F">
        <w:rPr>
          <w:rFonts w:ascii="Times New Roman" w:hAnsi="Times New Roman" w:cs="Times New Roman"/>
          <w:sz w:val="24"/>
          <w:szCs w:val="24"/>
          <w:vertAlign w:val="superscript"/>
        </w:rPr>
        <w:t>3</w:t>
      </w:r>
      <w:r w:rsidRPr="00D82583">
        <w:rPr>
          <w:rFonts w:ascii="Times New Roman" w:hAnsi="Times New Roman" w:cs="Times New Roman"/>
          <w:sz w:val="24"/>
          <w:szCs w:val="24"/>
        </w:rPr>
        <w:t xml:space="preserve">, </w:t>
      </w:r>
      <w:r w:rsidRPr="00D82583">
        <w:rPr>
          <w:rFonts w:ascii="Times New Roman" w:eastAsia="Times New Roman" w:hAnsi="Times New Roman" w:cs="Times New Roman"/>
          <w:sz w:val="24"/>
          <w:szCs w:val="24"/>
          <w:lang w:eastAsia="es-ES"/>
        </w:rPr>
        <w:t>Francisco M. Acosta</w:t>
      </w:r>
      <w:r w:rsidR="0077191A" w:rsidRPr="00D82583">
        <w:rPr>
          <w:rFonts w:ascii="Times New Roman" w:hAnsi="Times New Roman" w:cs="Times New Roman"/>
          <w:sz w:val="24"/>
          <w:szCs w:val="24"/>
          <w:vertAlign w:val="superscript"/>
        </w:rPr>
        <w:t>1</w:t>
      </w:r>
      <w:r w:rsidRPr="00D82583">
        <w:rPr>
          <w:rFonts w:ascii="Times New Roman" w:eastAsia="Times New Roman" w:hAnsi="Times New Roman" w:cs="Times New Roman"/>
          <w:sz w:val="24"/>
          <w:szCs w:val="24"/>
          <w:lang w:eastAsia="es-ES"/>
        </w:rPr>
        <w:t xml:space="preserve">, </w:t>
      </w:r>
      <w:r w:rsidR="005A0CF3" w:rsidRPr="00D82583">
        <w:rPr>
          <w:rFonts w:ascii="Times New Roman" w:hAnsi="Times New Roman" w:cs="Times New Roman"/>
          <w:sz w:val="24"/>
          <w:szCs w:val="24"/>
        </w:rPr>
        <w:t xml:space="preserve">Samuel </w:t>
      </w:r>
      <w:r w:rsidR="005F124F" w:rsidRPr="00D82583">
        <w:rPr>
          <w:rFonts w:ascii="Times New Roman" w:hAnsi="Times New Roman" w:cs="Times New Roman"/>
          <w:sz w:val="24"/>
          <w:szCs w:val="24"/>
        </w:rPr>
        <w:t>Virtue</w:t>
      </w:r>
      <w:r w:rsidR="005F124F">
        <w:rPr>
          <w:rFonts w:ascii="Times New Roman" w:hAnsi="Times New Roman" w:cs="Times New Roman"/>
          <w:sz w:val="24"/>
          <w:szCs w:val="24"/>
          <w:vertAlign w:val="superscript"/>
        </w:rPr>
        <w:t>4</w:t>
      </w:r>
      <w:r w:rsidR="005A0CF3" w:rsidRPr="00D82583">
        <w:rPr>
          <w:rFonts w:ascii="Times New Roman" w:hAnsi="Times New Roman" w:cs="Times New Roman"/>
          <w:sz w:val="24"/>
          <w:szCs w:val="24"/>
        </w:rPr>
        <w:t xml:space="preserve">, </w:t>
      </w:r>
      <w:r w:rsidRPr="00D82583">
        <w:rPr>
          <w:rFonts w:ascii="Times New Roman" w:hAnsi="Times New Roman" w:cs="Times New Roman"/>
          <w:sz w:val="24"/>
          <w:szCs w:val="24"/>
        </w:rPr>
        <w:t>Antonio Vidal-Puig</w:t>
      </w:r>
      <w:r w:rsidR="005F124F">
        <w:rPr>
          <w:rFonts w:ascii="Times New Roman" w:hAnsi="Times New Roman" w:cs="Times New Roman"/>
          <w:sz w:val="24"/>
          <w:szCs w:val="24"/>
          <w:vertAlign w:val="superscript"/>
        </w:rPr>
        <w:t>4,5</w:t>
      </w:r>
      <w:r w:rsidRPr="00D82583">
        <w:rPr>
          <w:rFonts w:ascii="Times New Roman" w:hAnsi="Times New Roman" w:cs="Times New Roman"/>
          <w:sz w:val="24"/>
          <w:szCs w:val="24"/>
        </w:rPr>
        <w:t>, Angel Gil</w:t>
      </w:r>
      <w:r w:rsidR="005F124F">
        <w:rPr>
          <w:rFonts w:ascii="Times New Roman" w:hAnsi="Times New Roman" w:cs="Times New Roman"/>
          <w:sz w:val="24"/>
          <w:szCs w:val="24"/>
          <w:vertAlign w:val="superscript"/>
        </w:rPr>
        <w:t>6,7</w:t>
      </w:r>
      <w:r w:rsidRPr="00D82583">
        <w:rPr>
          <w:rFonts w:ascii="Times New Roman" w:hAnsi="Times New Roman" w:cs="Times New Roman"/>
          <w:sz w:val="24"/>
          <w:szCs w:val="24"/>
        </w:rPr>
        <w:t xml:space="preserve">, </w:t>
      </w:r>
      <w:r w:rsidR="005A0CF3" w:rsidRPr="00D82583">
        <w:rPr>
          <w:rFonts w:ascii="Times New Roman" w:hAnsi="Times New Roman" w:cs="Times New Roman"/>
          <w:sz w:val="24"/>
          <w:szCs w:val="24"/>
        </w:rPr>
        <w:t>Jose M Llamas-Elvira</w:t>
      </w:r>
      <w:r w:rsidR="005F124F">
        <w:rPr>
          <w:rFonts w:ascii="Times New Roman" w:hAnsi="Times New Roman" w:cs="Times New Roman"/>
          <w:sz w:val="24"/>
          <w:szCs w:val="24"/>
          <w:vertAlign w:val="superscript"/>
        </w:rPr>
        <w:t>8,9</w:t>
      </w:r>
      <w:r w:rsidR="005A0CF3" w:rsidRPr="00D82583">
        <w:rPr>
          <w:rFonts w:ascii="Times New Roman" w:hAnsi="Times New Roman" w:cs="Times New Roman"/>
          <w:sz w:val="24"/>
          <w:szCs w:val="24"/>
        </w:rPr>
        <w:t>, J</w:t>
      </w:r>
      <w:r w:rsidRPr="00D82583">
        <w:rPr>
          <w:rFonts w:ascii="Times New Roman" w:hAnsi="Times New Roman" w:cs="Times New Roman"/>
          <w:sz w:val="24"/>
          <w:szCs w:val="24"/>
        </w:rPr>
        <w:t>onatan R Ruiz</w:t>
      </w:r>
      <w:r w:rsidR="0077191A" w:rsidRPr="00D82583">
        <w:rPr>
          <w:rFonts w:ascii="Times New Roman" w:hAnsi="Times New Roman" w:cs="Times New Roman"/>
          <w:sz w:val="24"/>
          <w:szCs w:val="24"/>
          <w:vertAlign w:val="superscript"/>
        </w:rPr>
        <w:t>1</w:t>
      </w:r>
    </w:p>
    <w:p w14:paraId="75B25200" w14:textId="23443A70" w:rsidR="00E83D2C" w:rsidRDefault="0077191A" w:rsidP="0031613E">
      <w:pPr>
        <w:spacing w:line="480" w:lineRule="auto"/>
        <w:jc w:val="center"/>
        <w:rPr>
          <w:rFonts w:ascii="Times New Roman" w:hAnsi="Times New Roman" w:cs="Times New Roman"/>
          <w:sz w:val="24"/>
          <w:szCs w:val="24"/>
          <w:lang w:val="en-US"/>
        </w:rPr>
      </w:pPr>
      <w:r w:rsidRPr="001417BE">
        <w:rPr>
          <w:rFonts w:ascii="Times New Roman" w:hAnsi="Times New Roman" w:cs="Times New Roman"/>
          <w:sz w:val="24"/>
          <w:szCs w:val="24"/>
          <w:vertAlign w:val="superscript"/>
          <w:lang w:val="en-US"/>
        </w:rPr>
        <w:t>1</w:t>
      </w:r>
      <w:r w:rsidR="00E83D2C" w:rsidRPr="00E83D2C">
        <w:rPr>
          <w:rFonts w:ascii="Times New Roman" w:hAnsi="Times New Roman" w:cs="Times New Roman"/>
          <w:sz w:val="24"/>
          <w:szCs w:val="24"/>
          <w:lang w:val="en-US"/>
        </w:rPr>
        <w:t xml:space="preserve">PROFITH “PROmoting FITness and Health through Physical Activity” Research Group, Sport and Health University Research Institute (iMUDS), </w:t>
      </w:r>
      <w:r w:rsidR="005F124F" w:rsidRPr="00E83D2C">
        <w:rPr>
          <w:rFonts w:ascii="Times New Roman" w:hAnsi="Times New Roman" w:cs="Times New Roman"/>
          <w:sz w:val="24"/>
          <w:szCs w:val="24"/>
          <w:lang w:val="en-US"/>
        </w:rPr>
        <w:t>Department of Physical Education and Sports,</w:t>
      </w:r>
      <w:r w:rsidR="005F124F">
        <w:rPr>
          <w:rFonts w:ascii="Times New Roman" w:hAnsi="Times New Roman" w:cs="Times New Roman"/>
          <w:sz w:val="24"/>
          <w:szCs w:val="24"/>
          <w:lang w:val="en-US"/>
        </w:rPr>
        <w:t xml:space="preserve"> </w:t>
      </w:r>
      <w:r w:rsidR="00E83D2C" w:rsidRPr="00E83D2C">
        <w:rPr>
          <w:rFonts w:ascii="Times New Roman" w:hAnsi="Times New Roman" w:cs="Times New Roman"/>
          <w:sz w:val="24"/>
          <w:szCs w:val="24"/>
          <w:lang w:val="en-US"/>
        </w:rPr>
        <w:t>Faculty of</w:t>
      </w:r>
      <w:r w:rsidR="00E83D2C">
        <w:rPr>
          <w:rFonts w:ascii="Times New Roman" w:hAnsi="Times New Roman" w:cs="Times New Roman"/>
          <w:sz w:val="24"/>
          <w:szCs w:val="24"/>
          <w:lang w:val="en-US"/>
        </w:rPr>
        <w:t xml:space="preserve"> </w:t>
      </w:r>
      <w:r w:rsidR="00E83D2C" w:rsidRPr="00E83D2C">
        <w:rPr>
          <w:rFonts w:ascii="Times New Roman" w:hAnsi="Times New Roman" w:cs="Times New Roman"/>
          <w:sz w:val="24"/>
          <w:szCs w:val="24"/>
          <w:lang w:val="en-US"/>
        </w:rPr>
        <w:t>Sport Sciences, University of</w:t>
      </w:r>
      <w:r w:rsidR="00E83D2C">
        <w:rPr>
          <w:rFonts w:ascii="Times New Roman" w:hAnsi="Times New Roman" w:cs="Times New Roman"/>
          <w:sz w:val="24"/>
          <w:szCs w:val="24"/>
          <w:lang w:val="en-US"/>
        </w:rPr>
        <w:t xml:space="preserve"> </w:t>
      </w:r>
      <w:r w:rsidR="00E83D2C" w:rsidRPr="00E83D2C">
        <w:rPr>
          <w:rFonts w:ascii="Times New Roman" w:hAnsi="Times New Roman" w:cs="Times New Roman"/>
          <w:sz w:val="24"/>
          <w:szCs w:val="24"/>
          <w:lang w:val="en-US"/>
        </w:rPr>
        <w:t xml:space="preserve">Granada, </w:t>
      </w:r>
      <w:r w:rsidR="00CB1348">
        <w:rPr>
          <w:rFonts w:ascii="Times New Roman" w:hAnsi="Times New Roman" w:cs="Times New Roman"/>
          <w:sz w:val="24"/>
          <w:szCs w:val="24"/>
          <w:lang w:val="en-US"/>
        </w:rPr>
        <w:t xml:space="preserve">Crta. Alfacar s/n, 18071 </w:t>
      </w:r>
      <w:r w:rsidR="00E83D2C" w:rsidRPr="00E83D2C">
        <w:rPr>
          <w:rFonts w:ascii="Times New Roman" w:hAnsi="Times New Roman" w:cs="Times New Roman"/>
          <w:sz w:val="24"/>
          <w:szCs w:val="24"/>
          <w:lang w:val="en-US"/>
        </w:rPr>
        <w:t>Granada, Spain</w:t>
      </w:r>
      <w:r w:rsidR="00CB1348">
        <w:rPr>
          <w:rFonts w:ascii="Times New Roman" w:hAnsi="Times New Roman" w:cs="Times New Roman"/>
          <w:sz w:val="24"/>
          <w:szCs w:val="24"/>
          <w:lang w:val="en-US"/>
        </w:rPr>
        <w:t>.</w:t>
      </w:r>
    </w:p>
    <w:p w14:paraId="42ECC73A" w14:textId="0C6FAFDA" w:rsidR="00030A12" w:rsidRPr="00030A12" w:rsidRDefault="005F124F" w:rsidP="0031613E">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vertAlign w:val="superscript"/>
          <w:lang w:val="en-US"/>
        </w:rPr>
        <w:t>2</w:t>
      </w:r>
      <w:r w:rsidRPr="00030A12">
        <w:rPr>
          <w:rFonts w:ascii="Times New Roman" w:hAnsi="Times New Roman" w:cs="Times New Roman"/>
          <w:sz w:val="24"/>
          <w:szCs w:val="24"/>
          <w:lang w:val="en-US"/>
        </w:rPr>
        <w:t xml:space="preserve">Pennington </w:t>
      </w:r>
      <w:r w:rsidR="00030A12" w:rsidRPr="00030A12">
        <w:rPr>
          <w:rFonts w:ascii="Times New Roman" w:hAnsi="Times New Roman" w:cs="Times New Roman"/>
          <w:sz w:val="24"/>
          <w:szCs w:val="24"/>
          <w:lang w:val="en-US"/>
        </w:rPr>
        <w:t xml:space="preserve">Biomedical Research Center, </w:t>
      </w:r>
      <w:r w:rsidR="00CB1348">
        <w:rPr>
          <w:rFonts w:ascii="Times New Roman" w:hAnsi="Times New Roman" w:cs="Times New Roman"/>
          <w:sz w:val="24"/>
          <w:szCs w:val="24"/>
          <w:lang w:val="en-US"/>
        </w:rPr>
        <w:t xml:space="preserve">6400 Perkins Road, </w:t>
      </w:r>
      <w:r w:rsidR="00030A12" w:rsidRPr="00030A12">
        <w:rPr>
          <w:rFonts w:ascii="Times New Roman" w:hAnsi="Times New Roman" w:cs="Times New Roman"/>
          <w:sz w:val="24"/>
          <w:szCs w:val="24"/>
          <w:lang w:val="en-US"/>
        </w:rPr>
        <w:t>Baton Rouge, Louisiana</w:t>
      </w:r>
      <w:r w:rsidR="00CB1348">
        <w:rPr>
          <w:rFonts w:ascii="Times New Roman" w:hAnsi="Times New Roman" w:cs="Times New Roman"/>
          <w:sz w:val="24"/>
          <w:szCs w:val="24"/>
          <w:lang w:val="en-US"/>
        </w:rPr>
        <w:t xml:space="preserve"> 70808</w:t>
      </w:r>
      <w:r w:rsidR="00030A12" w:rsidRPr="00030A12">
        <w:rPr>
          <w:rFonts w:ascii="Times New Roman" w:hAnsi="Times New Roman" w:cs="Times New Roman"/>
          <w:sz w:val="24"/>
          <w:szCs w:val="24"/>
          <w:lang w:val="en-US"/>
        </w:rPr>
        <w:t>, USA</w:t>
      </w:r>
    </w:p>
    <w:p w14:paraId="7173F965" w14:textId="535D3E62" w:rsidR="008C09C0" w:rsidRPr="008C09C0" w:rsidRDefault="005F124F" w:rsidP="0031613E">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vertAlign w:val="superscript"/>
          <w:lang w:val="en-US"/>
        </w:rPr>
        <w:t>3</w:t>
      </w:r>
      <w:r w:rsidR="008C09C0" w:rsidRPr="008C09C0">
        <w:rPr>
          <w:rFonts w:ascii="Times New Roman" w:hAnsi="Times New Roman" w:cs="Times New Roman"/>
          <w:sz w:val="24"/>
          <w:szCs w:val="24"/>
          <w:lang w:val="en-US"/>
        </w:rPr>
        <w:t xml:space="preserve">Department of Medicine, </w:t>
      </w:r>
      <w:r w:rsidRPr="008C09C0">
        <w:rPr>
          <w:rFonts w:ascii="Times New Roman" w:hAnsi="Times New Roman" w:cs="Times New Roman"/>
          <w:sz w:val="24"/>
          <w:szCs w:val="24"/>
          <w:lang w:val="en-US"/>
        </w:rPr>
        <w:t>Division of Endocrinology</w:t>
      </w:r>
      <w:r>
        <w:rPr>
          <w:rFonts w:ascii="Times New Roman" w:hAnsi="Times New Roman" w:cs="Times New Roman"/>
          <w:sz w:val="24"/>
          <w:szCs w:val="24"/>
          <w:lang w:val="en-US"/>
        </w:rPr>
        <w:t xml:space="preserve">, and </w:t>
      </w:r>
      <w:r w:rsidRPr="008C09C0">
        <w:rPr>
          <w:rFonts w:ascii="Times New Roman" w:hAnsi="Times New Roman" w:cs="Times New Roman"/>
          <w:sz w:val="24"/>
          <w:szCs w:val="24"/>
          <w:lang w:val="en-US"/>
        </w:rPr>
        <w:t>Einthoven Laboratory for Experimental Vascular Medicine</w:t>
      </w:r>
      <w:r>
        <w:rPr>
          <w:rFonts w:ascii="Times New Roman" w:hAnsi="Times New Roman" w:cs="Times New Roman"/>
          <w:sz w:val="24"/>
          <w:szCs w:val="24"/>
          <w:lang w:val="en-US"/>
        </w:rPr>
        <w:t xml:space="preserve">, </w:t>
      </w:r>
      <w:r w:rsidR="008C09C0" w:rsidRPr="008C09C0">
        <w:rPr>
          <w:rFonts w:ascii="Times New Roman" w:hAnsi="Times New Roman" w:cs="Times New Roman"/>
          <w:sz w:val="24"/>
          <w:szCs w:val="24"/>
          <w:lang w:val="en-US"/>
        </w:rPr>
        <w:t>Leiden University Medical Center</w:t>
      </w:r>
      <w:r w:rsidR="008C09C0">
        <w:rPr>
          <w:rFonts w:ascii="Times New Roman" w:hAnsi="Times New Roman" w:cs="Times New Roman"/>
          <w:sz w:val="24"/>
          <w:szCs w:val="24"/>
          <w:lang w:val="en-US"/>
        </w:rPr>
        <w:t xml:space="preserve">, </w:t>
      </w:r>
      <w:r w:rsidR="008C09C0" w:rsidRPr="008C09C0">
        <w:rPr>
          <w:rFonts w:ascii="Times New Roman" w:hAnsi="Times New Roman" w:cs="Times New Roman"/>
          <w:sz w:val="24"/>
          <w:szCs w:val="24"/>
          <w:lang w:val="en-US"/>
        </w:rPr>
        <w:t xml:space="preserve">Leiden University, </w:t>
      </w:r>
      <w:r w:rsidR="00CB1348" w:rsidRPr="00CB1348">
        <w:rPr>
          <w:rFonts w:ascii="Times New Roman" w:hAnsi="Times New Roman" w:cs="Times New Roman"/>
          <w:sz w:val="24"/>
          <w:szCs w:val="24"/>
          <w:lang w:val="en-US"/>
        </w:rPr>
        <w:t xml:space="preserve">Albinusdreef 2, 2333 ZA </w:t>
      </w:r>
      <w:r w:rsidR="008C09C0" w:rsidRPr="008C09C0">
        <w:rPr>
          <w:rFonts w:ascii="Times New Roman" w:hAnsi="Times New Roman" w:cs="Times New Roman"/>
          <w:sz w:val="24"/>
          <w:szCs w:val="24"/>
          <w:lang w:val="en-US"/>
        </w:rPr>
        <w:t>Leiden, the Netherlands</w:t>
      </w:r>
    </w:p>
    <w:p w14:paraId="115188B8" w14:textId="13258851" w:rsidR="000D4E3C" w:rsidRDefault="005F124F" w:rsidP="0031613E">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vertAlign w:val="superscript"/>
          <w:lang w:val="en-US"/>
        </w:rPr>
        <w:t>4</w:t>
      </w:r>
      <w:r w:rsidR="0077191A" w:rsidRPr="001417BE">
        <w:rPr>
          <w:rFonts w:ascii="Times New Roman" w:hAnsi="Times New Roman" w:cs="Times New Roman"/>
          <w:sz w:val="24"/>
          <w:szCs w:val="24"/>
          <w:lang w:val="en-US"/>
        </w:rPr>
        <w:t xml:space="preserve">The University of Cambridge Metabolic Research Laboratories, Wellcome Trust-MRC Institute of Metabolic Science, </w:t>
      </w:r>
      <w:r w:rsidR="00CB1348" w:rsidRPr="00CB1348">
        <w:rPr>
          <w:rFonts w:ascii="Times New Roman" w:hAnsi="Times New Roman" w:cs="Times New Roman"/>
          <w:sz w:val="24"/>
          <w:szCs w:val="24"/>
          <w:lang w:val="en-US"/>
        </w:rPr>
        <w:t xml:space="preserve">Box 289 Addenbrooke’s Hospital, Cambridge CB2 0QQ, </w:t>
      </w:r>
      <w:r w:rsidR="0077191A" w:rsidRPr="001417BE">
        <w:rPr>
          <w:rFonts w:ascii="Times New Roman" w:hAnsi="Times New Roman" w:cs="Times New Roman"/>
          <w:sz w:val="24"/>
          <w:szCs w:val="24"/>
          <w:lang w:val="en-US"/>
        </w:rPr>
        <w:t>United Kingdom</w:t>
      </w:r>
      <w:r w:rsidR="00177D92" w:rsidRPr="001417BE">
        <w:rPr>
          <w:rFonts w:ascii="Times New Roman" w:hAnsi="Times New Roman" w:cs="Times New Roman"/>
          <w:sz w:val="24"/>
          <w:szCs w:val="24"/>
          <w:lang w:val="en-US"/>
        </w:rPr>
        <w:t>.</w:t>
      </w:r>
    </w:p>
    <w:p w14:paraId="0D01097A" w14:textId="5BE6D269" w:rsidR="0077191A" w:rsidRPr="001417BE" w:rsidRDefault="005F124F" w:rsidP="0031613E">
      <w:pPr>
        <w:spacing w:line="480" w:lineRule="auto"/>
        <w:jc w:val="center"/>
        <w:rPr>
          <w:rFonts w:ascii="Times New Roman" w:eastAsia="Times New Roman" w:hAnsi="Times New Roman" w:cs="Times New Roman"/>
          <w:sz w:val="24"/>
          <w:szCs w:val="24"/>
          <w:lang w:val="en-US" w:eastAsia="es-ES"/>
        </w:rPr>
      </w:pPr>
      <w:r>
        <w:rPr>
          <w:rFonts w:ascii="Times New Roman" w:eastAsia="Times New Roman" w:hAnsi="Times New Roman" w:cs="Times New Roman"/>
          <w:sz w:val="24"/>
          <w:szCs w:val="24"/>
          <w:vertAlign w:val="superscript"/>
          <w:lang w:val="en-US" w:eastAsia="es-ES"/>
        </w:rPr>
        <w:t>5</w:t>
      </w:r>
      <w:r w:rsidRPr="001417BE">
        <w:rPr>
          <w:rFonts w:ascii="Times New Roman" w:eastAsia="Times New Roman" w:hAnsi="Times New Roman" w:cs="Times New Roman"/>
          <w:sz w:val="24"/>
          <w:szCs w:val="24"/>
          <w:lang w:val="en-US" w:eastAsia="es-ES"/>
        </w:rPr>
        <w:t xml:space="preserve">Wellcome </w:t>
      </w:r>
      <w:r w:rsidR="0077191A" w:rsidRPr="001417BE">
        <w:rPr>
          <w:rFonts w:ascii="Times New Roman" w:eastAsia="Times New Roman" w:hAnsi="Times New Roman" w:cs="Times New Roman"/>
          <w:sz w:val="24"/>
          <w:szCs w:val="24"/>
          <w:lang w:val="en-US" w:eastAsia="es-ES"/>
        </w:rPr>
        <w:t xml:space="preserve">Trust Sanger Institute, </w:t>
      </w:r>
      <w:r w:rsidR="00CA7AF4" w:rsidRPr="00CA7AF4">
        <w:rPr>
          <w:rFonts w:ascii="Times New Roman" w:eastAsia="Times New Roman" w:hAnsi="Times New Roman" w:cs="Times New Roman"/>
          <w:sz w:val="24"/>
          <w:szCs w:val="24"/>
          <w:lang w:val="en-US" w:eastAsia="es-ES"/>
        </w:rPr>
        <w:t xml:space="preserve">Wellcome Trust Genome Campus, Hinxton, Saffron Walden CB10 1RQ, </w:t>
      </w:r>
      <w:r w:rsidR="0077191A" w:rsidRPr="001417BE">
        <w:rPr>
          <w:rFonts w:ascii="Times New Roman" w:hAnsi="Times New Roman" w:cs="Times New Roman"/>
          <w:sz w:val="24"/>
          <w:szCs w:val="24"/>
          <w:lang w:val="en-US"/>
        </w:rPr>
        <w:t>United Kingdom</w:t>
      </w:r>
      <w:r w:rsidR="00177D92" w:rsidRPr="001417BE">
        <w:rPr>
          <w:rFonts w:ascii="Times New Roman" w:hAnsi="Times New Roman" w:cs="Times New Roman"/>
          <w:sz w:val="24"/>
          <w:szCs w:val="24"/>
          <w:lang w:val="en-US"/>
        </w:rPr>
        <w:t>.</w:t>
      </w:r>
    </w:p>
    <w:p w14:paraId="7BD5479C" w14:textId="76642543" w:rsidR="0077191A" w:rsidRPr="001417BE" w:rsidRDefault="005F124F" w:rsidP="0031613E">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vertAlign w:val="superscript"/>
          <w:lang w:val="en-US"/>
        </w:rPr>
        <w:t>6</w:t>
      </w:r>
      <w:r w:rsidRPr="001417BE">
        <w:rPr>
          <w:rFonts w:ascii="Times New Roman" w:hAnsi="Times New Roman" w:cs="Times New Roman"/>
          <w:sz w:val="24"/>
          <w:szCs w:val="24"/>
          <w:lang w:val="en-US"/>
        </w:rPr>
        <w:t xml:space="preserve">Department </w:t>
      </w:r>
      <w:r w:rsidR="0077191A" w:rsidRPr="001417BE">
        <w:rPr>
          <w:rFonts w:ascii="Times New Roman" w:hAnsi="Times New Roman" w:cs="Times New Roman"/>
          <w:sz w:val="24"/>
          <w:szCs w:val="24"/>
          <w:lang w:val="en-US"/>
        </w:rPr>
        <w:t xml:space="preserve">of Biochemistry and Molecular Biology II, Institute of Nutrition and Food Technology, Centre for Biomedical Research, University of Granada, </w:t>
      </w:r>
      <w:r w:rsidR="00CA7AF4" w:rsidRPr="00CA7AF4">
        <w:rPr>
          <w:rFonts w:ascii="Times New Roman" w:hAnsi="Times New Roman" w:cs="Times New Roman"/>
          <w:sz w:val="24"/>
          <w:szCs w:val="24"/>
          <w:lang w:val="en-US"/>
        </w:rPr>
        <w:t xml:space="preserve">Av. del Conocimiento, s/n, 18016 Granada, </w:t>
      </w:r>
      <w:r w:rsidR="0077191A" w:rsidRPr="001417BE">
        <w:rPr>
          <w:rFonts w:ascii="Times New Roman" w:hAnsi="Times New Roman" w:cs="Times New Roman"/>
          <w:sz w:val="24"/>
          <w:szCs w:val="24"/>
          <w:lang w:val="en-US"/>
        </w:rPr>
        <w:t>Spain</w:t>
      </w:r>
      <w:r w:rsidR="00177D92" w:rsidRPr="001417BE">
        <w:rPr>
          <w:rFonts w:ascii="Times New Roman" w:hAnsi="Times New Roman" w:cs="Times New Roman"/>
          <w:sz w:val="24"/>
          <w:szCs w:val="24"/>
          <w:lang w:val="en-US"/>
        </w:rPr>
        <w:t>.</w:t>
      </w:r>
    </w:p>
    <w:p w14:paraId="66EBDF31" w14:textId="5AFFEB7C" w:rsidR="000D4E3C" w:rsidRDefault="005F124F" w:rsidP="0031613E">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vertAlign w:val="superscript"/>
          <w:lang w:val="en-US"/>
        </w:rPr>
        <w:lastRenderedPageBreak/>
        <w:t>7</w:t>
      </w:r>
      <w:r w:rsidRPr="001417BE">
        <w:rPr>
          <w:rFonts w:ascii="Times New Roman" w:hAnsi="Times New Roman" w:cs="Times New Roman"/>
          <w:sz w:val="24"/>
          <w:szCs w:val="24"/>
          <w:lang w:val="en-US"/>
        </w:rPr>
        <w:t>CIBEROBN</w:t>
      </w:r>
      <w:r w:rsidR="0077191A" w:rsidRPr="001417BE">
        <w:rPr>
          <w:rFonts w:ascii="Times New Roman" w:hAnsi="Times New Roman" w:cs="Times New Roman"/>
          <w:sz w:val="24"/>
          <w:szCs w:val="24"/>
          <w:lang w:val="en-US"/>
        </w:rPr>
        <w:t xml:space="preserve">, Biomedical Research Networking Center for Physiopathology of Obesity and Nutrition, Carlos III Health Institute, </w:t>
      </w:r>
      <w:r w:rsidR="00CA7AF4" w:rsidRPr="00CA7AF4">
        <w:rPr>
          <w:rFonts w:ascii="Times New Roman" w:hAnsi="Times New Roman" w:cs="Times New Roman"/>
          <w:sz w:val="24"/>
          <w:szCs w:val="24"/>
          <w:lang w:val="en-US"/>
        </w:rPr>
        <w:t xml:space="preserve">Av. de Monforte de Lemos, 5, 28029 Madrid, </w:t>
      </w:r>
      <w:r w:rsidR="0077191A" w:rsidRPr="001417BE">
        <w:rPr>
          <w:rFonts w:ascii="Times New Roman" w:hAnsi="Times New Roman" w:cs="Times New Roman"/>
          <w:sz w:val="24"/>
          <w:szCs w:val="24"/>
          <w:lang w:val="en-US"/>
        </w:rPr>
        <w:t>Spain</w:t>
      </w:r>
      <w:r w:rsidR="00177D92" w:rsidRPr="001417BE">
        <w:rPr>
          <w:rFonts w:ascii="Times New Roman" w:hAnsi="Times New Roman" w:cs="Times New Roman"/>
          <w:sz w:val="24"/>
          <w:szCs w:val="24"/>
          <w:lang w:val="en-US"/>
        </w:rPr>
        <w:t>.</w:t>
      </w:r>
    </w:p>
    <w:p w14:paraId="321EE1BD" w14:textId="5C16A433" w:rsidR="000D4E3C" w:rsidRPr="00CA7AF4" w:rsidRDefault="005F124F" w:rsidP="0031613E">
      <w:pPr>
        <w:spacing w:line="480" w:lineRule="auto"/>
        <w:jc w:val="center"/>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vertAlign w:val="superscript"/>
          <w:lang w:eastAsia="es-ES"/>
        </w:rPr>
        <w:t>8</w:t>
      </w:r>
      <w:r w:rsidRPr="00CA7AF4">
        <w:rPr>
          <w:rFonts w:ascii="Times New Roman" w:eastAsia="Times New Roman" w:hAnsi="Times New Roman" w:cs="Times New Roman"/>
          <w:sz w:val="24"/>
          <w:szCs w:val="24"/>
          <w:lang w:eastAsia="es-ES"/>
        </w:rPr>
        <w:t xml:space="preserve">Nuclear </w:t>
      </w:r>
      <w:r w:rsidR="00E83D2C" w:rsidRPr="00CA7AF4">
        <w:rPr>
          <w:rFonts w:ascii="Times New Roman" w:eastAsia="Times New Roman" w:hAnsi="Times New Roman" w:cs="Times New Roman"/>
          <w:sz w:val="24"/>
          <w:szCs w:val="24"/>
          <w:lang w:eastAsia="es-ES"/>
        </w:rPr>
        <w:t xml:space="preserve">Medicine Services, "Virgen de las Nieves" University Hospital, </w:t>
      </w:r>
      <w:r w:rsidR="00CA7AF4" w:rsidRPr="00CA7AF4">
        <w:rPr>
          <w:rFonts w:ascii="Times New Roman" w:eastAsia="Times New Roman" w:hAnsi="Times New Roman" w:cs="Times New Roman"/>
          <w:sz w:val="24"/>
          <w:szCs w:val="24"/>
          <w:lang w:eastAsia="es-ES"/>
        </w:rPr>
        <w:t xml:space="preserve">Av. de las Fuerzas Armadas, 2, 18014 Granada, </w:t>
      </w:r>
      <w:r w:rsidR="00E83D2C" w:rsidRPr="00CA7AF4">
        <w:rPr>
          <w:rFonts w:ascii="Times New Roman" w:eastAsia="Times New Roman" w:hAnsi="Times New Roman" w:cs="Times New Roman"/>
          <w:sz w:val="24"/>
          <w:szCs w:val="24"/>
          <w:lang w:eastAsia="es-ES"/>
        </w:rPr>
        <w:t>Spain.</w:t>
      </w:r>
    </w:p>
    <w:p w14:paraId="003E41E9" w14:textId="02930888" w:rsidR="005A0CF3" w:rsidRPr="00CA7AF4" w:rsidRDefault="005F124F" w:rsidP="0031613E">
      <w:pPr>
        <w:spacing w:line="480" w:lineRule="auto"/>
        <w:jc w:val="center"/>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vertAlign w:val="superscript"/>
          <w:lang w:eastAsia="es-ES"/>
        </w:rPr>
        <w:t>9</w:t>
      </w:r>
      <w:r w:rsidRPr="00CA7AF4">
        <w:rPr>
          <w:rFonts w:ascii="Times New Roman" w:eastAsia="Times New Roman" w:hAnsi="Times New Roman" w:cs="Times New Roman"/>
          <w:sz w:val="24"/>
          <w:szCs w:val="24"/>
          <w:lang w:eastAsia="es-ES"/>
        </w:rPr>
        <w:t xml:space="preserve">Biohealth </w:t>
      </w:r>
      <w:r w:rsidR="005A0CF3" w:rsidRPr="00CA7AF4">
        <w:rPr>
          <w:rFonts w:ascii="Times New Roman" w:eastAsia="Times New Roman" w:hAnsi="Times New Roman" w:cs="Times New Roman"/>
          <w:sz w:val="24"/>
          <w:szCs w:val="24"/>
          <w:lang w:eastAsia="es-ES"/>
        </w:rPr>
        <w:t>Research Institute in Granada (ibs.GRANADA),</w:t>
      </w:r>
      <w:r w:rsidR="00CA7AF4" w:rsidRPr="00CA7AF4">
        <w:t xml:space="preserve"> </w:t>
      </w:r>
      <w:r w:rsidR="00CA7AF4" w:rsidRPr="00CA7AF4">
        <w:rPr>
          <w:rFonts w:ascii="Times New Roman" w:eastAsia="Times New Roman" w:hAnsi="Times New Roman" w:cs="Times New Roman"/>
          <w:sz w:val="24"/>
          <w:szCs w:val="24"/>
          <w:lang w:eastAsia="es-ES"/>
        </w:rPr>
        <w:t xml:space="preserve">Av. de las Fuerzas Armadas, 2, 18014 Granada, </w:t>
      </w:r>
      <w:r w:rsidR="005A0CF3" w:rsidRPr="00CA7AF4">
        <w:rPr>
          <w:rFonts w:ascii="Times New Roman" w:eastAsia="Times New Roman" w:hAnsi="Times New Roman" w:cs="Times New Roman"/>
          <w:sz w:val="24"/>
          <w:szCs w:val="24"/>
          <w:lang w:eastAsia="es-ES"/>
        </w:rPr>
        <w:t>Spain</w:t>
      </w:r>
      <w:r w:rsidR="00177D92" w:rsidRPr="00CA7AF4">
        <w:rPr>
          <w:rFonts w:ascii="Times New Roman" w:eastAsia="Times New Roman" w:hAnsi="Times New Roman" w:cs="Times New Roman"/>
          <w:sz w:val="24"/>
          <w:szCs w:val="24"/>
          <w:lang w:eastAsia="es-ES"/>
        </w:rPr>
        <w:t>.</w:t>
      </w:r>
    </w:p>
    <w:p w14:paraId="297B643B" w14:textId="04B92766" w:rsidR="000D4E3C" w:rsidRDefault="00112EE2" w:rsidP="0031613E">
      <w:pPr>
        <w:suppressLineNumbers/>
        <w:spacing w:line="480" w:lineRule="auto"/>
        <w:jc w:val="center"/>
        <w:rPr>
          <w:rFonts w:ascii="Times New Roman" w:eastAsia="Times New Roman" w:hAnsi="Times New Roman" w:cs="Times New Roman"/>
          <w:b/>
          <w:sz w:val="24"/>
          <w:szCs w:val="24"/>
          <w:lang w:val="en-US" w:eastAsia="es-ES"/>
        </w:rPr>
      </w:pPr>
      <w:r w:rsidRPr="001417BE">
        <w:rPr>
          <w:rFonts w:ascii="Times New Roman" w:eastAsia="Times New Roman" w:hAnsi="Times New Roman" w:cs="Times New Roman"/>
          <w:b/>
          <w:sz w:val="24"/>
          <w:szCs w:val="24"/>
          <w:lang w:val="en-US" w:eastAsia="es-ES"/>
        </w:rPr>
        <w:t>Corresponding author:</w:t>
      </w:r>
    </w:p>
    <w:p w14:paraId="130E8183" w14:textId="0831D650" w:rsidR="00861434" w:rsidRDefault="00112EE2" w:rsidP="0031613E">
      <w:pPr>
        <w:suppressLineNumbers/>
        <w:spacing w:line="480" w:lineRule="auto"/>
        <w:jc w:val="center"/>
        <w:rPr>
          <w:rFonts w:ascii="Times New Roman" w:eastAsia="Times New Roman" w:hAnsi="Times New Roman" w:cs="Times New Roman"/>
          <w:sz w:val="24"/>
          <w:szCs w:val="24"/>
          <w:lang w:val="en-US" w:eastAsia="es-ES"/>
        </w:rPr>
      </w:pPr>
      <w:r w:rsidRPr="001417BE">
        <w:rPr>
          <w:rFonts w:ascii="Times New Roman" w:eastAsia="Times New Roman" w:hAnsi="Times New Roman" w:cs="Times New Roman"/>
          <w:sz w:val="24"/>
          <w:szCs w:val="24"/>
          <w:lang w:val="en-US" w:eastAsia="es-ES"/>
        </w:rPr>
        <w:t xml:space="preserve">Guillermo Sanchez-Delgado, </w:t>
      </w:r>
      <w:r w:rsidR="009A51AE">
        <w:rPr>
          <w:rFonts w:ascii="Times New Roman" w:eastAsia="Times New Roman" w:hAnsi="Times New Roman" w:cs="Times New Roman"/>
          <w:sz w:val="24"/>
          <w:szCs w:val="24"/>
          <w:lang w:val="en-US" w:eastAsia="es-ES"/>
        </w:rPr>
        <w:t>Pennington Biomedical Research Center, 6400 Perkins Road, Baton Rouge, Louisiana 70808, USA</w:t>
      </w:r>
      <w:r w:rsidRPr="001417BE">
        <w:rPr>
          <w:rFonts w:ascii="Times New Roman" w:eastAsia="Times New Roman" w:hAnsi="Times New Roman" w:cs="Times New Roman"/>
          <w:sz w:val="24"/>
          <w:szCs w:val="24"/>
          <w:lang w:val="en-US" w:eastAsia="es-ES"/>
        </w:rPr>
        <w:t xml:space="preserve">. </w:t>
      </w:r>
      <w:r w:rsidR="009A51AE">
        <w:rPr>
          <w:rFonts w:ascii="Times New Roman" w:eastAsia="Times New Roman" w:hAnsi="Times New Roman" w:cs="Times New Roman"/>
          <w:sz w:val="24"/>
          <w:szCs w:val="24"/>
          <w:lang w:val="en-US" w:eastAsia="es-ES"/>
        </w:rPr>
        <w:t>e</w:t>
      </w:r>
      <w:r w:rsidRPr="001417BE">
        <w:rPr>
          <w:rFonts w:ascii="Times New Roman" w:eastAsia="Times New Roman" w:hAnsi="Times New Roman" w:cs="Times New Roman"/>
          <w:sz w:val="24"/>
          <w:szCs w:val="24"/>
          <w:lang w:val="en-US" w:eastAsia="es-ES"/>
        </w:rPr>
        <w:t xml:space="preserve">mail: </w:t>
      </w:r>
      <w:r w:rsidR="00CA7AF4">
        <w:rPr>
          <w:rFonts w:ascii="Times New Roman" w:eastAsia="Times New Roman" w:hAnsi="Times New Roman" w:cs="Times New Roman"/>
          <w:sz w:val="24"/>
          <w:szCs w:val="24"/>
          <w:lang w:val="en-US" w:eastAsia="es-ES"/>
        </w:rPr>
        <w:t>Guillermo.Sanchez@pbrc.edu</w:t>
      </w:r>
      <w:r w:rsidRPr="001417BE">
        <w:rPr>
          <w:rFonts w:ascii="Times New Roman" w:eastAsia="Times New Roman" w:hAnsi="Times New Roman" w:cs="Times New Roman"/>
          <w:sz w:val="24"/>
          <w:szCs w:val="24"/>
          <w:lang w:val="en-US" w:eastAsia="es-ES"/>
        </w:rPr>
        <w:t>; Tel.: +</w:t>
      </w:r>
      <w:r w:rsidR="009A51AE">
        <w:rPr>
          <w:rFonts w:ascii="Times New Roman" w:eastAsia="Times New Roman" w:hAnsi="Times New Roman" w:cs="Times New Roman"/>
          <w:sz w:val="24"/>
          <w:szCs w:val="24"/>
          <w:lang w:val="en-US" w:eastAsia="es-ES"/>
        </w:rPr>
        <w:t>1(225)-763-2695.</w:t>
      </w:r>
    </w:p>
    <w:p w14:paraId="5E2832E4" w14:textId="36450836" w:rsidR="0035145C" w:rsidRDefault="0035145C" w:rsidP="0031613E">
      <w:pPr>
        <w:suppressLineNumbers/>
        <w:spacing w:line="480" w:lineRule="auto"/>
        <w:jc w:val="center"/>
        <w:rPr>
          <w:rFonts w:ascii="Times New Roman" w:eastAsia="Times New Roman" w:hAnsi="Times New Roman" w:cs="Times New Roman"/>
          <w:bCs/>
          <w:sz w:val="24"/>
          <w:szCs w:val="24"/>
          <w:lang w:val="en-US" w:eastAsia="es-ES"/>
        </w:rPr>
      </w:pPr>
      <w:r w:rsidRPr="00AF2464">
        <w:rPr>
          <w:rFonts w:ascii="Times New Roman" w:eastAsia="Times New Roman" w:hAnsi="Times New Roman" w:cs="Times New Roman"/>
          <w:b/>
          <w:sz w:val="24"/>
          <w:szCs w:val="24"/>
          <w:lang w:val="en-US" w:eastAsia="es-ES"/>
        </w:rPr>
        <w:t>Word count:</w:t>
      </w:r>
      <w:r w:rsidR="00AF2464" w:rsidRPr="00AF2464">
        <w:rPr>
          <w:rFonts w:ascii="Times New Roman" w:eastAsia="Times New Roman" w:hAnsi="Times New Roman" w:cs="Times New Roman"/>
          <w:b/>
          <w:sz w:val="24"/>
          <w:szCs w:val="24"/>
          <w:lang w:val="en-US" w:eastAsia="es-ES"/>
        </w:rPr>
        <w:t xml:space="preserve"> </w:t>
      </w:r>
      <w:r w:rsidR="00AF2464" w:rsidRPr="00297B42">
        <w:rPr>
          <w:rFonts w:ascii="Times New Roman" w:eastAsia="Times New Roman" w:hAnsi="Times New Roman" w:cs="Times New Roman"/>
          <w:bCs/>
          <w:sz w:val="24"/>
          <w:szCs w:val="24"/>
          <w:lang w:val="en-US" w:eastAsia="es-ES"/>
        </w:rPr>
        <w:t>36</w:t>
      </w:r>
      <w:r w:rsidR="004D4FE5">
        <w:rPr>
          <w:rFonts w:ascii="Times New Roman" w:eastAsia="Times New Roman" w:hAnsi="Times New Roman" w:cs="Times New Roman"/>
          <w:bCs/>
          <w:sz w:val="24"/>
          <w:szCs w:val="24"/>
          <w:lang w:val="en-US" w:eastAsia="es-ES"/>
        </w:rPr>
        <w:t>58</w:t>
      </w:r>
    </w:p>
    <w:p w14:paraId="1B818D25" w14:textId="6D7C3F71" w:rsidR="0031613E" w:rsidRDefault="0031613E" w:rsidP="0031613E">
      <w:pPr>
        <w:suppressLineNumbers/>
        <w:spacing w:line="480" w:lineRule="auto"/>
        <w:jc w:val="center"/>
        <w:rPr>
          <w:rFonts w:ascii="Times New Roman" w:eastAsia="Times New Roman" w:hAnsi="Times New Roman" w:cs="Times New Roman"/>
          <w:bCs/>
          <w:sz w:val="24"/>
          <w:szCs w:val="24"/>
          <w:lang w:val="en-US" w:eastAsia="es-ES"/>
        </w:rPr>
      </w:pPr>
      <w:r w:rsidRPr="0031613E">
        <w:rPr>
          <w:rFonts w:ascii="Times New Roman" w:eastAsia="Times New Roman" w:hAnsi="Times New Roman" w:cs="Times New Roman"/>
          <w:b/>
          <w:sz w:val="24"/>
          <w:szCs w:val="24"/>
          <w:lang w:val="en-US" w:eastAsia="es-ES"/>
        </w:rPr>
        <w:t>Number of tables</w:t>
      </w:r>
      <w:r>
        <w:rPr>
          <w:rFonts w:ascii="Times New Roman" w:eastAsia="Times New Roman" w:hAnsi="Times New Roman" w:cs="Times New Roman"/>
          <w:bCs/>
          <w:sz w:val="24"/>
          <w:szCs w:val="24"/>
          <w:lang w:val="en-US" w:eastAsia="es-ES"/>
        </w:rPr>
        <w:t>: 3</w:t>
      </w:r>
    </w:p>
    <w:p w14:paraId="08147413" w14:textId="188C58D8" w:rsidR="0031613E" w:rsidRDefault="0031613E" w:rsidP="0031613E">
      <w:pPr>
        <w:suppressLineNumbers/>
        <w:spacing w:line="480" w:lineRule="auto"/>
        <w:jc w:val="center"/>
        <w:rPr>
          <w:rFonts w:ascii="Times New Roman" w:eastAsia="Times New Roman" w:hAnsi="Times New Roman" w:cs="Times New Roman"/>
          <w:b/>
          <w:sz w:val="24"/>
          <w:szCs w:val="24"/>
          <w:lang w:val="en-US" w:eastAsia="es-ES"/>
        </w:rPr>
      </w:pPr>
      <w:r w:rsidRPr="0031613E">
        <w:rPr>
          <w:rFonts w:ascii="Times New Roman" w:eastAsia="Times New Roman" w:hAnsi="Times New Roman" w:cs="Times New Roman"/>
          <w:b/>
          <w:sz w:val="24"/>
          <w:szCs w:val="24"/>
          <w:lang w:val="en-US" w:eastAsia="es-ES"/>
        </w:rPr>
        <w:t xml:space="preserve">Number of </w:t>
      </w:r>
      <w:r>
        <w:rPr>
          <w:rFonts w:ascii="Times New Roman" w:eastAsia="Times New Roman" w:hAnsi="Times New Roman" w:cs="Times New Roman"/>
          <w:b/>
          <w:sz w:val="24"/>
          <w:szCs w:val="24"/>
          <w:lang w:val="en-US" w:eastAsia="es-ES"/>
        </w:rPr>
        <w:t>figures</w:t>
      </w:r>
      <w:r>
        <w:rPr>
          <w:rFonts w:ascii="Times New Roman" w:eastAsia="Times New Roman" w:hAnsi="Times New Roman" w:cs="Times New Roman"/>
          <w:bCs/>
          <w:sz w:val="24"/>
          <w:szCs w:val="24"/>
          <w:lang w:val="en-US" w:eastAsia="es-ES"/>
        </w:rPr>
        <w:t>: 4</w:t>
      </w:r>
    </w:p>
    <w:p w14:paraId="210997E2" w14:textId="77777777" w:rsidR="0031613E" w:rsidRDefault="0031613E" w:rsidP="00861434">
      <w:pPr>
        <w:suppressLineNumbers/>
        <w:spacing w:line="480" w:lineRule="auto"/>
        <w:jc w:val="both"/>
        <w:rPr>
          <w:rFonts w:ascii="Times New Roman" w:eastAsia="Times New Roman" w:hAnsi="Times New Roman" w:cs="Times New Roman"/>
          <w:b/>
          <w:sz w:val="24"/>
          <w:szCs w:val="24"/>
          <w:lang w:val="en-US" w:eastAsia="es-ES"/>
        </w:rPr>
      </w:pPr>
    </w:p>
    <w:p w14:paraId="5062A318" w14:textId="476D6764" w:rsidR="00D82583" w:rsidRDefault="00D82583" w:rsidP="009A51AE">
      <w:pPr>
        <w:suppressLineNumbers/>
        <w:spacing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2ADC62B3" w14:textId="509080A6" w:rsidR="00085432" w:rsidRDefault="00F80CD2" w:rsidP="00905A08">
      <w:pPr>
        <w:spacing w:line="480" w:lineRule="auto"/>
        <w:jc w:val="both"/>
        <w:rPr>
          <w:rFonts w:ascii="Times New Roman" w:hAnsi="Times New Roman" w:cs="Times New Roman"/>
          <w:b/>
          <w:sz w:val="24"/>
          <w:szCs w:val="24"/>
          <w:lang w:val="en-US"/>
        </w:rPr>
      </w:pPr>
      <w:r w:rsidRPr="00BB47E0">
        <w:rPr>
          <w:rFonts w:ascii="Times New Roman" w:hAnsi="Times New Roman" w:cs="Times New Roman"/>
          <w:b/>
          <w:sz w:val="24"/>
          <w:szCs w:val="24"/>
          <w:lang w:val="en-US"/>
        </w:rPr>
        <w:lastRenderedPageBreak/>
        <w:t>ABSTRACT</w:t>
      </w:r>
    </w:p>
    <w:p w14:paraId="777F7A15" w14:textId="78B87663" w:rsidR="0050052E" w:rsidRDefault="00905A08" w:rsidP="000D4E3C">
      <w:pPr>
        <w:spacing w:line="480" w:lineRule="auto"/>
        <w:jc w:val="both"/>
        <w:rPr>
          <w:rFonts w:ascii="Times New Roman" w:hAnsi="Times New Roman" w:cs="Times New Roman"/>
          <w:sz w:val="24"/>
          <w:szCs w:val="24"/>
          <w:lang w:val="en-US"/>
        </w:rPr>
      </w:pPr>
      <w:bookmarkStart w:id="0" w:name="_Hlk65706199"/>
      <w:r w:rsidRPr="00CB6B4A">
        <w:rPr>
          <w:rFonts w:ascii="Times New Roman" w:hAnsi="Times New Roman" w:cs="Times New Roman"/>
          <w:sz w:val="24"/>
          <w:szCs w:val="24"/>
          <w:lang w:val="en-US"/>
        </w:rPr>
        <w:t>Human brown adipose tissue (BAT)</w:t>
      </w:r>
      <w:r w:rsidR="00517361" w:rsidRPr="00CB6B4A">
        <w:rPr>
          <w:rFonts w:ascii="Times New Roman" w:hAnsi="Times New Roman" w:cs="Times New Roman"/>
          <w:sz w:val="24"/>
          <w:szCs w:val="24"/>
          <w:lang w:val="en-US"/>
        </w:rPr>
        <w:t xml:space="preserve"> </w:t>
      </w:r>
      <w:r w:rsidR="00FE371B" w:rsidRPr="00CB6B4A">
        <w:rPr>
          <w:rFonts w:ascii="Times New Roman" w:hAnsi="Times New Roman" w:cs="Times New Roman"/>
          <w:sz w:val="24"/>
          <w:szCs w:val="24"/>
          <w:lang w:val="en-US"/>
        </w:rPr>
        <w:t xml:space="preserve">volume </w:t>
      </w:r>
      <w:r w:rsidR="00CB6B4A">
        <w:rPr>
          <w:rFonts w:ascii="Times New Roman" w:hAnsi="Times New Roman" w:cs="Times New Roman"/>
          <w:sz w:val="24"/>
          <w:szCs w:val="24"/>
          <w:lang w:val="en-US"/>
        </w:rPr>
        <w:t xml:space="preserve">has </w:t>
      </w:r>
      <w:r w:rsidRPr="00CB6B4A">
        <w:rPr>
          <w:rFonts w:ascii="Times New Roman" w:hAnsi="Times New Roman" w:cs="Times New Roman"/>
          <w:sz w:val="24"/>
          <w:szCs w:val="24"/>
          <w:lang w:val="en-US"/>
        </w:rPr>
        <w:t xml:space="preserve">been consistently </w:t>
      </w:r>
      <w:r w:rsidR="00EF3D8B" w:rsidRPr="00CB6B4A">
        <w:rPr>
          <w:rFonts w:ascii="Times New Roman" w:hAnsi="Times New Roman" w:cs="Times New Roman"/>
          <w:sz w:val="24"/>
          <w:szCs w:val="24"/>
          <w:lang w:val="en-US"/>
        </w:rPr>
        <w:t>claimed</w:t>
      </w:r>
      <w:r w:rsidR="00177D92" w:rsidRPr="00CB6B4A">
        <w:rPr>
          <w:rFonts w:ascii="Times New Roman" w:hAnsi="Times New Roman" w:cs="Times New Roman"/>
          <w:sz w:val="24"/>
          <w:szCs w:val="24"/>
          <w:lang w:val="en-US"/>
        </w:rPr>
        <w:t xml:space="preserve"> as</w:t>
      </w:r>
      <w:r w:rsidRPr="00CB6B4A">
        <w:rPr>
          <w:rFonts w:ascii="Times New Roman" w:hAnsi="Times New Roman" w:cs="Times New Roman"/>
          <w:sz w:val="24"/>
          <w:szCs w:val="24"/>
          <w:lang w:val="en-US"/>
        </w:rPr>
        <w:t xml:space="preserve"> </w:t>
      </w:r>
      <w:r w:rsidR="00517361" w:rsidRPr="00CB6B4A">
        <w:rPr>
          <w:rFonts w:ascii="Times New Roman" w:hAnsi="Times New Roman" w:cs="Times New Roman"/>
          <w:sz w:val="24"/>
          <w:szCs w:val="24"/>
          <w:lang w:val="en-US"/>
        </w:rPr>
        <w:t>inversely</w:t>
      </w:r>
      <w:r w:rsidRPr="00CB6B4A">
        <w:rPr>
          <w:rFonts w:ascii="Times New Roman" w:hAnsi="Times New Roman" w:cs="Times New Roman"/>
          <w:sz w:val="24"/>
          <w:szCs w:val="24"/>
          <w:lang w:val="en-US"/>
        </w:rPr>
        <w:t xml:space="preserve"> associated with whole-body adiposity. However, recent advances in </w:t>
      </w:r>
      <w:r w:rsidR="00177D92" w:rsidRPr="00CB6B4A">
        <w:rPr>
          <w:rFonts w:ascii="Times New Roman" w:hAnsi="Times New Roman" w:cs="Times New Roman"/>
          <w:sz w:val="24"/>
          <w:szCs w:val="24"/>
          <w:lang w:val="en-US"/>
        </w:rPr>
        <w:t xml:space="preserve">the assessment of </w:t>
      </w:r>
      <w:r w:rsidRPr="00CB6B4A">
        <w:rPr>
          <w:rFonts w:ascii="Times New Roman" w:hAnsi="Times New Roman" w:cs="Times New Roman"/>
          <w:sz w:val="24"/>
          <w:szCs w:val="24"/>
          <w:lang w:val="en-US"/>
        </w:rPr>
        <w:t xml:space="preserve">human BAT suggest that </w:t>
      </w:r>
      <w:r w:rsidR="004323BD">
        <w:rPr>
          <w:rFonts w:ascii="Times New Roman" w:hAnsi="Times New Roman" w:cs="Times New Roman"/>
          <w:sz w:val="24"/>
          <w:szCs w:val="24"/>
          <w:lang w:val="en-US"/>
        </w:rPr>
        <w:t xml:space="preserve">previously reported </w:t>
      </w:r>
      <w:r w:rsidRPr="00CB6B4A">
        <w:rPr>
          <w:rFonts w:ascii="Times New Roman" w:hAnsi="Times New Roman" w:cs="Times New Roman"/>
          <w:sz w:val="24"/>
          <w:szCs w:val="24"/>
          <w:lang w:val="en-US"/>
        </w:rPr>
        <w:t xml:space="preserve">associations </w:t>
      </w:r>
      <w:r w:rsidR="00177D92" w:rsidRPr="00CB6B4A">
        <w:rPr>
          <w:rFonts w:ascii="Times New Roman" w:hAnsi="Times New Roman" w:cs="Times New Roman"/>
          <w:sz w:val="24"/>
          <w:szCs w:val="24"/>
          <w:lang w:val="en-US"/>
        </w:rPr>
        <w:t>may</w:t>
      </w:r>
      <w:r w:rsidRPr="00CB6B4A">
        <w:rPr>
          <w:rFonts w:ascii="Times New Roman" w:hAnsi="Times New Roman" w:cs="Times New Roman"/>
          <w:sz w:val="24"/>
          <w:szCs w:val="24"/>
          <w:lang w:val="en-US"/>
        </w:rPr>
        <w:t xml:space="preserve"> have been biased. </w:t>
      </w:r>
      <w:r w:rsidR="00177D92" w:rsidRPr="00CB6B4A">
        <w:rPr>
          <w:rFonts w:ascii="Times New Roman" w:hAnsi="Times New Roman" w:cs="Times New Roman"/>
          <w:sz w:val="24"/>
          <w:szCs w:val="24"/>
          <w:lang w:val="en-US"/>
        </w:rPr>
        <w:t xml:space="preserve">The present </w:t>
      </w:r>
      <w:r w:rsidR="000E75AF">
        <w:rPr>
          <w:rFonts w:ascii="Times New Roman" w:hAnsi="Times New Roman" w:cs="Times New Roman"/>
          <w:sz w:val="24"/>
          <w:szCs w:val="24"/>
          <w:lang w:val="en-US"/>
        </w:rPr>
        <w:t>cross-sectional study</w:t>
      </w:r>
      <w:r w:rsidRPr="00CB6B4A">
        <w:rPr>
          <w:rFonts w:ascii="Times New Roman" w:hAnsi="Times New Roman" w:cs="Times New Roman"/>
          <w:sz w:val="24"/>
          <w:szCs w:val="24"/>
          <w:lang w:val="en-US"/>
        </w:rPr>
        <w:t xml:space="preserve"> investigate</w:t>
      </w:r>
      <w:r w:rsidR="00177D92" w:rsidRPr="00CB6B4A">
        <w:rPr>
          <w:rFonts w:ascii="Times New Roman" w:hAnsi="Times New Roman" w:cs="Times New Roman"/>
          <w:sz w:val="24"/>
          <w:szCs w:val="24"/>
          <w:lang w:val="en-US"/>
        </w:rPr>
        <w:t>s</w:t>
      </w:r>
      <w:r w:rsidRPr="00CB6B4A">
        <w:rPr>
          <w:rFonts w:ascii="Times New Roman" w:hAnsi="Times New Roman" w:cs="Times New Roman"/>
          <w:sz w:val="24"/>
          <w:szCs w:val="24"/>
          <w:lang w:val="en-US"/>
        </w:rPr>
        <w:t xml:space="preserve"> the association </w:t>
      </w:r>
      <w:r w:rsidR="000E75AF">
        <w:rPr>
          <w:rFonts w:ascii="Times New Roman" w:hAnsi="Times New Roman" w:cs="Times New Roman"/>
          <w:sz w:val="24"/>
          <w:szCs w:val="24"/>
          <w:lang w:val="en-US"/>
        </w:rPr>
        <w:t>of</w:t>
      </w:r>
      <w:r w:rsidR="00177D92" w:rsidRPr="00CB6B4A">
        <w:rPr>
          <w:rFonts w:ascii="Times New Roman" w:hAnsi="Times New Roman" w:cs="Times New Roman"/>
          <w:sz w:val="24"/>
          <w:szCs w:val="24"/>
          <w:lang w:val="en-US"/>
        </w:rPr>
        <w:t xml:space="preserve"> BAT</w:t>
      </w:r>
      <w:r w:rsidR="00517361" w:rsidRPr="00CB6B4A">
        <w:rPr>
          <w:rFonts w:ascii="Times New Roman" w:hAnsi="Times New Roman" w:cs="Times New Roman"/>
          <w:sz w:val="24"/>
          <w:szCs w:val="24"/>
          <w:lang w:val="en-US"/>
        </w:rPr>
        <w:t xml:space="preserve"> </w:t>
      </w:r>
      <w:r w:rsidR="00FE371B" w:rsidRPr="00CB6B4A">
        <w:rPr>
          <w:rFonts w:ascii="Times New Roman" w:hAnsi="Times New Roman" w:cs="Times New Roman"/>
          <w:sz w:val="24"/>
          <w:szCs w:val="24"/>
          <w:lang w:val="en-US"/>
        </w:rPr>
        <w:t>volume</w:t>
      </w:r>
      <w:r w:rsidR="000E75AF">
        <w:rPr>
          <w:rFonts w:ascii="Times New Roman" w:hAnsi="Times New Roman" w:cs="Times New Roman"/>
          <w:sz w:val="24"/>
          <w:szCs w:val="24"/>
          <w:lang w:val="en-US"/>
        </w:rPr>
        <w:t xml:space="preserve">, mean radiodensity, and </w:t>
      </w:r>
      <w:r w:rsidR="00FE371B" w:rsidRPr="00CB6B4A">
        <w:rPr>
          <w:rFonts w:ascii="Times New Roman" w:hAnsi="Times New Roman" w:cs="Times New Roman"/>
          <w:sz w:val="24"/>
          <w:szCs w:val="24"/>
          <w:vertAlign w:val="superscript"/>
          <w:lang w:val="en-US"/>
        </w:rPr>
        <w:t>18</w:t>
      </w:r>
      <w:r w:rsidR="00FE371B" w:rsidRPr="00CB6B4A">
        <w:rPr>
          <w:rFonts w:ascii="Times New Roman" w:hAnsi="Times New Roman" w:cs="Times New Roman"/>
          <w:sz w:val="24"/>
          <w:szCs w:val="24"/>
          <w:lang w:val="en-US"/>
        </w:rPr>
        <w:t>F-fluordeoxyglucose (</w:t>
      </w:r>
      <w:r w:rsidR="00FE371B" w:rsidRPr="00CB6B4A">
        <w:rPr>
          <w:rFonts w:ascii="Times New Roman" w:hAnsi="Times New Roman" w:cs="Times New Roman"/>
          <w:sz w:val="24"/>
          <w:szCs w:val="24"/>
          <w:vertAlign w:val="superscript"/>
          <w:lang w:val="en-US"/>
        </w:rPr>
        <w:t>18</w:t>
      </w:r>
      <w:r w:rsidR="00FE371B" w:rsidRPr="00CB6B4A">
        <w:rPr>
          <w:rFonts w:ascii="Times New Roman" w:hAnsi="Times New Roman" w:cs="Times New Roman"/>
          <w:sz w:val="24"/>
          <w:szCs w:val="24"/>
          <w:lang w:val="en-US"/>
        </w:rPr>
        <w:t>F-FDG) uptake</w:t>
      </w:r>
      <w:r w:rsidR="00177D92" w:rsidRPr="00CB6B4A">
        <w:rPr>
          <w:rFonts w:ascii="Times New Roman" w:hAnsi="Times New Roman" w:cs="Times New Roman"/>
          <w:sz w:val="24"/>
          <w:szCs w:val="24"/>
          <w:lang w:val="en-US"/>
        </w:rPr>
        <w:t xml:space="preserve"> </w:t>
      </w:r>
      <w:r w:rsidR="00306C6E">
        <w:rPr>
          <w:rFonts w:ascii="Times New Roman" w:hAnsi="Times New Roman" w:cs="Times New Roman"/>
          <w:sz w:val="24"/>
          <w:szCs w:val="24"/>
          <w:lang w:val="en-US"/>
        </w:rPr>
        <w:t>(</w:t>
      </w:r>
      <w:r w:rsidR="00306C6E" w:rsidRPr="00CB6B4A">
        <w:rPr>
          <w:rFonts w:ascii="Times New Roman" w:hAnsi="Times New Roman" w:cs="Times New Roman"/>
          <w:sz w:val="24"/>
          <w:szCs w:val="24"/>
          <w:lang w:val="en-US"/>
        </w:rPr>
        <w:t xml:space="preserve">assessed via a </w:t>
      </w:r>
      <w:r w:rsidR="00306C6E">
        <w:rPr>
          <w:rFonts w:ascii="Times New Roman" w:hAnsi="Times New Roman" w:cs="Times New Roman"/>
          <w:sz w:val="24"/>
          <w:szCs w:val="24"/>
          <w:lang w:val="en-US"/>
        </w:rPr>
        <w:t xml:space="preserve">static </w:t>
      </w:r>
      <w:r w:rsidR="00306C6E" w:rsidRPr="00CB6B4A">
        <w:rPr>
          <w:rFonts w:ascii="Times New Roman" w:hAnsi="Times New Roman" w:cs="Times New Roman"/>
          <w:sz w:val="24"/>
          <w:szCs w:val="24"/>
          <w:lang w:val="en-US"/>
        </w:rPr>
        <w:t>positron emission tomography-computerized tomography (PET-CT) scan after a 2</w:t>
      </w:r>
      <w:r w:rsidR="00306C6E">
        <w:rPr>
          <w:rFonts w:ascii="Times New Roman" w:hAnsi="Times New Roman" w:cs="Times New Roman"/>
          <w:sz w:val="24"/>
          <w:szCs w:val="24"/>
          <w:lang w:val="en-US"/>
        </w:rPr>
        <w:t>-</w:t>
      </w:r>
      <w:r w:rsidR="00306C6E" w:rsidRPr="00CB6B4A">
        <w:rPr>
          <w:rFonts w:ascii="Times New Roman" w:hAnsi="Times New Roman" w:cs="Times New Roman"/>
          <w:sz w:val="24"/>
          <w:szCs w:val="24"/>
          <w:lang w:val="en-US"/>
        </w:rPr>
        <w:t>h</w:t>
      </w:r>
      <w:r w:rsidR="00306C6E">
        <w:rPr>
          <w:rFonts w:ascii="Times New Roman" w:hAnsi="Times New Roman" w:cs="Times New Roman"/>
          <w:sz w:val="24"/>
          <w:szCs w:val="24"/>
          <w:lang w:val="en-US"/>
        </w:rPr>
        <w:t>our</w:t>
      </w:r>
      <w:r w:rsidR="00306C6E" w:rsidRPr="00CB6B4A">
        <w:rPr>
          <w:rFonts w:ascii="Times New Roman" w:hAnsi="Times New Roman" w:cs="Times New Roman"/>
          <w:sz w:val="24"/>
          <w:szCs w:val="24"/>
          <w:lang w:val="en-US"/>
        </w:rPr>
        <w:t xml:space="preserve"> personalized cold</w:t>
      </w:r>
      <w:r w:rsidR="00306C6E">
        <w:rPr>
          <w:rFonts w:ascii="Times New Roman" w:hAnsi="Times New Roman" w:cs="Times New Roman"/>
          <w:sz w:val="24"/>
          <w:szCs w:val="24"/>
          <w:lang w:val="en-US"/>
        </w:rPr>
        <w:t xml:space="preserve"> </w:t>
      </w:r>
      <w:r w:rsidR="00306C6E" w:rsidRPr="00CB6B4A">
        <w:rPr>
          <w:rFonts w:ascii="Times New Roman" w:hAnsi="Times New Roman" w:cs="Times New Roman"/>
          <w:sz w:val="24"/>
          <w:szCs w:val="24"/>
          <w:lang w:val="en-US"/>
        </w:rPr>
        <w:t>exposure</w:t>
      </w:r>
      <w:r w:rsidR="00306C6E">
        <w:rPr>
          <w:rFonts w:ascii="Times New Roman" w:hAnsi="Times New Roman" w:cs="Times New Roman"/>
          <w:sz w:val="24"/>
          <w:szCs w:val="24"/>
          <w:lang w:val="en-US"/>
        </w:rPr>
        <w:t xml:space="preserve">) </w:t>
      </w:r>
      <w:r w:rsidR="000E75AF">
        <w:rPr>
          <w:rFonts w:ascii="Times New Roman" w:hAnsi="Times New Roman" w:cs="Times New Roman"/>
          <w:sz w:val="24"/>
          <w:szCs w:val="24"/>
          <w:lang w:val="en-US"/>
        </w:rPr>
        <w:t>with</w:t>
      </w:r>
      <w:r w:rsidR="00177D92" w:rsidRPr="00CB6B4A">
        <w:rPr>
          <w:rFonts w:ascii="Times New Roman" w:hAnsi="Times New Roman" w:cs="Times New Roman"/>
          <w:sz w:val="24"/>
          <w:szCs w:val="24"/>
          <w:lang w:val="en-US"/>
        </w:rPr>
        <w:t xml:space="preserve"> </w:t>
      </w:r>
      <w:r w:rsidR="00266E8C">
        <w:rPr>
          <w:rFonts w:ascii="Times New Roman" w:hAnsi="Times New Roman" w:cs="Times New Roman"/>
          <w:sz w:val="24"/>
          <w:szCs w:val="24"/>
          <w:lang w:val="en-US"/>
        </w:rPr>
        <w:t>whole-</w:t>
      </w:r>
      <w:r w:rsidR="00177D92" w:rsidRPr="00CB6B4A">
        <w:rPr>
          <w:rFonts w:ascii="Times New Roman" w:hAnsi="Times New Roman" w:cs="Times New Roman"/>
          <w:sz w:val="24"/>
          <w:szCs w:val="24"/>
          <w:lang w:val="en-US"/>
        </w:rPr>
        <w:t xml:space="preserve">body </w:t>
      </w:r>
      <w:r w:rsidR="00085432">
        <w:rPr>
          <w:rFonts w:ascii="Times New Roman" w:hAnsi="Times New Roman" w:cs="Times New Roman"/>
          <w:sz w:val="24"/>
          <w:szCs w:val="24"/>
          <w:lang w:val="en-US"/>
        </w:rPr>
        <w:t>adiposity</w:t>
      </w:r>
      <w:r w:rsidR="00177D92" w:rsidRPr="00CB6B4A">
        <w:rPr>
          <w:rFonts w:ascii="Times New Roman" w:hAnsi="Times New Roman" w:cs="Times New Roman"/>
          <w:sz w:val="24"/>
          <w:szCs w:val="24"/>
          <w:lang w:val="en-US"/>
        </w:rPr>
        <w:t xml:space="preserve"> </w:t>
      </w:r>
      <w:r w:rsidR="00306C6E">
        <w:rPr>
          <w:rFonts w:ascii="Times New Roman" w:hAnsi="Times New Roman" w:cs="Times New Roman"/>
          <w:sz w:val="24"/>
          <w:szCs w:val="24"/>
          <w:lang w:val="en-US"/>
        </w:rPr>
        <w:t>(</w:t>
      </w:r>
      <w:r w:rsidR="00306C6E" w:rsidRPr="00CB6B4A">
        <w:rPr>
          <w:rFonts w:ascii="Times New Roman" w:hAnsi="Times New Roman" w:cs="Times New Roman"/>
          <w:sz w:val="24"/>
          <w:szCs w:val="24"/>
          <w:lang w:val="en-US"/>
        </w:rPr>
        <w:t>measured by dual-energy X-ray absorptiometry</w:t>
      </w:r>
      <w:r w:rsidR="00306C6E">
        <w:rPr>
          <w:rFonts w:ascii="Times New Roman" w:hAnsi="Times New Roman" w:cs="Times New Roman"/>
          <w:sz w:val="24"/>
          <w:szCs w:val="24"/>
          <w:lang w:val="en-US"/>
        </w:rPr>
        <w:t xml:space="preserve">) </w:t>
      </w:r>
      <w:r w:rsidR="00177D92" w:rsidRPr="00CB6B4A">
        <w:rPr>
          <w:rFonts w:ascii="Times New Roman" w:hAnsi="Times New Roman" w:cs="Times New Roman"/>
          <w:sz w:val="24"/>
          <w:szCs w:val="24"/>
          <w:lang w:val="en-US"/>
        </w:rPr>
        <w:t xml:space="preserve">in </w:t>
      </w:r>
      <w:r w:rsidR="00CB6B4A" w:rsidRPr="00CB6B4A">
        <w:rPr>
          <w:rFonts w:ascii="Times New Roman" w:hAnsi="Times New Roman" w:cs="Times New Roman"/>
          <w:sz w:val="24"/>
          <w:szCs w:val="24"/>
          <w:lang w:val="en-US"/>
        </w:rPr>
        <w:t>12</w:t>
      </w:r>
      <w:r w:rsidR="00896431">
        <w:rPr>
          <w:rFonts w:ascii="Times New Roman" w:hAnsi="Times New Roman" w:cs="Times New Roman"/>
          <w:sz w:val="24"/>
          <w:szCs w:val="24"/>
          <w:lang w:val="en-US"/>
        </w:rPr>
        <w:t>6</w:t>
      </w:r>
      <w:r w:rsidR="00CB6B4A" w:rsidRPr="00CB6B4A">
        <w:rPr>
          <w:rFonts w:ascii="Times New Roman" w:hAnsi="Times New Roman" w:cs="Times New Roman"/>
          <w:sz w:val="24"/>
          <w:szCs w:val="24"/>
          <w:lang w:val="en-US"/>
        </w:rPr>
        <w:t xml:space="preserve"> </w:t>
      </w:r>
      <w:r w:rsidR="00177D92" w:rsidRPr="00CB6B4A">
        <w:rPr>
          <w:rFonts w:ascii="Times New Roman" w:hAnsi="Times New Roman" w:cs="Times New Roman"/>
          <w:sz w:val="24"/>
          <w:szCs w:val="24"/>
          <w:lang w:val="en-US"/>
        </w:rPr>
        <w:t>young</w:t>
      </w:r>
      <w:r w:rsidR="00CB6B4A" w:rsidRPr="00CB6B4A">
        <w:rPr>
          <w:rFonts w:ascii="Times New Roman" w:hAnsi="Times New Roman" w:cs="Times New Roman"/>
          <w:sz w:val="24"/>
          <w:szCs w:val="24"/>
          <w:lang w:val="en-US"/>
        </w:rPr>
        <w:t xml:space="preserve"> </w:t>
      </w:r>
      <w:r w:rsidRPr="00CB6B4A">
        <w:rPr>
          <w:rFonts w:ascii="Times New Roman" w:hAnsi="Times New Roman" w:cs="Times New Roman"/>
          <w:sz w:val="24"/>
          <w:szCs w:val="24"/>
          <w:lang w:val="en-US"/>
        </w:rPr>
        <w:t>adults</w:t>
      </w:r>
      <w:r w:rsidR="00CB6B4A" w:rsidRPr="00CB6B4A">
        <w:rPr>
          <w:rFonts w:ascii="Times New Roman" w:hAnsi="Times New Roman" w:cs="Times New Roman"/>
          <w:sz w:val="24"/>
          <w:szCs w:val="24"/>
          <w:lang w:val="en-US"/>
        </w:rPr>
        <w:t xml:space="preserve"> (</w:t>
      </w:r>
      <w:r w:rsidR="00764E2C">
        <w:rPr>
          <w:rFonts w:ascii="Times New Roman" w:hAnsi="Times New Roman" w:cs="Times New Roman"/>
          <w:sz w:val="24"/>
          <w:szCs w:val="24"/>
          <w:lang w:val="en-US"/>
        </w:rPr>
        <w:t xml:space="preserve">42 men / </w:t>
      </w:r>
      <w:r w:rsidR="00CB6B4A" w:rsidRPr="00CB6B4A">
        <w:rPr>
          <w:rFonts w:ascii="Times New Roman" w:hAnsi="Times New Roman" w:cs="Times New Roman"/>
          <w:sz w:val="24"/>
          <w:szCs w:val="24"/>
          <w:lang w:val="en-US"/>
        </w:rPr>
        <w:t>84 women</w:t>
      </w:r>
      <w:r w:rsidR="00764E2C">
        <w:rPr>
          <w:rFonts w:ascii="Times New Roman" w:hAnsi="Times New Roman" w:cs="Times New Roman"/>
          <w:sz w:val="24"/>
          <w:szCs w:val="24"/>
          <w:lang w:val="en-US"/>
        </w:rPr>
        <w:t xml:space="preserve">; </w:t>
      </w:r>
      <w:r w:rsidR="004323BD" w:rsidRPr="00764E2C">
        <w:rPr>
          <w:rFonts w:ascii="Times New Roman" w:hAnsi="Times New Roman" w:cs="Times New Roman"/>
          <w:sz w:val="24"/>
          <w:szCs w:val="24"/>
          <w:lang w:val="en-US"/>
        </w:rPr>
        <w:t>2</w:t>
      </w:r>
      <w:r w:rsidR="004323BD">
        <w:rPr>
          <w:rFonts w:ascii="Times New Roman" w:hAnsi="Times New Roman" w:cs="Times New Roman"/>
          <w:sz w:val="24"/>
          <w:szCs w:val="24"/>
          <w:lang w:val="en-US"/>
        </w:rPr>
        <w:t>5</w:t>
      </w:r>
      <w:r w:rsidR="00764E2C">
        <w:rPr>
          <w:rFonts w:ascii="Times New Roman" w:hAnsi="Times New Roman" w:cs="Times New Roman"/>
          <w:sz w:val="24"/>
          <w:szCs w:val="24"/>
          <w:lang w:val="en-US"/>
        </w:rPr>
        <w:t>±</w:t>
      </w:r>
      <w:r w:rsidR="004323BD">
        <w:rPr>
          <w:rFonts w:ascii="Times New Roman" w:hAnsi="Times New Roman" w:cs="Times New Roman"/>
          <w:sz w:val="24"/>
          <w:szCs w:val="24"/>
          <w:lang w:val="en-US"/>
        </w:rPr>
        <w:t>5</w:t>
      </w:r>
      <w:r w:rsidR="00764E2C">
        <w:rPr>
          <w:rFonts w:ascii="Times New Roman" w:hAnsi="Times New Roman" w:cs="Times New Roman"/>
          <w:sz w:val="24"/>
          <w:szCs w:val="24"/>
          <w:lang w:val="en-US"/>
        </w:rPr>
        <w:t xml:space="preserve"> kg/m</w:t>
      </w:r>
      <w:r w:rsidR="00764E2C" w:rsidRPr="00764E2C">
        <w:rPr>
          <w:rFonts w:ascii="Times New Roman" w:hAnsi="Times New Roman" w:cs="Times New Roman"/>
          <w:sz w:val="24"/>
          <w:szCs w:val="24"/>
          <w:vertAlign w:val="superscript"/>
          <w:lang w:val="en-US"/>
        </w:rPr>
        <w:t>2</w:t>
      </w:r>
      <w:r w:rsidR="00CB6B4A" w:rsidRPr="00CB6B4A">
        <w:rPr>
          <w:rFonts w:ascii="Times New Roman" w:hAnsi="Times New Roman" w:cs="Times New Roman"/>
          <w:sz w:val="24"/>
          <w:szCs w:val="24"/>
          <w:lang w:val="en-US"/>
        </w:rPr>
        <w:t>)</w:t>
      </w:r>
      <w:r w:rsidRPr="00CB6B4A">
        <w:rPr>
          <w:rFonts w:ascii="Times New Roman" w:hAnsi="Times New Roman" w:cs="Times New Roman"/>
          <w:sz w:val="24"/>
          <w:szCs w:val="24"/>
          <w:lang w:val="en-US"/>
        </w:rPr>
        <w:t>.</w:t>
      </w:r>
      <w:r w:rsidR="00CB6B4A" w:rsidRPr="00CB6B4A">
        <w:rPr>
          <w:rFonts w:ascii="Times New Roman" w:hAnsi="Times New Roman" w:cs="Times New Roman"/>
          <w:sz w:val="24"/>
          <w:szCs w:val="24"/>
          <w:lang w:val="en-US"/>
        </w:rPr>
        <w:t xml:space="preserve"> </w:t>
      </w:r>
      <w:r w:rsidRPr="00CB6B4A">
        <w:rPr>
          <w:rFonts w:ascii="Times New Roman" w:hAnsi="Times New Roman" w:cs="Times New Roman"/>
          <w:sz w:val="24"/>
          <w:szCs w:val="24"/>
          <w:lang w:val="en-US"/>
        </w:rPr>
        <w:t xml:space="preserve">BAT volume, but not </w:t>
      </w:r>
      <w:r w:rsidRPr="00CB6B4A">
        <w:rPr>
          <w:rFonts w:ascii="Times New Roman" w:hAnsi="Times New Roman" w:cs="Times New Roman"/>
          <w:sz w:val="24"/>
          <w:szCs w:val="24"/>
          <w:vertAlign w:val="superscript"/>
          <w:lang w:val="en-US"/>
        </w:rPr>
        <w:t>18</w:t>
      </w:r>
      <w:r w:rsidRPr="00CB6B4A">
        <w:rPr>
          <w:rFonts w:ascii="Times New Roman" w:hAnsi="Times New Roman" w:cs="Times New Roman"/>
          <w:sz w:val="24"/>
          <w:szCs w:val="24"/>
          <w:lang w:val="en-US"/>
        </w:rPr>
        <w:t xml:space="preserve">F-FDG uptake, was positively associated with </w:t>
      </w:r>
      <w:r w:rsidR="00517361" w:rsidRPr="00CB6B4A">
        <w:rPr>
          <w:rFonts w:ascii="Times New Roman" w:hAnsi="Times New Roman" w:cs="Times New Roman"/>
          <w:sz w:val="24"/>
          <w:szCs w:val="24"/>
          <w:lang w:val="en-US"/>
        </w:rPr>
        <w:t>body mass index</w:t>
      </w:r>
      <w:r w:rsidR="00BB47E0">
        <w:rPr>
          <w:rFonts w:ascii="Times New Roman" w:hAnsi="Times New Roman" w:cs="Times New Roman"/>
          <w:sz w:val="24"/>
          <w:szCs w:val="24"/>
          <w:lang w:val="en-US"/>
        </w:rPr>
        <w:t xml:space="preserve"> (BMI)</w:t>
      </w:r>
      <w:r w:rsidR="00CB6B4A" w:rsidRPr="00CB6B4A">
        <w:rPr>
          <w:rFonts w:ascii="Times New Roman" w:hAnsi="Times New Roman" w:cs="Times New Roman"/>
          <w:sz w:val="24"/>
          <w:szCs w:val="24"/>
          <w:lang w:val="en-US"/>
        </w:rPr>
        <w:t>,</w:t>
      </w:r>
      <w:r w:rsidR="00517361" w:rsidRPr="00CB6B4A">
        <w:rPr>
          <w:rFonts w:ascii="Times New Roman" w:hAnsi="Times New Roman" w:cs="Times New Roman"/>
          <w:sz w:val="24"/>
          <w:szCs w:val="24"/>
          <w:lang w:val="en-US"/>
        </w:rPr>
        <w:t xml:space="preserve"> </w:t>
      </w:r>
      <w:r w:rsidR="002D7356" w:rsidRPr="00CB6B4A">
        <w:rPr>
          <w:rFonts w:ascii="Times New Roman" w:hAnsi="Times New Roman" w:cs="Times New Roman"/>
          <w:sz w:val="24"/>
          <w:szCs w:val="24"/>
          <w:lang w:val="en-US"/>
        </w:rPr>
        <w:t>fat mass</w:t>
      </w:r>
      <w:r w:rsidR="003B539A">
        <w:rPr>
          <w:rFonts w:ascii="Times New Roman" w:hAnsi="Times New Roman" w:cs="Times New Roman"/>
          <w:sz w:val="24"/>
          <w:szCs w:val="24"/>
          <w:lang w:val="en-US"/>
        </w:rPr>
        <w:t>,</w:t>
      </w:r>
      <w:r w:rsidRPr="00CB6B4A">
        <w:rPr>
          <w:rFonts w:ascii="Times New Roman" w:hAnsi="Times New Roman" w:cs="Times New Roman"/>
          <w:sz w:val="24"/>
          <w:szCs w:val="24"/>
          <w:lang w:val="en-US"/>
        </w:rPr>
        <w:t xml:space="preserve"> and </w:t>
      </w:r>
      <w:r w:rsidR="00306C6E">
        <w:rPr>
          <w:rFonts w:ascii="Times New Roman" w:hAnsi="Times New Roman" w:cs="Times New Roman"/>
          <w:sz w:val="24"/>
          <w:szCs w:val="24"/>
          <w:lang w:val="en-US"/>
        </w:rPr>
        <w:t>visceral adipose tissue</w:t>
      </w:r>
      <w:r w:rsidR="00517361" w:rsidRPr="00CB6B4A">
        <w:rPr>
          <w:rFonts w:ascii="Times New Roman" w:hAnsi="Times New Roman" w:cs="Times New Roman"/>
          <w:sz w:val="24"/>
          <w:szCs w:val="24"/>
          <w:lang w:val="en-US"/>
        </w:rPr>
        <w:t xml:space="preserve"> </w:t>
      </w:r>
      <w:r w:rsidR="00FE371B" w:rsidRPr="00CB6B4A">
        <w:rPr>
          <w:rFonts w:ascii="Times New Roman" w:hAnsi="Times New Roman" w:cs="Times New Roman"/>
          <w:sz w:val="24"/>
          <w:szCs w:val="24"/>
          <w:lang w:val="en-US"/>
        </w:rPr>
        <w:t>mass</w:t>
      </w:r>
      <w:r w:rsidRPr="00CB6B4A">
        <w:rPr>
          <w:rFonts w:ascii="Times New Roman" w:hAnsi="Times New Roman" w:cs="Times New Roman"/>
          <w:sz w:val="24"/>
          <w:szCs w:val="24"/>
          <w:lang w:val="en-US"/>
        </w:rPr>
        <w:t xml:space="preserve"> </w:t>
      </w:r>
      <w:r w:rsidR="00CB6B4A" w:rsidRPr="00CB6B4A">
        <w:rPr>
          <w:rFonts w:ascii="Times New Roman" w:hAnsi="Times New Roman" w:cs="Times New Roman"/>
          <w:sz w:val="24"/>
          <w:szCs w:val="24"/>
          <w:lang w:val="en-US"/>
        </w:rPr>
        <w:t>in men, but not in women</w:t>
      </w:r>
      <w:r w:rsidR="00CB6B4A" w:rsidRPr="00C85E47">
        <w:rPr>
          <w:rFonts w:ascii="Times New Roman" w:hAnsi="Times New Roman" w:cs="Times New Roman"/>
          <w:sz w:val="24"/>
          <w:szCs w:val="24"/>
          <w:lang w:val="en-US"/>
        </w:rPr>
        <w:t>.</w:t>
      </w:r>
      <w:r w:rsidRPr="00CB6B4A">
        <w:rPr>
          <w:rFonts w:ascii="Times New Roman" w:hAnsi="Times New Roman" w:cs="Times New Roman"/>
          <w:sz w:val="24"/>
          <w:szCs w:val="24"/>
          <w:lang w:val="en-US"/>
        </w:rPr>
        <w:t xml:space="preserve"> </w:t>
      </w:r>
      <w:r w:rsidR="00764E2C" w:rsidRPr="00CB6B4A">
        <w:rPr>
          <w:rFonts w:ascii="Times New Roman" w:hAnsi="Times New Roman" w:cs="Times New Roman"/>
          <w:sz w:val="24"/>
          <w:szCs w:val="24"/>
          <w:lang w:val="en-US"/>
        </w:rPr>
        <w:t>These associations were independent of the date when the PET-CT was performed, insulin sensitivity and body surface are</w:t>
      </w:r>
      <w:r w:rsidR="00764E2C">
        <w:rPr>
          <w:rFonts w:ascii="Times New Roman" w:hAnsi="Times New Roman" w:cs="Times New Roman"/>
          <w:sz w:val="24"/>
          <w:szCs w:val="24"/>
          <w:lang w:val="en-US"/>
        </w:rPr>
        <w:t>a</w:t>
      </w:r>
      <w:r w:rsidR="00764E2C" w:rsidRPr="00CB6B4A">
        <w:rPr>
          <w:rFonts w:ascii="Times New Roman" w:hAnsi="Times New Roman" w:cs="Times New Roman"/>
          <w:sz w:val="24"/>
          <w:szCs w:val="24"/>
          <w:lang w:val="en-US"/>
        </w:rPr>
        <w:t>.</w:t>
      </w:r>
      <w:r w:rsidR="00764E2C">
        <w:rPr>
          <w:rFonts w:ascii="Times New Roman" w:hAnsi="Times New Roman" w:cs="Times New Roman"/>
          <w:sz w:val="24"/>
          <w:szCs w:val="24"/>
          <w:lang w:val="en-US"/>
        </w:rPr>
        <w:t xml:space="preserve"> BAT mean radiodensity, an inverse proxy of BAT fat content, was negatively associated </w:t>
      </w:r>
      <w:r w:rsidR="00764E2C" w:rsidRPr="001417BE">
        <w:rPr>
          <w:rFonts w:ascii="Times New Roman" w:hAnsi="Times New Roman" w:cs="Times New Roman"/>
          <w:sz w:val="24"/>
          <w:lang w:val="en-US"/>
        </w:rPr>
        <w:t>was with BMI</w:t>
      </w:r>
      <w:r w:rsidR="007805E4">
        <w:rPr>
          <w:rFonts w:ascii="Times New Roman" w:hAnsi="Times New Roman" w:cs="Times New Roman"/>
          <w:sz w:val="24"/>
          <w:lang w:val="en-US"/>
        </w:rPr>
        <w:t>, waist circumference, fat</w:t>
      </w:r>
      <w:r w:rsidR="00764E2C">
        <w:rPr>
          <w:rFonts w:ascii="Times New Roman" w:hAnsi="Times New Roman" w:cs="Times New Roman"/>
          <w:sz w:val="24"/>
          <w:lang w:val="en-US"/>
        </w:rPr>
        <w:t xml:space="preserve"> </w:t>
      </w:r>
      <w:r w:rsidR="00764E2C" w:rsidRPr="001417BE">
        <w:rPr>
          <w:rFonts w:ascii="Times New Roman" w:hAnsi="Times New Roman" w:cs="Times New Roman"/>
          <w:sz w:val="24"/>
          <w:lang w:val="en-US"/>
        </w:rPr>
        <w:t xml:space="preserve">mass </w:t>
      </w:r>
      <w:r w:rsidR="007805E4">
        <w:rPr>
          <w:rFonts w:ascii="Times New Roman" w:hAnsi="Times New Roman" w:cs="Times New Roman"/>
          <w:sz w:val="24"/>
          <w:lang w:val="en-US"/>
        </w:rPr>
        <w:t xml:space="preserve">and visceral adipose tissue mas </w:t>
      </w:r>
      <w:r w:rsidR="00764E2C">
        <w:rPr>
          <w:rFonts w:ascii="Times New Roman" w:hAnsi="Times New Roman" w:cs="Times New Roman"/>
          <w:sz w:val="24"/>
          <w:lang w:val="en-US"/>
        </w:rPr>
        <w:t>in men and with percentage fat mass in women.</w:t>
      </w:r>
      <w:r w:rsidR="00BB47E0">
        <w:rPr>
          <w:rFonts w:ascii="Times New Roman" w:hAnsi="Times New Roman" w:cs="Times New Roman"/>
          <w:sz w:val="24"/>
          <w:lang w:val="en-US"/>
        </w:rPr>
        <w:t xml:space="preserve"> </w:t>
      </w:r>
      <w:r w:rsidR="003B539A">
        <w:rPr>
          <w:rFonts w:ascii="Times New Roman" w:hAnsi="Times New Roman" w:cs="Times New Roman"/>
          <w:sz w:val="24"/>
          <w:szCs w:val="24"/>
          <w:lang w:val="en-US"/>
        </w:rPr>
        <w:t>Th</w:t>
      </w:r>
      <w:r w:rsidR="00764E2C">
        <w:rPr>
          <w:rFonts w:ascii="Times New Roman" w:hAnsi="Times New Roman" w:cs="Times New Roman"/>
          <w:sz w:val="24"/>
          <w:szCs w:val="24"/>
          <w:lang w:val="en-US"/>
        </w:rPr>
        <w:t>ese</w:t>
      </w:r>
      <w:r w:rsidRPr="00CB6B4A">
        <w:rPr>
          <w:rFonts w:ascii="Times New Roman" w:hAnsi="Times New Roman" w:cs="Times New Roman"/>
          <w:sz w:val="24"/>
          <w:szCs w:val="24"/>
          <w:lang w:val="en-US"/>
        </w:rPr>
        <w:t xml:space="preserve"> </w:t>
      </w:r>
      <w:r w:rsidR="00764E2C">
        <w:rPr>
          <w:rFonts w:ascii="Times New Roman" w:hAnsi="Times New Roman" w:cs="Times New Roman"/>
          <w:sz w:val="24"/>
          <w:szCs w:val="24"/>
          <w:lang w:val="en-US"/>
        </w:rPr>
        <w:t xml:space="preserve">results refute </w:t>
      </w:r>
      <w:r w:rsidRPr="00CB6B4A">
        <w:rPr>
          <w:rFonts w:ascii="Times New Roman" w:hAnsi="Times New Roman" w:cs="Times New Roman"/>
          <w:sz w:val="24"/>
          <w:szCs w:val="24"/>
          <w:lang w:val="en-US"/>
        </w:rPr>
        <w:t xml:space="preserve">the widely </w:t>
      </w:r>
      <w:r w:rsidR="00196ED2" w:rsidRPr="00CB6B4A">
        <w:rPr>
          <w:rFonts w:ascii="Times New Roman" w:hAnsi="Times New Roman" w:cs="Times New Roman"/>
          <w:sz w:val="24"/>
          <w:szCs w:val="24"/>
          <w:lang w:val="en-US"/>
        </w:rPr>
        <w:t>held</w:t>
      </w:r>
      <w:r w:rsidRPr="00CB6B4A">
        <w:rPr>
          <w:rFonts w:ascii="Times New Roman" w:hAnsi="Times New Roman" w:cs="Times New Roman"/>
          <w:sz w:val="24"/>
          <w:szCs w:val="24"/>
          <w:lang w:val="en-US"/>
        </w:rPr>
        <w:t xml:space="preserve"> belief that human BAT volume is reduced in obese</w:t>
      </w:r>
      <w:r w:rsidR="00196ED2" w:rsidRPr="00CB6B4A">
        <w:rPr>
          <w:rFonts w:ascii="Times New Roman" w:hAnsi="Times New Roman" w:cs="Times New Roman"/>
          <w:sz w:val="24"/>
          <w:szCs w:val="24"/>
          <w:lang w:val="en-US"/>
        </w:rPr>
        <w:t xml:space="preserve"> persons</w:t>
      </w:r>
      <w:r w:rsidRPr="00CB6B4A">
        <w:rPr>
          <w:rFonts w:ascii="Times New Roman" w:hAnsi="Times New Roman" w:cs="Times New Roman"/>
          <w:sz w:val="24"/>
          <w:szCs w:val="24"/>
          <w:lang w:val="en-US"/>
        </w:rPr>
        <w:t xml:space="preserve">, at least in young </w:t>
      </w:r>
      <w:r w:rsidR="00196ED2" w:rsidRPr="00CB6B4A">
        <w:rPr>
          <w:rFonts w:ascii="Times New Roman" w:hAnsi="Times New Roman" w:cs="Times New Roman"/>
          <w:sz w:val="24"/>
          <w:szCs w:val="24"/>
          <w:lang w:val="en-US"/>
        </w:rPr>
        <w:t>adults</w:t>
      </w:r>
      <w:r w:rsidR="00764E2C">
        <w:rPr>
          <w:rFonts w:ascii="Times New Roman" w:hAnsi="Times New Roman" w:cs="Times New Roman"/>
          <w:sz w:val="24"/>
          <w:szCs w:val="24"/>
          <w:lang w:val="en-US"/>
        </w:rPr>
        <w:t>, and suggest that it might even be the opposite in young men.</w:t>
      </w:r>
    </w:p>
    <w:bookmarkEnd w:id="0"/>
    <w:p w14:paraId="7A6B980E" w14:textId="77777777" w:rsidR="0035145C" w:rsidRDefault="0035145C">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260EE5D5" w14:textId="4D7A8187" w:rsidR="004C322B" w:rsidRPr="001417BE" w:rsidRDefault="0054772F" w:rsidP="00F26896">
      <w:pPr>
        <w:spacing w:line="480" w:lineRule="auto"/>
        <w:rPr>
          <w:rFonts w:ascii="Times New Roman" w:hAnsi="Times New Roman" w:cs="Times New Roman"/>
          <w:b/>
          <w:sz w:val="24"/>
          <w:szCs w:val="24"/>
          <w:lang w:val="en-US"/>
        </w:rPr>
      </w:pPr>
      <w:r w:rsidRPr="001417BE">
        <w:rPr>
          <w:rFonts w:ascii="Times New Roman" w:hAnsi="Times New Roman" w:cs="Times New Roman"/>
          <w:b/>
          <w:sz w:val="24"/>
          <w:szCs w:val="24"/>
          <w:lang w:val="en-US"/>
        </w:rPr>
        <w:lastRenderedPageBreak/>
        <w:t>INTRODUCTION</w:t>
      </w:r>
    </w:p>
    <w:p w14:paraId="2493D627" w14:textId="1331BB42" w:rsidR="0054772F" w:rsidRPr="001417BE" w:rsidRDefault="00F26896" w:rsidP="00124A28">
      <w:pPr>
        <w:spacing w:line="480" w:lineRule="auto"/>
        <w:jc w:val="both"/>
        <w:rPr>
          <w:rFonts w:ascii="Times New Roman" w:hAnsi="Times New Roman" w:cs="Times New Roman"/>
          <w:sz w:val="24"/>
          <w:szCs w:val="24"/>
          <w:lang w:val="en-US"/>
        </w:rPr>
      </w:pPr>
      <w:r w:rsidRPr="001417BE">
        <w:rPr>
          <w:rFonts w:ascii="Times New Roman" w:hAnsi="Times New Roman" w:cs="Times New Roman"/>
          <w:sz w:val="24"/>
          <w:szCs w:val="24"/>
          <w:lang w:val="en-US"/>
        </w:rPr>
        <w:t xml:space="preserve">Brown adipose tissue (BAT) is the main </w:t>
      </w:r>
      <w:r w:rsidR="00196ED2" w:rsidRPr="001417BE">
        <w:rPr>
          <w:rFonts w:ascii="Times New Roman" w:hAnsi="Times New Roman" w:cs="Times New Roman"/>
          <w:sz w:val="24"/>
          <w:szCs w:val="24"/>
          <w:lang w:val="en-US"/>
        </w:rPr>
        <w:t>tissue</w:t>
      </w:r>
      <w:r w:rsidR="00DB793C" w:rsidRPr="001417BE">
        <w:rPr>
          <w:rFonts w:ascii="Times New Roman" w:hAnsi="Times New Roman" w:cs="Times New Roman"/>
          <w:sz w:val="24"/>
          <w:szCs w:val="24"/>
          <w:lang w:val="en-US"/>
        </w:rPr>
        <w:t xml:space="preserve"> responsible for </w:t>
      </w:r>
      <w:r w:rsidRPr="001417BE">
        <w:rPr>
          <w:rFonts w:ascii="Times New Roman" w:hAnsi="Times New Roman" w:cs="Times New Roman"/>
          <w:sz w:val="24"/>
          <w:szCs w:val="24"/>
          <w:lang w:val="en-US"/>
        </w:rPr>
        <w:t>adaptive thermogenesis</w:t>
      </w:r>
      <w:r w:rsidR="00497D1D" w:rsidRPr="001417BE">
        <w:rPr>
          <w:rFonts w:ascii="Times New Roman" w:hAnsi="Times New Roman" w:cs="Times New Roman"/>
          <w:sz w:val="24"/>
          <w:szCs w:val="24"/>
          <w:lang w:val="en-US"/>
        </w:rPr>
        <w:t xml:space="preserve"> </w:t>
      </w:r>
      <w:r w:rsidR="00196ED2" w:rsidRPr="001417BE">
        <w:rPr>
          <w:rFonts w:ascii="Times New Roman" w:hAnsi="Times New Roman" w:cs="Times New Roman"/>
          <w:sz w:val="24"/>
          <w:szCs w:val="24"/>
          <w:lang w:val="en-US"/>
        </w:rPr>
        <w:t xml:space="preserve">in rodents </w:t>
      </w:r>
      <w:r w:rsidR="007F62F0" w:rsidRPr="001417BE">
        <w:rPr>
          <w:rFonts w:ascii="Times New Roman" w:hAnsi="Times New Roman" w:cs="Times New Roman"/>
          <w:sz w:val="24"/>
          <w:szCs w:val="24"/>
          <w:lang w:val="en-US"/>
        </w:rPr>
        <w:fldChar w:fldCharType="begin" w:fldLock="1"/>
      </w:r>
      <w:r w:rsidR="00AF4442">
        <w:rPr>
          <w:rFonts w:ascii="Times New Roman" w:hAnsi="Times New Roman" w:cs="Times New Roman"/>
          <w:sz w:val="24"/>
          <w:szCs w:val="24"/>
          <w:lang w:val="en-US"/>
        </w:rPr>
        <w:instrText>ADDIN CSL_CITATION {"citationItems":[{"id":"ITEM-1","itemData":{"DOI":"10.1152/physrev.00015.2003","ISSN":"0031-9333","PMID":"14715917","abstract":"The function of brown adipose tissue is to transfer energy from food into heat; physiologically, both the heat produced and the resulting decrease in metabolic efficiency can be of significance. Both the acute activity of the tissue, i.e., the heat production, and the recruitment process in the tissue (that results in a higher thermogenic capacity) are under the control of norepinephrine released from sympathetic nerves. In thermoregulatory thermogenesis, brown adipose tissue is essential for classical nonshivering thermogenesis (this phenomenon does not exist in the absence of functional brown adipose tissue), as well as for the cold acclimation-recruited norepinephrine-induced thermogenesis. Heat production from brown adipose tissue is activated whenever the organism is in need of extra heat, e.g., postnatally, during entry into a febrile state, and during arousal from hibernation, and the rate of thermogenesis is centrally controlled via a pathway initiated in the hypothalamus. Feeding as such also results in activation of brown adipose tissue; a series of diets, apparently all characterized by being low in protein, result in a leptin-dependent recruitment of the tissue; this metaboloregulatory thermogenesis is also under hypothalamic control. When the tissue is active, high amounts of lipids and glucose are combusted in the tissue. The development of brown adipose tissue with its characteristic protein, uncoupling protein-1 (UCP1), was probably determinative for the evolutionary success of mammals, as its thermogenesis enhances neonatal survival and allows for active life even in cold surroundings.","author":[{"dropping-particle":"","family":"Cannon","given":"Barbara","non-dropping-particle":"","parse-names":false,"suffix":""},{"dropping-particle":"","family":"Nedergaard","given":"Jan","non-dropping-particle":"","parse-names":false,"suffix":""}],"container-title":"Physiological reviews","id":"ITEM-1","issue":"1","issued":{"date-parts":[["2004","1"]]},"page":"277-359","title":"Brown adipose tissue: function and physiological significance.","type":"article-journal","volume":"84"},"uris":["http://www.mendeley.com/documents/?uuid=551332b5-84c5-4738-853a-3bd83dd5d394"]}],"mendeley":{"formattedCitation":"(1)","plainTextFormattedCitation":"(1)","previouslyFormattedCitation":"(1)"},"properties":{"noteIndex":0},"schema":"https://github.com/citation-style-language/schema/raw/master/csl-citation.json"}</w:instrText>
      </w:r>
      <w:r w:rsidR="007F62F0" w:rsidRPr="001417BE">
        <w:rPr>
          <w:rFonts w:ascii="Times New Roman" w:hAnsi="Times New Roman" w:cs="Times New Roman"/>
          <w:sz w:val="24"/>
          <w:szCs w:val="24"/>
          <w:lang w:val="en-US"/>
        </w:rPr>
        <w:fldChar w:fldCharType="separate"/>
      </w:r>
      <w:r w:rsidR="00AF4442" w:rsidRPr="00AF4442">
        <w:rPr>
          <w:rFonts w:ascii="Times New Roman" w:hAnsi="Times New Roman" w:cs="Times New Roman"/>
          <w:noProof/>
          <w:sz w:val="24"/>
          <w:szCs w:val="24"/>
          <w:lang w:val="en-US"/>
        </w:rPr>
        <w:t>(1)</w:t>
      </w:r>
      <w:r w:rsidR="007F62F0" w:rsidRPr="001417BE">
        <w:rPr>
          <w:rFonts w:ascii="Times New Roman" w:hAnsi="Times New Roman" w:cs="Times New Roman"/>
          <w:sz w:val="24"/>
          <w:szCs w:val="24"/>
          <w:lang w:val="en-US"/>
        </w:rPr>
        <w:fldChar w:fldCharType="end"/>
      </w:r>
      <w:r w:rsidR="00196ED2" w:rsidRPr="001417BE">
        <w:rPr>
          <w:rFonts w:ascii="Times New Roman" w:hAnsi="Times New Roman" w:cs="Times New Roman"/>
          <w:sz w:val="24"/>
          <w:szCs w:val="24"/>
          <w:lang w:val="en-US"/>
        </w:rPr>
        <w:t xml:space="preserve">, in </w:t>
      </w:r>
      <w:r w:rsidR="001417BE" w:rsidRPr="001417BE">
        <w:rPr>
          <w:rFonts w:ascii="Times New Roman" w:hAnsi="Times New Roman" w:cs="Times New Roman"/>
          <w:sz w:val="24"/>
          <w:szCs w:val="24"/>
          <w:lang w:val="en-US"/>
        </w:rPr>
        <w:t>which</w:t>
      </w:r>
      <w:r w:rsidR="00196ED2" w:rsidRPr="001417BE">
        <w:rPr>
          <w:rFonts w:ascii="Times New Roman" w:hAnsi="Times New Roman" w:cs="Times New Roman"/>
          <w:sz w:val="24"/>
          <w:szCs w:val="24"/>
          <w:lang w:val="en-US"/>
        </w:rPr>
        <w:t xml:space="preserve"> it can be responsible</w:t>
      </w:r>
      <w:r w:rsidRPr="001417BE">
        <w:rPr>
          <w:rFonts w:ascii="Times New Roman" w:hAnsi="Times New Roman" w:cs="Times New Roman"/>
          <w:sz w:val="24"/>
          <w:szCs w:val="24"/>
          <w:lang w:val="en-US"/>
        </w:rPr>
        <w:t xml:space="preserve"> </w:t>
      </w:r>
      <w:r w:rsidR="00196ED2" w:rsidRPr="001417BE">
        <w:rPr>
          <w:rFonts w:ascii="Times New Roman" w:hAnsi="Times New Roman" w:cs="Times New Roman"/>
          <w:sz w:val="24"/>
          <w:szCs w:val="24"/>
          <w:lang w:val="en-US"/>
        </w:rPr>
        <w:t>for up to</w:t>
      </w:r>
      <w:r w:rsidRPr="001417BE">
        <w:rPr>
          <w:rFonts w:ascii="Times New Roman" w:hAnsi="Times New Roman" w:cs="Times New Roman"/>
          <w:sz w:val="24"/>
          <w:szCs w:val="24"/>
          <w:lang w:val="en-US"/>
        </w:rPr>
        <w:t xml:space="preserve"> 60% of total energy expenditure</w:t>
      </w:r>
      <w:r w:rsidR="00497D1D" w:rsidRPr="001417BE">
        <w:rPr>
          <w:rFonts w:ascii="Times New Roman" w:hAnsi="Times New Roman" w:cs="Times New Roman"/>
          <w:sz w:val="24"/>
          <w:szCs w:val="24"/>
          <w:lang w:val="en-US"/>
        </w:rPr>
        <w:t xml:space="preserve"> </w:t>
      </w:r>
      <w:r w:rsidR="007F62F0" w:rsidRPr="001417BE">
        <w:rPr>
          <w:rFonts w:ascii="Times New Roman" w:hAnsi="Times New Roman" w:cs="Times New Roman"/>
          <w:sz w:val="24"/>
          <w:szCs w:val="24"/>
          <w:lang w:val="en-US"/>
        </w:rPr>
        <w:fldChar w:fldCharType="begin" w:fldLock="1"/>
      </w:r>
      <w:r w:rsidR="00AF4442">
        <w:rPr>
          <w:rFonts w:ascii="Times New Roman" w:hAnsi="Times New Roman" w:cs="Times New Roman"/>
          <w:sz w:val="24"/>
          <w:szCs w:val="24"/>
          <w:lang w:val="en-US"/>
        </w:rPr>
        <w:instrText>ADDIN CSL_CITATION {"citationItems":[{"id":"ITEM-1","itemData":{"ISSN":"0008-4212","PMID":"445227","author":[{"dropping-particle":"","family":"Foster","given":"D O","non-dropping-particle":"","parse-names":false,"suffix":""},{"dropping-particle":"","family":"Frydman","given":"M L","non-dropping-particle":"","parse-names":false,"suffix":""}],"container-title":"Canadian journal of physiology and pharmacology","id":"ITEM-1","issue":"3","issued":{"date-parts":[["1979","3"]]},"page":"257-70","title":"Tissue distribution of cold-induced thermogenesis in conscious warm- or cold-acclimated rats reevaluated from changes in tissue blood flow: the dominant role of brown adipose tissue in the replacement of shivering by nonshivering thermogenesis.","type":"article-journal","volume":"57"},"uris":["http://www.mendeley.com/documents/?uuid=33a13f5a-ca9b-365e-84c7-9dd6a7efb485"]},{"id":"ITEM-2","itemData":{"DOI":"10.1007/BF00695778","ISSN":"0174-1578","PMID":"3836234","abstract":"To assess the thermogenic importance of BAT in Djungarian hamsters we removed about 40% of their BAT and compared their thermogenic abilities before and after the operation. BAT was weighed and assayed for its respiratory properties (Cox, mitochondria). Following removal of BAT we observed considerable reductions of NST. The comparison of NST with BAT weight and with respiratory properties of BAT following partial removal of BAT revealed that at least three different pathways for heat production were involved in NST. In cold-adapted hamsters (values for warm-adapted hamsters in parentheses) we estimated that 66.2% (37.0%) of all NST was produced by mitochondrial respiration in BAT; 16.3% (38.4%) was produced in other organ sites but required the presence of BAT, i.e. there was a mediatory action of BAT on thermogenesis in other organ sites. A further 11.5% (23%) of NST occurred outside of and independent of BAT. Mitochondrial respiration in BAT was the only compartment of NST which increased its contribution during cold adaptation (238 mW to 1,062 mW), whereas the other sources of heat remained largely unchanged.","author":[{"dropping-particle":"","family":"Heldmaier","given":"Gerhard","non-dropping-particle":"","parse-names":false,"suffix":""},{"dropping-particle":"","family":"Buchberger","given":"Astrid","non-dropping-particle":"","parse-names":false,"suffix":""}],"container-title":"Journal of Comparative Physiology B","id":"ITEM-2","issue":"2","issued":{"date-parts":[["1985"]]},"page":"237-245","title":"Sources of heat during nonshivering thermogenesis in Djungarian hamsters: a dominant role of brown adipose tissue during cold adaptation","type":"article-journal","volume":"156"},"uris":["http://www.mendeley.com/documents/?uuid=b9849abf-8a0d-34cd-80d7-6a42ab349941"]}],"mendeley":{"formattedCitation":"(2,3)","plainTextFormattedCitation":"(2,3)","previouslyFormattedCitation":"(2,3)"},"properties":{"noteIndex":0},"schema":"https://github.com/citation-style-language/schema/raw/master/csl-citation.json"}</w:instrText>
      </w:r>
      <w:r w:rsidR="007F62F0" w:rsidRPr="001417BE">
        <w:rPr>
          <w:rFonts w:ascii="Times New Roman" w:hAnsi="Times New Roman" w:cs="Times New Roman"/>
          <w:sz w:val="24"/>
          <w:szCs w:val="24"/>
          <w:lang w:val="en-US"/>
        </w:rPr>
        <w:fldChar w:fldCharType="separate"/>
      </w:r>
      <w:r w:rsidR="00AF4442" w:rsidRPr="00AF4442">
        <w:rPr>
          <w:rFonts w:ascii="Times New Roman" w:hAnsi="Times New Roman" w:cs="Times New Roman"/>
          <w:noProof/>
          <w:sz w:val="24"/>
          <w:szCs w:val="24"/>
          <w:lang w:val="en-US"/>
        </w:rPr>
        <w:t>(2,3)</w:t>
      </w:r>
      <w:r w:rsidR="007F62F0" w:rsidRPr="001417BE">
        <w:rPr>
          <w:rFonts w:ascii="Times New Roman" w:hAnsi="Times New Roman" w:cs="Times New Roman"/>
          <w:sz w:val="24"/>
          <w:szCs w:val="24"/>
          <w:lang w:val="en-US"/>
        </w:rPr>
        <w:fldChar w:fldCharType="end"/>
      </w:r>
      <w:r w:rsidRPr="001417BE">
        <w:rPr>
          <w:rFonts w:ascii="Times New Roman" w:hAnsi="Times New Roman" w:cs="Times New Roman"/>
          <w:sz w:val="24"/>
          <w:szCs w:val="24"/>
          <w:lang w:val="en-US"/>
        </w:rPr>
        <w:t xml:space="preserve">. </w:t>
      </w:r>
      <w:bookmarkStart w:id="1" w:name="_Hlk65702779"/>
      <w:r w:rsidRPr="001417BE">
        <w:rPr>
          <w:rFonts w:ascii="Times New Roman" w:hAnsi="Times New Roman" w:cs="Times New Roman"/>
          <w:sz w:val="24"/>
          <w:szCs w:val="24"/>
          <w:lang w:val="en-US"/>
        </w:rPr>
        <w:t xml:space="preserve">In humans, it </w:t>
      </w:r>
      <w:r w:rsidR="00196ED2" w:rsidRPr="001417BE">
        <w:rPr>
          <w:rFonts w:ascii="Times New Roman" w:hAnsi="Times New Roman" w:cs="Times New Roman"/>
          <w:sz w:val="24"/>
          <w:szCs w:val="24"/>
          <w:lang w:val="en-US"/>
        </w:rPr>
        <w:t>has long been</w:t>
      </w:r>
      <w:r w:rsidRPr="001417BE">
        <w:rPr>
          <w:rFonts w:ascii="Times New Roman" w:hAnsi="Times New Roman" w:cs="Times New Roman"/>
          <w:sz w:val="24"/>
          <w:szCs w:val="24"/>
          <w:lang w:val="en-US"/>
        </w:rPr>
        <w:t xml:space="preserve"> believed that BAT </w:t>
      </w:r>
      <w:r w:rsidR="00196ED2" w:rsidRPr="001417BE">
        <w:rPr>
          <w:rFonts w:ascii="Times New Roman" w:hAnsi="Times New Roman" w:cs="Times New Roman"/>
          <w:sz w:val="24"/>
          <w:szCs w:val="24"/>
          <w:lang w:val="en-US"/>
        </w:rPr>
        <w:t>is</w:t>
      </w:r>
      <w:r w:rsidRPr="001417BE">
        <w:rPr>
          <w:rFonts w:ascii="Times New Roman" w:hAnsi="Times New Roman" w:cs="Times New Roman"/>
          <w:sz w:val="24"/>
          <w:szCs w:val="24"/>
          <w:lang w:val="en-US"/>
        </w:rPr>
        <w:t xml:space="preserve"> only metabolically </w:t>
      </w:r>
      <w:r w:rsidR="00486BC8" w:rsidRPr="001417BE">
        <w:rPr>
          <w:rFonts w:ascii="Times New Roman" w:hAnsi="Times New Roman" w:cs="Times New Roman"/>
          <w:sz w:val="24"/>
          <w:szCs w:val="24"/>
          <w:lang w:val="en-US"/>
        </w:rPr>
        <w:t xml:space="preserve">active </w:t>
      </w:r>
      <w:r w:rsidRPr="001417BE">
        <w:rPr>
          <w:rFonts w:ascii="Times New Roman" w:hAnsi="Times New Roman" w:cs="Times New Roman"/>
          <w:sz w:val="24"/>
          <w:szCs w:val="24"/>
          <w:lang w:val="en-US"/>
        </w:rPr>
        <w:t>in neonates,</w:t>
      </w:r>
      <w:r w:rsidR="00B541FA" w:rsidRPr="001417BE">
        <w:rPr>
          <w:rFonts w:ascii="Times New Roman" w:hAnsi="Times New Roman" w:cs="Times New Roman"/>
          <w:sz w:val="24"/>
          <w:szCs w:val="24"/>
          <w:lang w:val="en-US"/>
        </w:rPr>
        <w:t xml:space="preserve"> </w:t>
      </w:r>
      <w:r w:rsidR="00196ED2" w:rsidRPr="001417BE">
        <w:rPr>
          <w:rFonts w:ascii="Times New Roman" w:hAnsi="Times New Roman" w:cs="Times New Roman"/>
          <w:sz w:val="24"/>
          <w:szCs w:val="24"/>
          <w:lang w:val="en-US"/>
        </w:rPr>
        <w:t>and either</w:t>
      </w:r>
      <w:r w:rsidR="00B541FA" w:rsidRPr="001417BE">
        <w:rPr>
          <w:rFonts w:ascii="Times New Roman" w:hAnsi="Times New Roman" w:cs="Times New Roman"/>
          <w:sz w:val="24"/>
          <w:szCs w:val="24"/>
          <w:lang w:val="en-US"/>
        </w:rPr>
        <w:t xml:space="preserve"> absent or irrelevant in adults</w:t>
      </w:r>
      <w:r w:rsidR="00497D1D" w:rsidRPr="001417BE">
        <w:rPr>
          <w:rFonts w:ascii="Times New Roman" w:hAnsi="Times New Roman" w:cs="Times New Roman"/>
          <w:sz w:val="24"/>
          <w:szCs w:val="24"/>
          <w:lang w:val="en-US"/>
        </w:rPr>
        <w:t xml:space="preserve"> </w:t>
      </w:r>
      <w:r w:rsidR="00E8498D" w:rsidRPr="001417BE">
        <w:rPr>
          <w:rFonts w:ascii="Times New Roman" w:hAnsi="Times New Roman" w:cs="Times New Roman"/>
          <w:sz w:val="24"/>
          <w:szCs w:val="24"/>
          <w:lang w:val="en-US"/>
        </w:rPr>
        <w:fldChar w:fldCharType="begin" w:fldLock="1"/>
      </w:r>
      <w:r w:rsidR="00E8498D">
        <w:rPr>
          <w:rFonts w:ascii="Times New Roman" w:hAnsi="Times New Roman" w:cs="Times New Roman"/>
          <w:sz w:val="24"/>
          <w:szCs w:val="24"/>
          <w:lang w:val="en-US"/>
        </w:rPr>
        <w:instrText>ADDIN CSL_CITATION {"citationItems":[{"id":"ITEM-1","itemData":{"DOI":"10.1152/physrev.00015.2003","ISSN":"0031-9333","PMID":"14715917","abstract":"The function of brown adipose tissue is to transfer energy from food into heat; physiologically, both the heat produced and the resulting decrease in metabolic efficiency can be of significance. Both the acute activity of the tissue, i.e., the heat production, and the recruitment process in the tissue (that results in a higher thermogenic capacity) are under the control of norepinephrine released from sympathetic nerves. In thermoregulatory thermogenesis, brown adipose tissue is essential for classical nonshivering thermogenesis (this phenomenon does not exist in the absence of functional brown adipose tissue), as well as for the cold acclimation-recruited norepinephrine-induced thermogenesis. Heat production from brown adipose tissue is activated whenever the organism is in need of extra heat, e.g., postnatally, during entry into a febrile state, and during arousal from hibernation, and the rate of thermogenesis is centrally controlled via a pathway initiated in the hypothalamus. Feeding as such also results in activation of brown adipose tissue; a series of diets, apparently all characterized by being low in protein, result in a leptin-dependent recruitment of the tissue; this metaboloregulatory thermogenesis is also under hypothalamic control. When the tissue is active, high amounts of lipids and glucose are combusted in the tissue. The development of brown adipose tissue with its characteristic protein, uncoupling protein-1 (UCP1), was probably determinative for the evolutionary success of mammals, as its thermogenesis enhances neonatal survival and allows for active life even in cold surroundings.","author":[{"dropping-particle":"","family":"Cannon","given":"Barbara","non-dropping-particle":"","parse-names":false,"suffix":""},{"dropping-particle":"","family":"Nedergaard","given":"Jan","non-dropping-particle":"","parse-names":false,"suffix":""}],"container-title":"Physiological reviews","id":"ITEM-1","issue":"1","issued":{"date-parts":[["2004","1"]]},"page":"277-359","title":"Brown adipose tissue: function and physiological significance.","type":"article-journal","volume":"84"},"uris":["http://www.mendeley.com/documents/?uuid=551332b5-84c5-4738-853a-3bd83dd5d394"]}],"mendeley":{"formattedCitation":"(1)","plainTextFormattedCitation":"(1)","previouslyFormattedCitation":"(1)"},"properties":{"noteIndex":0},"schema":"https://github.com/citation-style-language/schema/raw/master/csl-citation.json"}</w:instrText>
      </w:r>
      <w:r w:rsidR="00E8498D" w:rsidRPr="001417BE">
        <w:rPr>
          <w:rFonts w:ascii="Times New Roman" w:hAnsi="Times New Roman" w:cs="Times New Roman"/>
          <w:sz w:val="24"/>
          <w:szCs w:val="24"/>
          <w:lang w:val="en-US"/>
        </w:rPr>
        <w:fldChar w:fldCharType="separate"/>
      </w:r>
      <w:r w:rsidR="00E8498D" w:rsidRPr="00AF4442">
        <w:rPr>
          <w:rFonts w:ascii="Times New Roman" w:hAnsi="Times New Roman" w:cs="Times New Roman"/>
          <w:noProof/>
          <w:sz w:val="24"/>
          <w:szCs w:val="24"/>
          <w:lang w:val="en-US"/>
        </w:rPr>
        <w:t>(1)</w:t>
      </w:r>
      <w:r w:rsidR="00E8498D" w:rsidRPr="001417BE">
        <w:rPr>
          <w:rFonts w:ascii="Times New Roman" w:hAnsi="Times New Roman" w:cs="Times New Roman"/>
          <w:sz w:val="24"/>
          <w:szCs w:val="24"/>
          <w:lang w:val="en-US"/>
        </w:rPr>
        <w:fldChar w:fldCharType="end"/>
      </w:r>
      <w:r w:rsidR="00196ED2" w:rsidRPr="001417BE">
        <w:rPr>
          <w:rFonts w:ascii="Times New Roman" w:hAnsi="Times New Roman" w:cs="Times New Roman"/>
          <w:sz w:val="24"/>
          <w:szCs w:val="24"/>
          <w:lang w:val="en-US"/>
        </w:rPr>
        <w:t xml:space="preserve">. However, in the </w:t>
      </w:r>
      <w:r w:rsidR="00EF3D8B">
        <w:rPr>
          <w:rFonts w:ascii="Times New Roman" w:hAnsi="Times New Roman" w:cs="Times New Roman"/>
          <w:sz w:val="24"/>
          <w:szCs w:val="24"/>
          <w:lang w:val="en-US"/>
        </w:rPr>
        <w:t xml:space="preserve">late </w:t>
      </w:r>
      <w:r w:rsidR="00196ED2" w:rsidRPr="001417BE">
        <w:rPr>
          <w:rFonts w:ascii="Times New Roman" w:hAnsi="Times New Roman" w:cs="Times New Roman"/>
          <w:sz w:val="24"/>
          <w:szCs w:val="24"/>
          <w:lang w:val="en-US"/>
        </w:rPr>
        <w:t>2000</w:t>
      </w:r>
      <w:r w:rsidR="00B541FA" w:rsidRPr="001417BE">
        <w:rPr>
          <w:rFonts w:ascii="Times New Roman" w:hAnsi="Times New Roman" w:cs="Times New Roman"/>
          <w:sz w:val="24"/>
          <w:szCs w:val="24"/>
          <w:lang w:val="en-US"/>
        </w:rPr>
        <w:t>s</w:t>
      </w:r>
      <w:r w:rsidR="003B4798" w:rsidRPr="001417BE">
        <w:rPr>
          <w:rFonts w:ascii="Times New Roman" w:hAnsi="Times New Roman" w:cs="Times New Roman"/>
          <w:sz w:val="24"/>
          <w:szCs w:val="24"/>
          <w:lang w:val="en-US"/>
        </w:rPr>
        <w:t>,</w:t>
      </w:r>
      <w:r w:rsidR="00B541FA" w:rsidRPr="001417BE">
        <w:rPr>
          <w:rFonts w:ascii="Times New Roman" w:hAnsi="Times New Roman" w:cs="Times New Roman"/>
          <w:sz w:val="24"/>
          <w:szCs w:val="24"/>
          <w:lang w:val="en-US"/>
        </w:rPr>
        <w:t xml:space="preserve"> several independent research groups </w:t>
      </w:r>
      <w:r w:rsidR="00486BC8" w:rsidRPr="001417BE">
        <w:rPr>
          <w:rFonts w:ascii="Times New Roman" w:hAnsi="Times New Roman" w:cs="Times New Roman"/>
          <w:sz w:val="24"/>
          <w:szCs w:val="24"/>
          <w:lang w:val="en-US"/>
        </w:rPr>
        <w:t xml:space="preserve">showed </w:t>
      </w:r>
      <w:r w:rsidR="00196ED2" w:rsidRPr="001417BE">
        <w:rPr>
          <w:rFonts w:ascii="Times New Roman" w:hAnsi="Times New Roman" w:cs="Times New Roman"/>
          <w:sz w:val="24"/>
          <w:szCs w:val="24"/>
          <w:lang w:val="en-US"/>
        </w:rPr>
        <w:t>BAT to be</w:t>
      </w:r>
      <w:r w:rsidR="00B541FA" w:rsidRPr="001417BE">
        <w:rPr>
          <w:rFonts w:ascii="Times New Roman" w:hAnsi="Times New Roman" w:cs="Times New Roman"/>
          <w:sz w:val="24"/>
          <w:szCs w:val="24"/>
          <w:lang w:val="en-US"/>
        </w:rPr>
        <w:t xml:space="preserve"> present and metabolically active</w:t>
      </w:r>
      <w:r w:rsidRPr="001417BE">
        <w:rPr>
          <w:rFonts w:ascii="Times New Roman" w:hAnsi="Times New Roman" w:cs="Times New Roman"/>
          <w:sz w:val="24"/>
          <w:szCs w:val="24"/>
          <w:lang w:val="en-US"/>
        </w:rPr>
        <w:t xml:space="preserve"> </w:t>
      </w:r>
      <w:r w:rsidR="00B541FA" w:rsidRPr="001417BE">
        <w:rPr>
          <w:rFonts w:ascii="Times New Roman" w:hAnsi="Times New Roman" w:cs="Times New Roman"/>
          <w:sz w:val="24"/>
          <w:szCs w:val="24"/>
          <w:lang w:val="en-US"/>
        </w:rPr>
        <w:t xml:space="preserve">in </w:t>
      </w:r>
      <w:r w:rsidR="00196ED2" w:rsidRPr="001417BE">
        <w:rPr>
          <w:rFonts w:ascii="Times New Roman" w:hAnsi="Times New Roman" w:cs="Times New Roman"/>
          <w:sz w:val="24"/>
          <w:szCs w:val="24"/>
          <w:lang w:val="en-US"/>
        </w:rPr>
        <w:t xml:space="preserve">human </w:t>
      </w:r>
      <w:r w:rsidR="00B541FA" w:rsidRPr="001417BE">
        <w:rPr>
          <w:rFonts w:ascii="Times New Roman" w:hAnsi="Times New Roman" w:cs="Times New Roman"/>
          <w:sz w:val="24"/>
          <w:szCs w:val="24"/>
          <w:lang w:val="en-US"/>
        </w:rPr>
        <w:t>adult</w:t>
      </w:r>
      <w:r w:rsidR="00196ED2" w:rsidRPr="001417BE">
        <w:rPr>
          <w:rFonts w:ascii="Times New Roman" w:hAnsi="Times New Roman" w:cs="Times New Roman"/>
          <w:sz w:val="24"/>
          <w:szCs w:val="24"/>
          <w:lang w:val="en-US"/>
        </w:rPr>
        <w:t>s</w:t>
      </w:r>
      <w:r w:rsidR="00B541FA" w:rsidRPr="001417BE">
        <w:rPr>
          <w:rFonts w:ascii="Times New Roman" w:hAnsi="Times New Roman" w:cs="Times New Roman"/>
          <w:sz w:val="24"/>
          <w:szCs w:val="24"/>
          <w:lang w:val="en-US"/>
        </w:rPr>
        <w:t xml:space="preserve"> </w:t>
      </w:r>
      <w:r w:rsidR="00E8498D">
        <w:rPr>
          <w:rFonts w:ascii="Times New Roman" w:hAnsi="Times New Roman" w:cs="Times New Roman"/>
          <w:sz w:val="24"/>
          <w:szCs w:val="24"/>
          <w:lang w:val="en-US"/>
        </w:rPr>
        <w:fldChar w:fldCharType="begin" w:fldLock="1"/>
      </w:r>
      <w:r w:rsidR="00CC0D78">
        <w:rPr>
          <w:rFonts w:ascii="Times New Roman" w:hAnsi="Times New Roman" w:cs="Times New Roman"/>
          <w:sz w:val="24"/>
          <w:szCs w:val="24"/>
          <w:lang w:val="en-US"/>
        </w:rPr>
        <w:instrText>ADDIN CSL_CITATION {"citationItems":[{"id":"ITEM-1","itemData":{"DOI":"10.1152/ajpendo.00691.2006","ISSN":"0193-1849","PMID":"17473055","abstract":"The contention that brown adipose tissue is absent in adult man has meant that processes attributed to active brown adipose tissue in experimental animals (mainly rodents), i.e., classical nonshivering thermogenesis, adaptive adrenergic thermogenesis, diet-induced thermogenesis, and antiobesity, should be either absent or attributed to alternative (unknown) mechanisms in man. However, serendipidously, as a consequence of the use of fluorodeoxyglucose positron emission tomography (FDG PET) to trace tumor metastasis, observations that may change that notion have recently been made. These tomography scans have visualized symmetrical areas of increased tracer uptake in the upper parts of the human body; these areas of uptake correspond to brown adipose tissue. We examine here the published observations from a viewpoint of human physiology. The human depots are somewhat differently located from those in rodents, the main depots being found in the supraclavicular and the neck regions with some additional paravertebral, mediastinal, para-aortic, and suprarenal localizations (but no interscapular). Brown adipose tissue activity in man is acutely cold induced and is stimulated via the sympathetic nervous system. The prevalence of active brown adipose tissue in normal adult man can be only indirectly estimated, but it would seem that the prevalence of active brown adipose tissue in the population may be at least in the range of some tens of percent. We conclude that a substantial fraction of adult humans possess active brown adipose tissue that thus has the potential to be of metabolic significance for normal human physiology as well as to become pharmaceutically activated in efforts to combat obesity.","author":[{"dropping-particle":"","family":"Nedergaard","given":"Jan","non-dropping-particle":"","parse-names":false,"suffix":""},{"dropping-particle":"","family":"Bengtsson","given":"Tore","non-dropping-particle":"","parse-names":false,"suffix":""},{"dropping-particle":"","family":"Cannon","given":"Barbara","non-dropping-particle":"","parse-names":false,"suffix":""}],"container-title":"American journal of physiology. Endocrinology and metabolism","id":"ITEM-1","issue":"2","issued":{"date-parts":[["2007","8"]]},"page":"E444-52","title":"Unexpected evidence for active brown adipose tissue in adult humans.","type":"article-journal","volume":"293"},"uris":["http://www.mendeley.com/documents/?uuid=bb673272-e18d-4546-a381-eea1ad2e5314"]},{"id":"ITEM-2","itemData":{"DOI":"10.1056/NEJMoa0808718","ISSN":"1533-4406","PMID":"19357405","abstract":"BACKGROUND: Studies in animals indicate that brown adipose tissue is important in the regulation of body weight, and it is possible that individual variation in adaptive thermogenesis can be attributed to variations in the amount or activity of brown adipose tissue. Until recently, the presence of brown adipose tissue was thought to be relevant only in small mammals and infants, with negligible physiologic relevance in adult humans. We performed a systematic examination of the presence, distribution, and activity of brown adipose tissue in lean and obese men during exposure to cold temperature. Brown-adipose-tissue activity was studied in relation to body composition and energy metabolism. METHODS: We studied 24 healthy men--10 who were lean (body-mass index [BMI] [the weight in kilograms divided by the square of the height in meters], &lt; 25) and 14 who were overweight or obese (BMI, &gt; or = 25)--under thermoneutral conditions (22 degrees C) and during mild cold exposure (16 degrees C). Putative brown-adipose-tissue activity was determined with the use of integrated (18)F-fluorodeoxyglucose positron-emission tomography and computed tomography. Body composition and energy expenditure were measured with the use of dual-energy x-ray absorptiometry and indirect calorimetry. RESULTS: Brown-adipose-tissue activity was observed in 23 of the 24 subjects (96%) during cold exposure but not under thermoneutral conditions. The activity was significantly lower in the overweight or obese subjects than in the lean subjects (P=0.007). BMI and percentage of body fat both had significant negative correlations with brown adipose tissue, whereas resting metabolic rate had a significant positive correlation. CONCLUSIONS: The percentage of young men with brown adipose tissue is high, but its activity is reduced in men who are overweight or obese. Brown adipose tissue may be metabolically important in men, and the fact that it is reduced yet present in most overweight or obese subjects may make it a target for the treatment of obesity.","author":[{"dropping-particle":"","family":"Marken Lichtenbelt","given":"Wouter D","non-dropping-particle":"van","parse-names":false,"suffix":""},{"dropping-particle":"","family":"Vanhommerig","given":"Joost W","non-dropping-particle":"","parse-names":false,"suffix":""},{"dropping-particle":"","family":"Smulders","given":"Nanda M","non-dropping-particle":"","parse-names":false,"suffix":""},{"dropping-particle":"","family":"Drossaerts","given":"Jamie M a F L","non-dropping-particle":"","parse-names":false,"suffix":""},{"dropping-particle":"","family":"Kemerink","given":"Gerrit J","non-dropping-particle":"","parse-names":false,"suffix":""},{"dropping-particle":"","family":"Bouvy","given":"Nicole D","non-dropping-particle":"","parse-names":false,"suffix":""},{"dropping-particle":"","family":"Schrauwen","given":"Patrick","non-dropping-particle":"","parse-names":false,"suffix":""},{"dropping-particle":"","family":"Teule","given":"G J Jaap","non-dropping-particle":"","parse-names":false,"suffix":""}],"container-title":"The New England journal of medicine","id":"ITEM-2","issue":"15","issued":{"date-parts":[["2009","4","9"]]},"page":"1500-8","title":"Cold-activated brown adipose tissue in healthy men.","type":"article-journal","volume":"360"},"uris":["http://www.mendeley.com/documents/?uuid=ea046e0d-cbe3-4528-839a-ae355a57b5a4"]},{"id":"ITEM-3","itemData":{"DOI":"10.1056/NEJMoa0810780","ISSN":"1533-4406","PMID":"19357406","abstract":"BACKGROUND: Obesity results from an imbalance between energy intake and expenditure. In rodents and newborn humans, brown adipose tissue helps regulate energy expenditure by thermogenesis mediated by the expression of uncoupling protein 1 (UCP1), but brown adipose tissue has been considered to have no physiologic relevance in adult humans. METHODS: We analyzed 3640 consecutive (18)F-fluorodeoxyglucose ((18)F-FDG) positron-emission tomographic and computed tomographic (PET-CT) scans performed for various diagnostic reasons in 1972 patients for the presence of substantial depots of putative brown adipose tissue. Such depots were defined as collections of tissue that were more than 4 mm in diameter, had the density of adipose tissue according to CT, and had maximal standardized uptake values of (18)F-FDG of at least 2.0 g per milliliter, indicating high metabolic activity. Clinical indexes were recorded and compared with those of date-matched controls. Immunostaining for UCP1 was performed on biopsy specimens from the neck and supraclavicular regions in patients undergoing surgery. RESULTS: Substantial depots of brown adipose tissue were identified by PET-CT in a region extending from the anterior neck to the thorax. Tissue from this region had UCP1-immunopositive, multilocular adipocytes indicating brown adipose tissue. Positive scans were seen in 76 of 1013 women (7.5%) and 30 of 959 men (3.1%), corresponding to a female:male ratio greater than 2:1 (P&lt;0.001). Women also had a greater mass of brown adipose tissue and higher (18)F-FDG uptake activity. The probability of the detection of brown adipose tissue was inversely correlated with years of age (P&lt;0.001), outdoor temperature at the time of the scan (P=0.02), beta-blocker use (P&lt;0.001), and among older patients, body-mass index (P=0.007). CONCLUSIONS: Defined regions of functionally active brown adipose tissue are present in adult humans, are more frequent in women than in men, and may be quantified noninvasively with the use of (18)F-FDG PET-CT. Most important, the amount of brown adipose tissue is inversely correlated with body-mass index, especially in older people, suggesting a potential role of brown adipose tissue in adult human metabolism.","author":[{"dropping-particle":"","family":"Cypess","given":"Aaron M","non-dropping-particle":"","parse-names":false,"suffix":""},{"dropping-particle":"","family":"Lehman","given":"Sanaz","non-dropping-particle":"","parse-names":false,"suffix":""},{"dropping-particle":"","family":"Williams","given":"Gethin","non-dropping-particle":"","parse-names":false,"suffix":""},{"dropping-particle":"","family":"Tal","given":"Ilan","non-dropping-particle":"","parse-names":false,"suffix":""},{"dropping-particle":"","family":"Rodman","given":"Dean","non-dropping-particle":"","parse-names":false,"suffix":""},{"dropping-particle":"","family":"Goldfine","given":"Allison B","non-dropping-particle":"","parse-names":false,"suffix":""},{"dropping-particle":"","family":"Kuo","given":"Frank C","non-dropping-particle":"","parse-names":false,"suffix":""},{"dropping-particle":"","family":"Palmer","given":"Edwin L","non-dropping-particle":"","parse-names":false,"suffix":""},{"dropping-particle":"","family":"Tseng","given":"Yu-Hua","non-dropping-particle":"","parse-names":false,"suffix":""},{"dropping-particle":"","family":"Doria","given":"Alessandro","non-dropping-particle":"","parse-names":false,"suffix":""},{"dropping-particle":"","family":"Kolodny","given":"Gerald M","non-dropping-particle":"","parse-names":false,"suffix":""},{"dropping-particle":"","family":"Kahn","given":"C Ronald","non-dropping-particle":"","parse-names":false,"suffix":""}],"container-title":"The New England journal of medicine","id":"ITEM-3","issue":"15","issued":{"date-parts":[["2009","4","9"]]},"page":"1509-17","title":"Identification and importance of brown adipose tissue in adult humans.","type":"article-journal","volume":"360"},"uris":["http://www.mendeley.com/documents/?uuid=95dc2dea-35bb-4c11-81d0-05c659abe1ee"]},{"id":"ITEM-4","itemData":{"DOI":"10.1056/NEJMoa0808949","ISSN":"1533-4406","PMID":"19357407","abstract":"Using positron-emission tomography (PET), we found that cold-induced glucose uptake was increased by a factor of 15 in paracervical and supraclavicular adipose tissue in five healthy subjects. We obtained biopsy specimens of this tissue from the first three consecutive subjects and documented messenger RNA (mRNA) and protein levels of the brown-adipocyte marker, uncoupling protein 1 (UCP1). Together with morphologic assessment, which showed numerous multilocular, intracellular lipid droplets, and with the results of biochemical analysis, these findings document the presence of substantial amounts of metabolically active brown adipose tissue in healthy adult humans.","author":[{"dropping-particle":"","family":"Virtanen","given":"Kirsi A","non-dropping-particle":"","parse-names":false,"suffix":""},{"dropping-particle":"","family":"Lidell","given":"Martin E","non-dropping-particle":"","parse-names":false,"suffix":""},{"dropping-particle":"","family":"Orava","given":"Janne","non-dropping-particle":"","parse-names":false,"suffix":""},{"dropping-particle":"","family":"Heglind","given":"Mikael","non-dropping-particle":"","parse-names":false,"suffix":""},{"dropping-particle":"","family":"Westergren","given":"Rickard","non-dropping-particle":"","parse-names":false,"suffix":""},{"dropping-particle":"","family":"Niemi","given":"Tarja","non-dropping-particle":"","parse-names":false,"suffix":""},{"dropping-particle":"","family":"Taittonen","given":"Markku","non-dropping-particle":"","parse-names":false,"suffix":""},{"dropping-particle":"","family":"Laine","given":"Jukka","non-dropping-particle":"","parse-names":false,"suffix":""},{"dropping-particle":"","family":"Savisto","given":"Nina-johanna","non-dropping-particle":"","parse-names":false,"suffix":""},{"dropping-particle":"","family":"Enerbäck","given":"Sven","non-dropping-particle":"","parse-names":false,"suffix":""},{"dropping-particle":"","family":"Nuutila","given":"Pirjo","non-dropping-particle":"","parse-names":false,"suffix":""}],"container-title":"The New England journal of medicine","id":"ITEM-4","issue":"15","issued":{"date-parts":[["2009","4","9"]]},"page":"1518-25","title":"Functional brown adipose tissue in healthy adults.","type":"article-journal","volume":"360"},"uris":["http://www.mendeley.com/documents/?uuid=12e2f37c-f609-4e13-9e59-55fae1263a45"]},{"id":"ITEM-5","itemData":{"DOI":"10.2337/db09-0530","ISSN":"1939-327X","PMID":"19401428","abstract":"OBJECTIVE: The significant roles of brown adipose tissue (BAT) in the regulation of energy expenditure and adiposity are established in small rodents but have been controversial in humans. The objective is to examine the prevalence of metabolically active BAT in healthy adult humans and to clarify the effects of cold exposure and adiposity. RESEARCH DESIGN AND METHODS: In vivo 2-[(18)F]fluoro-2-deoxyglucose (FDG) uptake into adipose tissue was measured in 56 healthy volunteers (31 male and 25 female subjects) aged 23-65 years by positron emission tomography (PET) combined with X-ray computed tomography (CT). RESULTS: When exposed to cold (19 degrees C) for 2 h, 17 of 32 younger subjects (aged 23-35 years) and 2 of 24 elderly subjects (aged 38-65 years) showed a substantial FDG uptake into adipose tissue of the supraclavicular and paraspinal regions, whereas they showed no detectable uptake when kept warm (27 degrees C). Histological examinations confirmed the presence of brown adipocytes in these regions. The cold-activated FDG uptake was increased in winter compared with summer (P &lt; 0.001) and was inversely related to BMI (P &lt; 0.001) and total (P &lt; 0.01) and visceral (P &lt; 0.001) fat areas estimated from CT image at the umbilical level. CONCLUSIONS: Our findings, being against the conventional view, indicate the high incidence of metabolically active BAT in adult humans and suggest a role in the control of body temperature and adiposity.","author":[{"dropping-particle":"","family":"Saito","given":"Masayuki","non-dropping-particle":"","parse-names":false,"suffix":""},{"dropping-particle":"","family":"Okamatsu-Ogura","given":"Yuko","non-dropping-particle":"","parse-names":false,"suffix":""},{"dropping-particle":"","family":"Matsushita","given":"Mami","non-dropping-particle":"","parse-names":false,"suffix":""},{"dropping-particle":"","family":"Watanabe","given":"Kumiko","non-dropping-particle":"","parse-names":false,"suffix":""},{"dropping-particle":"","family":"Yoneshiro","given":"Takeshi","non-dropping-particle":"","parse-names":false,"suffix":""},{"dropping-particle":"","family":"Nio-Kobayashi","given":"Junko","non-dropping-particle":"","parse-names":false,"suffix":""},{"dropping-particle":"","family":"Iwanaga","given":"Toshihiko","non-dropping-particle":"","parse-names":false,"suffix":""},{"dropping-particle":"","family":"Miyagawa","given":"Masao","non-dropping-particle":"","parse-names":false,"suffix":""},{"dropping-particle":"","family":"Kameya","given":"Toshimitsu","non-dropping-particle":"","parse-names":false,"suffix":""},{"dropping-particle":"","family":"Nakada","given":"Kunihiro","non-dropping-particle":"","parse-names":false,"suffix":""},{"dropping-particle":"","family":"Kawai","given":"Yuko","non-dropping-particle":"","parse-names":false,"suffix":""},{"dropping-particle":"","family":"Tsujisaki","given":"Masayuki","non-dropping-particle":"","parse-names":false,"suffix":""}],"container-title":"Diabetes","id":"ITEM-5","issue":"7","issued":{"date-parts":[["2009","7"]]},"page":"1526-31","title":"High incidence of metabolically active brown adipose tissue in healthy adult humans: effects of cold exposure and adiposity.","type":"article-journal","volume":"58"},"uris":["http://www.mendeley.com/documents/?uuid=3e3a9ac8-5751-457a-b5a7-053a694250c8"]},{"id":"ITEM-6","itemData":{"DOI":"10.1096/fj.09-133546","ISSN":"1530-6860","PMID":"19417078","abstract":"Classically, adult humans have been considered not to possess active brown adipose tissue (BAT). However, positron-emission-tomography has shown fluorodeoxyglucose uptake that is distributed in such a way (e.g., in the neck) that it would seem to be BAT. Until now this has not been supported by direct evidence that these areas truly represented BAT, that is, the presence of the BAT-unique uncoupling protein-1 (UCP1). Samples of adipose tissue from the neck of 35 patients undergoing surgery for thyroid diseases were obtained and analyzed. In 1/3 of the subjects (the younger and leaner), distinct islands composed of UCP1 immunoreactive brown adipocytes could clearly be discerned, accounting for up to 1/3 of all adipocytes. The brown-adipose islands were richly sympathetically innervated (indicating acute central control); adjacent white adipose areas were not. The capillary density was high, implying a high capacity for oxygen delivery. Cells with features of brown adipocyte precursors were found in pericapillary areas. These data demonstrate that human adults indeed possess BAT and thus imply possibilities of future therapeutic strategies for the treatment of obesity, including maintenance of brown adipocytes and stimulation of the growth of preexisting brown precursors.","author":[{"dropping-particle":"","family":"Zingaretti","given":"Maria Cristina","non-dropping-particle":"","parse-names":false,"suffix":""},{"dropping-particle":"","family":"Crosta","given":"Francesca","non-dropping-particle":"","parse-names":false,"suffix":""},{"dropping-particle":"","family":"Vitali","given":"Alessandra","non-dropping-particle":"","parse-names":false,"suffix":""},{"dropping-particle":"","family":"Guerrieri","given":"Mario","non-dropping-particle":"","parse-names":false,"suffix":""},{"dropping-particle":"","family":"Frontini","given":"Andrea","non-dropping-particle":"","parse-names":false,"suffix":""},{"dropping-particle":"","family":"Cannon","given":"Barbara","non-dropping-particle":"","parse-names":false,"suffix":""},{"dropping-particle":"","family":"Nedergaard","given":"Jan","non-dropping-particle":"","parse-names":false,"suffix":""},{"dropping-particle":"","family":"Cinti","given":"Saverio","non-dropping-particle":"","parse-names":false,"suffix":""}],"container-title":"FASEB journal : official publication of the Federation of American Societies for Experimental Biology","id":"ITEM-6","issue":"9","issued":{"date-parts":[["2009","9"]]},"page":"3113-20","title":"The presence of UCP1 demonstrates that metabolically active adipose tissue in the neck of adult humans truly represents brown adipose tissue.","type":"article-journal","volume":"23"},"uris":["http://www.mendeley.com/documents/?uuid=dd45e88a-80ed-4c15-b787-70265685ced0"]}],"mendeley":{"formattedCitation":"(4–9)","plainTextFormattedCitation":"(4–9)","previouslyFormattedCitation":"(4–9)"},"properties":{"noteIndex":0},"schema":"https://github.com/citation-style-language/schema/raw/master/csl-citation.json"}</w:instrText>
      </w:r>
      <w:r w:rsidR="00E8498D">
        <w:rPr>
          <w:rFonts w:ascii="Times New Roman" w:hAnsi="Times New Roman" w:cs="Times New Roman"/>
          <w:sz w:val="24"/>
          <w:szCs w:val="24"/>
          <w:lang w:val="en-US"/>
        </w:rPr>
        <w:fldChar w:fldCharType="separate"/>
      </w:r>
      <w:r w:rsidR="00E8498D" w:rsidRPr="00E8498D">
        <w:rPr>
          <w:rFonts w:ascii="Times New Roman" w:hAnsi="Times New Roman" w:cs="Times New Roman"/>
          <w:noProof/>
          <w:sz w:val="24"/>
          <w:szCs w:val="24"/>
          <w:lang w:val="en-US"/>
        </w:rPr>
        <w:t>(4–9)</w:t>
      </w:r>
      <w:r w:rsidR="00E8498D">
        <w:rPr>
          <w:rFonts w:ascii="Times New Roman" w:hAnsi="Times New Roman" w:cs="Times New Roman"/>
          <w:sz w:val="24"/>
          <w:szCs w:val="24"/>
          <w:lang w:val="en-US"/>
        </w:rPr>
        <w:fldChar w:fldCharType="end"/>
      </w:r>
      <w:r w:rsidR="00B541FA" w:rsidRPr="001417BE">
        <w:rPr>
          <w:rFonts w:ascii="Times New Roman" w:hAnsi="Times New Roman" w:cs="Times New Roman"/>
          <w:sz w:val="24"/>
          <w:szCs w:val="24"/>
          <w:lang w:val="en-US"/>
        </w:rPr>
        <w:t>.</w:t>
      </w:r>
      <w:r w:rsidR="00A73E15">
        <w:rPr>
          <w:rFonts w:ascii="Times New Roman" w:hAnsi="Times New Roman" w:cs="Times New Roman"/>
          <w:sz w:val="24"/>
          <w:szCs w:val="24"/>
          <w:lang w:val="en-US"/>
        </w:rPr>
        <w:t xml:space="preserve"> </w:t>
      </w:r>
      <w:bookmarkEnd w:id="1"/>
      <w:r w:rsidR="00A73E15">
        <w:rPr>
          <w:rFonts w:ascii="Times New Roman" w:hAnsi="Times New Roman" w:cs="Times New Roman"/>
          <w:sz w:val="24"/>
          <w:szCs w:val="24"/>
          <w:lang w:val="en-US"/>
        </w:rPr>
        <w:t xml:space="preserve">Indeed, studies assessing BAT after cold stimulation have suggested that </w:t>
      </w:r>
      <w:r w:rsidR="00A73E15" w:rsidRPr="001417BE">
        <w:rPr>
          <w:rFonts w:ascii="Times New Roman" w:hAnsi="Times New Roman" w:cs="Times New Roman"/>
          <w:sz w:val="24"/>
          <w:szCs w:val="24"/>
          <w:lang w:val="en-US"/>
        </w:rPr>
        <w:t xml:space="preserve">most, if not all, </w:t>
      </w:r>
      <w:r w:rsidR="00A73E15">
        <w:rPr>
          <w:rFonts w:ascii="Times New Roman" w:hAnsi="Times New Roman" w:cs="Times New Roman"/>
          <w:sz w:val="24"/>
          <w:szCs w:val="24"/>
          <w:lang w:val="en-US"/>
        </w:rPr>
        <w:t xml:space="preserve">human adults possess some </w:t>
      </w:r>
      <w:r w:rsidR="00A257CD">
        <w:rPr>
          <w:rFonts w:ascii="Times New Roman" w:hAnsi="Times New Roman" w:cs="Times New Roman"/>
          <w:sz w:val="24"/>
          <w:szCs w:val="24"/>
          <w:lang w:val="en-US"/>
        </w:rPr>
        <w:t xml:space="preserve">activable </w:t>
      </w:r>
      <w:r w:rsidR="00A73E15">
        <w:rPr>
          <w:rFonts w:ascii="Times New Roman" w:hAnsi="Times New Roman" w:cs="Times New Roman"/>
          <w:sz w:val="24"/>
          <w:szCs w:val="24"/>
          <w:lang w:val="en-US"/>
        </w:rPr>
        <w:t xml:space="preserve">BAT </w:t>
      </w:r>
      <w:r w:rsidR="00AF4442" w:rsidRPr="001417BE">
        <w:rPr>
          <w:rFonts w:ascii="Times New Roman" w:hAnsi="Times New Roman" w:cs="Times New Roman"/>
          <w:sz w:val="24"/>
          <w:szCs w:val="24"/>
          <w:lang w:val="en-US"/>
        </w:rPr>
        <w:fldChar w:fldCharType="begin" w:fldLock="1"/>
      </w:r>
      <w:r w:rsidR="00CC0D78">
        <w:rPr>
          <w:rFonts w:ascii="Times New Roman" w:hAnsi="Times New Roman" w:cs="Times New Roman"/>
          <w:sz w:val="24"/>
          <w:szCs w:val="24"/>
          <w:lang w:val="en-US"/>
        </w:rPr>
        <w:instrText>ADDIN CSL_CITATION {"citationItems":[{"id":"ITEM-1","itemData":{"DOI":"10.1016/j.pcad.2018.07.002","ISSN":"1873-1740","PMID":"29981351","abstract":"Human brown adipose tissue (BAT) was re-discovered in 2009 by several independent groups, who showed that it is present and active in adults, as judged from the profound uptake of the glucose analogue radiotracer 18F-fluorodeoxyglucose in positron-emission tomography and computed tomography scan analysis after cold exposure. A potential clinical implication of activating BAT relates to its high metabolic activity and its potential role in stimulating energy expenditure (i.e. resting energy expenditure, meal-induced thermogenesis, and cold-induced thermogenesis), which makes it an attractive target to reduce adiposity. Moreover, due to its ability to oxidise glucose and lipids, BAT activation may also potentially exert beneficial metabolic and cardiovascular effects through reducing glucose and lipid levels, respectively. This review describes the potential role of human BAT in the prevention and treatment of obesity, metabolism, and cardiovascular disease focusing on its impact on energy expenditure and management of body fat accumulation as well as on glucose and lipid metabolism. This article also summarises the strategies that are currently being studied to activate human BAT.","author":[{"dropping-particle":"","family":"Ruiz","given":"Jonatan R.","non-dropping-particle":"","parse-names":false,"suffix":""},{"dropping-particle":"","family":"Martinez-Tellez","given":"Borja","non-dropping-particle":"","parse-names":false,"suffix":""},{"dropping-particle":"","family":"Sanchez-Delgado","given":"Guillermo","non-dropping-particle":"","parse-names":false,"suffix":""},{"dropping-particle":"","family":"Osuna-Prieto","given":"Francisco J.","non-dropping-particle":"","parse-names":false,"suffix":""},{"dropping-particle":"","family":"Rensen","given":"Patrick C N","non-dropping-particle":"","parse-names":false,"suffix":""},{"dropping-particle":"","family":"Boon","given":"Mariëtte R.","non-dropping-particle":"","parse-names":false,"suffix":""}],"container-title":"Progress in cardiovascular diseases","id":"ITEM-1","issue":"2","issued":{"date-parts":[["2018","7","4"]]},"page":"232-245","title":"Role of Human Brown Fat in Obesity, Metabolism and Cardiovascular Disease: Strategies to Turn Up the Heat.","type":"article-journal","volume":"61"},"uris":["http://www.mendeley.com/documents/?uuid=6526b5bb-4b7c-310a-84b2-eea7d95ab3a1"]}],"mendeley":{"formattedCitation":"(10)","plainTextFormattedCitation":"(10)","previouslyFormattedCitation":"(10)"},"properties":{"noteIndex":0},"schema":"https://github.com/citation-style-language/schema/raw/master/csl-citation.json"}</w:instrText>
      </w:r>
      <w:r w:rsidR="00AF4442" w:rsidRPr="001417BE">
        <w:rPr>
          <w:rFonts w:ascii="Times New Roman" w:hAnsi="Times New Roman" w:cs="Times New Roman"/>
          <w:sz w:val="24"/>
          <w:szCs w:val="24"/>
          <w:lang w:val="en-US"/>
        </w:rPr>
        <w:fldChar w:fldCharType="separate"/>
      </w:r>
      <w:r w:rsidR="00E8498D" w:rsidRPr="00E8498D">
        <w:rPr>
          <w:rFonts w:ascii="Times New Roman" w:hAnsi="Times New Roman" w:cs="Times New Roman"/>
          <w:noProof/>
          <w:sz w:val="24"/>
          <w:szCs w:val="24"/>
          <w:lang w:val="en-US"/>
        </w:rPr>
        <w:t>(10)</w:t>
      </w:r>
      <w:r w:rsidR="00AF4442" w:rsidRPr="001417BE">
        <w:rPr>
          <w:rFonts w:ascii="Times New Roman" w:hAnsi="Times New Roman" w:cs="Times New Roman"/>
          <w:sz w:val="24"/>
          <w:szCs w:val="24"/>
          <w:lang w:val="en-US"/>
        </w:rPr>
        <w:fldChar w:fldCharType="end"/>
      </w:r>
      <w:r w:rsidR="00A73E15">
        <w:rPr>
          <w:rFonts w:ascii="Times New Roman" w:hAnsi="Times New Roman" w:cs="Times New Roman"/>
          <w:sz w:val="24"/>
          <w:szCs w:val="24"/>
          <w:lang w:val="en-US"/>
        </w:rPr>
        <w:t>.</w:t>
      </w:r>
      <w:r w:rsidR="00B541FA" w:rsidRPr="001417BE">
        <w:rPr>
          <w:rFonts w:ascii="Times New Roman" w:hAnsi="Times New Roman" w:cs="Times New Roman"/>
          <w:sz w:val="24"/>
          <w:szCs w:val="24"/>
          <w:lang w:val="en-US"/>
        </w:rPr>
        <w:t xml:space="preserve"> </w:t>
      </w:r>
      <w:r w:rsidR="00A257CD">
        <w:rPr>
          <w:rFonts w:ascii="Times New Roman" w:hAnsi="Times New Roman" w:cs="Times New Roman"/>
          <w:sz w:val="24"/>
          <w:szCs w:val="24"/>
          <w:lang w:val="en-US"/>
        </w:rPr>
        <w:t>Despite</w:t>
      </w:r>
      <w:r w:rsidR="00B541FA" w:rsidRPr="001417BE">
        <w:rPr>
          <w:rFonts w:ascii="Times New Roman" w:hAnsi="Times New Roman" w:cs="Times New Roman"/>
          <w:sz w:val="24"/>
          <w:szCs w:val="24"/>
          <w:lang w:val="en-US"/>
        </w:rPr>
        <w:t xml:space="preserve"> the amount of BAT in humans </w:t>
      </w:r>
      <w:r w:rsidR="00196ED2" w:rsidRPr="001417BE">
        <w:rPr>
          <w:rFonts w:ascii="Times New Roman" w:hAnsi="Times New Roman" w:cs="Times New Roman"/>
          <w:sz w:val="24"/>
          <w:szCs w:val="24"/>
          <w:lang w:val="en-US"/>
        </w:rPr>
        <w:t xml:space="preserve">is </w:t>
      </w:r>
      <w:r w:rsidR="00B541FA" w:rsidRPr="001417BE">
        <w:rPr>
          <w:rFonts w:ascii="Times New Roman" w:hAnsi="Times New Roman" w:cs="Times New Roman"/>
          <w:sz w:val="24"/>
          <w:szCs w:val="24"/>
          <w:lang w:val="en-US"/>
        </w:rPr>
        <w:t xml:space="preserve">proportionally much smaller than </w:t>
      </w:r>
      <w:r w:rsidR="00103DC3" w:rsidRPr="001417BE">
        <w:rPr>
          <w:rFonts w:ascii="Times New Roman" w:hAnsi="Times New Roman" w:cs="Times New Roman"/>
          <w:sz w:val="24"/>
          <w:szCs w:val="24"/>
          <w:lang w:val="en-US"/>
        </w:rPr>
        <w:t>in mice</w:t>
      </w:r>
      <w:r w:rsidR="00B541FA" w:rsidRPr="001417BE">
        <w:rPr>
          <w:rFonts w:ascii="Times New Roman" w:hAnsi="Times New Roman" w:cs="Times New Roman"/>
          <w:sz w:val="24"/>
          <w:szCs w:val="24"/>
          <w:lang w:val="en-US"/>
        </w:rPr>
        <w:t xml:space="preserve">, </w:t>
      </w:r>
      <w:r w:rsidR="00196ED2" w:rsidRPr="001417BE">
        <w:rPr>
          <w:rFonts w:ascii="Times New Roman" w:hAnsi="Times New Roman" w:cs="Times New Roman"/>
          <w:sz w:val="24"/>
          <w:szCs w:val="24"/>
          <w:lang w:val="en-US"/>
        </w:rPr>
        <w:t>it</w:t>
      </w:r>
      <w:r w:rsidR="00B541FA" w:rsidRPr="001417BE">
        <w:rPr>
          <w:rFonts w:ascii="Times New Roman" w:hAnsi="Times New Roman" w:cs="Times New Roman"/>
          <w:sz w:val="24"/>
          <w:szCs w:val="24"/>
          <w:lang w:val="en-US"/>
        </w:rPr>
        <w:t xml:space="preserve"> has been regarded </w:t>
      </w:r>
      <w:r w:rsidR="0075547C" w:rsidRPr="001417BE">
        <w:rPr>
          <w:rFonts w:ascii="Times New Roman" w:hAnsi="Times New Roman" w:cs="Times New Roman"/>
          <w:sz w:val="24"/>
          <w:szCs w:val="24"/>
          <w:lang w:val="en-US"/>
        </w:rPr>
        <w:t xml:space="preserve">as </w:t>
      </w:r>
      <w:r w:rsidR="00B541FA" w:rsidRPr="001417BE">
        <w:rPr>
          <w:rFonts w:ascii="Times New Roman" w:hAnsi="Times New Roman" w:cs="Times New Roman"/>
          <w:sz w:val="24"/>
          <w:szCs w:val="24"/>
          <w:lang w:val="en-US"/>
        </w:rPr>
        <w:t xml:space="preserve">a promising target for </w:t>
      </w:r>
      <w:r w:rsidR="00DB793C" w:rsidRPr="001417BE">
        <w:rPr>
          <w:rFonts w:ascii="Times New Roman" w:hAnsi="Times New Roman" w:cs="Times New Roman"/>
          <w:sz w:val="24"/>
          <w:szCs w:val="24"/>
          <w:lang w:val="en-US"/>
        </w:rPr>
        <w:t xml:space="preserve">therapies </w:t>
      </w:r>
      <w:r w:rsidR="00196ED2" w:rsidRPr="001417BE">
        <w:rPr>
          <w:rFonts w:ascii="Times New Roman" w:hAnsi="Times New Roman" w:cs="Times New Roman"/>
          <w:sz w:val="24"/>
          <w:szCs w:val="24"/>
          <w:lang w:val="en-US"/>
        </w:rPr>
        <w:t>designed to tackle</w:t>
      </w:r>
      <w:r w:rsidR="00DB793C" w:rsidRPr="001417BE">
        <w:rPr>
          <w:rFonts w:ascii="Times New Roman" w:hAnsi="Times New Roman" w:cs="Times New Roman"/>
          <w:sz w:val="24"/>
          <w:szCs w:val="24"/>
          <w:lang w:val="en-US"/>
        </w:rPr>
        <w:t xml:space="preserve"> </w:t>
      </w:r>
      <w:r w:rsidR="00B541FA" w:rsidRPr="001417BE">
        <w:rPr>
          <w:rFonts w:ascii="Times New Roman" w:hAnsi="Times New Roman" w:cs="Times New Roman"/>
          <w:sz w:val="24"/>
          <w:szCs w:val="24"/>
          <w:lang w:val="en-US"/>
        </w:rPr>
        <w:t>obesity and related comorbidities</w:t>
      </w:r>
      <w:r w:rsidR="00497D1D" w:rsidRPr="001417BE">
        <w:rPr>
          <w:rFonts w:ascii="Times New Roman" w:hAnsi="Times New Roman" w:cs="Times New Roman"/>
          <w:sz w:val="24"/>
          <w:szCs w:val="24"/>
          <w:lang w:val="en-US"/>
        </w:rPr>
        <w:t xml:space="preserve"> </w:t>
      </w:r>
      <w:r w:rsidR="007F62F0" w:rsidRPr="001417BE">
        <w:rPr>
          <w:rFonts w:ascii="Times New Roman" w:hAnsi="Times New Roman" w:cs="Times New Roman"/>
          <w:sz w:val="24"/>
          <w:szCs w:val="24"/>
          <w:lang w:val="en-US"/>
        </w:rPr>
        <w:fldChar w:fldCharType="begin" w:fldLock="1"/>
      </w:r>
      <w:r w:rsidR="00CC0D78">
        <w:rPr>
          <w:rFonts w:ascii="Times New Roman" w:hAnsi="Times New Roman" w:cs="Times New Roman"/>
          <w:sz w:val="24"/>
          <w:szCs w:val="24"/>
          <w:lang w:val="en-US"/>
        </w:rPr>
        <w:instrText>ADDIN CSL_CITATION {"citationItems":[{"id":"ITEM-1","itemData":{"DOI":"10.1016/j.pcad.2018.07.002","ISSN":"1873-1740","PMID":"29981351","abstract":"Human brown adipose tissue (BAT) was re-discovered in 2009 by several independent groups, who showed that it is present and active in adults, as judged from the profound uptake of the glucose analogue radiotracer 18F-fluorodeoxyglucose in positron-emission tomography and computed tomography scan analysis after cold exposure. A potential clinical implication of activating BAT relates to its high metabolic activity and its potential role in stimulating energy expenditure (i.e. resting energy expenditure, meal-induced thermogenesis, and cold-induced thermogenesis), which makes it an attractive target to reduce adiposity. Moreover, due to its ability to oxidise glucose and lipids, BAT activation may also potentially exert beneficial metabolic and cardiovascular effects through reducing glucose and lipid levels, respectively. This review describes the potential role of human BAT in the prevention and treatment of obesity, metabolism, and cardiovascular disease focusing on its impact on energy expenditure and management of body fat accumulation as well as on glucose and lipid metabolism. This article also summarises the strategies that are currently being studied to activate human BAT.","author":[{"dropping-particle":"","family":"Ruiz","given":"Jonatan R.","non-dropping-particle":"","parse-names":false,"suffix":""},{"dropping-particle":"","family":"Martinez-Tellez","given":"Borja","non-dropping-particle":"","parse-names":false,"suffix":""},{"dropping-particle":"","family":"Sanchez-Delgado","given":"Guillermo","non-dropping-particle":"","parse-names":false,"suffix":""},{"dropping-particle":"","family":"Osuna-Prieto","given":"Francisco J.","non-dropping-particle":"","parse-names":false,"suffix":""},{"dropping-particle":"","family":"Rensen","given":"Patrick C N","non-dropping-particle":"","parse-names":false,"suffix":""},{"dropping-particle":"","family":"Boon","given":"Mariëtte R.","non-dropping-particle":"","parse-names":false,"suffix":""}],"container-title":"Progress in cardiovascular diseases","id":"ITEM-1","issue":"2","issued":{"date-parts":[["2018","7","4"]]},"page":"232-245","title":"Role of Human Brown Fat in Obesity, Metabolism and Cardiovascular Disease: Strategies to Turn Up the Heat.","type":"article-journal","volume":"61"},"uris":["http://www.mendeley.com/documents/?uuid=6526b5bb-4b7c-310a-84b2-eea7d95ab3a1"]}],"mendeley":{"formattedCitation":"(10)","plainTextFormattedCitation":"(10)","previouslyFormattedCitation":"(10)"},"properties":{"noteIndex":0},"schema":"https://github.com/citation-style-language/schema/raw/master/csl-citation.json"}</w:instrText>
      </w:r>
      <w:r w:rsidR="007F62F0" w:rsidRPr="001417BE">
        <w:rPr>
          <w:rFonts w:ascii="Times New Roman" w:hAnsi="Times New Roman" w:cs="Times New Roman"/>
          <w:sz w:val="24"/>
          <w:szCs w:val="24"/>
          <w:lang w:val="en-US"/>
        </w:rPr>
        <w:fldChar w:fldCharType="separate"/>
      </w:r>
      <w:r w:rsidR="00E8498D" w:rsidRPr="00E8498D">
        <w:rPr>
          <w:rFonts w:ascii="Times New Roman" w:hAnsi="Times New Roman" w:cs="Times New Roman"/>
          <w:noProof/>
          <w:sz w:val="24"/>
          <w:szCs w:val="24"/>
          <w:lang w:val="en-US"/>
        </w:rPr>
        <w:t>(10)</w:t>
      </w:r>
      <w:r w:rsidR="007F62F0" w:rsidRPr="001417BE">
        <w:rPr>
          <w:rFonts w:ascii="Times New Roman" w:hAnsi="Times New Roman" w:cs="Times New Roman"/>
          <w:sz w:val="24"/>
          <w:szCs w:val="24"/>
          <w:lang w:val="en-US"/>
        </w:rPr>
        <w:fldChar w:fldCharType="end"/>
      </w:r>
      <w:r w:rsidR="00B541FA" w:rsidRPr="001417BE">
        <w:rPr>
          <w:rFonts w:ascii="Times New Roman" w:hAnsi="Times New Roman" w:cs="Times New Roman"/>
          <w:sz w:val="24"/>
          <w:szCs w:val="24"/>
          <w:lang w:val="en-US"/>
        </w:rPr>
        <w:t>.</w:t>
      </w:r>
    </w:p>
    <w:p w14:paraId="2C2868C9" w14:textId="72B3604C" w:rsidR="00A73E15" w:rsidRDefault="00486BC8" w:rsidP="003215DD">
      <w:pPr>
        <w:spacing w:line="480" w:lineRule="auto"/>
        <w:jc w:val="both"/>
        <w:rPr>
          <w:rFonts w:ascii="Times New Roman" w:eastAsia="Times New Roman" w:hAnsi="Times New Roman" w:cs="Times New Roman"/>
          <w:sz w:val="24"/>
          <w:szCs w:val="20"/>
          <w:lang w:val="en-US" w:eastAsia="es-ES"/>
        </w:rPr>
      </w:pPr>
      <w:bookmarkStart w:id="2" w:name="_Hlk65698241"/>
      <w:r w:rsidRPr="001417BE">
        <w:rPr>
          <w:rFonts w:ascii="Times New Roman" w:hAnsi="Times New Roman" w:cs="Times New Roman"/>
          <w:sz w:val="24"/>
          <w:szCs w:val="24"/>
          <w:lang w:val="en-US"/>
        </w:rPr>
        <w:t>E</w:t>
      </w:r>
      <w:r w:rsidR="002C3B2F" w:rsidRPr="001417BE">
        <w:rPr>
          <w:rFonts w:ascii="Times New Roman" w:hAnsi="Times New Roman" w:cs="Times New Roman"/>
          <w:sz w:val="24"/>
          <w:szCs w:val="24"/>
          <w:lang w:val="en-US"/>
        </w:rPr>
        <w:t xml:space="preserve">arly studies assessing human BAT </w:t>
      </w:r>
      <w:r w:rsidR="00196ED2" w:rsidRPr="001417BE">
        <w:rPr>
          <w:rFonts w:ascii="Times New Roman" w:hAnsi="Times New Roman" w:cs="Times New Roman"/>
          <w:sz w:val="24"/>
          <w:szCs w:val="24"/>
          <w:lang w:val="en-US"/>
        </w:rPr>
        <w:t>via</w:t>
      </w:r>
      <w:r w:rsidR="002C3B2F" w:rsidRPr="001417BE">
        <w:rPr>
          <w:rFonts w:ascii="Times New Roman" w:hAnsi="Times New Roman" w:cs="Times New Roman"/>
          <w:sz w:val="24"/>
          <w:szCs w:val="24"/>
          <w:lang w:val="en-US"/>
        </w:rPr>
        <w:t xml:space="preserve"> </w:t>
      </w:r>
      <w:r w:rsidR="002C3B2F" w:rsidRPr="001417BE">
        <w:rPr>
          <w:rFonts w:ascii="Times New Roman" w:eastAsia="Times New Roman" w:hAnsi="Times New Roman" w:cs="Times New Roman"/>
          <w:sz w:val="24"/>
          <w:szCs w:val="20"/>
          <w:vertAlign w:val="superscript"/>
          <w:lang w:val="en-US" w:eastAsia="es-ES"/>
        </w:rPr>
        <w:t>18</w:t>
      </w:r>
      <w:r w:rsidR="00491C7B" w:rsidRPr="001417BE">
        <w:rPr>
          <w:rFonts w:ascii="Times New Roman" w:eastAsia="Times New Roman" w:hAnsi="Times New Roman" w:cs="Times New Roman"/>
          <w:sz w:val="24"/>
          <w:szCs w:val="20"/>
          <w:lang w:val="en-US" w:eastAsia="es-ES"/>
        </w:rPr>
        <w:t>F-</w:t>
      </w:r>
      <w:r w:rsidR="00196ED2" w:rsidRPr="001417BE">
        <w:rPr>
          <w:rFonts w:ascii="Times New Roman" w:eastAsia="Times New Roman" w:hAnsi="Times New Roman" w:cs="Times New Roman"/>
          <w:sz w:val="24"/>
          <w:szCs w:val="20"/>
          <w:lang w:val="en-US" w:eastAsia="es-ES"/>
        </w:rPr>
        <w:t>f</w:t>
      </w:r>
      <w:r w:rsidR="002C3B2F" w:rsidRPr="001417BE">
        <w:rPr>
          <w:rFonts w:ascii="Times New Roman" w:eastAsia="Times New Roman" w:hAnsi="Times New Roman" w:cs="Times New Roman"/>
          <w:sz w:val="24"/>
          <w:szCs w:val="20"/>
          <w:lang w:val="en-US" w:eastAsia="es-ES"/>
        </w:rPr>
        <w:t>luorodeoxyglucose (</w:t>
      </w:r>
      <w:r w:rsidR="002C3B2F" w:rsidRPr="001417BE">
        <w:rPr>
          <w:rFonts w:ascii="Times New Roman" w:eastAsia="Times New Roman" w:hAnsi="Times New Roman" w:cs="Times New Roman"/>
          <w:sz w:val="24"/>
          <w:szCs w:val="20"/>
          <w:vertAlign w:val="superscript"/>
          <w:lang w:val="en-US" w:eastAsia="es-ES"/>
        </w:rPr>
        <w:t>18</w:t>
      </w:r>
      <w:r w:rsidR="002C3B2F" w:rsidRPr="001417BE">
        <w:rPr>
          <w:rFonts w:ascii="Times New Roman" w:eastAsia="Times New Roman" w:hAnsi="Times New Roman" w:cs="Times New Roman"/>
          <w:sz w:val="24"/>
          <w:szCs w:val="20"/>
          <w:lang w:val="en-US" w:eastAsia="es-ES"/>
        </w:rPr>
        <w:t>F-FDG) positron emission tomography-computed tomography (PET</w:t>
      </w:r>
      <w:r w:rsidR="00C955FD" w:rsidRPr="001417BE">
        <w:rPr>
          <w:rFonts w:ascii="Times New Roman" w:eastAsia="Times New Roman" w:hAnsi="Times New Roman" w:cs="Times New Roman"/>
          <w:sz w:val="24"/>
          <w:szCs w:val="20"/>
          <w:lang w:val="en-US" w:eastAsia="es-ES"/>
        </w:rPr>
        <w:t>-</w:t>
      </w:r>
      <w:r w:rsidR="002C3B2F" w:rsidRPr="001417BE">
        <w:rPr>
          <w:rFonts w:ascii="Times New Roman" w:eastAsia="Times New Roman" w:hAnsi="Times New Roman" w:cs="Times New Roman"/>
          <w:sz w:val="24"/>
          <w:szCs w:val="20"/>
          <w:lang w:val="en-US" w:eastAsia="es-ES"/>
        </w:rPr>
        <w:t xml:space="preserve">CT) </w:t>
      </w:r>
      <w:r w:rsidR="00196ED2" w:rsidRPr="001417BE">
        <w:rPr>
          <w:rFonts w:ascii="Times New Roman" w:eastAsia="Times New Roman" w:hAnsi="Times New Roman" w:cs="Times New Roman"/>
          <w:sz w:val="24"/>
          <w:szCs w:val="20"/>
          <w:lang w:val="en-US" w:eastAsia="es-ES"/>
        </w:rPr>
        <w:t>revealed</w:t>
      </w:r>
      <w:r w:rsidR="002C3B2F" w:rsidRPr="001417BE">
        <w:rPr>
          <w:rFonts w:ascii="Times New Roman" w:eastAsia="Times New Roman" w:hAnsi="Times New Roman" w:cs="Times New Roman"/>
          <w:sz w:val="24"/>
          <w:szCs w:val="20"/>
          <w:lang w:val="en-US" w:eastAsia="es-ES"/>
        </w:rPr>
        <w:t xml:space="preserve"> an inverse association between BAT volume and whole-body adiposity</w:t>
      </w:r>
      <w:r w:rsidR="002C0E3D">
        <w:rPr>
          <w:rFonts w:ascii="Times New Roman" w:eastAsia="Times New Roman" w:hAnsi="Times New Roman" w:cs="Times New Roman"/>
          <w:sz w:val="24"/>
          <w:szCs w:val="20"/>
          <w:lang w:val="en-US" w:eastAsia="es-ES"/>
        </w:rPr>
        <w:t xml:space="preserve"> (commonly defined as b</w:t>
      </w:r>
      <w:r w:rsidR="002C0E3D" w:rsidRPr="001417BE">
        <w:rPr>
          <w:rFonts w:ascii="Times New Roman" w:eastAsia="Times New Roman" w:hAnsi="Times New Roman" w:cs="Times New Roman"/>
          <w:sz w:val="24"/>
          <w:szCs w:val="20"/>
          <w:lang w:val="en-US" w:eastAsia="es-ES"/>
        </w:rPr>
        <w:t>ody mass index</w:t>
      </w:r>
      <w:r w:rsidR="002C0E3D">
        <w:rPr>
          <w:rFonts w:ascii="Times New Roman" w:eastAsia="Times New Roman" w:hAnsi="Times New Roman" w:cs="Times New Roman"/>
          <w:sz w:val="24"/>
          <w:szCs w:val="20"/>
          <w:lang w:val="en-US" w:eastAsia="es-ES"/>
        </w:rPr>
        <w:t xml:space="preserve"> [BMI], waist circumference, fat mass, fat mass percentage or visceral adipose tissue [VAT] mass)</w:t>
      </w:r>
      <w:r w:rsidR="00497D1D" w:rsidRPr="001417BE">
        <w:rPr>
          <w:rFonts w:ascii="Times New Roman" w:eastAsia="Times New Roman" w:hAnsi="Times New Roman" w:cs="Times New Roman"/>
          <w:sz w:val="24"/>
          <w:szCs w:val="20"/>
          <w:lang w:val="en-US" w:eastAsia="es-ES"/>
        </w:rPr>
        <w:t xml:space="preserve"> </w:t>
      </w:r>
      <w:bookmarkEnd w:id="2"/>
      <w:r w:rsidR="007F62F0" w:rsidRPr="001417BE">
        <w:rPr>
          <w:rFonts w:ascii="Times New Roman" w:eastAsia="Times New Roman" w:hAnsi="Times New Roman" w:cs="Times New Roman"/>
          <w:sz w:val="24"/>
          <w:szCs w:val="20"/>
          <w:lang w:val="en-US" w:eastAsia="es-ES"/>
        </w:rPr>
        <w:fldChar w:fldCharType="begin" w:fldLock="1"/>
      </w:r>
      <w:r w:rsidR="00AF4442">
        <w:rPr>
          <w:rFonts w:ascii="Times New Roman" w:eastAsia="Times New Roman" w:hAnsi="Times New Roman" w:cs="Times New Roman"/>
          <w:sz w:val="24"/>
          <w:szCs w:val="20"/>
          <w:lang w:val="en-US" w:eastAsia="es-ES"/>
        </w:rPr>
        <w:instrText>ADDIN CSL_CITATION {"citationItems":[{"id":"ITEM-1","itemData":{"DOI":"10.1056/NEJMoa0808718","ISSN":"1533-4406","PMID":"19357405","abstract":"BACKGROUND: Studies in animals indicate that brown adipose tissue is important in the regulation of body weight, and it is possible that individual variation in adaptive thermogenesis can be attributed to variations in the amount or activity of brown adipose tissue. Until recently, the presence of brown adipose tissue was thought to be relevant only in small mammals and infants, with negligible physiologic relevance in adult humans. We performed a systematic examination of the presence, distribution, and activity of brown adipose tissue in lean and obese men during exposure to cold temperature. Brown-adipose-tissue activity was studied in relation to body composition and energy metabolism. METHODS: We studied 24 healthy men--10 who were lean (body-mass index [BMI] [the weight in kilograms divided by the square of the height in meters], &lt; 25) and 14 who were overweight or obese (BMI, &gt; or = 25)--under thermoneutral conditions (22 degrees C) and during mild cold exposure (16 degrees C). Putative brown-adipose-tissue activity was determined with the use of integrated (18)F-fluorodeoxyglucose positron-emission tomography and computed tomography. Body composition and energy expenditure were measured with the use of dual-energy x-ray absorptiometry and indirect calorimetry. RESULTS: Brown-adipose-tissue activity was observed in 23 of the 24 subjects (96%) during cold exposure but not under thermoneutral conditions. The activity was significantly lower in the overweight or obese subjects than in the lean subjects (P=0.007). BMI and percentage of body fat both had significant negative correlations with brown adipose tissue, whereas resting metabolic rate had a significant positive correlation. CONCLUSIONS: The percentage of young men with brown adipose tissue is high, but its activity is reduced in men who are overweight or obese. Brown adipose tissue may be metabolically important in men, and the fact that it is reduced yet present in most overweight or obese subjects may make it a target for the treatment of obesity.","author":[{"dropping-particle":"","family":"Marken Lichtenbelt","given":"Wouter D","non-dropping-particle":"van","parse-names":false,"suffix":""},{"dropping-particle":"","family":"Vanhommerig","given":"Joost W","non-dropping-particle":"","parse-names":false,"suffix":""},{"dropping-particle":"","family":"Smulders","given":"Nanda M","non-dropping-particle":"","parse-names":false,"suffix":""},{"dropping-particle":"","family":"Drossaerts","given":"Jamie M a F L","non-dropping-particle":"","parse-names":false,"suffix":""},{"dropping-particle":"","family":"Kemerink","given":"Gerrit J","non-dropping-particle":"","parse-names":false,"suffix":""},{"dropping-particle":"","family":"Bouvy","given":"Nicole D","non-dropping-particle":"","parse-names":false,"suffix":""},{"dropping-particle":"","family":"Schrauwen","given":"Patrick","non-dropping-particle":"","parse-names":false,"suffix":""},{"dropping-particle":"","family":"Teule","given":"G J Jaap","non-dropping-particle":"","parse-names":false,"suffix":""}],"container-title":"The New England journal of medicine","id":"ITEM-1","issue":"15","issued":{"date-parts":[["2009","4","9"]]},"page":"1500-8","title":"Cold-activated brown adipose tissue in healthy men.","type":"article-journal","volume":"360"},"uris":["http://www.mendeley.com/documents/?uuid=ea046e0d-cbe3-4528-839a-ae355a57b5a4"]},{"id":"ITEM-2","itemData":{"DOI":"10.1056/NEJMoa0810780","ISSN":"1533-4406","PMID":"19357406","abstract":"BACKGROUND: Obesity results from an imbalance between energy intake and expenditure. In rodents and newborn humans, brown adipose tissue helps regulate energy expenditure by thermogenesis mediated by the expression of uncoupling protein 1 (UCP1), but brown adipose tissue has been considered to have no physiologic relevance in adult humans. METHODS: We analyzed 3640 consecutive (18)F-fluorodeoxyglucose ((18)F-FDG) positron-emission tomographic and computed tomographic (PET-CT) scans performed for various diagnostic reasons in 1972 patients for the presence of substantial depots of putative brown adipose tissue. Such depots were defined as collections of tissue that were more than 4 mm in diameter, had the density of adipose tissue according to CT, and had maximal standardized uptake values of (18)F-FDG of at least 2.0 g per milliliter, indicating high metabolic activity. Clinical indexes were recorded and compared with those of date-matched controls. Immunostaining for UCP1 was performed on biopsy specimens from the neck and supraclavicular regions in patients undergoing surgery. RESULTS: Substantial depots of brown adipose tissue were identified by PET-CT in a region extending from the anterior neck to the thorax. Tissue from this region had UCP1-immunopositive, multilocular adipocytes indicating brown adipose tissue. Positive scans were seen in 76 of 1013 women (7.5%) and 30 of 959 men (3.1%), corresponding to a female:male ratio greater than 2:1 (P&lt;0.001). Women also had a greater mass of brown adipose tissue and higher (18)F-FDG uptake activity. The probability of the detection of brown adipose tissue was inversely correlated with years of age (P&lt;0.001), outdoor temperature at the time of the scan (P=0.02), beta-blocker use (P&lt;0.001), and among older patients, body-mass index (P=0.007). CONCLUSIONS: Defined regions of functionally active brown adipose tissue are present in adult humans, are more frequent in women than in men, and may be quantified noninvasively with the use of (18)F-FDG PET-CT. Most important, the amount of brown adipose tissue is inversely correlated with body-mass index, especially in older people, suggesting a potential role of brown adipose tissue in adult human metabolism.","author":[{"dropping-particle":"","family":"Cypess","given":"Aaron M","non-dropping-particle":"","parse-names":false,"suffix":""},{"dropping-particle":"","family":"Lehman","given":"Sanaz","non-dropping-particle":"","parse-names":false,"suffix":""},{"dropping-particle":"","family":"Williams","given":"Gethin","non-dropping-particle":"","parse-names":false,"suffix":""},{"dropping-particle":"","family":"Tal","given":"Ilan","non-dropping-particle":"","parse-names":false,"suffix":""},{"dropping-particle":"","family":"Rodman","given":"Dean","non-dropping-particle":"","parse-names":false,"suffix":""},{"dropping-particle":"","family":"Goldfine","given":"Allison B","non-dropping-particle":"","parse-names":false,"suffix":""},{"dropping-particle":"","family":"Kuo","given":"Frank C","non-dropping-particle":"","parse-names":false,"suffix":""},{"dropping-particle":"","family":"Palmer","given":"Edwin L","non-dropping-particle":"","parse-names":false,"suffix":""},{"dropping-particle":"","family":"Tseng","given":"Yu-Hua","non-dropping-particle":"","parse-names":false,"suffix":""},{"dropping-particle":"","family":"Doria","given":"Alessandro","non-dropping-particle":"","parse-names":false,"suffix":""},{"dropping-particle":"","family":"Kolodny","given":"Gerald M","non-dropping-particle":"","parse-names":false,"suffix":""},{"dropping-particle":"","family":"Kahn","given":"C Ronald","non-dropping-particle":"","parse-names":false,"suffix":""}],"container-title":"The New England journal of medicine","id":"ITEM-2","issue":"15","issued":{"date-parts":[["2009","4","9"]]},"page":"1509-17","title":"Identification and importance of brown adipose tissue in adult humans.","type":"article-journal","volume":"360"},"uris":["http://www.mendeley.com/documents/?uuid=95dc2dea-35bb-4c11-81d0-05c659abe1ee"]},{"id":"ITEM-3","itemData":{"DOI":"10.2337/db09-0530","ISSN":"1939-327X","PMID":"19401428","abstract":"OBJECTIVE: The significant roles of brown adipose tissue (BAT) in the regulation of energy expenditure and adiposity are established in small rodents but have been controversial in humans. The objective is to examine the prevalence of metabolically active BAT in healthy adult humans and to clarify the effects of cold exposure and adiposity. RESEARCH DESIGN AND METHODS: In vivo 2-[(18)F]fluoro-2-deoxyglucose (FDG) uptake into adipose tissue was measured in 56 healthy volunteers (31 male and 25 female subjects) aged 23-65 years by positron emission tomography (PET) combined with X-ray computed tomography (CT). RESULTS: When exposed to cold (19 degrees C) for 2 h, 17 of 32 younger subjects (aged 23-35 years) and 2 of 24 elderly subjects (aged 38-65 years) showed a substantial FDG uptake into adipose tissue of the supraclavicular and paraspinal regions, whereas they showed no detectable uptake when kept warm (27 degrees C). Histological examinations confirmed the presence of brown adipocytes in these regions. The cold-activated FDG uptake was increased in winter compared with summer (P &lt; 0.001) and was inversely related to BMI (P &lt; 0.001) and total (P &lt; 0.01) and visceral (P &lt; 0.001) fat areas estimated from CT image at the umbilical level. CONCLUSIONS: Our findings, being against the conventional view, indicate the high incidence of metabolically active BAT in adult humans and suggest a role in the control of body temperature and adiposity.","author":[{"dropping-particle":"","family":"Saito","given":"Masayuki","non-dropping-particle":"","parse-names":false,"suffix":""},{"dropping-particle":"","family":"Okamatsu-Ogura","given":"Yuko","non-dropping-particle":"","parse-names":false,"suffix":""},{"dropping-particle":"","family":"Matsushita","given":"Mami","non-dropping-particle":"","parse-names":false,"suffix":""},{"dropping-particle":"","family":"Watanabe","given":"Kumiko","non-dropping-particle":"","parse-names":false,"suffix":""},{"dropping-particle":"","family":"Yoneshiro","given":"Takeshi","non-dropping-particle":"","parse-names":false,"suffix":""},{"dropping-particle":"","family":"Nio-Kobayashi","given":"Junko","non-dropping-particle":"","parse-names":false,"suffix":""},{"dropping-particle":"","family":"Iwanaga","given":"Toshihiko","non-dropping-particle":"","parse-names":false,"suffix":""},{"dropping-particle":"","family":"Miyagawa","given":"Masao","non-dropping-particle":"","parse-names":false,"suffix":""},{"dropping-particle":"","family":"Kameya","given":"Toshimitsu","non-dropping-particle":"","parse-names":false,"suffix":""},{"dropping-particle":"","family":"Nakada","given":"Kunihiro","non-dropping-particle":"","parse-names":false,"suffix":""},{"dropping-particle":"","family":"Kawai","given":"Yuko","non-dropping-particle":"","parse-names":false,"suffix":""},{"dropping-particle":"","family":"Tsujisaki","given":"Masayuki","non-dropping-particle":"","parse-names":false,"suffix":""}],"container-title":"Diabetes","id":"ITEM-3","issue":"7","issued":{"date-parts":[["2009","7"]]},"page":"1526-31","title":"High incidence of metabolically active brown adipose tissue in healthy adult humans: effects of cold exposure and adiposity.","type":"article-journal","volume":"58"},"uris":["http://www.mendeley.com/documents/?uuid=3e3a9ac8-5751-457a-b5a7-053a694250c8"]}],"mendeley":{"formattedCitation":"(5,6,8)","plainTextFormattedCitation":"(5,6,8)","previouslyFormattedCitation":"(5,6,8)"},"properties":{"noteIndex":0},"schema":"https://github.com/citation-style-language/schema/raw/master/csl-citation.json"}</w:instrText>
      </w:r>
      <w:r w:rsidR="007F62F0" w:rsidRPr="001417BE">
        <w:rPr>
          <w:rFonts w:ascii="Times New Roman" w:eastAsia="Times New Roman" w:hAnsi="Times New Roman" w:cs="Times New Roman"/>
          <w:sz w:val="24"/>
          <w:szCs w:val="20"/>
          <w:lang w:val="en-US" w:eastAsia="es-ES"/>
        </w:rPr>
        <w:fldChar w:fldCharType="separate"/>
      </w:r>
      <w:r w:rsidR="00AF4442" w:rsidRPr="00AF4442">
        <w:rPr>
          <w:rFonts w:ascii="Times New Roman" w:eastAsia="Times New Roman" w:hAnsi="Times New Roman" w:cs="Times New Roman"/>
          <w:noProof/>
          <w:sz w:val="24"/>
          <w:szCs w:val="20"/>
          <w:lang w:val="en-US" w:eastAsia="es-ES"/>
        </w:rPr>
        <w:t>(5,6,8)</w:t>
      </w:r>
      <w:r w:rsidR="007F62F0" w:rsidRPr="001417BE">
        <w:rPr>
          <w:rFonts w:ascii="Times New Roman" w:eastAsia="Times New Roman" w:hAnsi="Times New Roman" w:cs="Times New Roman"/>
          <w:sz w:val="24"/>
          <w:szCs w:val="20"/>
          <w:lang w:val="en-US" w:eastAsia="es-ES"/>
        </w:rPr>
        <w:fldChar w:fldCharType="end"/>
      </w:r>
      <w:r w:rsidR="00A73E15">
        <w:rPr>
          <w:rFonts w:ascii="Times New Roman" w:eastAsia="Times New Roman" w:hAnsi="Times New Roman" w:cs="Times New Roman"/>
          <w:sz w:val="24"/>
          <w:szCs w:val="20"/>
          <w:lang w:val="en-US" w:eastAsia="es-ES"/>
        </w:rPr>
        <w:t xml:space="preserve">. </w:t>
      </w:r>
      <w:r w:rsidR="00124A28" w:rsidRPr="001417BE">
        <w:rPr>
          <w:rFonts w:ascii="Times New Roman" w:eastAsia="Times New Roman" w:hAnsi="Times New Roman" w:cs="Times New Roman"/>
          <w:sz w:val="24"/>
          <w:szCs w:val="20"/>
          <w:lang w:val="en-US" w:eastAsia="es-ES"/>
        </w:rPr>
        <w:t xml:space="preserve">However, </w:t>
      </w:r>
      <w:r w:rsidR="00196ED2" w:rsidRPr="001417BE">
        <w:rPr>
          <w:rFonts w:ascii="Times New Roman" w:eastAsia="Times New Roman" w:hAnsi="Times New Roman" w:cs="Times New Roman"/>
          <w:sz w:val="24"/>
          <w:szCs w:val="20"/>
          <w:lang w:val="en-US" w:eastAsia="es-ES"/>
        </w:rPr>
        <w:t>back in the 1970s</w:t>
      </w:r>
      <w:r w:rsidR="00124A28" w:rsidRPr="001417BE">
        <w:rPr>
          <w:rFonts w:ascii="Times New Roman" w:eastAsia="Times New Roman" w:hAnsi="Times New Roman" w:cs="Times New Roman"/>
          <w:sz w:val="24"/>
          <w:szCs w:val="20"/>
          <w:lang w:val="en-US" w:eastAsia="es-ES"/>
        </w:rPr>
        <w:t xml:space="preserve"> it </w:t>
      </w:r>
      <w:r w:rsidR="00196ED2" w:rsidRPr="001417BE">
        <w:rPr>
          <w:rFonts w:ascii="Times New Roman" w:eastAsia="Times New Roman" w:hAnsi="Times New Roman" w:cs="Times New Roman"/>
          <w:sz w:val="24"/>
          <w:szCs w:val="20"/>
          <w:lang w:val="en-US" w:eastAsia="es-ES"/>
        </w:rPr>
        <w:t>was</w:t>
      </w:r>
      <w:r w:rsidR="00124A28" w:rsidRPr="001417BE">
        <w:rPr>
          <w:rFonts w:ascii="Times New Roman" w:eastAsia="Times New Roman" w:hAnsi="Times New Roman" w:cs="Times New Roman"/>
          <w:sz w:val="24"/>
          <w:szCs w:val="20"/>
          <w:lang w:val="en-US" w:eastAsia="es-ES"/>
        </w:rPr>
        <w:t xml:space="preserve"> </w:t>
      </w:r>
      <w:r w:rsidR="009245D1" w:rsidRPr="001417BE">
        <w:rPr>
          <w:rFonts w:ascii="Times New Roman" w:eastAsia="Times New Roman" w:hAnsi="Times New Roman" w:cs="Times New Roman"/>
          <w:sz w:val="24"/>
          <w:szCs w:val="20"/>
          <w:lang w:val="en-US" w:eastAsia="es-ES"/>
        </w:rPr>
        <w:t xml:space="preserve">shown </w:t>
      </w:r>
      <w:r w:rsidR="00196ED2" w:rsidRPr="001417BE">
        <w:rPr>
          <w:rFonts w:ascii="Times New Roman" w:eastAsia="Times New Roman" w:hAnsi="Times New Roman" w:cs="Times New Roman"/>
          <w:sz w:val="24"/>
          <w:szCs w:val="20"/>
          <w:lang w:val="en-US" w:eastAsia="es-ES"/>
        </w:rPr>
        <w:t>that providing a</w:t>
      </w:r>
      <w:r w:rsidR="00124A28" w:rsidRPr="001417BE">
        <w:rPr>
          <w:rFonts w:ascii="Times New Roman" w:eastAsia="Times New Roman" w:hAnsi="Times New Roman" w:cs="Times New Roman"/>
          <w:sz w:val="24"/>
          <w:szCs w:val="20"/>
          <w:lang w:val="en-US" w:eastAsia="es-ES"/>
        </w:rPr>
        <w:t xml:space="preserve"> hypercaloric cafeteria diet increase</w:t>
      </w:r>
      <w:r w:rsidR="00103DC3" w:rsidRPr="001417BE">
        <w:rPr>
          <w:rFonts w:ascii="Times New Roman" w:eastAsia="Times New Roman" w:hAnsi="Times New Roman" w:cs="Times New Roman"/>
          <w:sz w:val="24"/>
          <w:szCs w:val="20"/>
          <w:lang w:val="en-US" w:eastAsia="es-ES"/>
        </w:rPr>
        <w:t>d</w:t>
      </w:r>
      <w:r w:rsidR="009245D1" w:rsidRPr="001417BE">
        <w:rPr>
          <w:rFonts w:ascii="Times New Roman" w:eastAsia="Times New Roman" w:hAnsi="Times New Roman" w:cs="Times New Roman"/>
          <w:sz w:val="24"/>
          <w:szCs w:val="20"/>
          <w:lang w:val="en-US" w:eastAsia="es-ES"/>
        </w:rPr>
        <w:t xml:space="preserve"> </w:t>
      </w:r>
      <w:r w:rsidR="00124A28" w:rsidRPr="001417BE">
        <w:rPr>
          <w:rFonts w:ascii="Times New Roman" w:eastAsia="Times New Roman" w:hAnsi="Times New Roman" w:cs="Times New Roman"/>
          <w:sz w:val="24"/>
          <w:szCs w:val="20"/>
          <w:lang w:val="en-US" w:eastAsia="es-ES"/>
        </w:rPr>
        <w:t xml:space="preserve">whole-body adiposity </w:t>
      </w:r>
      <w:r w:rsidR="009245D1" w:rsidRPr="001417BE">
        <w:rPr>
          <w:rFonts w:ascii="Times New Roman" w:eastAsia="Times New Roman" w:hAnsi="Times New Roman" w:cs="Times New Roman"/>
          <w:sz w:val="24"/>
          <w:szCs w:val="20"/>
          <w:lang w:val="en-US" w:eastAsia="es-ES"/>
        </w:rPr>
        <w:t xml:space="preserve">as well as </w:t>
      </w:r>
      <w:r w:rsidR="00124A28" w:rsidRPr="001417BE">
        <w:rPr>
          <w:rFonts w:ascii="Times New Roman" w:eastAsia="Times New Roman" w:hAnsi="Times New Roman" w:cs="Times New Roman"/>
          <w:sz w:val="24"/>
          <w:szCs w:val="20"/>
          <w:lang w:val="en-US" w:eastAsia="es-ES"/>
        </w:rPr>
        <w:t>BAT volume</w:t>
      </w:r>
      <w:r w:rsidR="004733B7" w:rsidRPr="001417BE">
        <w:rPr>
          <w:rFonts w:ascii="Times New Roman" w:eastAsia="Times New Roman" w:hAnsi="Times New Roman" w:cs="Times New Roman"/>
          <w:sz w:val="24"/>
          <w:szCs w:val="20"/>
          <w:lang w:val="en-US" w:eastAsia="es-ES"/>
        </w:rPr>
        <w:t xml:space="preserve"> in </w:t>
      </w:r>
      <w:r w:rsidR="00DB793C" w:rsidRPr="001417BE">
        <w:rPr>
          <w:rFonts w:ascii="Times New Roman" w:eastAsia="Times New Roman" w:hAnsi="Times New Roman" w:cs="Times New Roman"/>
          <w:sz w:val="24"/>
          <w:szCs w:val="20"/>
          <w:lang w:val="en-US" w:eastAsia="es-ES"/>
        </w:rPr>
        <w:t>rats</w:t>
      </w:r>
      <w:r w:rsidR="00497D1D" w:rsidRPr="001417BE">
        <w:rPr>
          <w:rFonts w:ascii="Times New Roman" w:eastAsia="Times New Roman" w:hAnsi="Times New Roman" w:cs="Times New Roman"/>
          <w:sz w:val="24"/>
          <w:szCs w:val="20"/>
          <w:lang w:val="en-US" w:eastAsia="es-ES"/>
        </w:rPr>
        <w:t xml:space="preserve"> </w:t>
      </w:r>
      <w:r w:rsidR="007F62F0" w:rsidRPr="001417BE">
        <w:rPr>
          <w:rFonts w:ascii="Times New Roman" w:eastAsia="Times New Roman" w:hAnsi="Times New Roman" w:cs="Times New Roman"/>
          <w:sz w:val="24"/>
          <w:szCs w:val="20"/>
          <w:lang w:val="en-US" w:eastAsia="es-ES"/>
        </w:rPr>
        <w:fldChar w:fldCharType="begin" w:fldLock="1"/>
      </w:r>
      <w:r w:rsidR="00CC0D78">
        <w:rPr>
          <w:rFonts w:ascii="Times New Roman" w:eastAsia="Times New Roman" w:hAnsi="Times New Roman" w:cs="Times New Roman"/>
          <w:sz w:val="24"/>
          <w:szCs w:val="20"/>
          <w:lang w:val="en-US" w:eastAsia="es-ES"/>
        </w:rPr>
        <w:instrText>ADDIN CSL_CITATION {"citationItems":[{"id":"ITEM-1","itemData":{"DOI":"10.1038/281031a0","ISSN":"0028-0836","PMID":"551265","abstract":"Measurement of energy balance during voluntary overeating in rats unequivocally establishes the quantitative importance of diet-induced thermogenesis in energy balance. Like cold-induced thermogenesis, this form of heat production involves changes in the activity of the sympathetic nervous system and brown adipose tissue which suggest that this tissue may determine metabolic efficiency and resistance to obesity.","author":[{"dropping-particle":"","family":"Rothwell","given":"N J","non-dropping-particle":"","parse-names":false,"suffix":""},{"dropping-particle":"","family":"Stock","given":"M J","non-dropping-particle":"","parse-names":false,"suffix":""}],"container-title":"Nature","id":"ITEM-1","issue":"5726","issued":{"date-parts":[["1979","9","6"]]},"page":"31-5","title":"A role for brown adipose tissue in diet-induced thermogenesis.","type":"article-journal","volume":"281"},"uris":["http://www.mendeley.com/documents/?uuid=120fb5b7-5275-434d-8722-ed727fd28d33"]}],"mendeley":{"formattedCitation":"(11)","plainTextFormattedCitation":"(11)","previouslyFormattedCitation":"(11)"},"properties":{"noteIndex":0},"schema":"https://github.com/citation-style-language/schema/raw/master/csl-citation.json"}</w:instrText>
      </w:r>
      <w:r w:rsidR="007F62F0" w:rsidRPr="001417BE">
        <w:rPr>
          <w:rFonts w:ascii="Times New Roman" w:eastAsia="Times New Roman" w:hAnsi="Times New Roman" w:cs="Times New Roman"/>
          <w:sz w:val="24"/>
          <w:szCs w:val="20"/>
          <w:lang w:val="en-US" w:eastAsia="es-ES"/>
        </w:rPr>
        <w:fldChar w:fldCharType="separate"/>
      </w:r>
      <w:r w:rsidR="00E8498D" w:rsidRPr="00E8498D">
        <w:rPr>
          <w:rFonts w:ascii="Times New Roman" w:eastAsia="Times New Roman" w:hAnsi="Times New Roman" w:cs="Times New Roman"/>
          <w:noProof/>
          <w:sz w:val="24"/>
          <w:szCs w:val="20"/>
          <w:lang w:val="en-US" w:eastAsia="es-ES"/>
        </w:rPr>
        <w:t>(11)</w:t>
      </w:r>
      <w:r w:rsidR="007F62F0" w:rsidRPr="001417BE">
        <w:rPr>
          <w:rFonts w:ascii="Times New Roman" w:eastAsia="Times New Roman" w:hAnsi="Times New Roman" w:cs="Times New Roman"/>
          <w:sz w:val="24"/>
          <w:szCs w:val="20"/>
          <w:lang w:val="en-US" w:eastAsia="es-ES"/>
        </w:rPr>
        <w:fldChar w:fldCharType="end"/>
      </w:r>
      <w:r w:rsidR="00124A28" w:rsidRPr="001417BE">
        <w:rPr>
          <w:rFonts w:ascii="Times New Roman" w:eastAsia="Times New Roman" w:hAnsi="Times New Roman" w:cs="Times New Roman"/>
          <w:sz w:val="24"/>
          <w:szCs w:val="20"/>
          <w:lang w:val="en-US" w:eastAsia="es-ES"/>
        </w:rPr>
        <w:t xml:space="preserve">. </w:t>
      </w:r>
      <w:r w:rsidR="00D33E67" w:rsidRPr="001417BE">
        <w:rPr>
          <w:rFonts w:ascii="Times New Roman" w:eastAsia="Times New Roman" w:hAnsi="Times New Roman" w:cs="Times New Roman"/>
          <w:sz w:val="24"/>
          <w:szCs w:val="20"/>
          <w:lang w:val="en-US" w:eastAsia="es-ES"/>
        </w:rPr>
        <w:t>This classic study, and others</w:t>
      </w:r>
      <w:r w:rsidR="00497D1D" w:rsidRPr="001417BE">
        <w:rPr>
          <w:rFonts w:ascii="Times New Roman" w:eastAsia="Times New Roman" w:hAnsi="Times New Roman" w:cs="Times New Roman"/>
          <w:sz w:val="24"/>
          <w:szCs w:val="20"/>
          <w:lang w:val="en-US" w:eastAsia="es-ES"/>
        </w:rPr>
        <w:t xml:space="preserve"> </w:t>
      </w:r>
      <w:r w:rsidR="007F62F0" w:rsidRPr="001417BE">
        <w:rPr>
          <w:rFonts w:ascii="Times New Roman" w:eastAsia="Times New Roman" w:hAnsi="Times New Roman" w:cs="Times New Roman"/>
          <w:sz w:val="24"/>
          <w:szCs w:val="20"/>
          <w:lang w:val="en-US" w:eastAsia="es-ES"/>
        </w:rPr>
        <w:fldChar w:fldCharType="begin" w:fldLock="1"/>
      </w:r>
      <w:r w:rsidR="00CC0D78">
        <w:rPr>
          <w:rFonts w:ascii="Times New Roman" w:eastAsia="Times New Roman" w:hAnsi="Times New Roman" w:cs="Times New Roman"/>
          <w:sz w:val="24"/>
          <w:szCs w:val="20"/>
          <w:lang w:val="en-US" w:eastAsia="es-ES"/>
        </w:rPr>
        <w:instrText>ADDIN CSL_CITATION {"citationItems":[{"id":"ITEM-1","itemData":{"DOI":"10.1016/J.CMET.2008.12.014","ISSN":"1550-4131","abstract":"As original studies of UCP1-ablated mice failed to demonstrate an obesogenic effect, alternative mechanisms for adaptive adrenergic thermogenesis have been sought. However, we demonstrate here that in C57Bl6 mice exempt from thermal stress (i.e., kept at thermoneutrality), UCP1 ablation in itself induced obesity, even in mice fed control diet, and vastly augmented diet-induced obesity (high-fat diet); i.e., the mice exhibited increased metabolic efficiency. In wild-type mice, high-fat diet increased norepinephrine-induced thermogenesis; i.e., diet-induced thermogenesis was observed, but no such effect was observed in UCP1-ablated mice, demonstrating that diet-induced thermogenesis fully emanates from UCP1 activity. We conclude that ambient temperature is qualitatively determinative for the outcome of metabolic studies, that no other protein and no other mechanism can substitute for UCP1 in mediating diet-induced adrenergic thermogenesis, and that UCP1 activity can be determinative for obesity development in mice and possibly in humans.","author":[{"dropping-particle":"","family":"Feldmann","given":"Helena M.","non-dropping-particle":"","parse-names":false,"suffix":""},{"dropping-particle":"","family":"Golozoubova","given":"Valeria","non-dropping-particle":"","parse-names":false,"suffix":""},{"dropping-particle":"","family":"Cannon","given":"Barbara","non-dropping-particle":"","parse-names":false,"suffix":""},{"dropping-particle":"","family":"Nedergaard","given":"Jan","non-dropping-particle":"","parse-names":false,"suffix":""}],"container-title":"Cell Metabolism","id":"ITEM-1","issue":"2","issued":{"date-parts":[["2009","2","4"]]},"page":"203-209","publisher":"Cell Press","title":"UCP1 Ablation Induces Obesity and Abolishes Diet-Induced Thermogenesis in Mice Exempt from Thermal Stress by Living at Thermoneutrality","type":"article-journal","volume":"9"},"uris":["http://www.mendeley.com/documents/?uuid=b4f25a45-e008-3cf0-a832-09f2ab22a8f9"]},{"id":"ITEM-2","itemData":{"DOI":"10.1152/ajpcell.1983.244.3.C142","ISSN":"0363-6143","PMID":"6299108","abstract":"Brown adipose tissue has earlier been suggested as an important site of the diet-induced thermogenesis that results from cafeteria feeding in rats. The aim of the present communication has been to see if any defined component of this diet can mimic the effects of the diet on the trophic response of brown fat and if these effects are mediated by the sympathetic nervous system. Rats fed a lipid emulsion did not show hypertrophy of brown adipose tissue. Rats fed a glucose solution, whether voluntarily or by force feeding, showed a clear trophic response of brown fat, as seen by the morphology of the tissue and its increased wet weight, increased protein content, increased total and specific cytochrome c oxidase activity, and increased mitochondrial guanosine diphosphate binding. Chemical sympathectomy of young rats by guanethidine prior to glucose feeding impaired the glucose-induced effects on brown fat. beta-Adrenergic blockade in adult rats also tended to depress the glucose effect. Consequently we conclude that chronic glucose ingestion can mimic cafeteria feeding with respect to the trophic response of brown fat and that an intact sympathetic nervous system is required for the mediation of the glucose effect to the brown adipose tissue.","author":[{"dropping-particle":"","family":"Sundin","given":"U.","non-dropping-particle":"","parse-names":false,"suffix":""},{"dropping-particle":"","family":"Nechad","given":"M.","non-dropping-particle":"","parse-names":false,"suffix":""}],"container-title":"American Journal of Physiology-Cell Physiology","id":"ITEM-2","issue":"3","issued":{"date-parts":[["1983","3"]]},"page":"C142-C149","title":"Trophic response of rat brown fat by glucose feeding: involvement of sympathetic nervous system","type":"article-journal","volume":"244"},"uris":["http://www.mendeley.com/documents/?uuid=37104afb-596d-3e28-9dad-db550e690d2e"]},{"id":"ITEM-3","itemData":{"DOI":"10.1093/jn/117.12.2147","ISSN":"0022-3166","PMID":"3320290","abstract":"The effects on energy balance and brown adipose tissue thermogenesis of feeding high fat diets of differing fatty acid composition have been investigated in lean and genetically obese (ob/ob) mice. Groups of mice were fed either a low fat diet or a high fat diet based on corn oil or beef tallow for 2 wk. Energy intake and body weight gain were higher in both lean and obese animals fed the high fat diets than in respective mice fed the low fat diets. Carcass energy gain was greater for the obese than for the lean consuming each of the diets. Both lean and obese mice had a higher energy gain when fed the beef tallow diet than when fed the corn oil, despite isoenergetic intakes of the two diets. The thermogenic activity of brown adipose tissue, assessed from measurements of cytochrome oxidase activity and mitochondrial guanosine 5'-diphosphate (GDP) binding, were greater in both lean and obese mice fed the corn oil diet than in those fed the low fat diet. However, GDP binding and cytochrome oxidase activities in lean or obese mice fed the beef tallow diet were not different from those of mice of the same genotype fed the low fat diet. These results indicate that in both lean and obese (ob/ob) mice energy deposition and the stimulation of brown adipose tissue thermogenesis during the voluntary hyperphagia induced by feeding high fat diets are influenced by the fatty acid composition of the diet. A diet rich in polyunsaturated fatty acids appears to result in preferential stimulation of the thermogenic activity of brown adipose tissue, particularly in the ob/ob mouse.","author":[{"dropping-particle":"","family":"Mercer","given":"Stewart W.","non-dropping-particle":"","parse-names":false,"suffix":""},{"dropping-particle":"","family":"Trayhurn","given":"Paul","non-dropping-particle":"","parse-names":false,"suffix":""}],"container-title":"The Journal of Nutrition","id":"ITEM-3","issue":"12","issued":{"date-parts":[["1987","12","1"]]},"page":"2147-2153","title":"Effect of High Fat Diets on Energy Balance and Thermogenesis in Brown Adipose Tissue of Lean and Genetically Obese ob/ob Mice","type":"article-journal","volume":"117"},"uris":["http://www.mendeley.com/documents/?uuid=8bfc5d4d-c508-3db0-91aa-f39535ccbd4f"]}],"mendeley":{"formattedCitation":"(12–14)","plainTextFormattedCitation":"(12–14)","previouslyFormattedCitation":"(12–14)"},"properties":{"noteIndex":0},"schema":"https://github.com/citation-style-language/schema/raw/master/csl-citation.json"}</w:instrText>
      </w:r>
      <w:r w:rsidR="007F62F0" w:rsidRPr="001417BE">
        <w:rPr>
          <w:rFonts w:ascii="Times New Roman" w:eastAsia="Times New Roman" w:hAnsi="Times New Roman" w:cs="Times New Roman"/>
          <w:sz w:val="24"/>
          <w:szCs w:val="20"/>
          <w:lang w:val="en-US" w:eastAsia="es-ES"/>
        </w:rPr>
        <w:fldChar w:fldCharType="separate"/>
      </w:r>
      <w:r w:rsidR="00E8498D" w:rsidRPr="00E8498D">
        <w:rPr>
          <w:rFonts w:ascii="Times New Roman" w:eastAsia="Times New Roman" w:hAnsi="Times New Roman" w:cs="Times New Roman"/>
          <w:noProof/>
          <w:sz w:val="24"/>
          <w:szCs w:val="20"/>
          <w:lang w:val="en-US" w:eastAsia="es-ES"/>
        </w:rPr>
        <w:t>(12–14)</w:t>
      </w:r>
      <w:r w:rsidR="007F62F0" w:rsidRPr="001417BE">
        <w:rPr>
          <w:rFonts w:ascii="Times New Roman" w:eastAsia="Times New Roman" w:hAnsi="Times New Roman" w:cs="Times New Roman"/>
          <w:sz w:val="24"/>
          <w:szCs w:val="20"/>
          <w:lang w:val="en-US" w:eastAsia="es-ES"/>
        </w:rPr>
        <w:fldChar w:fldCharType="end"/>
      </w:r>
      <w:r w:rsidR="00D33E67" w:rsidRPr="001417BE">
        <w:rPr>
          <w:rFonts w:ascii="Times New Roman" w:eastAsia="Times New Roman" w:hAnsi="Times New Roman" w:cs="Times New Roman"/>
          <w:sz w:val="24"/>
          <w:szCs w:val="20"/>
          <w:lang w:val="en-US" w:eastAsia="es-ES"/>
        </w:rPr>
        <w:t>, provide</w:t>
      </w:r>
      <w:r w:rsidR="00DB793C" w:rsidRPr="001417BE">
        <w:rPr>
          <w:rFonts w:ascii="Times New Roman" w:eastAsia="Times New Roman" w:hAnsi="Times New Roman" w:cs="Times New Roman"/>
          <w:sz w:val="24"/>
          <w:szCs w:val="20"/>
          <w:lang w:val="en-US" w:eastAsia="es-ES"/>
        </w:rPr>
        <w:t>d</w:t>
      </w:r>
      <w:r w:rsidR="00D33E67" w:rsidRPr="001417BE">
        <w:rPr>
          <w:rFonts w:ascii="Times New Roman" w:eastAsia="Times New Roman" w:hAnsi="Times New Roman" w:cs="Times New Roman"/>
          <w:sz w:val="24"/>
          <w:szCs w:val="20"/>
          <w:lang w:val="en-US" w:eastAsia="es-ES"/>
        </w:rPr>
        <w:t xml:space="preserve"> evidence of </w:t>
      </w:r>
      <w:r w:rsidR="00196ED2" w:rsidRPr="001417BE">
        <w:rPr>
          <w:rFonts w:ascii="Times New Roman" w:eastAsia="Times New Roman" w:hAnsi="Times New Roman" w:cs="Times New Roman"/>
          <w:sz w:val="24"/>
          <w:szCs w:val="20"/>
          <w:lang w:val="en-US" w:eastAsia="es-ES"/>
        </w:rPr>
        <w:t>the</w:t>
      </w:r>
      <w:r w:rsidR="00D33E67" w:rsidRPr="001417BE">
        <w:rPr>
          <w:rFonts w:ascii="Times New Roman" w:eastAsia="Times New Roman" w:hAnsi="Times New Roman" w:cs="Times New Roman"/>
          <w:sz w:val="24"/>
          <w:szCs w:val="20"/>
          <w:lang w:val="en-US" w:eastAsia="es-ES"/>
        </w:rPr>
        <w:t xml:space="preserve"> obesity-induced hypertrophy</w:t>
      </w:r>
      <w:r w:rsidR="0081794E" w:rsidRPr="001417BE">
        <w:rPr>
          <w:rFonts w:ascii="Times New Roman" w:eastAsia="Times New Roman" w:hAnsi="Times New Roman" w:cs="Times New Roman"/>
          <w:sz w:val="24"/>
          <w:szCs w:val="20"/>
          <w:lang w:val="en-US" w:eastAsia="es-ES"/>
        </w:rPr>
        <w:t>/hyperplasia</w:t>
      </w:r>
      <w:r w:rsidR="00D33E67" w:rsidRPr="001417BE">
        <w:rPr>
          <w:rFonts w:ascii="Times New Roman" w:eastAsia="Times New Roman" w:hAnsi="Times New Roman" w:cs="Times New Roman"/>
          <w:sz w:val="24"/>
          <w:szCs w:val="20"/>
          <w:lang w:val="en-US" w:eastAsia="es-ES"/>
        </w:rPr>
        <w:t xml:space="preserve"> of BAT</w:t>
      </w:r>
      <w:r w:rsidR="00372571" w:rsidRPr="001417BE">
        <w:rPr>
          <w:rFonts w:ascii="Times New Roman" w:eastAsia="Times New Roman" w:hAnsi="Times New Roman" w:cs="Times New Roman"/>
          <w:sz w:val="24"/>
          <w:szCs w:val="20"/>
          <w:lang w:val="en-US" w:eastAsia="es-ES"/>
        </w:rPr>
        <w:t>, a</w:t>
      </w:r>
      <w:r w:rsidR="00DB0116" w:rsidRPr="001417BE">
        <w:rPr>
          <w:rFonts w:ascii="Times New Roman" w:eastAsia="Times New Roman" w:hAnsi="Times New Roman" w:cs="Times New Roman"/>
          <w:sz w:val="24"/>
          <w:szCs w:val="20"/>
          <w:lang w:val="en-US" w:eastAsia="es-ES"/>
        </w:rPr>
        <w:t xml:space="preserve">t least </w:t>
      </w:r>
      <w:r w:rsidR="00196ED2" w:rsidRPr="001417BE">
        <w:rPr>
          <w:rFonts w:ascii="Times New Roman" w:eastAsia="Times New Roman" w:hAnsi="Times New Roman" w:cs="Times New Roman"/>
          <w:sz w:val="24"/>
          <w:szCs w:val="20"/>
          <w:lang w:val="en-US" w:eastAsia="es-ES"/>
        </w:rPr>
        <w:t>in</w:t>
      </w:r>
      <w:r w:rsidR="00DB0116" w:rsidRPr="001417BE">
        <w:rPr>
          <w:rFonts w:ascii="Times New Roman" w:eastAsia="Times New Roman" w:hAnsi="Times New Roman" w:cs="Times New Roman"/>
          <w:sz w:val="24"/>
          <w:szCs w:val="20"/>
          <w:lang w:val="en-US" w:eastAsia="es-ES"/>
        </w:rPr>
        <w:t xml:space="preserve"> wild-type mice</w:t>
      </w:r>
      <w:r w:rsidR="004D3445" w:rsidRPr="001417BE">
        <w:rPr>
          <w:rFonts w:ascii="Times New Roman" w:eastAsia="Times New Roman" w:hAnsi="Times New Roman" w:cs="Times New Roman"/>
          <w:sz w:val="24"/>
          <w:szCs w:val="20"/>
          <w:lang w:val="en-US" w:eastAsia="es-ES"/>
        </w:rPr>
        <w:t xml:space="preserve"> and rats</w:t>
      </w:r>
      <w:r w:rsidR="0081794E" w:rsidRPr="001417BE">
        <w:rPr>
          <w:rFonts w:ascii="Times New Roman" w:eastAsia="Times New Roman" w:hAnsi="Times New Roman" w:cs="Times New Roman"/>
          <w:sz w:val="24"/>
          <w:szCs w:val="20"/>
          <w:lang w:val="en-US" w:eastAsia="es-ES"/>
        </w:rPr>
        <w:t xml:space="preserve">. </w:t>
      </w:r>
      <w:r w:rsidR="00196ED2" w:rsidRPr="001417BE">
        <w:rPr>
          <w:rFonts w:ascii="Times New Roman" w:eastAsia="Times New Roman" w:hAnsi="Times New Roman" w:cs="Times New Roman"/>
          <w:sz w:val="24"/>
          <w:szCs w:val="20"/>
          <w:lang w:val="en-US" w:eastAsia="es-ES"/>
        </w:rPr>
        <w:t>T</w:t>
      </w:r>
      <w:r w:rsidR="0081794E" w:rsidRPr="001417BE">
        <w:rPr>
          <w:rFonts w:ascii="Times New Roman" w:eastAsia="Times New Roman" w:hAnsi="Times New Roman" w:cs="Times New Roman"/>
          <w:sz w:val="24"/>
          <w:szCs w:val="20"/>
          <w:lang w:val="en-US" w:eastAsia="es-ES"/>
        </w:rPr>
        <w:t xml:space="preserve">he </w:t>
      </w:r>
      <w:r w:rsidR="00517361" w:rsidRPr="001417BE">
        <w:rPr>
          <w:rFonts w:ascii="Times New Roman" w:eastAsia="Times New Roman" w:hAnsi="Times New Roman" w:cs="Times New Roman"/>
          <w:sz w:val="24"/>
          <w:szCs w:val="20"/>
          <w:lang w:val="en-US" w:eastAsia="es-ES"/>
        </w:rPr>
        <w:t>inverse</w:t>
      </w:r>
      <w:r w:rsidR="0081794E" w:rsidRPr="001417BE">
        <w:rPr>
          <w:rFonts w:ascii="Times New Roman" w:eastAsia="Times New Roman" w:hAnsi="Times New Roman" w:cs="Times New Roman"/>
          <w:sz w:val="24"/>
          <w:szCs w:val="20"/>
          <w:lang w:val="en-US" w:eastAsia="es-ES"/>
        </w:rPr>
        <w:t xml:space="preserve"> association between BAT volume and whole-body adiposity shown by </w:t>
      </w:r>
      <w:r w:rsidR="00196ED2" w:rsidRPr="001417BE">
        <w:rPr>
          <w:rFonts w:ascii="Times New Roman" w:eastAsia="Times New Roman" w:hAnsi="Times New Roman" w:cs="Times New Roman"/>
          <w:sz w:val="24"/>
          <w:szCs w:val="20"/>
          <w:lang w:val="en-US" w:eastAsia="es-ES"/>
        </w:rPr>
        <w:t xml:space="preserve">the </w:t>
      </w:r>
      <w:r w:rsidR="0081794E" w:rsidRPr="001417BE">
        <w:rPr>
          <w:rFonts w:ascii="Times New Roman" w:eastAsia="Times New Roman" w:hAnsi="Times New Roman" w:cs="Times New Roman"/>
          <w:sz w:val="24"/>
          <w:szCs w:val="20"/>
          <w:lang w:val="en-US" w:eastAsia="es-ES"/>
        </w:rPr>
        <w:t>first human PET</w:t>
      </w:r>
      <w:r w:rsidR="00DB0116" w:rsidRPr="001417BE">
        <w:rPr>
          <w:rFonts w:ascii="Times New Roman" w:eastAsia="Times New Roman" w:hAnsi="Times New Roman" w:cs="Times New Roman"/>
          <w:sz w:val="24"/>
          <w:szCs w:val="20"/>
          <w:lang w:val="en-US" w:eastAsia="es-ES"/>
        </w:rPr>
        <w:t>-</w:t>
      </w:r>
      <w:r w:rsidR="0081794E" w:rsidRPr="001417BE">
        <w:rPr>
          <w:rFonts w:ascii="Times New Roman" w:eastAsia="Times New Roman" w:hAnsi="Times New Roman" w:cs="Times New Roman"/>
          <w:sz w:val="24"/>
          <w:szCs w:val="20"/>
          <w:lang w:val="en-US" w:eastAsia="es-ES"/>
        </w:rPr>
        <w:t xml:space="preserve">CT studies </w:t>
      </w:r>
      <w:r w:rsidR="00196ED2" w:rsidRPr="001417BE">
        <w:rPr>
          <w:rFonts w:ascii="Times New Roman" w:eastAsia="Times New Roman" w:hAnsi="Times New Roman" w:cs="Times New Roman"/>
          <w:sz w:val="24"/>
          <w:szCs w:val="20"/>
          <w:lang w:val="en-US" w:eastAsia="es-ES"/>
        </w:rPr>
        <w:t xml:space="preserve">thus conflicts </w:t>
      </w:r>
      <w:r w:rsidR="0081794E" w:rsidRPr="001417BE">
        <w:rPr>
          <w:rFonts w:ascii="Times New Roman" w:eastAsia="Times New Roman" w:hAnsi="Times New Roman" w:cs="Times New Roman"/>
          <w:sz w:val="24"/>
          <w:szCs w:val="20"/>
          <w:lang w:val="en-US" w:eastAsia="es-ES"/>
        </w:rPr>
        <w:t xml:space="preserve">with </w:t>
      </w:r>
      <w:r w:rsidR="008D600B">
        <w:rPr>
          <w:rFonts w:ascii="Times New Roman" w:eastAsia="Times New Roman" w:hAnsi="Times New Roman" w:cs="Times New Roman"/>
          <w:sz w:val="24"/>
          <w:szCs w:val="20"/>
          <w:lang w:val="en-US" w:eastAsia="es-ES"/>
        </w:rPr>
        <w:t xml:space="preserve">classic </w:t>
      </w:r>
      <w:r w:rsidR="0081794E" w:rsidRPr="001417BE">
        <w:rPr>
          <w:rFonts w:ascii="Times New Roman" w:eastAsia="Times New Roman" w:hAnsi="Times New Roman" w:cs="Times New Roman"/>
          <w:sz w:val="24"/>
          <w:szCs w:val="20"/>
          <w:lang w:val="en-US" w:eastAsia="es-ES"/>
        </w:rPr>
        <w:t>rodent</w:t>
      </w:r>
      <w:r w:rsidR="008D600B">
        <w:rPr>
          <w:rFonts w:ascii="Times New Roman" w:eastAsia="Times New Roman" w:hAnsi="Times New Roman" w:cs="Times New Roman"/>
          <w:sz w:val="24"/>
          <w:szCs w:val="20"/>
          <w:lang w:val="en-US" w:eastAsia="es-ES"/>
        </w:rPr>
        <w:t xml:space="preserve"> studies</w:t>
      </w:r>
      <w:r w:rsidR="0081794E" w:rsidRPr="001417BE">
        <w:rPr>
          <w:rFonts w:ascii="Times New Roman" w:eastAsia="Times New Roman" w:hAnsi="Times New Roman" w:cs="Times New Roman"/>
          <w:sz w:val="24"/>
          <w:szCs w:val="20"/>
          <w:lang w:val="en-US" w:eastAsia="es-ES"/>
        </w:rPr>
        <w:t>.</w:t>
      </w:r>
      <w:r w:rsidR="00196ED2" w:rsidRPr="001417BE">
        <w:rPr>
          <w:rFonts w:ascii="Times New Roman" w:eastAsia="Times New Roman" w:hAnsi="Times New Roman" w:cs="Times New Roman"/>
          <w:sz w:val="24"/>
          <w:szCs w:val="20"/>
          <w:lang w:val="en-US" w:eastAsia="es-ES"/>
        </w:rPr>
        <w:t xml:space="preserve"> However,</w:t>
      </w:r>
      <w:r w:rsidR="00730B66" w:rsidRPr="001417BE">
        <w:rPr>
          <w:rFonts w:ascii="Times New Roman" w:eastAsia="Times New Roman" w:hAnsi="Times New Roman" w:cs="Times New Roman"/>
          <w:sz w:val="24"/>
          <w:szCs w:val="20"/>
          <w:lang w:val="en-US" w:eastAsia="es-ES"/>
        </w:rPr>
        <w:t xml:space="preserve"> </w:t>
      </w:r>
      <w:r w:rsidR="00A73E15">
        <w:rPr>
          <w:rFonts w:ascii="Times New Roman" w:eastAsia="Times New Roman" w:hAnsi="Times New Roman" w:cs="Times New Roman"/>
          <w:sz w:val="24"/>
          <w:szCs w:val="20"/>
          <w:lang w:val="en-US" w:eastAsia="es-ES"/>
        </w:rPr>
        <w:t xml:space="preserve">it should be considered that there is an ongoing debate on whether BAT studies conducted in murine at room temperature (i.e. below the animals thermoneutrality) are </w:t>
      </w:r>
      <w:r w:rsidR="00A73E15" w:rsidRPr="00A73E15">
        <w:rPr>
          <w:rFonts w:ascii="Times New Roman" w:eastAsia="Times New Roman" w:hAnsi="Times New Roman" w:cs="Times New Roman"/>
          <w:sz w:val="24"/>
          <w:szCs w:val="20"/>
          <w:lang w:val="en-US" w:eastAsia="es-ES"/>
        </w:rPr>
        <w:t>translatable</w:t>
      </w:r>
      <w:r w:rsidR="00A73E15">
        <w:rPr>
          <w:rFonts w:ascii="Times New Roman" w:eastAsia="Times New Roman" w:hAnsi="Times New Roman" w:cs="Times New Roman"/>
          <w:sz w:val="24"/>
          <w:szCs w:val="20"/>
          <w:lang w:val="en-US" w:eastAsia="es-ES"/>
        </w:rPr>
        <w:t xml:space="preserve"> to humans </w:t>
      </w:r>
      <w:r w:rsidR="00A73E15">
        <w:rPr>
          <w:rFonts w:ascii="Times New Roman" w:eastAsia="Times New Roman" w:hAnsi="Times New Roman" w:cs="Times New Roman"/>
          <w:sz w:val="24"/>
          <w:szCs w:val="20"/>
          <w:lang w:val="en-US" w:eastAsia="es-ES"/>
        </w:rPr>
        <w:fldChar w:fldCharType="begin" w:fldLock="1"/>
      </w:r>
      <w:r w:rsidR="00CC0D78">
        <w:rPr>
          <w:rFonts w:ascii="Times New Roman" w:eastAsia="Times New Roman" w:hAnsi="Times New Roman" w:cs="Times New Roman"/>
          <w:sz w:val="24"/>
          <w:szCs w:val="20"/>
          <w:lang w:val="en-US" w:eastAsia="es-ES"/>
        </w:rPr>
        <w:instrText>ADDIN CSL_CITATION {"citationItems":[{"id":"ITEM-1","itemData":{"DOI":"10.1038/s42255-019-0101-4","ISSN":"2522-5812","PMID":"32694768","abstract":"Human and rodent brown adipose tissues (BAT) appear morphologically and molecularly different. Here we compare human BAT with both classical brown and brite/beige adipose tissues of 'physiologically humanized' mice: middle-aged mice living under conditions approaching human thermal and nutritional conditions, that is, prolonged exposure to thermoneutral temperature (approximately 30 °C) and to an energy-rich (high-fat, high-sugar) diet. We find that the morphological, cellular and molecular characteristics (both marker and adipose-selective gene expression) of classical brown fat, but not of brite/beige fat, of these physiologically humanized mice are notably similar to human BAT. We also demonstrate, both in silico and experimentally, that in physiologically humanized mice only classical BAT possesses a high thermogenic potential. These observations suggest that classical rodent BAT is the tissue of choice for translational studies aimed at recruiting human BAT to counteract the development of obesity and its comorbidities.","author":[{"dropping-particle":"","family":"Jong","given":"Jasper M A","non-dropping-particle":"de","parse-names":false,"suffix":""},{"dropping-particle":"","family":"Sun","given":"Wenfei","non-dropping-particle":"","parse-names":false,"suffix":""},{"dropping-particle":"","family":"Pires","given":"Nuno D","non-dropping-particle":"","parse-names":false,"suffix":""},{"dropping-particle":"","family":"Frontini","given":"Andrea","non-dropping-particle":"","parse-names":false,"suffix":""},{"dropping-particle":"","family":"Balaz","given":"Miroslav","non-dropping-particle":"","parse-names":false,"suffix":""},{"dropping-particle":"","family":"Jespersen","given":"Naja Z","non-dropping-particle":"","parse-names":false,"suffix":""},{"dropping-particle":"","family":"Feizi","given":"Amir","non-dropping-particle":"","parse-names":false,"suffix":""},{"dropping-particle":"","family":"Petrovic","given":"Katarina","non-dropping-particle":"","parse-names":false,"suffix":""},{"dropping-particle":"","family":"Fischer","given":"Alexander W","non-dropping-particle":"","parse-names":false,"suffix":""},{"dropping-particle":"","family":"Bokhari","given":"Muhammad Hamza","non-dropping-particle":"","parse-names":false,"suffix":""},{"dropping-particle":"","family":"Niemi","given":"Tarja","non-dropping-particle":"","parse-names":false,"suffix":""},{"dropping-particle":"","family":"Nuutila","given":"Pirjo","non-dropping-particle":"","parse-names":false,"suffix":""},{"dropping-particle":"","family":"Cinti","given":"Saverio","non-dropping-particle":"","parse-names":false,"suffix":""},{"dropping-particle":"","family":"Nielsen","given":"Søren","non-dropping-particle":"","parse-names":false,"suffix":""},{"dropping-particle":"","family":"Scheele","given":"Camilla","non-dropping-particle":"","parse-names":false,"suffix":""},{"dropping-particle":"","family":"Virtanen","given":"Kirsi","non-dropping-particle":"","parse-names":false,"suffix":""},{"dropping-particle":"","family":"Cannon","given":"Barbara","non-dropping-particle":"","parse-names":false,"suffix":""},{"dropping-particle":"","family":"Nedergaard","given":"Jan","non-dropping-particle":"","parse-names":false,"suffix":""},{"dropping-particle":"","family":"Wolfrum","given":"Christian","non-dropping-particle":"","parse-names":false,"suffix":""},{"dropping-particle":"","family":"Petrovic","given":"Natasa","non-dropping-particle":"","parse-names":false,"suffix":""}],"container-title":"Nature metabolism","id":"ITEM-1","issue":"8","issued":{"date-parts":[["2019","8","19"]]},"page":"830-843","title":"Human brown adipose tissue is phenocopied by classical brown adipose tissue in physiologically humanized mice.","type":"article-journal","volume":"1"},"uris":["http://www.mendeley.com/documents/?uuid=345337f6-5306-3db6-b103-259da766a525"]},{"id":"ITEM-2","itemData":{"DOI":"10.1016/j.molmet.2019.05.007","ISSN":"2212-8778","PMID":"31182417","author":[{"dropping-particle":"","family":"Keijer","given":"Jaap","non-dropping-particle":"","parse-names":false,"suffix":""},{"dropping-particle":"","family":"Li","given":"Min","non-dropping-particle":"","parse-names":false,"suffix":""},{"dropping-particle":"","family":"Speakman","given":"John R","non-dropping-particle":"","parse-names":false,"suffix":""}],"container-title":"Molecular metabolism","id":"ITEM-2","issued":{"date-parts":[["2019","8"]]},"page":"4","title":"To best mimic human thermal conditions, mice should be housed slightly below thermoneutrality.","type":"article-journal","volume":"26"},"uris":["http://www.mendeley.com/documents/?uuid=1aa06a01-cf96-3da5-b4f2-4f18d563e3ff"]}],"mendeley":{"formattedCitation":"(15,16)","plainTextFormattedCitation":"(15,16)","previouslyFormattedCitation":"(15,16)"},"properties":{"noteIndex":0},"schema":"https://github.com/citation-style-language/schema/raw/master/csl-citation.json"}</w:instrText>
      </w:r>
      <w:r w:rsidR="00A73E15">
        <w:rPr>
          <w:rFonts w:ascii="Times New Roman" w:eastAsia="Times New Roman" w:hAnsi="Times New Roman" w:cs="Times New Roman"/>
          <w:sz w:val="24"/>
          <w:szCs w:val="20"/>
          <w:lang w:val="en-US" w:eastAsia="es-ES"/>
        </w:rPr>
        <w:fldChar w:fldCharType="separate"/>
      </w:r>
      <w:r w:rsidR="00E8498D" w:rsidRPr="00E8498D">
        <w:rPr>
          <w:rFonts w:ascii="Times New Roman" w:eastAsia="Times New Roman" w:hAnsi="Times New Roman" w:cs="Times New Roman"/>
          <w:noProof/>
          <w:sz w:val="24"/>
          <w:szCs w:val="20"/>
          <w:lang w:val="en-US" w:eastAsia="es-ES"/>
        </w:rPr>
        <w:t>(15,16)</w:t>
      </w:r>
      <w:r w:rsidR="00A73E15">
        <w:rPr>
          <w:rFonts w:ascii="Times New Roman" w:eastAsia="Times New Roman" w:hAnsi="Times New Roman" w:cs="Times New Roman"/>
          <w:sz w:val="24"/>
          <w:szCs w:val="20"/>
          <w:lang w:val="en-US" w:eastAsia="es-ES"/>
        </w:rPr>
        <w:fldChar w:fldCharType="end"/>
      </w:r>
      <w:r w:rsidR="00A73E15">
        <w:rPr>
          <w:rFonts w:ascii="Times New Roman" w:eastAsia="Times New Roman" w:hAnsi="Times New Roman" w:cs="Times New Roman"/>
          <w:sz w:val="24"/>
          <w:szCs w:val="20"/>
          <w:lang w:val="en-US" w:eastAsia="es-ES"/>
        </w:rPr>
        <w:t>.</w:t>
      </w:r>
      <w:r w:rsidR="00CC0D78">
        <w:rPr>
          <w:rFonts w:ascii="Times New Roman" w:eastAsia="Times New Roman" w:hAnsi="Times New Roman" w:cs="Times New Roman"/>
          <w:sz w:val="24"/>
          <w:szCs w:val="20"/>
          <w:lang w:val="en-US" w:eastAsia="es-ES"/>
        </w:rPr>
        <w:t xml:space="preserve"> </w:t>
      </w:r>
      <w:bookmarkStart w:id="3" w:name="_Hlk65703270"/>
      <w:r w:rsidR="00CC0D78">
        <w:rPr>
          <w:rFonts w:ascii="Times New Roman" w:eastAsia="Times New Roman" w:hAnsi="Times New Roman" w:cs="Times New Roman"/>
          <w:sz w:val="24"/>
          <w:szCs w:val="20"/>
          <w:lang w:val="en-US" w:eastAsia="es-ES"/>
        </w:rPr>
        <w:t xml:space="preserve">Thus, even if the previously reported increase in BAT volume in response to overfeeding in murine models kept at room temperature </w:t>
      </w:r>
      <w:r w:rsidR="005F124F">
        <w:rPr>
          <w:rFonts w:ascii="Times New Roman" w:eastAsia="Times New Roman" w:hAnsi="Times New Roman" w:cs="Times New Roman"/>
          <w:sz w:val="24"/>
          <w:szCs w:val="20"/>
          <w:lang w:val="en-US" w:eastAsia="es-ES"/>
        </w:rPr>
        <w:t xml:space="preserve">is </w:t>
      </w:r>
      <w:r w:rsidR="001F369B" w:rsidRPr="001F369B">
        <w:rPr>
          <w:rFonts w:ascii="Times New Roman" w:eastAsia="Times New Roman" w:hAnsi="Times New Roman" w:cs="Times New Roman"/>
          <w:sz w:val="24"/>
          <w:szCs w:val="20"/>
          <w:lang w:val="en-US" w:eastAsia="es-ES"/>
        </w:rPr>
        <w:t>a conserved mechanism</w:t>
      </w:r>
      <w:r w:rsidR="001F369B">
        <w:rPr>
          <w:rFonts w:ascii="Times New Roman" w:eastAsia="Times New Roman" w:hAnsi="Times New Roman" w:cs="Times New Roman"/>
          <w:sz w:val="24"/>
          <w:szCs w:val="20"/>
          <w:lang w:val="en-US" w:eastAsia="es-ES"/>
        </w:rPr>
        <w:t xml:space="preserve"> in </w:t>
      </w:r>
      <w:r w:rsidR="001F369B" w:rsidRPr="001F369B">
        <w:rPr>
          <w:rFonts w:ascii="Times New Roman" w:eastAsia="Times New Roman" w:hAnsi="Times New Roman" w:cs="Times New Roman"/>
          <w:sz w:val="24"/>
          <w:szCs w:val="20"/>
          <w:lang w:val="en-US" w:eastAsia="es-ES"/>
        </w:rPr>
        <w:t>humans</w:t>
      </w:r>
      <w:r w:rsidR="00CC0D78">
        <w:rPr>
          <w:rFonts w:ascii="Times New Roman" w:eastAsia="Times New Roman" w:hAnsi="Times New Roman" w:cs="Times New Roman"/>
          <w:sz w:val="24"/>
          <w:szCs w:val="20"/>
          <w:lang w:val="en-US" w:eastAsia="es-ES"/>
        </w:rPr>
        <w:t xml:space="preserve">, it might still not translate to most </w:t>
      </w:r>
      <w:r w:rsidR="001F369B">
        <w:rPr>
          <w:rFonts w:ascii="Times New Roman" w:eastAsia="Times New Roman" w:hAnsi="Times New Roman" w:cs="Times New Roman"/>
          <w:sz w:val="24"/>
          <w:szCs w:val="20"/>
          <w:lang w:val="en-US" w:eastAsia="es-ES"/>
        </w:rPr>
        <w:t xml:space="preserve">modern </w:t>
      </w:r>
      <w:r w:rsidR="00CC0D78">
        <w:rPr>
          <w:rFonts w:ascii="Times New Roman" w:eastAsia="Times New Roman" w:hAnsi="Times New Roman" w:cs="Times New Roman"/>
          <w:sz w:val="24"/>
          <w:szCs w:val="20"/>
          <w:lang w:val="en-US" w:eastAsia="es-ES"/>
        </w:rPr>
        <w:t>humans, as we are rarely exposed to temperatures below thermoneutrality</w:t>
      </w:r>
      <w:r w:rsidR="001B72D2">
        <w:rPr>
          <w:rFonts w:ascii="Times New Roman" w:eastAsia="Times New Roman" w:hAnsi="Times New Roman" w:cs="Times New Roman"/>
          <w:sz w:val="24"/>
          <w:szCs w:val="20"/>
          <w:lang w:val="en-US" w:eastAsia="es-ES"/>
        </w:rPr>
        <w:t xml:space="preserve"> </w:t>
      </w:r>
      <w:r w:rsidR="001B72D2">
        <w:rPr>
          <w:rFonts w:ascii="Times New Roman" w:eastAsia="Times New Roman" w:hAnsi="Times New Roman" w:cs="Times New Roman"/>
          <w:sz w:val="24"/>
          <w:szCs w:val="20"/>
          <w:lang w:val="en-US" w:eastAsia="es-ES"/>
        </w:rPr>
        <w:fldChar w:fldCharType="begin" w:fldLock="1"/>
      </w:r>
      <w:r w:rsidR="001B72D2">
        <w:rPr>
          <w:rFonts w:ascii="Times New Roman" w:eastAsia="Times New Roman" w:hAnsi="Times New Roman" w:cs="Times New Roman"/>
          <w:sz w:val="24"/>
          <w:szCs w:val="20"/>
          <w:lang w:val="en-US" w:eastAsia="es-ES"/>
        </w:rPr>
        <w:instrText>ADDIN CSL_CITATION {"citationItems":[{"id":"ITEM-1","itemData":{"DOI":"10.1038/sj.jea.7500165","ISSN":"1053-4245","PMID":"11477521","abstract":"Because human activities impact the timing, location, and degree of pollutant exposure, they play a key role in explaining exposure variation. This fact has motivated the collection of activity pattern data for their specific use in exposure assessments. The largest of these recent efforts is the National Human Activity Pattern Survey (NHAPS), a 2-year probability-based telephone survey (n=9386) of exposure-related human activities in the United States (U.S.) sponsored by the U.S. Environmental Protection Agency (EPA). The primary purpose of NHAPS was to provide comprehensive and current exposure information over broad geographical and temporal scales, particularly for use in probabilistic population exposure models. NHAPS was conducted on a virtually daily basis from late September 1992 through September 1994 by the University of Maryland's Survey Research Center using a computer-assisted telephone interview instrument (CATI) to collect 24-h retrospective diaries and answers to a number of personal and exposure-related questions from each respondent. The resulting diary records contain beginning and ending times for each distinct combination of location and activity occurring on the diary day (i.e., each microenvironment). Between 340 and 1713 respondents of all ages were interviewed in each of the 10 EPA regions across the 48 contiguous states. Interviews were completed in 63% of the households contacted. NHAPS respondents reported spending an average of 87% of their time in enclosed buildings and about 6% of their time in enclosed vehicles. These proportions are fairly constant across the various regions of the U.S. and Canada and for the California population between the late 1980s, when the California Air Resources Board (CARB) sponsored a state-wide activity pattern study, and the mid-1990s, when NHAPS was conducted. However, the number of people exposed to environmental tobacco smoke (ETS) in California seems to have decreased over the same time period, where exposure is determined by the reported time spent with a smoker. In both California and the entire nation, the most time spent exposed to ETS was reported to take place in residential locations.","author":[{"dropping-particle":"","family":"Klepeis","given":"N E","non-dropping-particle":"","parse-names":false,"suffix":""},{"dropping-particle":"","family":"Nelson","given":"W C","non-dropping-particle":"","parse-names":false,"suffix":""},{"dropping-particle":"","family":"Ott","given":"W R","non-dropping-particle":"","parse-names":false,"suffix":""},{"dropping-particle":"","family":"Robinson","given":"J P","non-dropping-particle":"","parse-names":false,"suffix":""},{"dropping-particle":"","family":"Tsang","given":"A M","non-dropping-particle":"","parse-names":false,"suffix":""},{"dropping-particle":"","family":"Switzer","given":"P","non-dropping-particle":"","parse-names":false,"suffix":""},{"dropping-particle":"V","family":"Behar","given":"J","non-dropping-particle":"","parse-names":false,"suffix":""},{"dropping-particle":"","family":"Hern","given":"S C","non-dropping-particle":"","parse-names":false,"suffix":""},{"dropping-particle":"","family":"Engelmann","given":"W H","non-dropping-particle":"","parse-names":false,"suffix":""}],"container-title":"Journal of exposure analysis and environmental epidemiology","id":"ITEM-1","issue":"3","issued":{"date-parts":[["0"]]},"page":"231-52","title":"The National Human Activity Pattern Survey (NHAPS): a resource for assessing exposure to environmental pollutants.","type":"article-journal","volume":"11"},"uris":["http://www.mendeley.com/documents/?uuid=7241ef5e-96e1-4fb4-80b1-c04ecab64f6c"]}],"mendeley":{"formattedCitation":"(17)","plainTextFormattedCitation":"(17)","previouslyFormattedCitation":"(17)"},"properties":{"noteIndex":0},"schema":"https://github.com/citation-style-language/schema/raw/master/csl-citation.json"}</w:instrText>
      </w:r>
      <w:r w:rsidR="001B72D2">
        <w:rPr>
          <w:rFonts w:ascii="Times New Roman" w:eastAsia="Times New Roman" w:hAnsi="Times New Roman" w:cs="Times New Roman"/>
          <w:sz w:val="24"/>
          <w:szCs w:val="20"/>
          <w:lang w:val="en-US" w:eastAsia="es-ES"/>
        </w:rPr>
        <w:fldChar w:fldCharType="separate"/>
      </w:r>
      <w:r w:rsidR="001B72D2" w:rsidRPr="001B72D2">
        <w:rPr>
          <w:rFonts w:ascii="Times New Roman" w:eastAsia="Times New Roman" w:hAnsi="Times New Roman" w:cs="Times New Roman"/>
          <w:noProof/>
          <w:sz w:val="24"/>
          <w:szCs w:val="20"/>
          <w:lang w:val="en-US" w:eastAsia="es-ES"/>
        </w:rPr>
        <w:t>(17)</w:t>
      </w:r>
      <w:r w:rsidR="001B72D2">
        <w:rPr>
          <w:rFonts w:ascii="Times New Roman" w:eastAsia="Times New Roman" w:hAnsi="Times New Roman" w:cs="Times New Roman"/>
          <w:sz w:val="24"/>
          <w:szCs w:val="20"/>
          <w:lang w:val="en-US" w:eastAsia="es-ES"/>
        </w:rPr>
        <w:fldChar w:fldCharType="end"/>
      </w:r>
      <w:r w:rsidR="00CC0D78">
        <w:rPr>
          <w:rFonts w:ascii="Times New Roman" w:eastAsia="Times New Roman" w:hAnsi="Times New Roman" w:cs="Times New Roman"/>
          <w:sz w:val="24"/>
          <w:szCs w:val="20"/>
          <w:lang w:val="en-US" w:eastAsia="es-ES"/>
        </w:rPr>
        <w:t>.</w:t>
      </w:r>
      <w:bookmarkEnd w:id="3"/>
    </w:p>
    <w:p w14:paraId="38D72DA4" w14:textId="13EFED58" w:rsidR="007E7E28" w:rsidRPr="001417BE" w:rsidRDefault="00085432" w:rsidP="00661E33">
      <w:pPr>
        <w:spacing w:line="480" w:lineRule="auto"/>
        <w:jc w:val="both"/>
        <w:rPr>
          <w:rFonts w:ascii="Times New Roman" w:hAnsi="Times New Roman" w:cs="Times New Roman"/>
          <w:sz w:val="24"/>
          <w:szCs w:val="24"/>
          <w:lang w:val="en-US"/>
        </w:rPr>
      </w:pPr>
      <w:r w:rsidRPr="00B312A4">
        <w:rPr>
          <w:rFonts w:ascii="Times New Roman" w:hAnsi="Times New Roman" w:cs="Times New Roman"/>
          <w:sz w:val="24"/>
          <w:szCs w:val="24"/>
          <w:vertAlign w:val="superscript"/>
          <w:lang w:val="en-US"/>
        </w:rPr>
        <w:lastRenderedPageBreak/>
        <w:t>18</w:t>
      </w:r>
      <w:r w:rsidRPr="00B312A4">
        <w:rPr>
          <w:rFonts w:ascii="Times New Roman" w:hAnsi="Times New Roman" w:cs="Times New Roman"/>
          <w:sz w:val="24"/>
          <w:szCs w:val="24"/>
          <w:lang w:val="en-US"/>
        </w:rPr>
        <w:t xml:space="preserve">F-FDG-PET-CT scanning is currently considered the best available technique for human BAT volume quantification in vivo </w:t>
      </w:r>
      <w:r w:rsidRPr="00B312A4">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{"citationItems":[{"id":"ITEM-1","itemData":{"DOI":"10.3389/fendo.2018.00447","ISSN":"1664-2392","abstract":"The demonstration ofmetabolically active brown adipose tissue (BAT) in humans primarily using positron emission tomography coupled to computed tomography (PET/CT) with the glucose tracer 18-fluorodeoxyglucose (18FDG) has renewed the interest of the scientific and medical community in the possible role of BAT as a target for the prevention and treatment of obesity and type 2 diabetes (T2D). Here, we offer a comprehensive review of BAT energy metabolism in humans. Considerable advances in methods to measure BAT energy metabolism, including nonesterified fatty acids (NEFA), chylomicron-triglycerides (TG), oxygen, Krebs cycle rate, and intracellular TG have led to very good quantification of energy substrate metabolism per volume of active BAT in vivo. These studies have also shown that intracellular TG are likely the primary energy source of BAT upon activation by cold. Current estimates of BAT’s contribution to energy expenditure range at the lower end of what would be potentially clinically relevant if chronically sustained. Yet, 18FDG PET/CT remains the gold-standard defining method to quantify total BAT volume of activity, used to calculate BAT’s total energy expenditure. Unfortunately, BAT glucose metabolism better reflects BAT’s insulin sensitivity and blood flow. It is now clear that most glucose taken up by BAT does not fuel mitochondrial oxidative metabolism and that BAT glucose uptake can therefore be disconnected from thermogenesis. Furthermore, BAT thermogenesis is efficiently recruited upon repeated cold exposure, doubling to tripling its total oxidative capacity, with reciprocal reduction of muscle thermogenesis. Recent data suggest that total BAT volume may be much larger than the typically observed 50–150ml with 18FDG PET/CT. Therefore, the current estimates of total BAT thermogenesis, largely relying on total BAT volume using 18FDG PET/CT, may underestimate the true contribution of BAT to total energy expenditure. Quantification of the contribution of BAT to energy expenditure begs for the development of more integrated whole body in vivo methods","author":[{"dropping-particle":"","family":"Carpentier","given":"André C.","non-dropping-particle":"","parse-names":false,"suffix":""},{"dropping-particle":"","family":"Blondin","given":"Denis P.","non-dropping-particle":"","parse-names":false,"suffix":""},{"dropping-particle":"","family":"Virtanen","given":"Kirsi A.","non-dropping-particle":"","parse-names":false,"suffix":""},{"dropping-particle":"","family":"Richard","given":"Denis","non-dropping-particle":"","parse-names":false,"suffix":""},{"dropping-particle":"","family":"Haman","given":"François","non-dropping-particle":"","parse-names":false,"suffix":""},{"dropping-particle":"","family":"Turcotte","given":"Éric E.","non-dropping-particle":"","parse-names":false,"suffix":""}],"container-title":"Frontiers in Endocrinology","id":"ITEM-1","issue":"August","issued":{"date-parts":[["2018"]]},"note":"FIGRAS MUY INTEGRATIVAS DE RELEVANCIA Y FISIOLOGÍA BAT: Fig5 espectacular\n\nLIMITACIONES DEL CONOCIMIENTO ACTUAL\n\n- El 18F-FDG: a) no tiene porque ir parejo a termogenesis; b) se sesga por resistencia ala insulina.\n\n- PET: Con una resolción de 1cm3 en el mejor de los casos no detecta depósitos más pequeños, como la mayoría de BAT/beige.\n\nPOR LO ANTERIOR, ES MUY PORBABLE QUE EL 18F-FDG PET-CT INFRAESTIME LA CANTIDAD REAL DE BAT, Y QUE ESTO CONDICIONES LOS CÁLCULOS DE SU CONTRIBUCIÓN AL METABOLISMO DE CUERPO COMPLETO.\n\nSUSTRATOS ENERGÉTICOS BAT\n\nGlucosa\n\n- Aporta referencias que sugieren relevancia BAT en prevenció diabetes (pag 4). \n\n- No obstante, cold-activated BAT solo representa el 1% de la utilización corporal de glucosa.\n\n- Una gran proporción de la glucosa captada por BAT SE SEGREGA COMO LACTATO O SE UTILIXA EN GLICERONEOGNÉSIS,O INCLUSO DE NOVO LIPOGENESIS. \n\n- Capcatión de glucosa no es necesariamente paralela a aumento de flujo sanguíneo, por lo que no tiene porque representar BAT termogenesis. \n\nÁcidos grasos\n\n- BAT capta ácidos grasos de: a) NEFA circulantes; b) Lipoproteinas ricas en triglicéridos (quilomicrones y VLDL).\n\n- La captación en termoneutral es ligeramente superior al WAT. En frío es similar a la del músculo y 3 veces mayor que el WAT.\n\n- El uso del 18-FTHA no permite buena cuantificación de volumen, ni inferir emtabolismo oxidativo porque parte puede ser para reesterificar. El C11-Palmitato si que permite medir metabolismo oxidativo.\n\n- La captación por parte del BAT de TG tras una comida es baja considerando su volumen (3%), a pesar de ser activado con frío. Y ADEMÁS NO SE RELACIONÓ CON EL METABOLISMO OXIDATIVO DEL BAT.\n\nOtros sustratos circulantes\n\n- BAT expresa la gliucerol quinasa (más que el WAT). Y además se observa menor secreción de glicerol que en WAT, lo que sugiere que el BAT puede reutilizar el glicerol.\n\n- Se ha observado que el BAT capta más glutamato que el WAT y que esta captación aumenta en respuesta al frío, sugiriendo que también es un sustrato, aunque su aporte cuantitativo es muy bajo.\n\n- El BAT excreta lactato y piruvato en una cantidad aproximadamente equivalente al 50% de la captación de glucosa.\n\nTriglicéridos intracelulares\n\n- El gold standard es la Resonancia magnética esprectroscópica, aunque el MRI y el CT también tan pistas.\n\n- La reducción del contenido de triglicéridos intracelular en BAT en respuesta al frío no ocurre ni en WAT ni en músculo.\n\n- EL DESCENSO EN EL CONTENIDO LIPÍDICO INTRACELULAR ES INDEPENDIENTE DE EDAD O ESTADO DIABÉTICO.\n\n- PARTE DE LA LIPÓLISIS INTRACELULAR SE EXCRETA AL MEDI EXTRACELULAR (EN TORNO A UN 50%).\n\n- EL CONTENIDO LIPÍDICO INTRACELULAR ES EL PRINCIPAL SUSTRATO DEL BAT EN ANIMALES Y HUMANOS.\n\nCONTRIBUCIÓN DEL BAT AL GASTO ENERGÉTICO EN HUMANOS:\n\n- La captación de FDG y el aumento de flujo inducidos por frío se han asociado a CIT.\n\n- El aumento de CIT post-aclimatación coincide con el aumento del BAT.\n\n- La inhibición de la activida BAT con ácido nicotínico aumenta la actividad de tiritona... lo que interpretan como una prueba de contribución del BAT al CIT. Aunque ojo, ¿Y si el ácido nicotínico también inhibió otros procesos termogénicos no dependientes de tiritona?\n\n- Datos en animales han mostrado un descenso BAT en respuesta al ayuno... si esto ocurre en humanos es desconocido.\n\n- Usando C11-palmitato, un marcador de la actividad del ciclo de Krebs han observado que le frio incrementó la termongénesis en BAT pero no WAT o musculos, que este efeto se multiplica por 2-3 tras una aclimatación, y que ocurre igual en diabeticos que en sanos. \n\n- LOS MÉTODOS ACTUALES NO PERMITEN DETERMINAR CON PRECISION LA CONTRIBUCIÓN DEL BAT A LA TERMOGÉNESIS.\n\nBROWNING\n\n- HAN OBSERVADO EN RATAS QUE INDUCIR BROWNING (EVALUADO HISTOLÓGICAMENTE Y CON UCP1 TRANSCRITOS Y PROT) NO VA EN PARALELO A UN AUMENTO DE LA TERMOGÉNESIS DEL WAT. \n\n- BEYOND UCP1. Ciclos futiles que pueden ocasionar EE más allá de UCP1 en beige tissue: TG lipólisis-reesterificación; Activación Na+-K+-APAasa; ciclo creatina-fosfocreatina, SERCA.\nESTAS ADAPTACIONES SE ASOCIAN CON MEJORA DE LA CAPACIDAD DE OXIDACIÓN DE GRASOS DE wat Y SE PUEEDN CONSEGUIR CON RESTRICCIÓN CALÓRICA Y SUPLEMENTACIÓN OMEGA-3.... OJO FLEXIBILIDAD METABÓLICA!\n\n- El ciclo SERCA se ha mostrado ex-vivo en humanos (Kajimura), y el de la creatina se ha visto in vitro en humanos e in vivo en murinos.\n\n- Sugieren que la esterificazión-reesterifación que se asocia a la actividad del BAT podría no solo tener lugar ahí si no en otros tejidos provocando con ello un mayor GE del que se atribuye con PET de 15-O2.\n\nEJERCICIO Y BAT\n\n- 4 POSIBLES MECANISMOS: a) Estimulación adrenérgica; b) mioquinas; c) papel del BAT como secretor de moleculas importantes durante el ejercicio: 12-13-diHOME, Il6; d) Efecto del ejercicio sobre el cerebro mejroando las neuronas pro-opio-melanocortin, que llevarían a amarronamiento.\n\n- Ejercicio reduce CIT en ratas.\n\n- 18FDG no vale... hace falta metabolismo oxidativo. \n\nOTROS:\n\n- Citas para BAT 60%TEE ratas.\n\n- BAT cervical y supra parece desarrollarse durante la adolescencia.\n\n- UCP1 se activa por unión con AG de cadena larga.\n\n- BAT murino y humano parecen tener parecido contenido y función UCP-1.\n\n- 18F-FDG PET-CT = gold standard\n\n- Dicen que la diferencia en cold tolerance entre un obeso y no obeso no es la insulación si no la mayor tasa de producción de calor por un mayor RMR debido a un mayor lean mass...","page":"1-21","title":"Brown Adipose Tissue Energy Metabolism in Humans","type":"article-journal","volume":"9"},"uris":["http://www.mendeley.com/documents/?uuid=99266f7b-3de2-4ea4-b663-30f1ff5e4483"]}],"mendeley":{"formattedCitation":"(18)","plainTextFormattedCitation":"(18)","previouslyFormattedCitation":"(18)"},"properties":{"noteIndex":0},"schema":"https://github.com/citation-style-language/schema/raw/master/csl-citation.json"}</w:instrText>
      </w:r>
      <w:r w:rsidRPr="00B312A4">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(18)</w:t>
      </w:r>
      <w:r w:rsidRPr="00B312A4">
        <w:rPr>
          <w:rFonts w:ascii="Times New Roman" w:hAnsi="Times New Roman" w:cs="Times New Roman"/>
          <w:sz w:val="24"/>
          <w:szCs w:val="24"/>
          <w:lang w:val="en-US"/>
        </w:rPr>
        <w:fldChar w:fldCharType="end"/>
      </w:r>
      <w:r w:rsidRPr="00B312A4">
        <w:rPr>
          <w:rFonts w:ascii="Times New Roman" w:hAnsi="Times New Roman" w:cs="Times New Roman"/>
          <w:sz w:val="24"/>
          <w:szCs w:val="24"/>
          <w:lang w:val="en-US"/>
        </w:rPr>
        <w:t xml:space="preserve">. However, </w:t>
      </w:r>
      <w:r w:rsidR="00B312A4" w:rsidRPr="00B312A4">
        <w:rPr>
          <w:rFonts w:ascii="Times New Roman" w:hAnsi="Times New Roman" w:cs="Times New Roman"/>
          <w:sz w:val="24"/>
          <w:szCs w:val="24"/>
          <w:lang w:val="en-US"/>
        </w:rPr>
        <w:t>despite the effort</w:t>
      </w:r>
      <w:r w:rsidR="002048BF">
        <w:rPr>
          <w:rFonts w:ascii="Times New Roman" w:hAnsi="Times New Roman" w:cs="Times New Roman"/>
          <w:sz w:val="24"/>
          <w:szCs w:val="24"/>
          <w:lang w:val="en-US"/>
        </w:rPr>
        <w:t>s</w:t>
      </w:r>
      <w:r w:rsidR="00B312A4" w:rsidRPr="00B312A4">
        <w:rPr>
          <w:rFonts w:ascii="Times New Roman" w:hAnsi="Times New Roman" w:cs="Times New Roman"/>
          <w:sz w:val="24"/>
          <w:szCs w:val="24"/>
          <w:lang w:val="en-US"/>
        </w:rPr>
        <w:t xml:space="preserve"> for improving its validity for BAT assessment</w:t>
      </w:r>
      <w:r w:rsidR="002048BF">
        <w:rPr>
          <w:rFonts w:ascii="Times New Roman" w:hAnsi="Times New Roman" w:cs="Times New Roman"/>
          <w:sz w:val="24"/>
          <w:szCs w:val="24"/>
          <w:lang w:val="en-US"/>
        </w:rPr>
        <w:t xml:space="preserve"> </w:t>
      </w:r>
      <w:r w:rsidR="002048BF">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{"citationItems":[{"id":"ITEM-1","itemData":{"DOI":"10.1016/j.cmet.2016.07.014","ISSN":"15504131","PMID":"27508870","abstract":"Human brown adipose tissue (BAT) presence, metabolic activity, and estimated mass are typically measured by imaging [18F]fluorodeoxyglucose (FDG) uptake in response to cold exposure in regions of the body expected to contain BAT, using positron emission tomography combined with X-ray computed tomography (FDG-PET/CT). Efforts to describe the epidemiology and biology of human BAT are hampered by diverse experimental practices, making it difficult to directly compare results among laboratories. An expert panel was assembled by the National Institute of Diabetes and Digestive and Kidney Diseases on November 4, 2014 to discuss minimal requirements for conducting FDG-PET/CT experiments of human BAT, data analysis, and publication of results. This resulted in Brown Adipose Reporting Criteria in Imaging STudies (BARCIST 1.0). Since there are no fully validated best practices at this time, panel recommendations are meant to enhance comparability across experiments, but not to constrain experimental design or the questions that can be asked.","author":[{"dropping-particle":"","family":"Chen","given":"Kong Y.","non-dropping-particle":"","parse-names":false,"suffix":""},{"dropping-particle":"","family":"Cypess","given":"Aaron M.","non-dropping-particle":"","parse-names":false,"suffix":""},{"dropping-particle":"","family":"Laughlin","given":"Maren R.","non-dropping-particle":"","parse-names":false,"suffix":""},{"dropping-particle":"","family":"Haft","given":"Carol R.","non-dropping-particle":"","parse-names":false,"suffix":""},{"dropping-particle":"","family":"Hu","given":"Houchun Harry","non-dropping-particle":"","parse-names":false,"suffix":""},{"dropping-particle":"","family":"Bredella","given":"Miriam A.","non-dropping-particle":"","parse-names":false,"suffix":""},{"dropping-particle":"","family":"Enerbäck","given":"Sven","non-dropping-particle":"","parse-names":false,"suffix":""},{"dropping-particle":"","family":"Kinahan","given":"Paul E.","non-dropping-particle":"","parse-names":false,"suffix":""},{"dropping-particle":"","family":"Lichtenbelt","given":"Wouter van Marken","non-dropping-particle":"","parse-names":false,"suffix":""},{"dropping-particle":"","family":"Lin","given":"Frank I.","non-dropping-particle":"","parse-names":false,"suffix":""},{"dropping-particle":"","family":"Sunderland","given":"John J.","non-dropping-particle":"","parse-names":false,"suffix":""},{"dropping-particle":"","family":"Virtanen","given":"Kirsi A.","non-dropping-particle":"","parse-names":false,"suffix":""},{"dropping-particle":"","family":"Wahl","given":"Richard L.","non-dropping-particle":"","parse-names":false,"suffix":""}],"container-title":"Cell Metabolism","id":"ITEM-1","issue":"2","issued":{"date-parts":[["2016","8","9"]]},"page":"210-222","title":"Brown Adipose Reporting Criteria in Imaging STudies (BARCIST 1.0): Recommendations for Standardized FDG-PET/CT Experiments in Humans","type":"article-journal","volume":"24"},"uris":["http://www.mendeley.com/documents/?uuid=fe518d60-4768-305a-aee3-493837d621e6"]}],"mendeley":{"formattedCitation":"(19)","plainTextFormattedCitation":"(19)","previouslyFormattedCitation":"(19)"},"properties":{"noteIndex":0},"schema":"https://github.com/citation-style-language/schema/raw/master/csl-citation.json"}</w:instrText>
      </w:r>
      <w:r w:rsidR="002048BF">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(19)</w:t>
      </w:r>
      <w:r w:rsidR="002048BF">
        <w:rPr>
          <w:rFonts w:ascii="Times New Roman" w:hAnsi="Times New Roman" w:cs="Times New Roman"/>
          <w:sz w:val="24"/>
          <w:szCs w:val="24"/>
          <w:lang w:val="en-US"/>
        </w:rPr>
        <w:fldChar w:fldCharType="end"/>
      </w:r>
      <w:r w:rsidR="00B312A4" w:rsidRPr="00B312A4">
        <w:rPr>
          <w:rFonts w:ascii="Times New Roman" w:hAnsi="Times New Roman" w:cs="Times New Roman"/>
          <w:sz w:val="24"/>
          <w:szCs w:val="24"/>
          <w:lang w:val="en-US"/>
        </w:rPr>
        <w:t>, t</w:t>
      </w:r>
      <w:r w:rsidRPr="00B312A4">
        <w:rPr>
          <w:rFonts w:ascii="Times New Roman" w:hAnsi="Times New Roman" w:cs="Times New Roman"/>
          <w:sz w:val="24"/>
          <w:szCs w:val="24"/>
          <w:lang w:val="en-US"/>
        </w:rPr>
        <w:t>his technique still presents</w:t>
      </w:r>
      <w:r w:rsidR="00B312A4" w:rsidRPr="00B312A4">
        <w:rPr>
          <w:rFonts w:ascii="Times New Roman" w:hAnsi="Times New Roman" w:cs="Times New Roman"/>
          <w:sz w:val="24"/>
          <w:szCs w:val="24"/>
          <w:lang w:val="en-US"/>
        </w:rPr>
        <w:t xml:space="preserve"> considerable limitations and requires careful interpretation</w:t>
      </w:r>
      <w:r w:rsidR="002048BF">
        <w:rPr>
          <w:rFonts w:ascii="Times New Roman" w:hAnsi="Times New Roman" w:cs="Times New Roman"/>
          <w:sz w:val="24"/>
          <w:szCs w:val="24"/>
          <w:lang w:val="en-US"/>
        </w:rPr>
        <w:t xml:space="preserve"> </w:t>
      </w:r>
      <w:r w:rsidR="002048BF" w:rsidRPr="00B312A4">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{"citationItems":[{"id":"ITEM-1","itemData":{"DOI":"10.3389/fendo.2018.00447","ISSN":"1664-2392","abstract":"The demonstration ofmetabolically active brown adipose tissue (BAT) in humans primarily using positron emission tomography coupled to computed tomography (PET/CT) with the glucose tracer 18-fluorodeoxyglucose (18FDG) has renewed the interest of the scientific and medical community in the possible role of BAT as a target for the prevention and treatment of obesity and type 2 diabetes (T2D). Here, we offer a comprehensive review of BAT energy metabolism in humans. Considerable advances in methods to measure BAT energy metabolism, including nonesterified fatty acids (NEFA), chylomicron-triglycerides (TG), oxygen, Krebs cycle rate, and intracellular TG have led to very good quantification of energy substrate metabolism per volume of active BAT in vivo. These studies have also shown that intracellular TG are likely the primary energy source of BAT upon activation by cold. Current estimates of BAT’s contribution to energy expenditure range at the lower end of what would be potentially clinically relevant if chronically sustained. Yet, 18FDG PET/CT remains the gold-standard defining method to quantify total BAT volume of activity, used to calculate BAT’s total energy expenditure. Unfortunately, BAT glucose metabolism better reflects BAT’s insulin sensitivity and blood flow. It is now clear that most glucose taken up by BAT does not fuel mitochondrial oxidative metabolism and that BAT glucose uptake can therefore be disconnected from thermogenesis. Furthermore, BAT thermogenesis is efficiently recruited upon repeated cold exposure, doubling to tripling its total oxidative capacity, with reciprocal reduction of muscle thermogenesis. Recent data suggest that total BAT volume may be much larger than the typically observed 50–150ml with 18FDG PET/CT. Therefore, the current estimates of total BAT thermogenesis, largely relying on total BAT volume using 18FDG PET/CT, may underestimate the true contribution of BAT to total energy expenditure. Quantification of the contribution of BAT to energy expenditure begs for the development of more integrated whole body in vivo methods","author":[{"dropping-particle":"","family":"Carpentier","given":"André C.","non-dropping-particle":"","parse-names":false,"suffix":""},{"dropping-particle":"","family":"Blondin","given":"Denis P.","non-dropping-particle":"","parse-names":false,"suffix":""},{"dropping-particle":"","family":"Virtanen","given":"Kirsi A.","non-dropping-particle":"","parse-names":false,"suffix":""},{"dropping-particle":"","family":"Richard","given":"Denis","non-dropping-particle":"","parse-names":false,"suffix":""},{"dropping-particle":"","family":"Haman","given":"François","non-dropping-particle":"","parse-names":false,"suffix":""},{"dropping-particle":"","family":"Turcotte","given":"Éric E.","non-dropping-particle":"","parse-names":false,"suffix":""}],"container-title":"Frontiers in Endocrinology","id":"ITEM-1","issue":"August","issued":{"date-parts":[["2018"]]},"note":"FIGRAS MUY INTEGRATIVAS DE RELEVANCIA Y FISIOLOGÍA BAT: Fig5 espectacular\n\nLIMITACIONES DEL CONOCIMIENTO ACTUAL\n\n- El 18F-FDG: a) no tiene porque ir parejo a termogenesis; b) se sesga por resistencia ala insulina.\n\n- PET: Con una resolción de 1cm3 en el mejor de los casos no detecta depósitos más pequeños, como la mayoría de BAT/beige.\n\nPOR LO ANTERIOR, ES MUY PORBABLE QUE EL 18F-FDG PET-CT INFRAESTIME LA CANTIDAD REAL DE BAT, Y QUE ESTO CONDICIONES LOS CÁLCULOS DE SU CONTRIBUCIÓN AL METABOLISMO DE CUERPO COMPLETO.\n\nSUSTRATOS ENERGÉTICOS BAT\n\nGlucosa\n\n- Aporta referencias que sugieren relevancia BAT en prevenció diabetes (pag 4). \n\n- No obstante, cold-activated BAT solo representa el 1% de la utilización corporal de glucosa.\n\n- Una gran proporción de la glucosa captada por BAT SE SEGREGA COMO LACTATO O SE UTILIXA EN GLICERONEOGNÉSIS,O INCLUSO DE NOVO LIPOGENESIS. \n\n- Capcatión de glucosa no es necesariamente paralela a aumento de flujo sanguíneo, por lo que no tiene porque representar BAT termogenesis. \n\nÁcidos grasos\n\n- BAT capta ácidos grasos de: a) NEFA circulantes; b) Lipoproteinas ricas en triglicéridos (quilomicrones y VLDL).\n\n- La captación en termoneutral es ligeramente superior al WAT. En frío es similar a la del músculo y 3 veces mayor que el WAT.\n\n- El uso del 18-FTHA no permite buena cuantificación de volumen, ni inferir emtabolismo oxidativo porque parte puede ser para reesterificar. El C11-Palmitato si que permite medir metabolismo oxidativo.\n\n- La captación por parte del BAT de TG tras una comida es baja considerando su volumen (3%), a pesar de ser activado con frío. Y ADEMÁS NO SE RELACIONÓ CON EL METABOLISMO OXIDATIVO DEL BAT.\n\nOtros sustratos circulantes\n\n- BAT expresa la gliucerol quinasa (más que el WAT). Y además se observa menor secreción de glicerol que en WAT, lo que sugiere que el BAT puede reutilizar el glicerol.\n\n- Se ha observado que el BAT capta más glutamato que el WAT y que esta captación aumenta en respuesta al frío, sugiriendo que también es un sustrato, aunque su aporte cuantitativo es muy bajo.\n\n- El BAT excreta lactato y piruvato en una cantidad aproximadamente equivalente al 50% de la captación de glucosa.\n\nTriglicéridos intracelulares\n\n- El gold standard es la Resonancia magnética esprectroscópica, aunque el MRI y el CT también tan pistas.\n\n- La reducción del contenido de triglicéridos intracelular en BAT en respuesta al frío no ocurre ni en WAT ni en músculo.\n\n- EL DESCENSO EN EL CONTENIDO LIPÍDICO INTRACELULAR ES INDEPENDIENTE DE EDAD O ESTADO DIABÉTICO.\n\n- PARTE DE LA LIPÓLISIS INTRACELULAR SE EXCRETA AL MEDI EXTRACELULAR (EN TORNO A UN 50%).\n\n- EL CONTENIDO LIPÍDICO INTRACELULAR ES EL PRINCIPAL SUSTRATO DEL BAT EN ANIMALES Y HUMANOS.\n\nCONTRIBUCIÓN DEL BAT AL GASTO ENERGÉTICO EN HUMANOS:\n\n- La captación de FDG y el aumento de flujo inducidos por frío se han asociado a CIT.\n\n- El aumento de CIT post-aclimatación coincide con el aumento del BAT.\n\n- La inhibición de la activida BAT con ácido nicotínico aumenta la actividad de tiritona... lo que interpretan como una prueba de contribución del BAT al CIT. Aunque ojo, ¿Y si el ácido nicotínico también inhibió otros procesos termogénicos no dependientes de tiritona?\n\n- Datos en animales han mostrado un descenso BAT en respuesta al ayuno... si esto ocurre en humanos es desconocido.\n\n- Usando C11-palmitato, un marcador de la actividad del ciclo de Krebs han observado que le frio incrementó la termongénesis en BAT pero no WAT o musculos, que este efeto se multiplica por 2-3 tras una aclimatación, y que ocurre igual en diabeticos que en sanos. \n\n- LOS MÉTODOS ACTUALES NO PERMITEN DETERMINAR CON PRECISION LA CONTRIBUCIÓN DEL BAT A LA TERMOGÉNESIS.\n\nBROWNING\n\n- HAN OBSERVADO EN RATAS QUE INDUCIR BROWNING (EVALUADO HISTOLÓGICAMENTE Y CON UCP1 TRANSCRITOS Y PROT) NO VA EN PARALELO A UN AUMENTO DE LA TERMOGÉNESIS DEL WAT. \n\n- BEYOND UCP1. Ciclos futiles que pueden ocasionar EE más allá de UCP1 en beige tissue: TG lipólisis-reesterificación; Activación Na+-K+-APAasa; ciclo creatina-fosfocreatina, SERCA.\nESTAS ADAPTACIONES SE ASOCIAN CON MEJORA DE LA CAPACIDAD DE OXIDACIÓN DE GRASOS DE wat Y SE PUEEDN CONSEGUIR CON RESTRICCIÓN CALÓRICA Y SUPLEMENTACIÓN OMEGA-3.... OJO FLEXIBILIDAD METABÓLICA!\n\n- El ciclo SERCA se ha mostrado ex-vivo en humanos (Kajimura), y el de la creatina se ha visto in vitro en humanos e in vivo en murinos.\n\n- Sugieren que la esterificazión-reesterifación que se asocia a la actividad del BAT podría no solo tener lugar ahí si no en otros tejidos provocando con ello un mayor GE del que se atribuye con PET de 15-O2.\n\nEJERCICIO Y BAT\n\n- 4 POSIBLES MECANISMOS: a) Estimulación adrenérgica; b) mioquinas; c) papel del BAT como secretor de moleculas importantes durante el ejercicio: 12-13-diHOME, Il6; d) Efecto del ejercicio sobre el cerebro mejroando las neuronas pro-opio-melanocortin, que llevarían a amarronamiento.\n\n- Ejercicio reduce CIT en ratas.\n\n- 18FDG no vale... hace falta metabolismo oxidativo. \n\nOTROS:\n\n- Citas para BAT 60%TEE ratas.\n\n- BAT cervical y supra parece desarrollarse durante la adolescencia.\n\n- UCP1 se activa por unión con AG de cadena larga.\n\n- BAT murino y humano parecen tener parecido contenido y función UCP-1.\n\n- 18F-FDG PET-CT = gold standard\n\n- Dicen que la diferencia en cold tolerance entre un obeso y no obeso no es la insulación si no la mayor tasa de producción de calor por un mayor RMR debido a un mayor lean mass...","page":"1-21","title":"Brown Adipose Tissue Energy Metabolism in Humans","type":"article-journal","volume":"9"},"uris":["http://www.mendeley.com/documents/?uuid=99266f7b-3de2-4ea4-b663-30f1ff5e4483"]},{"id":"ITEM-2","itemData":{"DOI":"10.1016/j.pcad.2018.07.002","ISSN":"1873-1740","PMID":"29981351","abstract":"Human brown adipose tissue (BAT) was re-discovered in 2009 by several independent groups, who showed that it is present and active in adults, as judged from the profound uptake of the glucose analogue radiotracer 18F-fluorodeoxyglucose in positron-emission tomography and computed tomography scan analysis after cold exposure. A potential clinical implication of activating BAT relates to its high metabolic activity and its potential role in stimulating energy expenditure (i.e. resting energy expenditure, meal-induced thermogenesis, and cold-induced thermogenesis), which makes it an attractive target to reduce adiposity. Moreover, due to its ability to oxidise glucose and lipids, BAT activation may also potentially exert beneficial metabolic and cardiovascular effects through reducing glucose and lipid levels, respectively. This review describes the potential role of human BAT in the prevention and treatment of obesity, metabolism, and cardiovascular disease focusing on its impact on energy expenditure and management of body fat accumulation as well as on glucose and lipid metabolism. This article also summarises the strategies that are currently being studied to activate human BAT.","author":[{"dropping-particle":"","family":"Ruiz","given":"Jonatan R.","non-dropping-particle":"","parse-names":false,"suffix":""},{"dropping-particle":"","family":"Martinez-Tellez","given":"Borja","non-dropping-particle":"","parse-names":false,"suffix":""},{"dropping-particle":"","family":"Sanchez-Delgado","given":"Guillermo","non-dropping-particle":"","parse-names":false,"suffix":""},{"dropping-particle":"","family":"Osuna-Prieto","given":"Francisco J.","non-dropping-particle":"","parse-names":false,"suffix":""},{"dropping-particle":"","family":"Rensen","given":"Patrick C N","non-dropping-particle":"","parse-names":false,"suffix":""},{"dropping-particle":"","family":"Boon","given":"Mariëtte R.","non-dropping-particle":"","parse-names":false,"suffix":""}],"container-title":"Progress in cardiovascular diseases","id":"ITEM-2","issue":"2","issued":{"date-parts":[["2018","7","4"]]},"page":"232-245","title":"Role of Human Brown Fat in Obesity, Metabolism and Cardiovascular Disease: Strategies to Turn Up the Heat.","type":"article-journal","volume":"61"},"uris":["http://www.mendeley.com/documents/?uuid=6526b5bb-4b7c-310a-84b2-eea7d95ab3a1"]}],"mendeley":{"formattedCitation":"(10,18)","plainTextFormattedCitation":"(10,18)","previouslyFormattedCitation":"(10,18)"},"properties":{"noteIndex":0},"schema":"https://github.com/citation-style-language/schema/raw/master/csl-citation.json"}</w:instrText>
      </w:r>
      <w:r w:rsidR="002048BF" w:rsidRPr="00B312A4">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(10,18)</w:t>
      </w:r>
      <w:r w:rsidR="002048BF" w:rsidRPr="00B312A4">
        <w:rPr>
          <w:rFonts w:ascii="Times New Roman" w:hAnsi="Times New Roman" w:cs="Times New Roman"/>
          <w:sz w:val="24"/>
          <w:szCs w:val="24"/>
          <w:lang w:val="en-US"/>
        </w:rPr>
        <w:fldChar w:fldCharType="end"/>
      </w:r>
      <w:r w:rsidR="00B312A4" w:rsidRPr="00B312A4">
        <w:rPr>
          <w:rFonts w:ascii="Times New Roman" w:hAnsi="Times New Roman" w:cs="Times New Roman"/>
          <w:sz w:val="24"/>
          <w:szCs w:val="24"/>
          <w:lang w:val="en-US"/>
        </w:rPr>
        <w:t>. Importantly, r</w:t>
      </w:r>
      <w:r w:rsidR="007D3368" w:rsidRPr="00B312A4">
        <w:rPr>
          <w:rFonts w:ascii="Times New Roman" w:hAnsi="Times New Roman" w:cs="Times New Roman"/>
          <w:sz w:val="24"/>
          <w:szCs w:val="24"/>
          <w:lang w:val="en-US"/>
        </w:rPr>
        <w:t>ecent</w:t>
      </w:r>
      <w:r w:rsidR="007D3368" w:rsidRPr="001417BE">
        <w:rPr>
          <w:rFonts w:ascii="Times New Roman" w:hAnsi="Times New Roman" w:cs="Times New Roman"/>
          <w:sz w:val="24"/>
          <w:szCs w:val="24"/>
          <w:lang w:val="en-US"/>
        </w:rPr>
        <w:t xml:space="preserve"> advances in </w:t>
      </w:r>
      <w:r w:rsidR="002048BF" w:rsidRPr="00B312A4">
        <w:rPr>
          <w:rFonts w:ascii="Times New Roman" w:hAnsi="Times New Roman" w:cs="Times New Roman"/>
          <w:sz w:val="24"/>
          <w:szCs w:val="24"/>
          <w:vertAlign w:val="superscript"/>
          <w:lang w:val="en-US"/>
        </w:rPr>
        <w:t>18</w:t>
      </w:r>
      <w:r w:rsidR="002048BF" w:rsidRPr="00B312A4">
        <w:rPr>
          <w:rFonts w:ascii="Times New Roman" w:hAnsi="Times New Roman" w:cs="Times New Roman"/>
          <w:sz w:val="24"/>
          <w:szCs w:val="24"/>
          <w:lang w:val="en-US"/>
        </w:rPr>
        <w:t xml:space="preserve">F-FDG-PET-CT scanning </w:t>
      </w:r>
      <w:r w:rsidR="002048BF">
        <w:rPr>
          <w:rFonts w:ascii="Times New Roman" w:hAnsi="Times New Roman" w:cs="Times New Roman"/>
          <w:sz w:val="24"/>
          <w:szCs w:val="24"/>
          <w:lang w:val="en-US"/>
        </w:rPr>
        <w:t xml:space="preserve">for </w:t>
      </w:r>
      <w:r w:rsidR="007D3368" w:rsidRPr="001417BE">
        <w:rPr>
          <w:rFonts w:ascii="Times New Roman" w:hAnsi="Times New Roman" w:cs="Times New Roman"/>
          <w:sz w:val="24"/>
          <w:szCs w:val="24"/>
          <w:lang w:val="en-US"/>
        </w:rPr>
        <w:t xml:space="preserve">human BAT assessment </w:t>
      </w:r>
      <w:r w:rsidR="00074479" w:rsidRPr="001417BE">
        <w:rPr>
          <w:rFonts w:ascii="Times New Roman" w:hAnsi="Times New Roman" w:cs="Times New Roman"/>
          <w:sz w:val="24"/>
          <w:szCs w:val="24"/>
          <w:lang w:val="en-US"/>
        </w:rPr>
        <w:t>suggest</w:t>
      </w:r>
      <w:r w:rsidR="007D3368" w:rsidRPr="001417BE">
        <w:rPr>
          <w:rFonts w:ascii="Times New Roman" w:hAnsi="Times New Roman" w:cs="Times New Roman"/>
          <w:sz w:val="24"/>
          <w:szCs w:val="24"/>
          <w:lang w:val="en-US"/>
        </w:rPr>
        <w:t xml:space="preserve"> </w:t>
      </w:r>
      <w:r w:rsidR="00074479" w:rsidRPr="001417BE">
        <w:rPr>
          <w:rFonts w:ascii="Times New Roman" w:hAnsi="Times New Roman" w:cs="Times New Roman"/>
          <w:sz w:val="24"/>
          <w:szCs w:val="24"/>
          <w:lang w:val="en-US"/>
        </w:rPr>
        <w:t xml:space="preserve">that </w:t>
      </w:r>
      <w:r w:rsidR="00B312A4">
        <w:rPr>
          <w:rFonts w:ascii="Times New Roman" w:hAnsi="Times New Roman" w:cs="Times New Roman"/>
          <w:sz w:val="24"/>
          <w:szCs w:val="24"/>
          <w:lang w:val="en-US"/>
        </w:rPr>
        <w:t>the</w:t>
      </w:r>
      <w:r w:rsidR="00F86712" w:rsidRPr="001417BE">
        <w:rPr>
          <w:rFonts w:ascii="Times New Roman" w:hAnsi="Times New Roman" w:cs="Times New Roman"/>
          <w:sz w:val="24"/>
          <w:szCs w:val="24"/>
          <w:lang w:val="en-US"/>
        </w:rPr>
        <w:t xml:space="preserve"> inverse </w:t>
      </w:r>
      <w:r w:rsidR="007D3368" w:rsidRPr="001417BE">
        <w:rPr>
          <w:rFonts w:ascii="Times New Roman" w:hAnsi="Times New Roman" w:cs="Times New Roman"/>
          <w:sz w:val="24"/>
          <w:szCs w:val="24"/>
          <w:lang w:val="en-US"/>
        </w:rPr>
        <w:t xml:space="preserve">association between </w:t>
      </w:r>
      <w:r w:rsidR="00F86712" w:rsidRPr="001417BE">
        <w:rPr>
          <w:rFonts w:ascii="Times New Roman" w:hAnsi="Times New Roman" w:cs="Times New Roman"/>
          <w:sz w:val="24"/>
          <w:szCs w:val="24"/>
          <w:lang w:val="en-US"/>
        </w:rPr>
        <w:t xml:space="preserve">human </w:t>
      </w:r>
      <w:r w:rsidR="007D3368" w:rsidRPr="001417BE">
        <w:rPr>
          <w:rFonts w:ascii="Times New Roman" w:hAnsi="Times New Roman" w:cs="Times New Roman"/>
          <w:sz w:val="24"/>
          <w:szCs w:val="24"/>
          <w:lang w:val="en-US"/>
        </w:rPr>
        <w:t xml:space="preserve">BAT </w:t>
      </w:r>
      <w:r w:rsidR="004D3445" w:rsidRPr="001417BE">
        <w:rPr>
          <w:rFonts w:ascii="Times New Roman" w:hAnsi="Times New Roman" w:cs="Times New Roman"/>
          <w:sz w:val="24"/>
          <w:szCs w:val="24"/>
          <w:lang w:val="en-US"/>
        </w:rPr>
        <w:t xml:space="preserve">volume </w:t>
      </w:r>
      <w:r w:rsidR="007D3368" w:rsidRPr="001417BE">
        <w:rPr>
          <w:rFonts w:ascii="Times New Roman" w:hAnsi="Times New Roman" w:cs="Times New Roman"/>
          <w:sz w:val="24"/>
          <w:szCs w:val="24"/>
          <w:lang w:val="en-US"/>
        </w:rPr>
        <w:t xml:space="preserve">and </w:t>
      </w:r>
      <w:r w:rsidR="005E2DEA">
        <w:rPr>
          <w:rFonts w:ascii="Times New Roman" w:hAnsi="Times New Roman" w:cs="Times New Roman"/>
          <w:sz w:val="24"/>
          <w:szCs w:val="24"/>
          <w:lang w:val="en-US"/>
        </w:rPr>
        <w:t>whole-body adiposity</w:t>
      </w:r>
      <w:r w:rsidR="00730B66" w:rsidRPr="001417BE">
        <w:rPr>
          <w:rFonts w:ascii="Times New Roman" w:hAnsi="Times New Roman" w:cs="Times New Roman"/>
          <w:sz w:val="24"/>
          <w:szCs w:val="24"/>
          <w:lang w:val="en-US"/>
        </w:rPr>
        <w:t xml:space="preserve"> </w:t>
      </w:r>
      <w:r w:rsidR="00BE1273" w:rsidRPr="001417BE">
        <w:rPr>
          <w:rFonts w:ascii="Times New Roman" w:hAnsi="Times New Roman" w:cs="Times New Roman"/>
          <w:sz w:val="24"/>
          <w:szCs w:val="24"/>
          <w:lang w:val="en-US"/>
        </w:rPr>
        <w:t>could</w:t>
      </w:r>
      <w:r w:rsidR="00DB793C" w:rsidRPr="001417BE">
        <w:rPr>
          <w:rFonts w:ascii="Times New Roman" w:hAnsi="Times New Roman" w:cs="Times New Roman"/>
          <w:sz w:val="24"/>
          <w:szCs w:val="24"/>
          <w:lang w:val="en-US"/>
        </w:rPr>
        <w:t>, at least in part,</w:t>
      </w:r>
      <w:r w:rsidR="00730B66" w:rsidRPr="001417BE">
        <w:rPr>
          <w:rFonts w:ascii="Times New Roman" w:hAnsi="Times New Roman" w:cs="Times New Roman"/>
          <w:sz w:val="24"/>
          <w:szCs w:val="24"/>
          <w:lang w:val="en-US"/>
        </w:rPr>
        <w:t xml:space="preserve"> </w:t>
      </w:r>
      <w:r w:rsidR="00196ED2" w:rsidRPr="001417BE">
        <w:rPr>
          <w:rFonts w:ascii="Times New Roman" w:hAnsi="Times New Roman" w:cs="Times New Roman"/>
          <w:sz w:val="24"/>
          <w:szCs w:val="24"/>
          <w:lang w:val="en-US"/>
        </w:rPr>
        <w:t xml:space="preserve">have </w:t>
      </w:r>
      <w:r w:rsidR="00730B66" w:rsidRPr="001417BE">
        <w:rPr>
          <w:rFonts w:ascii="Times New Roman" w:hAnsi="Times New Roman" w:cs="Times New Roman"/>
          <w:sz w:val="24"/>
          <w:szCs w:val="24"/>
          <w:lang w:val="en-US"/>
        </w:rPr>
        <w:t>been</w:t>
      </w:r>
      <w:r w:rsidR="00DB793C" w:rsidRPr="001417BE">
        <w:rPr>
          <w:rFonts w:ascii="Times New Roman" w:hAnsi="Times New Roman" w:cs="Times New Roman"/>
          <w:sz w:val="24"/>
          <w:szCs w:val="24"/>
          <w:lang w:val="en-US"/>
        </w:rPr>
        <w:t xml:space="preserve"> </w:t>
      </w:r>
      <w:r w:rsidR="007D3368" w:rsidRPr="001417BE">
        <w:rPr>
          <w:rFonts w:ascii="Times New Roman" w:hAnsi="Times New Roman" w:cs="Times New Roman"/>
          <w:sz w:val="24"/>
          <w:szCs w:val="24"/>
          <w:lang w:val="en-US"/>
        </w:rPr>
        <w:t>biased</w:t>
      </w:r>
      <w:r w:rsidR="00074479" w:rsidRPr="001417BE">
        <w:rPr>
          <w:rFonts w:ascii="Times New Roman" w:hAnsi="Times New Roman" w:cs="Times New Roman"/>
          <w:sz w:val="24"/>
          <w:szCs w:val="24"/>
          <w:lang w:val="en-US"/>
        </w:rPr>
        <w:t xml:space="preserve"> by methodological issues. </w:t>
      </w:r>
      <w:r w:rsidR="007D3368" w:rsidRPr="001417BE">
        <w:rPr>
          <w:rFonts w:ascii="Times New Roman" w:hAnsi="Times New Roman" w:cs="Times New Roman"/>
          <w:sz w:val="24"/>
          <w:szCs w:val="24"/>
          <w:lang w:val="en-US"/>
        </w:rPr>
        <w:t>First</w:t>
      </w:r>
      <w:r w:rsidR="00074479" w:rsidRPr="001417BE">
        <w:rPr>
          <w:rFonts w:ascii="Times New Roman" w:hAnsi="Times New Roman" w:cs="Times New Roman"/>
          <w:sz w:val="24"/>
          <w:szCs w:val="24"/>
          <w:lang w:val="en-US"/>
        </w:rPr>
        <w:t>ly</w:t>
      </w:r>
      <w:r w:rsidR="007D3368" w:rsidRPr="001417BE">
        <w:rPr>
          <w:rFonts w:ascii="Times New Roman" w:hAnsi="Times New Roman" w:cs="Times New Roman"/>
          <w:sz w:val="24"/>
          <w:szCs w:val="24"/>
          <w:lang w:val="en-US"/>
        </w:rPr>
        <w:t xml:space="preserve">, </w:t>
      </w:r>
      <w:r w:rsidR="00196ED2" w:rsidRPr="001417BE">
        <w:rPr>
          <w:rFonts w:ascii="Times New Roman" w:hAnsi="Times New Roman" w:cs="Times New Roman"/>
          <w:sz w:val="24"/>
          <w:szCs w:val="24"/>
          <w:lang w:val="en-US"/>
        </w:rPr>
        <w:t xml:space="preserve">the </w:t>
      </w:r>
      <w:r w:rsidR="00074479" w:rsidRPr="001417BE">
        <w:rPr>
          <w:rFonts w:ascii="Times New Roman" w:hAnsi="Times New Roman" w:cs="Times New Roman"/>
          <w:sz w:val="24"/>
          <w:szCs w:val="24"/>
          <w:lang w:val="en-US"/>
        </w:rPr>
        <w:t xml:space="preserve">initial </w:t>
      </w:r>
      <w:r w:rsidR="00196ED2" w:rsidRPr="001417BE">
        <w:rPr>
          <w:rFonts w:ascii="Times New Roman" w:hAnsi="Times New Roman" w:cs="Times New Roman"/>
          <w:sz w:val="24"/>
          <w:szCs w:val="24"/>
          <w:lang w:val="en-US"/>
        </w:rPr>
        <w:t xml:space="preserve">(and indeed many of the later) </w:t>
      </w:r>
      <w:r w:rsidR="00074479" w:rsidRPr="001417BE">
        <w:rPr>
          <w:rFonts w:ascii="Times New Roman" w:hAnsi="Times New Roman" w:cs="Times New Roman"/>
          <w:sz w:val="24"/>
          <w:szCs w:val="24"/>
          <w:lang w:val="en-US"/>
        </w:rPr>
        <w:t xml:space="preserve">studies on human BAT </w:t>
      </w:r>
      <w:r w:rsidR="00517361" w:rsidRPr="001417BE">
        <w:rPr>
          <w:rFonts w:ascii="Times New Roman" w:hAnsi="Times New Roman" w:cs="Times New Roman"/>
          <w:sz w:val="24"/>
          <w:szCs w:val="24"/>
          <w:lang w:val="en-US"/>
        </w:rPr>
        <w:t xml:space="preserve">involved </w:t>
      </w:r>
      <w:r w:rsidR="00074479" w:rsidRPr="001417BE">
        <w:rPr>
          <w:rFonts w:ascii="Times New Roman" w:hAnsi="Times New Roman" w:cs="Times New Roman"/>
          <w:sz w:val="24"/>
          <w:szCs w:val="24"/>
          <w:vertAlign w:val="superscript"/>
          <w:lang w:val="en-US"/>
        </w:rPr>
        <w:t>18</w:t>
      </w:r>
      <w:r w:rsidR="00074479" w:rsidRPr="001417BE">
        <w:rPr>
          <w:rFonts w:ascii="Times New Roman" w:hAnsi="Times New Roman" w:cs="Times New Roman"/>
          <w:sz w:val="24"/>
          <w:szCs w:val="24"/>
          <w:lang w:val="en-US"/>
        </w:rPr>
        <w:t>F-FDG-PET</w:t>
      </w:r>
      <w:r w:rsidR="00DB0116" w:rsidRPr="001417BE">
        <w:rPr>
          <w:rFonts w:ascii="Times New Roman" w:hAnsi="Times New Roman" w:cs="Times New Roman"/>
          <w:sz w:val="24"/>
          <w:szCs w:val="24"/>
          <w:lang w:val="en-US"/>
        </w:rPr>
        <w:t>-</w:t>
      </w:r>
      <w:r w:rsidR="00074479" w:rsidRPr="001417BE">
        <w:rPr>
          <w:rFonts w:ascii="Times New Roman" w:hAnsi="Times New Roman" w:cs="Times New Roman"/>
          <w:sz w:val="24"/>
          <w:szCs w:val="24"/>
          <w:lang w:val="en-US"/>
        </w:rPr>
        <w:t>CT</w:t>
      </w:r>
      <w:r w:rsidR="00196ED2" w:rsidRPr="001417BE">
        <w:rPr>
          <w:rFonts w:ascii="Times New Roman" w:hAnsi="Times New Roman" w:cs="Times New Roman"/>
          <w:sz w:val="24"/>
          <w:szCs w:val="24"/>
          <w:lang w:val="en-US"/>
        </w:rPr>
        <w:t xml:space="preserve"> scanning</w:t>
      </w:r>
      <w:r w:rsidR="00074479" w:rsidRPr="001417BE">
        <w:rPr>
          <w:rFonts w:ascii="Times New Roman" w:hAnsi="Times New Roman" w:cs="Times New Roman"/>
          <w:sz w:val="24"/>
          <w:szCs w:val="24"/>
          <w:lang w:val="en-US"/>
        </w:rPr>
        <w:t xml:space="preserve"> </w:t>
      </w:r>
      <w:r w:rsidR="00196ED2" w:rsidRPr="001417BE">
        <w:rPr>
          <w:rFonts w:ascii="Times New Roman" w:hAnsi="Times New Roman" w:cs="Times New Roman"/>
          <w:sz w:val="24"/>
          <w:szCs w:val="24"/>
          <w:lang w:val="en-US"/>
        </w:rPr>
        <w:t>under</w:t>
      </w:r>
      <w:r w:rsidR="00074479" w:rsidRPr="001417BE">
        <w:rPr>
          <w:rFonts w:ascii="Times New Roman" w:hAnsi="Times New Roman" w:cs="Times New Roman"/>
          <w:sz w:val="24"/>
          <w:szCs w:val="24"/>
          <w:lang w:val="en-US"/>
        </w:rPr>
        <w:t xml:space="preserve"> thermoneutral </w:t>
      </w:r>
      <w:r w:rsidR="004F3504" w:rsidRPr="001417BE">
        <w:rPr>
          <w:rFonts w:ascii="Times New Roman" w:hAnsi="Times New Roman" w:cs="Times New Roman"/>
          <w:sz w:val="24"/>
          <w:szCs w:val="24"/>
          <w:lang w:val="en-US"/>
        </w:rPr>
        <w:t>conditions</w:t>
      </w:r>
      <w:r w:rsidR="000764CD">
        <w:rPr>
          <w:rFonts w:ascii="Times New Roman" w:hAnsi="Times New Roman" w:cs="Times New Roman"/>
          <w:sz w:val="24"/>
          <w:szCs w:val="24"/>
          <w:lang w:val="en-US"/>
        </w:rPr>
        <w:t xml:space="preserve"> or after a non-individualized cold-exposure. Noteworthily</w:t>
      </w:r>
      <w:r w:rsidR="0071792A" w:rsidRPr="001417BE">
        <w:rPr>
          <w:rFonts w:ascii="Times New Roman" w:hAnsi="Times New Roman" w:cs="Times New Roman"/>
          <w:sz w:val="24"/>
          <w:szCs w:val="24"/>
          <w:lang w:val="en-US"/>
        </w:rPr>
        <w:t>, c</w:t>
      </w:r>
      <w:r w:rsidR="00074479" w:rsidRPr="001417BE">
        <w:rPr>
          <w:rFonts w:ascii="Times New Roman" w:hAnsi="Times New Roman" w:cs="Times New Roman"/>
          <w:sz w:val="24"/>
          <w:szCs w:val="24"/>
          <w:lang w:val="en-US"/>
        </w:rPr>
        <w:t xml:space="preserve">urrent recommendations </w:t>
      </w:r>
      <w:r w:rsidR="00196ED2" w:rsidRPr="001417BE">
        <w:rPr>
          <w:rFonts w:ascii="Times New Roman" w:hAnsi="Times New Roman" w:cs="Times New Roman"/>
          <w:sz w:val="24"/>
          <w:szCs w:val="24"/>
          <w:lang w:val="en-US"/>
        </w:rPr>
        <w:t xml:space="preserve">state </w:t>
      </w:r>
      <w:r w:rsidR="000764CD" w:rsidRPr="001417BE">
        <w:rPr>
          <w:rFonts w:ascii="Times New Roman" w:hAnsi="Times New Roman" w:cs="Times New Roman"/>
          <w:sz w:val="24"/>
          <w:szCs w:val="24"/>
          <w:vertAlign w:val="superscript"/>
          <w:lang w:val="en-US"/>
        </w:rPr>
        <w:t>18</w:t>
      </w:r>
      <w:r w:rsidR="000764CD" w:rsidRPr="001417BE">
        <w:rPr>
          <w:rFonts w:ascii="Times New Roman" w:hAnsi="Times New Roman" w:cs="Times New Roman"/>
          <w:sz w:val="24"/>
          <w:szCs w:val="24"/>
          <w:lang w:val="en-US"/>
        </w:rPr>
        <w:t xml:space="preserve">F-FDG-PET-CT scanning </w:t>
      </w:r>
      <w:r w:rsidR="00196ED2" w:rsidRPr="001417BE">
        <w:rPr>
          <w:rFonts w:ascii="Times New Roman" w:hAnsi="Times New Roman" w:cs="Times New Roman"/>
          <w:sz w:val="24"/>
          <w:szCs w:val="24"/>
          <w:lang w:val="en-US"/>
        </w:rPr>
        <w:t xml:space="preserve">should be performed </w:t>
      </w:r>
      <w:r w:rsidR="00074479" w:rsidRPr="001417BE">
        <w:rPr>
          <w:rFonts w:ascii="Times New Roman" w:hAnsi="Times New Roman" w:cs="Times New Roman"/>
          <w:sz w:val="24"/>
          <w:szCs w:val="24"/>
          <w:lang w:val="en-US"/>
        </w:rPr>
        <w:t>after an individualized cold-exposure</w:t>
      </w:r>
      <w:r w:rsidR="00A257CD">
        <w:rPr>
          <w:rFonts w:ascii="Times New Roman" w:hAnsi="Times New Roman" w:cs="Times New Roman"/>
          <w:sz w:val="24"/>
          <w:szCs w:val="24"/>
          <w:lang w:val="en-US"/>
        </w:rPr>
        <w:t xml:space="preserve"> </w:t>
      </w:r>
      <w:r w:rsidR="002048BF">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{"citationItems":[{"id":"ITEM-1","itemData":{"DOI":"10.1152/ajpregu.00021.2014","ISSN":"1522-1490","PMID":"24871967","abstract":"The relevance of functional brown adipose tissue (BAT) depots in human adults was undisputedly proven approximately seven years ago. Here we give an overview of all dedicated studies that were published on cold-induced BAT activity in adult humans that appeared since then. Different cooling protocols and imaging techniques to determine BAT activity are reviewed. BAT activation can be achieved by means of air- or water-cooling protocols. The most promising approach is individualized cooling, during which subjects are studied at the lowest temperature for nonshivering condition, probably revealing maximal nonshivering thermogenesis. The highest BAT prevalence (i.e., close to 100%) is observed using the individualized cooling protocol. Currently, the most widely used technique to study the metabolic activity of BAT is deoxy-2-[18F]fluoro-d-glucose ([18F]FDG)-positron emission tomography/computed tomography (PET/CT) imaging. Dynamic imaging provides quantitative information about glucose uptake rates, whereas static imaging reflects overall BAT glucose uptake, localization, and distribution. In general, standardized uptake values (SUV) are used to quantify BAT activity. An accurate determination of total BAT volume is hampered by the limited spatial resolution of the PET image, leading to spillover. Different research groups use different SUV threshold values, which make it difficult to directly compare BAT activity levels between studies. Another issue is the comparison of [18F]FDG uptake in BAT with respect to other tissues or upon with baseline values. This comparison can be performed by using the “fixed volume” methodology. Finally, the potential use of other relatively noninvasive methods to quantify BAT, like magnetic resonance imaging or thermography, is discussed.","author":[{"dropping-particle":"","family":"Lans","given":"Anouk a J J","non-dropping-particle":"van der","parse-names":false,"suffix":""},{"dropping-particle":"","family":"Wierts","given":"Roel","non-dropping-particle":"","parse-names":false,"suffix":""},{"dropping-particle":"","family":"Vosselman","given":"Maarten J","non-dropping-particle":"","parse-names":false,"suffix":""},{"dropping-particle":"","family":"Schrauwen","given":"Patrick","non-dropping-particle":"","parse-names":false,"suffix":""},{"dropping-particle":"","family":"Brans","given":"Boudewijn","non-dropping-particle":"","parse-names":false,"suffix":""},{"dropping-particle":"","family":"Marken Lichtenbelt","given":"Wouter David","non-dropping-particle":"van","parse-names":false,"suffix":""}],"container-title":"American journal of physiology. Regulatory, integrative and comparative physiology","id":"ITEM-1","issue":"2","issued":{"date-parts":[["2014","7","15"]]},"page":"R103-13","title":"Cold-activated brown adipose tissue in human adults: methodological issues.","type":"article-journal","volume":"307"},"uris":["http://www.mendeley.com/documents/?uuid=e1483f6b-4abf-4ac0-96b4-d230ecaa3194"]},{"id":"ITEM-2","itemData":{"DOI":"10.1016/j.cmet.2016.07.014","ISSN":"15504131","PMID":"27508870","abstract":"Human brown adipose tissue (BAT) presence, metabolic activity, and estimated mass are typically measured by imaging [18F]fluorodeoxyglucose (FDG) uptake in response to cold exposure in regions of the body expected to contain BAT, using positron emission tomography combined with X-ray computed tomography (FDG-PET/CT). Efforts to describe the epidemiology and biology of human BAT are hampered by diverse experimental practices, making it difficult to directly compare results among laboratories. An expert panel was assembled by the National Institute of Diabetes and Digestive and Kidney Diseases on November 4, 2014 to discuss minimal requirements for conducting FDG-PET/CT experiments of human BAT, data analysis, and publication of results. This resulted in Brown Adipose Reporting Criteria in Imaging STudies (BARCIST 1.0). Since there are no fully validated best practices at this time, panel recommendations are meant to enhance comparability across experiments, but not to constrain experimental design or the questions that can be asked.","author":[{"dropping-particle":"","family":"Chen","given":"Kong Y.","non-dropping-particle":"","parse-names":false,"suffix":""},{"dropping-particle":"","family":"Cypess","given":"Aaron M.","non-dropping-particle":"","parse-names":false,"suffix":""},{"dropping-particle":"","family":"Laughlin","given":"Maren R.","non-dropping-particle":"","parse-names":false,"suffix":""},{"dropping-particle":"","family":"Haft","given":"Carol R.","non-dropping-particle":"","parse-names":false,"suffix":""},{"dropping-particle":"","family":"Hu","given":"Houchun Harry","non-dropping-particle":"","parse-names":false,"suffix":""},{"dropping-particle":"","family":"Bredella","given":"Miriam A.","non-dropping-particle":"","parse-names":false,"suffix":""},{"dropping-particle":"","family":"Enerbäck","given":"Sven","non-dropping-particle":"","parse-names":false,"suffix":""},{"dropping-particle":"","family":"Kinahan","given":"Paul E.","non-dropping-particle":"","parse-names":false,"suffix":""},{"dropping-particle":"","family":"Lichtenbelt","given":"Wouter van Marken","non-dropping-particle":"","parse-names":false,"suffix":""},{"dropping-particle":"","family":"Lin","given":"Frank I.","non-dropping-particle":"","parse-names":false,"suffix":""},{"dropping-particle":"","family":"Sunderland","given":"John J.","non-dropping-particle":"","parse-names":false,"suffix":""},{"dropping-particle":"","family":"Virtanen","given":"Kirsi A.","non-dropping-particle":"","parse-names":false,"suffix":""},{"dropping-particle":"","family":"Wahl","given":"Richard L.","non-dropping-particle":"","parse-names":false,"suffix":""}],"container-title":"Cell Metabolism","id":"ITEM-2","issue":"2","issued":{"date-parts":[["2016","8","9"]]},"page":"210-222","title":"Brown Adipose Reporting Criteria in Imaging STudies (BARCIST 1.0): Recommendations for Standardized FDG-PET/CT Experiments in Humans","type":"article-journal","volume":"24"},"uris":["http://www.mendeley.com/documents/?uuid=fe518d60-4768-305a-aee3-493837d621e6"]}],"mendeley":{"formattedCitation":"(19,20)","plainTextFormattedCitation":"(19,20)","previouslyFormattedCitation":"(19,20)"},"properties":{"noteIndex":0},"schema":"https://github.com/citation-style-language/schema/raw/master/csl-citation.json"}</w:instrText>
      </w:r>
      <w:r w:rsidR="002048BF">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(19,20)</w:t>
      </w:r>
      <w:r w:rsidR="002048BF">
        <w:rPr>
          <w:rFonts w:ascii="Times New Roman" w:hAnsi="Times New Roman" w:cs="Times New Roman"/>
          <w:sz w:val="24"/>
          <w:szCs w:val="24"/>
          <w:lang w:val="en-US"/>
        </w:rPr>
        <w:fldChar w:fldCharType="end"/>
      </w:r>
      <w:r w:rsidR="00074479" w:rsidRPr="001417BE">
        <w:rPr>
          <w:rFonts w:ascii="Times New Roman" w:hAnsi="Times New Roman" w:cs="Times New Roman"/>
          <w:sz w:val="24"/>
          <w:szCs w:val="24"/>
          <w:lang w:val="en-US"/>
        </w:rPr>
        <w:t xml:space="preserve">. </w:t>
      </w:r>
      <w:r w:rsidR="000764CD">
        <w:rPr>
          <w:rFonts w:ascii="Times New Roman" w:hAnsi="Times New Roman" w:cs="Times New Roman"/>
          <w:sz w:val="24"/>
          <w:szCs w:val="24"/>
          <w:lang w:val="en-US"/>
        </w:rPr>
        <w:t xml:space="preserve">Conducting the </w:t>
      </w:r>
      <w:r w:rsidR="000764CD" w:rsidRPr="001417BE">
        <w:rPr>
          <w:rFonts w:ascii="Times New Roman" w:hAnsi="Times New Roman" w:cs="Times New Roman"/>
          <w:sz w:val="24"/>
          <w:szCs w:val="24"/>
          <w:vertAlign w:val="superscript"/>
          <w:lang w:val="en-US"/>
        </w:rPr>
        <w:t>18</w:t>
      </w:r>
      <w:r w:rsidR="000764CD" w:rsidRPr="001417BE">
        <w:rPr>
          <w:rFonts w:ascii="Times New Roman" w:hAnsi="Times New Roman" w:cs="Times New Roman"/>
          <w:sz w:val="24"/>
          <w:szCs w:val="24"/>
          <w:lang w:val="en-US"/>
        </w:rPr>
        <w:t>F-FDG-PET-CT scan</w:t>
      </w:r>
      <w:r w:rsidR="000764CD">
        <w:rPr>
          <w:rFonts w:ascii="Times New Roman" w:hAnsi="Times New Roman" w:cs="Times New Roman"/>
          <w:sz w:val="24"/>
          <w:szCs w:val="24"/>
          <w:lang w:val="en-US"/>
        </w:rPr>
        <w:t xml:space="preserve"> under thermoneutral conditions likely make</w:t>
      </w:r>
      <w:r w:rsidR="002048BF">
        <w:rPr>
          <w:rFonts w:ascii="Times New Roman" w:hAnsi="Times New Roman" w:cs="Times New Roman"/>
          <w:sz w:val="24"/>
          <w:szCs w:val="24"/>
          <w:lang w:val="en-US"/>
        </w:rPr>
        <w:t>s</w:t>
      </w:r>
      <w:r w:rsidR="000764CD">
        <w:rPr>
          <w:rFonts w:ascii="Times New Roman" w:hAnsi="Times New Roman" w:cs="Times New Roman"/>
          <w:sz w:val="24"/>
          <w:szCs w:val="24"/>
          <w:lang w:val="en-US"/>
        </w:rPr>
        <w:t xml:space="preserve"> functional BAT to be undetectable </w:t>
      </w:r>
      <w:r w:rsidR="000764CD" w:rsidRPr="001417BE">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{"citationItems":[{"id":"ITEM-1","itemData":{"DOI":"10.1016/j.cmet.2016.07.014","ISSN":"15504131","PMID":"27508870","abstract":"Human brown adipose tissue (BAT) presence, metabolic activity, and estimated mass are typically measured by imaging [18F]fluorodeoxyglucose (FDG) uptake in response to cold exposure in regions of the body expected to contain BAT, using positron emission tomography combined with X-ray computed tomography (FDG-PET/CT). Efforts to describe the epidemiology and biology of human BAT are hampered by diverse experimental practices, making it difficult to directly compare results among laboratories. An expert panel was assembled by the National Institute of Diabetes and Digestive and Kidney Diseases on November 4, 2014 to discuss minimal requirements for conducting FDG-PET/CT experiments of human BAT, data analysis, and publication of results. This resulted in Brown Adipose Reporting Criteria in Imaging STudies (BARCIST 1.0). Since there are no fully validated best practices at this time, panel recommendations are meant to enhance comparability across experiments, but not to constrain experimental design or the questions that can be asked.","author":[{"dropping-particle":"","family":"Chen","given":"Kong Y.","non-dropping-particle":"","parse-names":false,"suffix":""},{"dropping-particle":"","family":"Cypess","given":"Aaron M.","non-dropping-particle":"","parse-names":false,"suffix":""},{"dropping-particle":"","family":"Laughlin","given":"Maren R.","non-dropping-particle":"","parse-names":false,"suffix":""},{"dropping-particle":"","family":"Haft","given":"Carol R.","non-dropping-particle":"","parse-names":false,"suffix":""},{"dropping-particle":"","family":"Hu","given":"Houchun Harry","non-dropping-particle":"","parse-names":false,"suffix":""},{"dropping-particle":"","family":"Bredella","given":"Miriam A.","non-dropping-particle":"","parse-names":false,"suffix":""},{"dropping-particle":"","family":"Enerbäck","given":"Sven","non-dropping-particle":"","parse-names":false,"suffix":""},{"dropping-particle":"","family":"Kinahan","given":"Paul E.","non-dropping-particle":"","parse-names":false,"suffix":""},{"dropping-particle":"","family":"Lichtenbelt","given":"Wouter van Marken","non-dropping-particle":"","parse-names":false,"suffix":""},{"dropping-particle":"","family":"Lin","given":"Frank I.","non-dropping-particle":"","parse-names":false,"suffix":""},{"dropping-particle":"","family":"Sunderland","given":"John J.","non-dropping-particle":"","parse-names":false,"suffix":""},{"dropping-particle":"","family":"Virtanen","given":"Kirsi A.","non-dropping-particle":"","parse-names":false,"suffix":""},{"dropping-particle":"","family":"Wahl","given":"Richard L.","non-dropping-particle":"","parse-names":false,"suffix":""}],"container-title":"Cell Metabolism","id":"ITEM-1","issue":"2","issued":{"date-parts":[["2016","8","9"]]},"page":"210-222","title":"Brown Adipose Reporting Criteria in Imaging STudies (BARCIST 1.0): Recommendations for Standardized FDG-PET/CT Experiments in Humans","type":"article-journal","volume":"24"},"uris":["http://www.mendeley.com/documents/?uuid=fe518d60-4768-305a-aee3-493837d621e6"]}],"mendeley":{"formattedCitation":"(19)","plainTextFormattedCitation":"(19)","previouslyFormattedCitation":"(19)"},"properties":{"noteIndex":0},"schema":"https://github.com/citation-style-language/schema/raw/master/csl-citation.json"}</w:instrText>
      </w:r>
      <w:r w:rsidR="000764CD" w:rsidRPr="001417BE">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(19)</w:t>
      </w:r>
      <w:r w:rsidR="000764CD" w:rsidRPr="001417BE">
        <w:rPr>
          <w:rFonts w:ascii="Times New Roman" w:hAnsi="Times New Roman" w:cs="Times New Roman"/>
          <w:sz w:val="24"/>
          <w:szCs w:val="24"/>
          <w:lang w:val="en-US"/>
        </w:rPr>
        <w:fldChar w:fldCharType="end"/>
      </w:r>
      <w:r w:rsidR="000764CD">
        <w:rPr>
          <w:rFonts w:ascii="Times New Roman" w:hAnsi="Times New Roman" w:cs="Times New Roman"/>
          <w:sz w:val="24"/>
          <w:szCs w:val="24"/>
          <w:lang w:val="en-US"/>
        </w:rPr>
        <w:t>. On the other hand, u</w:t>
      </w:r>
      <w:r w:rsidR="00103DC3" w:rsidRPr="001417BE">
        <w:rPr>
          <w:rFonts w:ascii="Times New Roman" w:hAnsi="Times New Roman" w:cs="Times New Roman"/>
          <w:sz w:val="24"/>
          <w:szCs w:val="24"/>
          <w:lang w:val="en-US"/>
        </w:rPr>
        <w:t xml:space="preserve">sing a </w:t>
      </w:r>
      <w:r w:rsidR="00DB0116" w:rsidRPr="001417BE">
        <w:rPr>
          <w:rFonts w:ascii="Times New Roman" w:hAnsi="Times New Roman" w:cs="Times New Roman"/>
          <w:sz w:val="24"/>
          <w:szCs w:val="24"/>
          <w:lang w:val="en-US"/>
        </w:rPr>
        <w:t>fixed</w:t>
      </w:r>
      <w:r w:rsidR="001825F5" w:rsidRPr="001417BE">
        <w:rPr>
          <w:rFonts w:ascii="Times New Roman" w:hAnsi="Times New Roman" w:cs="Times New Roman"/>
          <w:sz w:val="24"/>
          <w:szCs w:val="24"/>
          <w:lang w:val="en-US"/>
        </w:rPr>
        <w:t>,</w:t>
      </w:r>
      <w:r w:rsidR="00DB0116" w:rsidRPr="001417BE">
        <w:rPr>
          <w:rFonts w:ascii="Times New Roman" w:hAnsi="Times New Roman" w:cs="Times New Roman"/>
          <w:sz w:val="24"/>
          <w:szCs w:val="24"/>
          <w:lang w:val="en-US"/>
        </w:rPr>
        <w:t xml:space="preserve"> </w:t>
      </w:r>
      <w:r w:rsidR="008B50ED" w:rsidRPr="001417BE">
        <w:rPr>
          <w:rFonts w:ascii="Times New Roman" w:hAnsi="Times New Roman" w:cs="Times New Roman"/>
          <w:sz w:val="24"/>
          <w:szCs w:val="24"/>
          <w:lang w:val="en-US"/>
        </w:rPr>
        <w:t>no</w:t>
      </w:r>
      <w:r w:rsidR="00CE6A77" w:rsidRPr="001417BE">
        <w:rPr>
          <w:rFonts w:ascii="Times New Roman" w:hAnsi="Times New Roman" w:cs="Times New Roman"/>
          <w:sz w:val="24"/>
          <w:szCs w:val="24"/>
          <w:lang w:val="en-US"/>
        </w:rPr>
        <w:t>n-</w:t>
      </w:r>
      <w:r w:rsidR="006B7708" w:rsidRPr="001417BE">
        <w:rPr>
          <w:rFonts w:ascii="Times New Roman" w:hAnsi="Times New Roman" w:cs="Times New Roman"/>
          <w:sz w:val="24"/>
          <w:szCs w:val="24"/>
          <w:lang w:val="en-US"/>
        </w:rPr>
        <w:t>individualized</w:t>
      </w:r>
      <w:r w:rsidR="008B50ED" w:rsidRPr="001417BE">
        <w:rPr>
          <w:rFonts w:ascii="Times New Roman" w:hAnsi="Times New Roman" w:cs="Times New Roman"/>
          <w:sz w:val="24"/>
          <w:szCs w:val="24"/>
          <w:lang w:val="en-US"/>
        </w:rPr>
        <w:t xml:space="preserve"> </w:t>
      </w:r>
      <w:r w:rsidR="00074479" w:rsidRPr="001417BE">
        <w:rPr>
          <w:rFonts w:ascii="Times New Roman" w:hAnsi="Times New Roman" w:cs="Times New Roman"/>
          <w:sz w:val="24"/>
          <w:szCs w:val="24"/>
          <w:lang w:val="en-US"/>
        </w:rPr>
        <w:t xml:space="preserve">cold-exposure </w:t>
      </w:r>
      <w:r w:rsidR="00F86712" w:rsidRPr="001417BE">
        <w:rPr>
          <w:rFonts w:ascii="Times New Roman" w:hAnsi="Times New Roman" w:cs="Times New Roman"/>
          <w:sz w:val="24"/>
          <w:szCs w:val="24"/>
          <w:lang w:val="en-US"/>
        </w:rPr>
        <w:t xml:space="preserve">before </w:t>
      </w:r>
      <w:r w:rsidR="001825F5" w:rsidRPr="001417BE">
        <w:rPr>
          <w:rFonts w:ascii="Times New Roman" w:hAnsi="Times New Roman" w:cs="Times New Roman"/>
          <w:sz w:val="24"/>
          <w:szCs w:val="24"/>
          <w:lang w:val="en-US"/>
        </w:rPr>
        <w:t xml:space="preserve">a </w:t>
      </w:r>
      <w:r w:rsidR="00DB0116" w:rsidRPr="001417BE">
        <w:rPr>
          <w:rFonts w:ascii="Times New Roman" w:hAnsi="Times New Roman" w:cs="Times New Roman"/>
          <w:sz w:val="24"/>
          <w:szCs w:val="24"/>
          <w:vertAlign w:val="superscript"/>
          <w:lang w:val="en-US"/>
        </w:rPr>
        <w:t>18</w:t>
      </w:r>
      <w:r w:rsidR="00DB0116" w:rsidRPr="001417BE">
        <w:rPr>
          <w:rFonts w:ascii="Times New Roman" w:hAnsi="Times New Roman" w:cs="Times New Roman"/>
          <w:sz w:val="24"/>
          <w:szCs w:val="24"/>
          <w:lang w:val="en-US"/>
        </w:rPr>
        <w:t>F-FDG-PET-CT</w:t>
      </w:r>
      <w:r w:rsidR="00F86712" w:rsidRPr="001417BE">
        <w:rPr>
          <w:rFonts w:ascii="Times New Roman" w:hAnsi="Times New Roman" w:cs="Times New Roman"/>
          <w:sz w:val="24"/>
          <w:szCs w:val="24"/>
          <w:lang w:val="en-US"/>
        </w:rPr>
        <w:t xml:space="preserve"> </w:t>
      </w:r>
      <w:r w:rsidR="001825F5" w:rsidRPr="001417BE">
        <w:rPr>
          <w:rFonts w:ascii="Times New Roman" w:hAnsi="Times New Roman" w:cs="Times New Roman"/>
          <w:sz w:val="24"/>
          <w:szCs w:val="24"/>
          <w:lang w:val="en-US"/>
        </w:rPr>
        <w:t>scan might</w:t>
      </w:r>
      <w:r w:rsidR="00C3457A" w:rsidRPr="001417BE">
        <w:rPr>
          <w:rFonts w:ascii="Times New Roman" w:hAnsi="Times New Roman" w:cs="Times New Roman"/>
          <w:sz w:val="24"/>
          <w:szCs w:val="24"/>
          <w:lang w:val="en-US"/>
        </w:rPr>
        <w:t xml:space="preserve"> </w:t>
      </w:r>
      <w:r w:rsidR="00517361" w:rsidRPr="001417BE">
        <w:rPr>
          <w:rFonts w:ascii="Times New Roman" w:hAnsi="Times New Roman" w:cs="Times New Roman"/>
          <w:sz w:val="24"/>
          <w:szCs w:val="24"/>
          <w:lang w:val="en-US"/>
        </w:rPr>
        <w:t xml:space="preserve">lead to the </w:t>
      </w:r>
      <w:r w:rsidR="00074479" w:rsidRPr="001417BE">
        <w:rPr>
          <w:rFonts w:ascii="Times New Roman" w:hAnsi="Times New Roman" w:cs="Times New Roman"/>
          <w:sz w:val="24"/>
          <w:szCs w:val="24"/>
          <w:lang w:val="en-US"/>
        </w:rPr>
        <w:t>over</w:t>
      </w:r>
      <w:r w:rsidR="00517361" w:rsidRPr="001417BE">
        <w:rPr>
          <w:rFonts w:ascii="Times New Roman" w:hAnsi="Times New Roman" w:cs="Times New Roman"/>
          <w:sz w:val="24"/>
          <w:szCs w:val="24"/>
          <w:lang w:val="en-US"/>
        </w:rPr>
        <w:t>-</w:t>
      </w:r>
      <w:r w:rsidR="00074479" w:rsidRPr="001417BE">
        <w:rPr>
          <w:rFonts w:ascii="Times New Roman" w:hAnsi="Times New Roman" w:cs="Times New Roman"/>
          <w:sz w:val="24"/>
          <w:szCs w:val="24"/>
          <w:lang w:val="en-US"/>
        </w:rPr>
        <w:t xml:space="preserve"> or under-estimat</w:t>
      </w:r>
      <w:r w:rsidR="00517361" w:rsidRPr="001417BE">
        <w:rPr>
          <w:rFonts w:ascii="Times New Roman" w:hAnsi="Times New Roman" w:cs="Times New Roman"/>
          <w:sz w:val="24"/>
          <w:szCs w:val="24"/>
          <w:lang w:val="en-US"/>
        </w:rPr>
        <w:t>ion</w:t>
      </w:r>
      <w:r w:rsidR="00074479" w:rsidRPr="001417BE">
        <w:rPr>
          <w:rFonts w:ascii="Times New Roman" w:hAnsi="Times New Roman" w:cs="Times New Roman"/>
          <w:sz w:val="24"/>
          <w:szCs w:val="24"/>
          <w:lang w:val="en-US"/>
        </w:rPr>
        <w:t xml:space="preserve"> </w:t>
      </w:r>
      <w:r w:rsidR="00517361" w:rsidRPr="001417BE">
        <w:rPr>
          <w:rFonts w:ascii="Times New Roman" w:hAnsi="Times New Roman" w:cs="Times New Roman"/>
          <w:sz w:val="24"/>
          <w:szCs w:val="24"/>
          <w:lang w:val="en-US"/>
        </w:rPr>
        <w:t>of</w:t>
      </w:r>
      <w:r w:rsidR="00103DC3" w:rsidRPr="001417BE">
        <w:rPr>
          <w:rFonts w:ascii="Times New Roman" w:hAnsi="Times New Roman" w:cs="Times New Roman"/>
          <w:sz w:val="24"/>
          <w:szCs w:val="24"/>
          <w:lang w:val="en-US"/>
        </w:rPr>
        <w:t xml:space="preserve"> </w:t>
      </w:r>
      <w:r w:rsidR="00074479" w:rsidRPr="001417BE">
        <w:rPr>
          <w:rFonts w:ascii="Times New Roman" w:hAnsi="Times New Roman" w:cs="Times New Roman"/>
          <w:sz w:val="24"/>
          <w:szCs w:val="24"/>
          <w:lang w:val="en-US"/>
        </w:rPr>
        <w:t>BAT</w:t>
      </w:r>
      <w:r w:rsidR="008B50ED" w:rsidRPr="001417BE">
        <w:rPr>
          <w:rFonts w:ascii="Times New Roman" w:hAnsi="Times New Roman" w:cs="Times New Roman"/>
          <w:sz w:val="24"/>
          <w:szCs w:val="24"/>
          <w:lang w:val="en-US"/>
        </w:rPr>
        <w:t xml:space="preserve"> volume</w:t>
      </w:r>
      <w:r w:rsidR="001825F5" w:rsidRPr="001417BE">
        <w:rPr>
          <w:rFonts w:ascii="Times New Roman" w:hAnsi="Times New Roman" w:cs="Times New Roman"/>
          <w:sz w:val="24"/>
          <w:szCs w:val="24"/>
          <w:lang w:val="en-US"/>
        </w:rPr>
        <w:t xml:space="preserve"> </w:t>
      </w:r>
      <w:r w:rsidR="00074479" w:rsidRPr="001417BE">
        <w:rPr>
          <w:rFonts w:ascii="Times New Roman" w:hAnsi="Times New Roman" w:cs="Times New Roman"/>
          <w:sz w:val="24"/>
          <w:szCs w:val="24"/>
          <w:lang w:val="en-US"/>
        </w:rPr>
        <w:t xml:space="preserve">depending on </w:t>
      </w:r>
      <w:r w:rsidR="001825F5" w:rsidRPr="001417BE">
        <w:rPr>
          <w:rFonts w:ascii="Times New Roman" w:hAnsi="Times New Roman" w:cs="Times New Roman"/>
          <w:sz w:val="24"/>
          <w:szCs w:val="24"/>
          <w:lang w:val="en-US"/>
        </w:rPr>
        <w:t xml:space="preserve">a subject's </w:t>
      </w:r>
      <w:r w:rsidR="00074479" w:rsidRPr="00F609A5">
        <w:rPr>
          <w:rFonts w:ascii="Times New Roman" w:hAnsi="Times New Roman" w:cs="Times New Roman"/>
          <w:sz w:val="24"/>
          <w:szCs w:val="24"/>
          <w:lang w:val="en-US"/>
        </w:rPr>
        <w:t>insulation</w:t>
      </w:r>
      <w:r w:rsidR="00F609A5" w:rsidRPr="00F609A5">
        <w:rPr>
          <w:rFonts w:ascii="Times New Roman" w:hAnsi="Times New Roman" w:cs="Times New Roman"/>
          <w:sz w:val="24"/>
          <w:szCs w:val="24"/>
          <w:lang w:val="en-US"/>
        </w:rPr>
        <w:t xml:space="preserve"> characteristics</w:t>
      </w:r>
      <w:r w:rsidR="00074479" w:rsidRPr="001417BE">
        <w:rPr>
          <w:rFonts w:ascii="Times New Roman" w:hAnsi="Times New Roman" w:cs="Times New Roman"/>
          <w:sz w:val="24"/>
          <w:szCs w:val="24"/>
          <w:lang w:val="en-US"/>
        </w:rPr>
        <w:t xml:space="preserve"> and cold tolerance</w:t>
      </w:r>
      <w:r w:rsidR="002048BF">
        <w:rPr>
          <w:rFonts w:ascii="Times New Roman" w:hAnsi="Times New Roman" w:cs="Times New Roman"/>
          <w:sz w:val="24"/>
          <w:szCs w:val="24"/>
          <w:lang w:val="en-US"/>
        </w:rPr>
        <w:t xml:space="preserve">, since participants might not be </w:t>
      </w:r>
      <w:r w:rsidR="002048BF" w:rsidRPr="002048BF">
        <w:rPr>
          <w:rFonts w:ascii="Times New Roman" w:hAnsi="Times New Roman" w:cs="Times New Roman"/>
          <w:sz w:val="24"/>
          <w:szCs w:val="24"/>
          <w:lang w:val="en-US"/>
        </w:rPr>
        <w:t>submitted to the same t</w:t>
      </w:r>
      <w:r w:rsidR="002048BF">
        <w:rPr>
          <w:rFonts w:ascii="Times New Roman" w:hAnsi="Times New Roman" w:cs="Times New Roman"/>
          <w:sz w:val="24"/>
          <w:szCs w:val="24"/>
          <w:lang w:val="en-US"/>
        </w:rPr>
        <w:t>h</w:t>
      </w:r>
      <w:r w:rsidR="002048BF" w:rsidRPr="002048BF">
        <w:rPr>
          <w:rFonts w:ascii="Times New Roman" w:hAnsi="Times New Roman" w:cs="Times New Roman"/>
          <w:sz w:val="24"/>
          <w:szCs w:val="24"/>
          <w:lang w:val="en-US"/>
        </w:rPr>
        <w:t>erm</w:t>
      </w:r>
      <w:r w:rsidR="00380E85">
        <w:rPr>
          <w:rFonts w:ascii="Times New Roman" w:hAnsi="Times New Roman" w:cs="Times New Roman"/>
          <w:sz w:val="24"/>
          <w:szCs w:val="24"/>
          <w:lang w:val="en-US"/>
        </w:rPr>
        <w:t>ic</w:t>
      </w:r>
      <w:r w:rsidR="002048BF" w:rsidRPr="002048BF">
        <w:rPr>
          <w:rFonts w:ascii="Times New Roman" w:hAnsi="Times New Roman" w:cs="Times New Roman"/>
          <w:sz w:val="24"/>
          <w:szCs w:val="24"/>
          <w:lang w:val="en-US"/>
        </w:rPr>
        <w:t xml:space="preserve"> stress</w:t>
      </w:r>
      <w:r w:rsidR="002048BF">
        <w:rPr>
          <w:rFonts w:ascii="Times New Roman" w:hAnsi="Times New Roman" w:cs="Times New Roman"/>
          <w:sz w:val="24"/>
          <w:szCs w:val="24"/>
          <w:lang w:val="en-US"/>
        </w:rPr>
        <w:t xml:space="preserve"> </w:t>
      </w:r>
      <w:r w:rsidR="00074479" w:rsidRPr="001417BE">
        <w:rPr>
          <w:rFonts w:ascii="Times New Roman" w:hAnsi="Times New Roman" w:cs="Times New Roman"/>
          <w:sz w:val="24"/>
          <w:szCs w:val="24"/>
          <w:lang w:val="en-US"/>
        </w:rPr>
        <w:t>(</w:t>
      </w:r>
      <w:r w:rsidR="00661E33" w:rsidRPr="001417BE">
        <w:rPr>
          <w:rFonts w:ascii="Times New Roman" w:hAnsi="Times New Roman" w:cs="Times New Roman"/>
          <w:sz w:val="24"/>
          <w:szCs w:val="24"/>
          <w:lang w:val="en-US"/>
        </w:rPr>
        <w:t xml:space="preserve">air at </w:t>
      </w:r>
      <w:r w:rsidR="00074479" w:rsidRPr="001417BE">
        <w:rPr>
          <w:rFonts w:ascii="Times New Roman" w:hAnsi="Times New Roman" w:cs="Times New Roman"/>
          <w:sz w:val="24"/>
          <w:szCs w:val="24"/>
          <w:lang w:val="en-US"/>
        </w:rPr>
        <w:t xml:space="preserve">17ºC </w:t>
      </w:r>
      <w:r w:rsidR="001825F5" w:rsidRPr="001417BE">
        <w:rPr>
          <w:rFonts w:ascii="Times New Roman" w:hAnsi="Times New Roman" w:cs="Times New Roman"/>
          <w:sz w:val="24"/>
          <w:szCs w:val="24"/>
          <w:lang w:val="en-US"/>
        </w:rPr>
        <w:t>may</w:t>
      </w:r>
      <w:r w:rsidR="00074479" w:rsidRPr="001417BE">
        <w:rPr>
          <w:rFonts w:ascii="Times New Roman" w:hAnsi="Times New Roman" w:cs="Times New Roman"/>
          <w:sz w:val="24"/>
          <w:szCs w:val="24"/>
          <w:lang w:val="en-US"/>
        </w:rPr>
        <w:t xml:space="preserve"> maximize non-shivering thermogenesis in one </w:t>
      </w:r>
      <w:r w:rsidR="001825F5" w:rsidRPr="001417BE">
        <w:rPr>
          <w:rFonts w:ascii="Times New Roman" w:hAnsi="Times New Roman" w:cs="Times New Roman"/>
          <w:sz w:val="24"/>
          <w:szCs w:val="24"/>
          <w:lang w:val="en-US"/>
        </w:rPr>
        <w:t>person</w:t>
      </w:r>
      <w:r w:rsidR="00074479" w:rsidRPr="001417BE">
        <w:rPr>
          <w:rFonts w:ascii="Times New Roman" w:hAnsi="Times New Roman" w:cs="Times New Roman"/>
          <w:sz w:val="24"/>
          <w:szCs w:val="24"/>
          <w:lang w:val="en-US"/>
        </w:rPr>
        <w:t xml:space="preserve">, </w:t>
      </w:r>
      <w:r w:rsidR="001825F5" w:rsidRPr="001417BE">
        <w:rPr>
          <w:rFonts w:ascii="Times New Roman" w:hAnsi="Times New Roman" w:cs="Times New Roman"/>
          <w:sz w:val="24"/>
          <w:szCs w:val="24"/>
          <w:lang w:val="en-US"/>
        </w:rPr>
        <w:t xml:space="preserve">yet </w:t>
      </w:r>
      <w:r w:rsidR="003A20C7" w:rsidRPr="001417BE">
        <w:rPr>
          <w:rFonts w:ascii="Times New Roman" w:hAnsi="Times New Roman" w:cs="Times New Roman"/>
          <w:sz w:val="24"/>
          <w:szCs w:val="24"/>
          <w:lang w:val="en-US"/>
        </w:rPr>
        <w:t>only be</w:t>
      </w:r>
      <w:r w:rsidR="001825F5" w:rsidRPr="001417BE">
        <w:rPr>
          <w:rFonts w:ascii="Times New Roman" w:hAnsi="Times New Roman" w:cs="Times New Roman"/>
          <w:sz w:val="24"/>
          <w:szCs w:val="24"/>
          <w:lang w:val="en-US"/>
        </w:rPr>
        <w:t xml:space="preserve"> a s</w:t>
      </w:r>
      <w:r w:rsidR="00661E33" w:rsidRPr="001417BE">
        <w:rPr>
          <w:rFonts w:ascii="Times New Roman" w:hAnsi="Times New Roman" w:cs="Times New Roman"/>
          <w:sz w:val="24"/>
          <w:szCs w:val="24"/>
          <w:lang w:val="en-US"/>
        </w:rPr>
        <w:t>light stimulus</w:t>
      </w:r>
      <w:r w:rsidR="00074479" w:rsidRPr="001417BE">
        <w:rPr>
          <w:rFonts w:ascii="Times New Roman" w:hAnsi="Times New Roman" w:cs="Times New Roman"/>
          <w:sz w:val="24"/>
          <w:szCs w:val="24"/>
          <w:lang w:val="en-US"/>
        </w:rPr>
        <w:t xml:space="preserve"> for </w:t>
      </w:r>
      <w:r w:rsidR="00517361" w:rsidRPr="001417BE">
        <w:rPr>
          <w:rFonts w:ascii="Times New Roman" w:hAnsi="Times New Roman" w:cs="Times New Roman"/>
          <w:sz w:val="24"/>
          <w:szCs w:val="24"/>
          <w:lang w:val="en-US"/>
        </w:rPr>
        <w:t>the same</w:t>
      </w:r>
      <w:r w:rsidR="00074479" w:rsidRPr="001417BE">
        <w:rPr>
          <w:rFonts w:ascii="Times New Roman" w:hAnsi="Times New Roman" w:cs="Times New Roman"/>
          <w:sz w:val="24"/>
          <w:szCs w:val="24"/>
          <w:lang w:val="en-US"/>
        </w:rPr>
        <w:t xml:space="preserve"> in </w:t>
      </w:r>
      <w:r w:rsidR="00103DC3" w:rsidRPr="001417BE">
        <w:rPr>
          <w:rFonts w:ascii="Times New Roman" w:hAnsi="Times New Roman" w:cs="Times New Roman"/>
          <w:sz w:val="24"/>
          <w:szCs w:val="24"/>
          <w:lang w:val="en-US"/>
        </w:rPr>
        <w:t>an</w:t>
      </w:r>
      <w:r w:rsidR="00074479" w:rsidRPr="001417BE">
        <w:rPr>
          <w:rFonts w:ascii="Times New Roman" w:hAnsi="Times New Roman" w:cs="Times New Roman"/>
          <w:sz w:val="24"/>
          <w:szCs w:val="24"/>
          <w:lang w:val="en-US"/>
        </w:rPr>
        <w:t>other)</w:t>
      </w:r>
      <w:r w:rsidR="00497D1D" w:rsidRPr="001417BE">
        <w:rPr>
          <w:rFonts w:ascii="Times New Roman" w:hAnsi="Times New Roman" w:cs="Times New Roman"/>
          <w:sz w:val="24"/>
          <w:szCs w:val="24"/>
          <w:lang w:val="en-US"/>
        </w:rPr>
        <w:t xml:space="preserve"> </w:t>
      </w:r>
      <w:r w:rsidR="00795402">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{"citationItems":[{"id":"ITEM-1","itemData":{"DOI":"10.1152/ajpregu.00021.2014","ISSN":"1522-1490","PMID":"24871967","abstract":"The relevance of functional brown adipose tissue (BAT) depots in human adults was undisputedly proven approximately seven years ago. Here we give an overview of all dedicated studies that were published on cold-induced BAT activity in adult humans that appeared since then. Different cooling protocols and imaging techniques to determine BAT activity are reviewed. BAT activation can be achieved by means of air- or water-cooling protocols. The most promising approach is individualized cooling, during which subjects are studied at the lowest temperature for nonshivering condition, probably revealing maximal nonshivering thermogenesis. The highest BAT prevalence (i.e., close to 100%) is observed using the individualized cooling protocol. Currently, the most widely used technique to study the metabolic activity of BAT is deoxy-2-[18F]fluoro-d-glucose ([18F]FDG)-positron emission tomography/computed tomography (PET/CT) imaging. Dynamic imaging provides quantitative information about glucose uptake rates, whereas static imaging reflects overall BAT glucose uptake, localization, and distribution. In general, standardized uptake values (SUV) are used to quantify BAT activity. An accurate determination of total BAT volume is hampered by the limited spatial resolution of the PET image, leading to spillover. Different research groups use different SUV threshold values, which make it difficult to directly compare BAT activity levels between studies. Another issue is the comparison of [18F]FDG uptake in BAT with respect to other tissues or upon with baseline values. This comparison can be performed by using the “fixed volume” methodology. Finally, the potential use of other relatively noninvasive methods to quantify BAT, like magnetic resonance imaging or thermography, is discussed.","author":[{"dropping-particle":"","family":"Lans","given":"Anouk a J J","non-dropping-particle":"van der","parse-names":false,"suffix":""},{"dropping-particle":"","family":"Wierts","given":"Roel","non-dropping-particle":"","parse-names":false,"suffix":""},{"dropping-particle":"","family":"Vosselman","given":"Maarten J","non-dropping-particle":"","parse-names":false,"suffix":""},{"dropping-particle":"","family":"Schrauwen","given":"Patrick","non-dropping-particle":"","parse-names":false,"suffix":""},{"dropping-particle":"","family":"Brans","given":"Boudewijn","non-dropping-particle":"","parse-names":false,"suffix":""},{"dropping-particle":"","family":"Marken Lichtenbelt","given":"Wouter David","non-dropping-particle":"van","parse-names":false,"suffix":""}],"container-title":"American journal of physiology. Regulatory, integrative and comparative physiology","id":"ITEM-1","issue":"2","issued":{"date-parts":[["2014","7","15"]]},"page":"R103-13","title":"Cold-activated brown adipose tissue in human adults: methodological issues.","type":"article-journal","volume":"307"},"uris":["http://www.mendeley.com/documents/?uuid=e1483f6b-4abf-4ac0-96b4-d230ecaa3194"]}],"mendeley":{"formattedCitation":"(20)","plainTextFormattedCitation":"(20)","previouslyFormattedCitation":"(20)"},"properties":{"noteIndex":0},"schema":"https://github.com/citation-style-language/schema/raw/master/csl-citation.json"}</w:instrText>
      </w:r>
      <w:r w:rsidR="00795402">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(20)</w:t>
      </w:r>
      <w:r w:rsidR="00795402">
        <w:rPr>
          <w:rFonts w:ascii="Times New Roman" w:hAnsi="Times New Roman" w:cs="Times New Roman"/>
          <w:sz w:val="24"/>
          <w:szCs w:val="24"/>
          <w:lang w:val="en-US"/>
        </w:rPr>
        <w:fldChar w:fldCharType="end"/>
      </w:r>
      <w:r w:rsidR="00074479" w:rsidRPr="001417BE">
        <w:rPr>
          <w:rFonts w:ascii="Times New Roman" w:hAnsi="Times New Roman" w:cs="Times New Roman"/>
          <w:sz w:val="24"/>
          <w:szCs w:val="24"/>
          <w:lang w:val="en-US"/>
        </w:rPr>
        <w:t xml:space="preserve">. </w:t>
      </w:r>
      <w:r w:rsidR="003A20C7" w:rsidRPr="001417BE">
        <w:rPr>
          <w:rFonts w:ascii="Times New Roman" w:hAnsi="Times New Roman" w:cs="Times New Roman"/>
          <w:sz w:val="24"/>
          <w:szCs w:val="24"/>
          <w:lang w:val="en-US"/>
        </w:rPr>
        <w:t>S</w:t>
      </w:r>
      <w:r w:rsidR="00661E33" w:rsidRPr="001417BE">
        <w:rPr>
          <w:rFonts w:ascii="Times New Roman" w:hAnsi="Times New Roman" w:cs="Times New Roman"/>
          <w:sz w:val="24"/>
          <w:szCs w:val="24"/>
          <w:lang w:val="en-US"/>
        </w:rPr>
        <w:t xml:space="preserve">ince obesity </w:t>
      </w:r>
      <w:r w:rsidR="00761F20" w:rsidRPr="001417BE">
        <w:rPr>
          <w:rFonts w:ascii="Times New Roman" w:hAnsi="Times New Roman" w:cs="Times New Roman"/>
          <w:sz w:val="24"/>
          <w:szCs w:val="24"/>
          <w:lang w:val="en-US"/>
        </w:rPr>
        <w:t xml:space="preserve">is thought to </w:t>
      </w:r>
      <w:r w:rsidR="00661E33" w:rsidRPr="001417BE">
        <w:rPr>
          <w:rFonts w:ascii="Times New Roman" w:hAnsi="Times New Roman" w:cs="Times New Roman"/>
          <w:sz w:val="24"/>
          <w:szCs w:val="24"/>
          <w:lang w:val="en-US"/>
        </w:rPr>
        <w:t>modif</w:t>
      </w:r>
      <w:r w:rsidR="00761F20" w:rsidRPr="001417BE">
        <w:rPr>
          <w:rFonts w:ascii="Times New Roman" w:hAnsi="Times New Roman" w:cs="Times New Roman"/>
          <w:sz w:val="24"/>
          <w:szCs w:val="24"/>
          <w:lang w:val="en-US"/>
        </w:rPr>
        <w:t>y</w:t>
      </w:r>
      <w:r w:rsidR="00517361" w:rsidRPr="001417BE">
        <w:rPr>
          <w:rFonts w:ascii="Times New Roman" w:hAnsi="Times New Roman" w:cs="Times New Roman"/>
          <w:sz w:val="24"/>
          <w:szCs w:val="24"/>
          <w:lang w:val="en-US"/>
        </w:rPr>
        <w:t xml:space="preserve"> body </w:t>
      </w:r>
      <w:r w:rsidR="00761F20" w:rsidRPr="001417BE">
        <w:rPr>
          <w:rFonts w:ascii="Times New Roman" w:hAnsi="Times New Roman" w:cs="Times New Roman"/>
          <w:sz w:val="24"/>
          <w:szCs w:val="24"/>
          <w:lang w:val="en-US"/>
        </w:rPr>
        <w:t xml:space="preserve">insulation and/or </w:t>
      </w:r>
      <w:r w:rsidR="00517361" w:rsidRPr="001417BE">
        <w:rPr>
          <w:rFonts w:ascii="Times New Roman" w:hAnsi="Times New Roman" w:cs="Times New Roman"/>
          <w:sz w:val="24"/>
          <w:szCs w:val="24"/>
          <w:lang w:val="en-US"/>
        </w:rPr>
        <w:t xml:space="preserve">the </w:t>
      </w:r>
      <w:r w:rsidR="006B7708" w:rsidRPr="001417BE">
        <w:rPr>
          <w:rFonts w:ascii="Times New Roman" w:hAnsi="Times New Roman" w:cs="Times New Roman"/>
          <w:sz w:val="24"/>
          <w:szCs w:val="24"/>
          <w:lang w:val="en-US"/>
        </w:rPr>
        <w:t xml:space="preserve">rate of </w:t>
      </w:r>
      <w:r w:rsidR="00761F20" w:rsidRPr="001417BE">
        <w:rPr>
          <w:rFonts w:ascii="Times New Roman" w:hAnsi="Times New Roman" w:cs="Times New Roman"/>
          <w:sz w:val="24"/>
          <w:szCs w:val="24"/>
          <w:lang w:val="en-US"/>
        </w:rPr>
        <w:t xml:space="preserve">heat production </w:t>
      </w:r>
      <w:r w:rsidR="007F62F0" w:rsidRPr="001417BE">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{"citationItems":[{"id":"ITEM-1","itemData":{"DOI":"10.1210/jc.2019-00728","ISSN":"1945-7197","PMID":"31150063","abstract":"OBJECTIVE Cold exposure increases energy expenditure (EE) and could have a role in combating obesity. To understand this potential, we determined the capacity for cold-induced thermogenesis (CIT), the EE increase above the basal metabolic rate at the individualized coldest tolerable temperature before overt shivering. DESIGN During a 13-day inpatient protocol, we quantitated the EE of 12 lean men and 9 men with obesity at various randomly ordered ambient temperatures in a room calorimeter. Subjects underwent brown fat imaging after exposure to their coldest tolerable temperature. RESULTS CIT capacity was 300 ± 218 kcal/d (mean ± SD) or 17 ± 11% in lean men and 125 ± 146 kcal/d or 6 ± 7% in men with obesity (P = 0.01). The temperature below which EE increased, lower critical temperature (Tlc), was warmer in lean men than men with obesity (22.9 ± 1.2 vs 21.1 ± 1.7°C, P = 0.03), but both had similar skin temperature (Tskin) changes and coldest tolerable temperatures. Whereas lean subjects had higher brown fat activity, skeletal muscle activity increased synchronously with CIT beginning at the Tlc in both groups, indicating that muscle is recruited for CIT in parallel with brown fat, not sequentially after nonshivering thermogenesis is maximal. CONCLUSIONS Despite greater insulation from fat, men with obesity had a narrower range of tolerable cool temperatures available for increasing EE and less capacity for CIT than lean men, likely as a result of greater basal heat production and similar perception to Tskin cooling. Further study of the reduced CIT capacity in men with obesity may inform treatment opportunities for obesity.","author":[{"dropping-particle":"","family":"Brychta","given":"Robert J","non-dropping-particle":"","parse-names":false,"suffix":""},{"dropping-particle":"","family":"Huang","given":"Shan","non-dropping-particle":"","parse-names":false,"suffix":""},{"dropping-particle":"","family":"Wang","given":"Juan","non-dropping-particle":"","parse-names":false,"suffix":""},{"dropping-particle":"","family":"Leitner","given":"Brooks P","non-dropping-particle":"","parse-names":false,"suffix":""},{"dropping-particle":"","family":"Hattenbach","given":"Jacob D","non-dropping-particle":"","parse-names":false,"suffix":""},{"dropping-particle":"","family":"Bell","given":"Sarah L","non-dropping-particle":"","parse-names":false,"suffix":""},{"dropping-particle":"","family":"Fletcher","given":"Laura A","non-dropping-particle":"","parse-names":false,"suffix":""},{"dropping-particle":"","family":"Perron Wood","given":"Rachel","non-dropping-particle":"","parse-names":false,"suffix":""},{"dropping-particle":"","family":"Idelson","given":"Christopher R","non-dropping-particle":"","parse-names":false,"suffix":""},{"dropping-particle":"","family":"Duckworth","given":"Courtney J","non-dropping-particle":"","parse-names":false,"suffix":""},{"dropping-particle":"","family":"McGehee","given":"Suzanne","non-dropping-particle":"","parse-names":false,"suffix":""},{"dropping-particle":"","family":"Courville","given":"Amber B","non-dropping-particle":"","parse-names":false,"suffix":""},{"dropping-particle":"","family":"Bernstein","given":"Shanna B","non-dropping-particle":"","parse-names":false,"suffix":""},{"dropping-particle":"","family":"Reitman","given":"Marc L","non-dropping-particle":"","parse-names":false,"suffix":""},{"dropping-particle":"","family":"Cypess","given":"Aaron M","non-dropping-particle":"","parse-names":false,"suffix":""},{"dropping-particle":"","family":"Chen","given":"Kong Y","non-dropping-particle":"","parse-names":false,"suffix":""}],"container-title":"The Journal of clinical endocrinology and metabolism","id":"ITEM-1","issue":"10","issued":{"date-parts":[["2019","10","1"]]},"note":"Paper comentado en BAT journal club (organizado por el grupo de Colorado), junto con la leter del grupo de Cannon y Needergard y su respuesta.\n\nComentarios de Blondin:\n- El heat loss es directamente dependiente del body surface area. Este no es el caso para el hat production.\n- Ajustar el heat production (CIT en este caso( por RMR, o BSA, y no hacearlo con el heat loss lleva a conclusiones erroneras, como la que sacan ellos de que los obesos estan mas insulados.\n- La conclusion de que el CIT es menor en obesos tmb es discutible ya que es muy posible que el estimulo al que se les sometio de frio fuera menos desde un punto de vista realativo que al que se sometio a los lean (metafora de entrenar a misma carga extenra que supone diferentes % del VO2max).","page":"4865-4878","title":"Quantification of the Capacity for Cold-Induced Thermogenesis in Young Men With and Without Obesity.","type":"article-journal","volume":"104"},"uris":["http://www.mendeley.com/documents/?uuid=f0cfa25e-8234-427c-abab-f3efc3960571"]},{"id":"ITEM-2","itemData":{"DOI":"10.1152/ajpendo.00333.2019","ISSN":"1522-1555","PMID":"31697209","author":[{"dropping-particle":"","family":"Fischer","given":"Alexander W","non-dropping-particle":"","parse-names":false,"suffix":""},{"dropping-particle":"","family":"Cannon","given":"Barbara","non-dropping-particle":"","parse-names":false,"suffix":""},{"dropping-particle":"","family":"Nedergaard","given":"Jan","non-dropping-particle":"","parse-names":false,"suffix":""}],"container-title":"American journal of physiology. Endocrinology and metabolism","id":"ITEM-2","issue":"5","issued":{"date-parts":[["2019"]]},"page":"E952-E953","title":"No insulating effect of obesity, neither in mice nor in humans.","type":"article-journal","volume":"317"},"uris":["http://www.mendeley.com/documents/?uuid=a513a8fc-31a2-4b92-9d36-bbcf0118091a"]}],"mendeley":{"formattedCitation":"(21,22)","plainTextFormattedCitation":"(21,22)","previouslyFormattedCitation":"(21,22)"},"properties":{"noteIndex":0},"schema":"https://github.com/citation-style-language/schema/raw/master/csl-citation.json"}</w:instrText>
      </w:r>
      <w:r w:rsidR="007F62F0" w:rsidRPr="001417BE">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(21,22)</w:t>
      </w:r>
      <w:r w:rsidR="007F62F0" w:rsidRPr="001417BE">
        <w:rPr>
          <w:rFonts w:ascii="Times New Roman" w:hAnsi="Times New Roman" w:cs="Times New Roman"/>
          <w:sz w:val="24"/>
          <w:szCs w:val="24"/>
          <w:lang w:val="en-US"/>
        </w:rPr>
        <w:fldChar w:fldCharType="end"/>
      </w:r>
      <w:r w:rsidR="003A20C7" w:rsidRPr="001417BE">
        <w:rPr>
          <w:rFonts w:ascii="Times New Roman" w:hAnsi="Times New Roman" w:cs="Times New Roman"/>
          <w:sz w:val="24"/>
          <w:szCs w:val="24"/>
          <w:lang w:val="en-US"/>
        </w:rPr>
        <w:t>, not individualizing cold-</w:t>
      </w:r>
      <w:r w:rsidR="00661E33" w:rsidRPr="001417BE">
        <w:rPr>
          <w:rFonts w:ascii="Times New Roman" w:hAnsi="Times New Roman" w:cs="Times New Roman"/>
          <w:sz w:val="24"/>
          <w:szCs w:val="24"/>
          <w:lang w:val="en-US"/>
        </w:rPr>
        <w:t>exposure</w:t>
      </w:r>
      <w:r w:rsidR="00CE6A77" w:rsidRPr="001417BE">
        <w:rPr>
          <w:rFonts w:ascii="Times New Roman" w:hAnsi="Times New Roman" w:cs="Times New Roman"/>
          <w:sz w:val="24"/>
          <w:szCs w:val="24"/>
          <w:lang w:val="en-US"/>
        </w:rPr>
        <w:t xml:space="preserve"> protocols</w:t>
      </w:r>
      <w:r w:rsidR="00661E33" w:rsidRPr="001417BE">
        <w:rPr>
          <w:rFonts w:ascii="Times New Roman" w:hAnsi="Times New Roman" w:cs="Times New Roman"/>
          <w:sz w:val="24"/>
          <w:szCs w:val="24"/>
          <w:lang w:val="en-US"/>
        </w:rPr>
        <w:t xml:space="preserve"> </w:t>
      </w:r>
      <w:r w:rsidR="00F86712" w:rsidRPr="001417BE">
        <w:rPr>
          <w:rFonts w:ascii="Times New Roman" w:hAnsi="Times New Roman" w:cs="Times New Roman"/>
          <w:sz w:val="24"/>
          <w:szCs w:val="24"/>
          <w:lang w:val="en-US"/>
        </w:rPr>
        <w:t>c</w:t>
      </w:r>
      <w:r w:rsidR="003A20C7" w:rsidRPr="001417BE">
        <w:rPr>
          <w:rFonts w:ascii="Times New Roman" w:hAnsi="Times New Roman" w:cs="Times New Roman"/>
          <w:sz w:val="24"/>
          <w:szCs w:val="24"/>
          <w:lang w:val="en-US"/>
        </w:rPr>
        <w:t>ould</w:t>
      </w:r>
      <w:r w:rsidR="00F86712" w:rsidRPr="001417BE">
        <w:rPr>
          <w:rFonts w:ascii="Times New Roman" w:hAnsi="Times New Roman" w:cs="Times New Roman"/>
          <w:sz w:val="24"/>
          <w:szCs w:val="24"/>
          <w:lang w:val="en-US"/>
        </w:rPr>
        <w:t xml:space="preserve"> </w:t>
      </w:r>
      <w:r w:rsidR="00661E33" w:rsidRPr="001417BE">
        <w:rPr>
          <w:rFonts w:ascii="Times New Roman" w:hAnsi="Times New Roman" w:cs="Times New Roman"/>
          <w:sz w:val="24"/>
          <w:szCs w:val="24"/>
          <w:lang w:val="en-US"/>
        </w:rPr>
        <w:t>systematically bias the relation</w:t>
      </w:r>
      <w:r w:rsidR="003A20C7" w:rsidRPr="001417BE">
        <w:rPr>
          <w:rFonts w:ascii="Times New Roman" w:hAnsi="Times New Roman" w:cs="Times New Roman"/>
          <w:sz w:val="24"/>
          <w:szCs w:val="24"/>
          <w:lang w:val="en-US"/>
        </w:rPr>
        <w:t>ship recorded</w:t>
      </w:r>
      <w:r w:rsidR="00661E33" w:rsidRPr="001417BE">
        <w:rPr>
          <w:rFonts w:ascii="Times New Roman" w:hAnsi="Times New Roman" w:cs="Times New Roman"/>
          <w:sz w:val="24"/>
          <w:szCs w:val="24"/>
          <w:lang w:val="en-US"/>
        </w:rPr>
        <w:t xml:space="preserve"> between BAT and whole-body adiposity</w:t>
      </w:r>
      <w:r w:rsidR="00497D1D" w:rsidRPr="001417BE">
        <w:rPr>
          <w:rFonts w:ascii="Times New Roman" w:hAnsi="Times New Roman" w:cs="Times New Roman"/>
          <w:sz w:val="24"/>
          <w:szCs w:val="24"/>
          <w:lang w:val="en-US"/>
        </w:rPr>
        <w:t xml:space="preserve"> </w:t>
      </w:r>
      <w:r w:rsidR="00795402">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{"citationItems":[{"id":"ITEM-1","itemData":{"DOI":"10.1152/ajpregu.00021.2014","ISSN":"1522-1490","PMID":"24871967","abstract":"The relevance of functional brown adipose tissue (BAT) depots in human adults was undisputedly proven approximately seven years ago. Here we give an overview of all dedicated studies that were published on cold-induced BAT activity in adult humans that appeared since then. Different cooling protocols and imaging techniques to determine BAT activity are reviewed. BAT activation can be achieved by means of air- or water-cooling protocols. The most promising approach is individualized cooling, during which subjects are studied at the lowest temperature for nonshivering condition, probably revealing maximal nonshivering thermogenesis. The highest BAT prevalence (i.e., close to 100%) is observed using the individualized cooling protocol. Currently, the most widely used technique to study the metabolic activity of BAT is deoxy-2-[18F]fluoro-d-glucose ([18F]FDG)-positron emission tomography/computed tomography (PET/CT) imaging. Dynamic imaging provides quantitative information about glucose uptake rates, whereas static imaging reflects overall BAT glucose uptake, localization, and distribution. In general, standardized uptake values (SUV) are used to quantify BAT activity. An accurate determination of total BAT volume is hampered by the limited spatial resolution of the PET image, leading to spillover. Different research groups use different SUV threshold values, which make it difficult to directly compare BAT activity levels between studies. Another issue is the comparison of [18F]FDG uptake in BAT with respect to other tissues or upon with baseline values. This comparison can be performed by using the “fixed volume” methodology. Finally, the potential use of other relatively noninvasive methods to quantify BAT, like magnetic resonance imaging or thermography, is discussed.","author":[{"dropping-particle":"","family":"Lans","given":"Anouk a J J","non-dropping-particle":"van der","parse-names":false,"suffix":""},{"dropping-particle":"","family":"Wierts","given":"Roel","non-dropping-particle":"","parse-names":false,"suffix":""},{"dropping-particle":"","family":"Vosselman","given":"Maarten J","non-dropping-particle":"","parse-names":false,"suffix":""},{"dropping-particle":"","family":"Schrauwen","given":"Patrick","non-dropping-particle":"","parse-names":false,"suffix":""},{"dropping-particle":"","family":"Brans","given":"Boudewijn","non-dropping-particle":"","parse-names":false,"suffix":""},{"dropping-particle":"","family":"Marken Lichtenbelt","given":"Wouter David","non-dropping-particle":"van","parse-names":false,"suffix":""}],"container-title":"American journal of physiology. Regulatory, integrative and comparative physiology","id":"ITEM-1","issue":"2","issued":{"date-parts":[["2014","7","15"]]},"page":"R103-13","title":"Cold-activated brown adipose tissue in human adults: methodological issues.","type":"article-journal","volume":"307"},"uris":["http://www.mendeley.com/documents/?uuid=e1483f6b-4abf-4ac0-96b4-d230ecaa3194"]}],"mendeley":{"formattedCitation":"(20)","plainTextFormattedCitation":"(20)","previouslyFormattedCitation":"(20)"},"properties":{"noteIndex":0},"schema":"https://github.com/citation-style-language/schema/raw/master/csl-citation.json"}</w:instrText>
      </w:r>
      <w:r w:rsidR="00795402">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(20)</w:t>
      </w:r>
      <w:r w:rsidR="00795402">
        <w:rPr>
          <w:rFonts w:ascii="Times New Roman" w:hAnsi="Times New Roman" w:cs="Times New Roman"/>
          <w:sz w:val="24"/>
          <w:szCs w:val="24"/>
          <w:lang w:val="en-US"/>
        </w:rPr>
        <w:fldChar w:fldCharType="end"/>
      </w:r>
      <w:r w:rsidR="00661E33" w:rsidRPr="001417BE">
        <w:rPr>
          <w:rFonts w:ascii="Times New Roman" w:hAnsi="Times New Roman" w:cs="Times New Roman"/>
          <w:sz w:val="24"/>
          <w:szCs w:val="24"/>
          <w:lang w:val="en-US"/>
        </w:rPr>
        <w:t>.</w:t>
      </w:r>
      <w:r w:rsidR="00C43924">
        <w:rPr>
          <w:rFonts w:ascii="Times New Roman" w:hAnsi="Times New Roman" w:cs="Times New Roman"/>
          <w:sz w:val="24"/>
          <w:szCs w:val="24"/>
          <w:lang w:val="en-US"/>
        </w:rPr>
        <w:t xml:space="preserve"> </w:t>
      </w:r>
      <w:r w:rsidR="00661E33" w:rsidRPr="001417BE">
        <w:rPr>
          <w:rFonts w:ascii="Times New Roman" w:hAnsi="Times New Roman" w:cs="Times New Roman"/>
          <w:sz w:val="24"/>
          <w:szCs w:val="24"/>
          <w:lang w:val="en-US"/>
        </w:rPr>
        <w:t xml:space="preserve">Secondly, </w:t>
      </w:r>
      <w:r w:rsidR="00F86712" w:rsidRPr="001417BE">
        <w:rPr>
          <w:rFonts w:ascii="Times New Roman" w:hAnsi="Times New Roman" w:cs="Times New Roman"/>
          <w:sz w:val="24"/>
          <w:szCs w:val="24"/>
          <w:lang w:val="en-US"/>
        </w:rPr>
        <w:t xml:space="preserve">the </w:t>
      </w:r>
      <w:r w:rsidR="00260E46" w:rsidRPr="001417BE">
        <w:rPr>
          <w:rFonts w:ascii="Times New Roman" w:hAnsi="Times New Roman" w:cs="Times New Roman"/>
          <w:sz w:val="24"/>
          <w:szCs w:val="24"/>
          <w:lang w:val="en-US"/>
        </w:rPr>
        <w:t xml:space="preserve">standardized uptake value (SUV), the unit </w:t>
      </w:r>
      <w:r w:rsidR="006B7708" w:rsidRPr="001417BE">
        <w:rPr>
          <w:rFonts w:ascii="Times New Roman" w:hAnsi="Times New Roman" w:cs="Times New Roman"/>
          <w:sz w:val="24"/>
          <w:szCs w:val="24"/>
          <w:lang w:val="en-US"/>
        </w:rPr>
        <w:t xml:space="preserve">used </w:t>
      </w:r>
      <w:r w:rsidR="00260E46" w:rsidRPr="001417BE">
        <w:rPr>
          <w:rFonts w:ascii="Times New Roman" w:hAnsi="Times New Roman" w:cs="Times New Roman"/>
          <w:sz w:val="24"/>
          <w:szCs w:val="24"/>
          <w:lang w:val="en-US"/>
        </w:rPr>
        <w:t xml:space="preserve">to express </w:t>
      </w:r>
      <w:r w:rsidR="00260E46" w:rsidRPr="001417BE">
        <w:rPr>
          <w:rFonts w:ascii="Times New Roman" w:hAnsi="Times New Roman" w:cs="Times New Roman"/>
          <w:sz w:val="24"/>
          <w:szCs w:val="24"/>
          <w:vertAlign w:val="superscript"/>
          <w:lang w:val="en-US"/>
        </w:rPr>
        <w:t>18</w:t>
      </w:r>
      <w:r w:rsidR="00260E46" w:rsidRPr="001417BE">
        <w:rPr>
          <w:rFonts w:ascii="Times New Roman" w:hAnsi="Times New Roman" w:cs="Times New Roman"/>
          <w:sz w:val="24"/>
          <w:szCs w:val="24"/>
          <w:lang w:val="en-US"/>
        </w:rPr>
        <w:t>F-FDG uptake</w:t>
      </w:r>
      <w:r w:rsidR="00191501" w:rsidRPr="001417BE">
        <w:rPr>
          <w:rFonts w:ascii="Times New Roman" w:hAnsi="Times New Roman" w:cs="Times New Roman"/>
          <w:sz w:val="24"/>
          <w:szCs w:val="24"/>
          <w:lang w:val="en-US"/>
        </w:rPr>
        <w:t>,</w:t>
      </w:r>
      <w:r w:rsidR="006B7708" w:rsidRPr="001417BE">
        <w:rPr>
          <w:rFonts w:ascii="Times New Roman" w:hAnsi="Times New Roman" w:cs="Times New Roman"/>
          <w:sz w:val="24"/>
          <w:szCs w:val="24"/>
          <w:lang w:val="en-US"/>
        </w:rPr>
        <w:t xml:space="preserve"> has</w:t>
      </w:r>
      <w:r w:rsidR="00260E46" w:rsidRPr="001417BE">
        <w:rPr>
          <w:rFonts w:ascii="Times New Roman" w:hAnsi="Times New Roman" w:cs="Times New Roman"/>
          <w:sz w:val="24"/>
          <w:szCs w:val="24"/>
          <w:lang w:val="en-US"/>
        </w:rPr>
        <w:t xml:space="preserve"> traditionally </w:t>
      </w:r>
      <w:r w:rsidR="006B7708" w:rsidRPr="001417BE">
        <w:rPr>
          <w:rFonts w:ascii="Times New Roman" w:hAnsi="Times New Roman" w:cs="Times New Roman"/>
          <w:sz w:val="24"/>
          <w:szCs w:val="24"/>
          <w:lang w:val="en-US"/>
        </w:rPr>
        <w:t xml:space="preserve">been </w:t>
      </w:r>
      <w:r w:rsidR="00260E46" w:rsidRPr="001417BE">
        <w:rPr>
          <w:rFonts w:ascii="Times New Roman" w:hAnsi="Times New Roman" w:cs="Times New Roman"/>
          <w:sz w:val="24"/>
          <w:szCs w:val="24"/>
          <w:lang w:val="en-US"/>
        </w:rPr>
        <w:t>expressed relative to body mass (SUV</w:t>
      </w:r>
      <w:r w:rsidR="00260E46" w:rsidRPr="001417BE">
        <w:rPr>
          <w:rFonts w:ascii="Times New Roman" w:hAnsi="Times New Roman" w:cs="Times New Roman"/>
          <w:sz w:val="24"/>
          <w:szCs w:val="24"/>
          <w:vertAlign w:val="subscript"/>
          <w:lang w:val="en-US"/>
        </w:rPr>
        <w:t>BM</w:t>
      </w:r>
      <w:r w:rsidR="00260E46" w:rsidRPr="001417BE">
        <w:rPr>
          <w:rFonts w:ascii="Times New Roman" w:hAnsi="Times New Roman" w:cs="Times New Roman"/>
          <w:sz w:val="24"/>
          <w:szCs w:val="24"/>
          <w:lang w:val="en-US"/>
        </w:rPr>
        <w:t xml:space="preserve">). </w:t>
      </w:r>
      <w:r w:rsidR="002048BF">
        <w:rPr>
          <w:rFonts w:ascii="Times New Roman" w:hAnsi="Times New Roman" w:cs="Times New Roman"/>
          <w:sz w:val="24"/>
          <w:szCs w:val="24"/>
          <w:lang w:val="en-US"/>
        </w:rPr>
        <w:t>H</w:t>
      </w:r>
      <w:r w:rsidR="002048BF" w:rsidRPr="001417BE">
        <w:rPr>
          <w:rFonts w:ascii="Times New Roman" w:hAnsi="Times New Roman" w:cs="Times New Roman"/>
          <w:sz w:val="24"/>
          <w:szCs w:val="24"/>
          <w:lang w:val="en-US"/>
        </w:rPr>
        <w:t xml:space="preserve">owever, </w:t>
      </w:r>
      <w:r w:rsidR="002048BF">
        <w:rPr>
          <w:rFonts w:ascii="Times New Roman" w:hAnsi="Times New Roman" w:cs="Times New Roman"/>
          <w:sz w:val="24"/>
          <w:szCs w:val="24"/>
          <w:lang w:val="en-US"/>
        </w:rPr>
        <w:t>i</w:t>
      </w:r>
      <w:r w:rsidR="00260E46" w:rsidRPr="001417BE">
        <w:rPr>
          <w:rFonts w:ascii="Times New Roman" w:hAnsi="Times New Roman" w:cs="Times New Roman"/>
          <w:sz w:val="24"/>
          <w:szCs w:val="24"/>
          <w:lang w:val="en-US"/>
        </w:rPr>
        <w:t xml:space="preserve">t </w:t>
      </w:r>
      <w:r w:rsidR="006B7708" w:rsidRPr="001417BE">
        <w:rPr>
          <w:rFonts w:ascii="Times New Roman" w:hAnsi="Times New Roman" w:cs="Times New Roman"/>
          <w:sz w:val="24"/>
          <w:szCs w:val="24"/>
          <w:lang w:val="en-US"/>
        </w:rPr>
        <w:t>has now been</w:t>
      </w:r>
      <w:r w:rsidR="00730B66" w:rsidRPr="001417BE">
        <w:rPr>
          <w:rFonts w:ascii="Times New Roman" w:hAnsi="Times New Roman" w:cs="Times New Roman"/>
          <w:sz w:val="24"/>
          <w:szCs w:val="24"/>
          <w:lang w:val="en-US"/>
        </w:rPr>
        <w:t xml:space="preserve"> established</w:t>
      </w:r>
      <w:r w:rsidR="006B7708" w:rsidRPr="001417BE">
        <w:rPr>
          <w:rFonts w:ascii="Times New Roman" w:hAnsi="Times New Roman" w:cs="Times New Roman"/>
          <w:sz w:val="24"/>
          <w:szCs w:val="24"/>
          <w:lang w:val="en-US"/>
        </w:rPr>
        <w:t xml:space="preserve"> </w:t>
      </w:r>
      <w:r w:rsidR="00260E46" w:rsidRPr="001417BE">
        <w:rPr>
          <w:rFonts w:ascii="Times New Roman" w:hAnsi="Times New Roman" w:cs="Times New Roman"/>
          <w:sz w:val="24"/>
          <w:szCs w:val="24"/>
          <w:lang w:val="en-US"/>
        </w:rPr>
        <w:t xml:space="preserve">that </w:t>
      </w:r>
      <w:r w:rsidR="006B7708" w:rsidRPr="001417BE">
        <w:rPr>
          <w:rFonts w:ascii="Times New Roman" w:hAnsi="Times New Roman" w:cs="Times New Roman"/>
          <w:sz w:val="24"/>
          <w:szCs w:val="24"/>
          <w:lang w:val="en-US"/>
        </w:rPr>
        <w:t xml:space="preserve">the </w:t>
      </w:r>
      <w:r w:rsidR="00260E46" w:rsidRPr="001417BE">
        <w:rPr>
          <w:rFonts w:ascii="Times New Roman" w:hAnsi="Times New Roman" w:cs="Times New Roman"/>
          <w:sz w:val="24"/>
          <w:szCs w:val="24"/>
          <w:lang w:val="en-US"/>
        </w:rPr>
        <w:t xml:space="preserve">SUV should be expressed relative to lean body mass to </w:t>
      </w:r>
      <w:r w:rsidR="006B7708" w:rsidRPr="001417BE">
        <w:rPr>
          <w:rFonts w:ascii="Times New Roman" w:hAnsi="Times New Roman" w:cs="Times New Roman"/>
          <w:sz w:val="24"/>
          <w:szCs w:val="24"/>
          <w:lang w:val="en-US"/>
        </w:rPr>
        <w:t>help avoid</w:t>
      </w:r>
      <w:r w:rsidR="00517361" w:rsidRPr="001417BE">
        <w:rPr>
          <w:rFonts w:ascii="Times New Roman" w:hAnsi="Times New Roman" w:cs="Times New Roman"/>
          <w:sz w:val="24"/>
          <w:szCs w:val="24"/>
          <w:lang w:val="en-US"/>
        </w:rPr>
        <w:t xml:space="preserve"> body composition bias in</w:t>
      </w:r>
      <w:r w:rsidR="00260E46" w:rsidRPr="001417BE">
        <w:rPr>
          <w:rFonts w:ascii="Times New Roman" w:hAnsi="Times New Roman" w:cs="Times New Roman"/>
          <w:sz w:val="24"/>
          <w:szCs w:val="24"/>
          <w:lang w:val="en-US"/>
        </w:rPr>
        <w:t xml:space="preserve"> </w:t>
      </w:r>
      <w:r w:rsidR="0081794E" w:rsidRPr="001417BE">
        <w:rPr>
          <w:rFonts w:ascii="Times New Roman" w:hAnsi="Times New Roman" w:cs="Times New Roman"/>
          <w:sz w:val="24"/>
          <w:szCs w:val="24"/>
          <w:lang w:val="en-US"/>
        </w:rPr>
        <w:t>glucose uptake</w:t>
      </w:r>
      <w:r w:rsidR="00260E46" w:rsidRPr="001417BE">
        <w:rPr>
          <w:rFonts w:ascii="Times New Roman" w:hAnsi="Times New Roman" w:cs="Times New Roman"/>
          <w:sz w:val="24"/>
          <w:szCs w:val="24"/>
          <w:lang w:val="en-US"/>
        </w:rPr>
        <w:t xml:space="preserve"> assessment</w:t>
      </w:r>
      <w:r w:rsidR="006B7708" w:rsidRPr="001417BE">
        <w:rPr>
          <w:rFonts w:ascii="Times New Roman" w:hAnsi="Times New Roman" w:cs="Times New Roman"/>
          <w:sz w:val="24"/>
          <w:szCs w:val="24"/>
          <w:lang w:val="en-US"/>
        </w:rPr>
        <w:t>s</w:t>
      </w:r>
      <w:r w:rsidR="00497D1D" w:rsidRPr="001417BE">
        <w:rPr>
          <w:rFonts w:ascii="Times New Roman" w:hAnsi="Times New Roman" w:cs="Times New Roman"/>
          <w:sz w:val="24"/>
          <w:szCs w:val="24"/>
          <w:lang w:val="en-US"/>
        </w:rPr>
        <w:t xml:space="preserve"> </w:t>
      </w:r>
      <w:r w:rsidR="007F62F0" w:rsidRPr="001417BE">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{"citationItems":[{"id":"ITEM-1","itemData":{"DOI":"10.1073/pnas.1705287114","ISSN":"1091-6490","PMID":"28739898","abstract":"Human brown adipose tissue (BAT) can be activated to increase glucose uptake and energy expenditure, making it a potential target for treating obesity and metabolic disease. Data on the functional and anatomic characteristics of BAT are limited, however. In 20 healthy young men [12 lean, mean body mass index (BMI) 23.2 ± 1.9 kg/m(2); 8 obese, BMI 34.8 ± 3.3 kg/m(2)] after 5 h of tolerable cold exposure, we measured BAT volume and activity by (18)F-labeled fluorodeoxyglucose positron emission tomography/computerized tomography (PET/CT). Obese men had less activated BAT than lean men (mean, 130 vs. 334 mL) but more fat in BAT-containing depots (mean, 1,646 vs. 855 mL) with a wide range (0.1-71%) in the ratio of activated BAT to inactive fat between individuals. Six anatomic regions had activated BAT-cervical, supraclavicular, axillary, mediastinal, paraspinal, and abdominal-with 67 ± 20% of all activated BAT concentrated in a continuous fascial layer comprising the first three depots in the upper torso. These nonsubcutaneous fat depots amounted to 1.5% of total body mass (4.3% of total fat mass), and up to 90% of each depot could be activated BAT. The amount and activity of BAT was significantly influenced by region of interest selection methods, PET threshold criteria, and PET resolutions. The present study suggests that active BAT can be found in specific adipose depots in adult humans, but less than one-half of the fat in these depots is stimulated by acute cold exposure, demonstrating a previously underappreciated thermogenic potential.","author":[{"dropping-particle":"","family":"Leitner","given":"Brooks P","non-dropping-particle":"","parse-names":false,"suffix":""},{"dropping-particle":"","family":"Huang","given":"Shan","non-dropping-particle":"","parse-names":false,"suffix":""},{"dropping-particle":"","family":"Brychta","given":"Robert J","non-dropping-particle":"","parse-names":false,"suffix":""},{"dropping-particle":"","family":"Duckworth","given":"Courtney J","non-dropping-particle":"","parse-names":false,"suffix":""},{"dropping-particle":"","family":"Baskin","given":"Alison S","non-dropping-particle":"","parse-names":false,"suffix":""},{"dropping-particle":"","family":"McGehee","given":"Suzanne","non-dropping-particle":"","parse-names":false,"suffix":""},{"dropping-particle":"","family":"Tal","given":"Ilan","non-dropping-particle":"","parse-names":false,"suffix":""},{"dropping-particle":"","family":"Dieckmann","given":"William","non-dropping-particle":"","parse-names":false,"suffix":""},{"dropping-particle":"","family":"Gupta","given":"Garima","non-dropping-particle":"","parse-names":false,"suffix":""},{"dropping-particle":"","family":"Kolodny","given":"Gerald M","non-dropping-particle":"","parse-names":false,"suffix":""},{"dropping-particle":"","family":"Pacak","given":"Karel","non-dropping-particle":"","parse-names":false,"suffix":""},{"dropping-particle":"","family":"Herscovitch","given":"Peter","non-dropping-particle":"","parse-names":false,"suffix":""},{"dropping-particle":"","family":"Cypess","given":"Aaron M","non-dropping-particle":"","parse-names":false,"suffix":""},{"dropping-particle":"","family":"Chen","given":"Kong Y","non-dropping-particle":"","parse-names":false,"suffix":""}],"container-title":"Proceedings of the National Academy of Sciences of the United States of America","id":"ITEM-1","issued":{"date-parts":[["2017","7","24"]]},"page":"6-11","title":"Mapping of human brown adipose tissue in lean and obese young men.","type":"article-journal"},"uris":["http://www.mendeley.com/documents/?uuid=b28cf295-c981-4212-a2ea-e173f22e5e0a"]}],"mendeley":{"formattedCitation":"(23)","plainTextFormattedCitation":"(23)","previouslyFormattedCitation":"(23)"},"properties":{"noteIndex":0},"schema":"https://github.com/citation-style-language/schema/raw/master/csl-citation.json"}</w:instrText>
      </w:r>
      <w:r w:rsidR="007F62F0" w:rsidRPr="001417BE">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(23)</w:t>
      </w:r>
      <w:r w:rsidR="007F62F0" w:rsidRPr="001417BE">
        <w:rPr>
          <w:rFonts w:ascii="Times New Roman" w:hAnsi="Times New Roman" w:cs="Times New Roman"/>
          <w:sz w:val="24"/>
          <w:szCs w:val="24"/>
          <w:lang w:val="en-US"/>
        </w:rPr>
        <w:fldChar w:fldCharType="end"/>
      </w:r>
      <w:r w:rsidR="00260E46" w:rsidRPr="001417BE">
        <w:rPr>
          <w:rFonts w:ascii="Times New Roman" w:hAnsi="Times New Roman" w:cs="Times New Roman"/>
          <w:sz w:val="24"/>
          <w:szCs w:val="24"/>
          <w:lang w:val="en-US"/>
        </w:rPr>
        <w:t>. Moreover, the SUV threshold</w:t>
      </w:r>
      <w:r w:rsidR="005D081E" w:rsidRPr="001417BE">
        <w:rPr>
          <w:rFonts w:ascii="Times New Roman" w:hAnsi="Times New Roman" w:cs="Times New Roman"/>
          <w:sz w:val="24"/>
          <w:szCs w:val="24"/>
          <w:lang w:val="en-US"/>
        </w:rPr>
        <w:t>,</w:t>
      </w:r>
      <w:r w:rsidR="00260E46" w:rsidRPr="001417BE">
        <w:rPr>
          <w:rFonts w:ascii="Times New Roman" w:hAnsi="Times New Roman" w:cs="Times New Roman"/>
          <w:sz w:val="24"/>
          <w:szCs w:val="24"/>
          <w:lang w:val="en-US"/>
        </w:rPr>
        <w:t xml:space="preserve"> </w:t>
      </w:r>
      <w:r w:rsidR="006B7708" w:rsidRPr="001417BE">
        <w:rPr>
          <w:rFonts w:ascii="Times New Roman" w:hAnsi="Times New Roman" w:cs="Times New Roman"/>
          <w:sz w:val="24"/>
          <w:szCs w:val="24"/>
          <w:lang w:val="en-US"/>
        </w:rPr>
        <w:t>when defined</w:t>
      </w:r>
      <w:r w:rsidR="00260E46" w:rsidRPr="001417BE">
        <w:rPr>
          <w:rFonts w:ascii="Times New Roman" w:hAnsi="Times New Roman" w:cs="Times New Roman"/>
          <w:sz w:val="24"/>
          <w:szCs w:val="24"/>
          <w:lang w:val="en-US"/>
        </w:rPr>
        <w:t xml:space="preserve"> as the minimal </w:t>
      </w:r>
      <w:r w:rsidR="00761F20" w:rsidRPr="001417BE">
        <w:rPr>
          <w:rFonts w:ascii="Times New Roman" w:hAnsi="Times New Roman" w:cs="Times New Roman"/>
          <w:sz w:val="24"/>
          <w:szCs w:val="24"/>
          <w:lang w:val="en-US"/>
        </w:rPr>
        <w:t>radiotracer uptake</w:t>
      </w:r>
      <w:r w:rsidR="00260E46" w:rsidRPr="001417BE">
        <w:rPr>
          <w:rFonts w:ascii="Times New Roman" w:hAnsi="Times New Roman" w:cs="Times New Roman"/>
          <w:sz w:val="24"/>
          <w:szCs w:val="24"/>
          <w:lang w:val="en-US"/>
        </w:rPr>
        <w:t xml:space="preserve"> </w:t>
      </w:r>
      <w:r w:rsidR="002D7356">
        <w:rPr>
          <w:rFonts w:ascii="Times New Roman" w:hAnsi="Times New Roman" w:cs="Times New Roman"/>
          <w:sz w:val="24"/>
          <w:szCs w:val="24"/>
          <w:lang w:val="en-US"/>
        </w:rPr>
        <w:t xml:space="preserve">needed </w:t>
      </w:r>
      <w:r w:rsidR="00260E46" w:rsidRPr="001417BE">
        <w:rPr>
          <w:rFonts w:ascii="Times New Roman" w:hAnsi="Times New Roman" w:cs="Times New Roman"/>
          <w:sz w:val="24"/>
          <w:szCs w:val="24"/>
          <w:lang w:val="en-US"/>
        </w:rPr>
        <w:t>to quantify a voxel as BAT</w:t>
      </w:r>
      <w:r w:rsidR="005D081E" w:rsidRPr="001417BE">
        <w:rPr>
          <w:rFonts w:ascii="Times New Roman" w:hAnsi="Times New Roman" w:cs="Times New Roman"/>
          <w:sz w:val="24"/>
          <w:szCs w:val="24"/>
          <w:lang w:val="en-US"/>
        </w:rPr>
        <w:t>,</w:t>
      </w:r>
      <w:r w:rsidR="00260E46" w:rsidRPr="001417BE">
        <w:rPr>
          <w:rFonts w:ascii="Times New Roman" w:hAnsi="Times New Roman" w:cs="Times New Roman"/>
          <w:sz w:val="24"/>
          <w:szCs w:val="24"/>
          <w:lang w:val="en-US"/>
        </w:rPr>
        <w:t xml:space="preserve"> should also be </w:t>
      </w:r>
      <w:r w:rsidR="00602581" w:rsidRPr="001417BE">
        <w:rPr>
          <w:rFonts w:ascii="Times New Roman" w:hAnsi="Times New Roman" w:cs="Times New Roman"/>
          <w:sz w:val="24"/>
          <w:szCs w:val="24"/>
          <w:lang w:val="en-US"/>
        </w:rPr>
        <w:t>expressed relative to</w:t>
      </w:r>
      <w:r w:rsidR="00260E46" w:rsidRPr="001417BE">
        <w:rPr>
          <w:rFonts w:ascii="Times New Roman" w:hAnsi="Times New Roman" w:cs="Times New Roman"/>
          <w:sz w:val="24"/>
          <w:szCs w:val="24"/>
          <w:lang w:val="en-US"/>
        </w:rPr>
        <w:t xml:space="preserve"> lean body mass</w:t>
      </w:r>
      <w:r w:rsidR="00497D1D" w:rsidRPr="001417BE">
        <w:rPr>
          <w:rFonts w:ascii="Times New Roman" w:hAnsi="Times New Roman" w:cs="Times New Roman"/>
          <w:sz w:val="24"/>
          <w:szCs w:val="24"/>
          <w:lang w:val="en-US"/>
        </w:rPr>
        <w:t xml:space="preserve"> </w:t>
      </w:r>
      <w:r w:rsidR="007F62F0" w:rsidRPr="001417BE">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{"citationItems":[{"id":"ITEM-1","itemData":{"DOI":"10.1016/j.cmet.2016.07.014","ISSN":"15504131","PMID":"27508870","abstract":"Human brown adipose tissue (BAT) presence, metabolic activity, and estimated mass are typically measured by imaging [18F]fluorodeoxyglucose (FDG) uptake in response to cold exposure in regions of the body expected to contain BAT, using positron emission tomography combined with X-ray computed tomography (FDG-PET/CT). Efforts to describe the epidemiology and biology of human BAT are hampered by diverse experimental practices, making it difficult to directly compare results among laboratories. An expert panel was assembled by the National Institute of Diabetes and Digestive and Kidney Diseases on November 4, 2014 to discuss minimal requirements for conducting FDG-PET/CT experiments of human BAT, data analysis, and publication of results. This resulted in Brown Adipose Reporting Criteria in Imaging STudies (BARCIST 1.0). Since there are no fully validated best practices at this time, panel recommendations are meant to enhance comparability across experiments, but not to constrain experimental design or the questions that can be asked.","author":[{"dropping-particle":"","family":"Chen","given":"Kong Y.","non-dropping-particle":"","parse-names":false,"suffix":""},{"dropping-particle":"","family":"Cypess","given":"Aaron M.","non-dropping-particle":"","parse-names":false,"suffix":""},{"dropping-particle":"","family":"Laughlin","given":"Maren R.","non-dropping-particle":"","parse-names":false,"suffix":""},{"dropping-particle":"","family":"Haft","given":"Carol R.","non-dropping-particle":"","parse-names":false,"suffix":""},{"dropping-particle":"","family":"Hu","given":"Houchun Harry","non-dropping-particle":"","parse-names":false,"suffix":""},{"dropping-particle":"","family":"Bredella","given":"Miriam A.","non-dropping-particle":"","parse-names":false,"suffix":""},{"dropping-particle":"","family":"Enerbäck","given":"Sven","non-dropping-particle":"","parse-names":false,"suffix":""},{"dropping-particle":"","family":"Kinahan","given":"Paul E.","non-dropping-particle":"","parse-names":false,"suffix":""},{"dropping-particle":"","family":"Lichtenbelt","given":"Wouter van Marken","non-dropping-particle":"","parse-names":false,"suffix":""},{"dropping-particle":"","family":"Lin","given":"Frank I.","non-dropping-particle":"","parse-names":false,"suffix":""},{"dropping-particle":"","family":"Sunderland","given":"John J.","non-dropping-particle":"","parse-names":false,"suffix":""},{"dropping-particle":"","family":"Virtanen","given":"Kirsi A.","non-dropping-particle":"","parse-names":false,"suffix":""},{"dropping-particle":"","family":"Wahl","given":"Richard L.","non-dropping-particle":"","parse-names":false,"suffix":""}],"container-title":"Cell Metabolism","id":"ITEM-1","issue":"2","issued":{"date-parts":[["2016","8","9"]]},"page":"210-222","title":"Brown Adipose Reporting Criteria in Imaging STudies (BARCIST 1.0): Recommendations for Standardized FDG-PET/CT Experiments in Humans","type":"article-journal","volume":"24"},"uris":["http://www.mendeley.com/documents/?uuid=fe518d60-4768-305a-aee3-493837d621e6"]}],"mendeley":{"formattedCitation":"(19)","plainTextFormattedCitation":"(19)","previouslyFormattedCitation":"(19)"},"properties":{"noteIndex":0},"schema":"https://github.com/citation-style-language/schema/raw/master/csl-citation.json"}</w:instrText>
      </w:r>
      <w:r w:rsidR="007F62F0" w:rsidRPr="001417BE">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(19)</w:t>
      </w:r>
      <w:r w:rsidR="007F62F0" w:rsidRPr="001417BE">
        <w:rPr>
          <w:rFonts w:ascii="Times New Roman" w:hAnsi="Times New Roman" w:cs="Times New Roman"/>
          <w:sz w:val="24"/>
          <w:szCs w:val="24"/>
          <w:lang w:val="en-US"/>
        </w:rPr>
        <w:fldChar w:fldCharType="end"/>
      </w:r>
      <w:r w:rsidR="006B7708" w:rsidRPr="001417BE">
        <w:rPr>
          <w:rFonts w:ascii="Times New Roman" w:hAnsi="Times New Roman" w:cs="Times New Roman"/>
          <w:sz w:val="24"/>
          <w:szCs w:val="24"/>
          <w:lang w:val="en-US"/>
        </w:rPr>
        <w:t xml:space="preserve"> - something not </w:t>
      </w:r>
      <w:r w:rsidR="00260E46" w:rsidRPr="001417BE">
        <w:rPr>
          <w:rFonts w:ascii="Times New Roman" w:hAnsi="Times New Roman" w:cs="Times New Roman"/>
          <w:sz w:val="24"/>
          <w:szCs w:val="24"/>
          <w:lang w:val="en-US"/>
        </w:rPr>
        <w:t xml:space="preserve">done in </w:t>
      </w:r>
      <w:r w:rsidR="005D081E" w:rsidRPr="001417BE">
        <w:rPr>
          <w:rFonts w:ascii="Times New Roman" w:hAnsi="Times New Roman" w:cs="Times New Roman"/>
          <w:sz w:val="24"/>
          <w:szCs w:val="24"/>
          <w:lang w:val="en-US"/>
        </w:rPr>
        <w:t>most</w:t>
      </w:r>
      <w:r w:rsidR="00260E46" w:rsidRPr="001417BE">
        <w:rPr>
          <w:rFonts w:ascii="Times New Roman" w:hAnsi="Times New Roman" w:cs="Times New Roman"/>
          <w:sz w:val="24"/>
          <w:szCs w:val="24"/>
          <w:lang w:val="en-US"/>
        </w:rPr>
        <w:t xml:space="preserve"> </w:t>
      </w:r>
      <w:r w:rsidR="00EE223E" w:rsidRPr="001417BE">
        <w:rPr>
          <w:rFonts w:ascii="Times New Roman" w:hAnsi="Times New Roman" w:cs="Times New Roman"/>
          <w:sz w:val="24"/>
          <w:szCs w:val="24"/>
          <w:lang w:val="en-US"/>
        </w:rPr>
        <w:t xml:space="preserve">humans </w:t>
      </w:r>
      <w:r w:rsidR="00260E46" w:rsidRPr="001417BE">
        <w:rPr>
          <w:rFonts w:ascii="Times New Roman" w:hAnsi="Times New Roman" w:cs="Times New Roman"/>
          <w:sz w:val="24"/>
          <w:szCs w:val="24"/>
          <w:lang w:val="en-US"/>
        </w:rPr>
        <w:t>studies</w:t>
      </w:r>
      <w:r w:rsidR="00EE223E" w:rsidRPr="001417BE">
        <w:rPr>
          <w:rFonts w:ascii="Times New Roman" w:hAnsi="Times New Roman" w:cs="Times New Roman"/>
          <w:sz w:val="24"/>
          <w:szCs w:val="24"/>
          <w:lang w:val="en-US"/>
        </w:rPr>
        <w:t xml:space="preserve"> </w:t>
      </w:r>
      <w:r w:rsidR="006B7708" w:rsidRPr="001417BE">
        <w:rPr>
          <w:rFonts w:ascii="Times New Roman" w:hAnsi="Times New Roman" w:cs="Times New Roman"/>
          <w:sz w:val="24"/>
          <w:szCs w:val="24"/>
          <w:lang w:val="en-US"/>
        </w:rPr>
        <w:t>that have reported an</w:t>
      </w:r>
      <w:r w:rsidR="00602581" w:rsidRPr="001417BE">
        <w:rPr>
          <w:rFonts w:ascii="Times New Roman" w:hAnsi="Times New Roman" w:cs="Times New Roman"/>
          <w:sz w:val="24"/>
          <w:szCs w:val="24"/>
          <w:lang w:val="en-US"/>
        </w:rPr>
        <w:t xml:space="preserve"> </w:t>
      </w:r>
      <w:r w:rsidR="00260E46" w:rsidRPr="001417BE">
        <w:rPr>
          <w:rFonts w:ascii="Times New Roman" w:hAnsi="Times New Roman" w:cs="Times New Roman"/>
          <w:sz w:val="24"/>
          <w:szCs w:val="24"/>
          <w:lang w:val="en-US"/>
        </w:rPr>
        <w:t>inverse association between BAT and whole-body adiposity. Finally, the</w:t>
      </w:r>
      <w:r w:rsidR="00171EF0" w:rsidRPr="001417BE">
        <w:rPr>
          <w:rFonts w:ascii="Times New Roman" w:hAnsi="Times New Roman" w:cs="Times New Roman"/>
          <w:sz w:val="24"/>
          <w:szCs w:val="24"/>
          <w:lang w:val="en-US"/>
        </w:rPr>
        <w:t xml:space="preserve"> use of the</w:t>
      </w:r>
      <w:r w:rsidR="00260E46" w:rsidRPr="001417BE">
        <w:rPr>
          <w:rFonts w:ascii="Times New Roman" w:hAnsi="Times New Roman" w:cs="Times New Roman"/>
          <w:sz w:val="24"/>
          <w:szCs w:val="24"/>
          <w:lang w:val="en-US"/>
        </w:rPr>
        <w:t xml:space="preserve"> </w:t>
      </w:r>
      <w:r w:rsidR="00260E46" w:rsidRPr="001417BE">
        <w:rPr>
          <w:rFonts w:ascii="Times New Roman" w:hAnsi="Times New Roman" w:cs="Times New Roman"/>
          <w:sz w:val="24"/>
          <w:szCs w:val="24"/>
          <w:lang w:val="en-US"/>
        </w:rPr>
        <w:lastRenderedPageBreak/>
        <w:t xml:space="preserve">glucose analogue </w:t>
      </w:r>
      <w:r w:rsidR="00260E46" w:rsidRPr="001417BE">
        <w:rPr>
          <w:rFonts w:ascii="Times New Roman" w:hAnsi="Times New Roman" w:cs="Times New Roman"/>
          <w:sz w:val="24"/>
          <w:szCs w:val="24"/>
          <w:vertAlign w:val="superscript"/>
          <w:lang w:val="en-US"/>
        </w:rPr>
        <w:t>18</w:t>
      </w:r>
      <w:r w:rsidR="00260E46" w:rsidRPr="001417BE">
        <w:rPr>
          <w:rFonts w:ascii="Times New Roman" w:hAnsi="Times New Roman" w:cs="Times New Roman"/>
          <w:sz w:val="24"/>
          <w:szCs w:val="24"/>
          <w:lang w:val="en-US"/>
        </w:rPr>
        <w:t>F-FDG, the most</w:t>
      </w:r>
      <w:r w:rsidR="00CE6A77" w:rsidRPr="001417BE">
        <w:rPr>
          <w:rFonts w:ascii="Times New Roman" w:hAnsi="Times New Roman" w:cs="Times New Roman"/>
          <w:sz w:val="24"/>
          <w:szCs w:val="24"/>
          <w:lang w:val="en-US"/>
        </w:rPr>
        <w:t xml:space="preserve"> frequently</w:t>
      </w:r>
      <w:r w:rsidR="00260E46" w:rsidRPr="001417BE">
        <w:rPr>
          <w:rFonts w:ascii="Times New Roman" w:hAnsi="Times New Roman" w:cs="Times New Roman"/>
          <w:sz w:val="24"/>
          <w:szCs w:val="24"/>
          <w:lang w:val="en-US"/>
        </w:rPr>
        <w:t xml:space="preserve"> used radiotracer for BAT assessment, </w:t>
      </w:r>
      <w:r w:rsidR="00517361" w:rsidRPr="001417BE">
        <w:rPr>
          <w:rFonts w:ascii="Times New Roman" w:hAnsi="Times New Roman" w:cs="Times New Roman"/>
          <w:sz w:val="24"/>
          <w:szCs w:val="24"/>
          <w:lang w:val="en-US"/>
        </w:rPr>
        <w:t>might</w:t>
      </w:r>
      <w:r w:rsidR="00260E46" w:rsidRPr="001417BE">
        <w:rPr>
          <w:rFonts w:ascii="Times New Roman" w:hAnsi="Times New Roman" w:cs="Times New Roman"/>
          <w:sz w:val="24"/>
          <w:szCs w:val="24"/>
          <w:lang w:val="en-US"/>
        </w:rPr>
        <w:t xml:space="preserve"> also bias the relation</w:t>
      </w:r>
      <w:r w:rsidR="00171EF0" w:rsidRPr="001417BE">
        <w:rPr>
          <w:rFonts w:ascii="Times New Roman" w:hAnsi="Times New Roman" w:cs="Times New Roman"/>
          <w:sz w:val="24"/>
          <w:szCs w:val="24"/>
          <w:lang w:val="en-US"/>
        </w:rPr>
        <w:t xml:space="preserve">ship </w:t>
      </w:r>
      <w:r w:rsidR="00260E46" w:rsidRPr="001417BE">
        <w:rPr>
          <w:rFonts w:ascii="Times New Roman" w:hAnsi="Times New Roman" w:cs="Times New Roman"/>
          <w:sz w:val="24"/>
          <w:szCs w:val="24"/>
          <w:lang w:val="en-US"/>
        </w:rPr>
        <w:t xml:space="preserve">between BAT </w:t>
      </w:r>
      <w:r w:rsidR="00F609A5">
        <w:rPr>
          <w:rFonts w:ascii="Times New Roman" w:hAnsi="Times New Roman" w:cs="Times New Roman"/>
          <w:sz w:val="24"/>
          <w:szCs w:val="24"/>
          <w:lang w:val="en-US"/>
        </w:rPr>
        <w:t>volume</w:t>
      </w:r>
      <w:r w:rsidR="00517361" w:rsidRPr="001417BE">
        <w:rPr>
          <w:rFonts w:ascii="Times New Roman" w:hAnsi="Times New Roman" w:cs="Times New Roman"/>
          <w:sz w:val="24"/>
          <w:szCs w:val="24"/>
          <w:lang w:val="en-US"/>
        </w:rPr>
        <w:t xml:space="preserve"> </w:t>
      </w:r>
      <w:r w:rsidR="00260E46" w:rsidRPr="001417BE">
        <w:rPr>
          <w:rFonts w:ascii="Times New Roman" w:hAnsi="Times New Roman" w:cs="Times New Roman"/>
          <w:sz w:val="24"/>
          <w:szCs w:val="24"/>
          <w:lang w:val="en-US"/>
        </w:rPr>
        <w:t xml:space="preserve">and </w:t>
      </w:r>
      <w:r w:rsidR="008815AA">
        <w:rPr>
          <w:rFonts w:ascii="Times New Roman" w:hAnsi="Times New Roman" w:cs="Times New Roman"/>
          <w:sz w:val="24"/>
          <w:szCs w:val="24"/>
          <w:lang w:val="en-US"/>
        </w:rPr>
        <w:t>whole</w:t>
      </w:r>
      <w:r w:rsidR="00FE444B">
        <w:rPr>
          <w:rFonts w:ascii="Times New Roman" w:hAnsi="Times New Roman" w:cs="Times New Roman"/>
          <w:sz w:val="24"/>
          <w:szCs w:val="24"/>
          <w:lang w:val="en-US"/>
        </w:rPr>
        <w:t>-</w:t>
      </w:r>
      <w:r w:rsidR="008815AA">
        <w:rPr>
          <w:rFonts w:ascii="Times New Roman" w:hAnsi="Times New Roman" w:cs="Times New Roman"/>
          <w:sz w:val="24"/>
          <w:szCs w:val="24"/>
          <w:lang w:val="en-US"/>
        </w:rPr>
        <w:t>body adiposity</w:t>
      </w:r>
      <w:r w:rsidR="00DE7690" w:rsidRPr="001417BE">
        <w:rPr>
          <w:rFonts w:ascii="Times New Roman" w:hAnsi="Times New Roman" w:cs="Times New Roman"/>
          <w:sz w:val="24"/>
          <w:szCs w:val="24"/>
          <w:lang w:val="en-US"/>
        </w:rPr>
        <w:t xml:space="preserve">. </w:t>
      </w:r>
      <w:r w:rsidR="00602581" w:rsidRPr="001417BE">
        <w:rPr>
          <w:rFonts w:ascii="Times New Roman" w:hAnsi="Times New Roman" w:cs="Times New Roman"/>
          <w:sz w:val="24"/>
          <w:szCs w:val="24"/>
          <w:lang w:val="en-US"/>
        </w:rPr>
        <w:t>I</w:t>
      </w:r>
      <w:r w:rsidR="00171EF0" w:rsidRPr="001417BE">
        <w:rPr>
          <w:rFonts w:ascii="Times New Roman" w:hAnsi="Times New Roman" w:cs="Times New Roman"/>
          <w:sz w:val="24"/>
          <w:szCs w:val="24"/>
          <w:lang w:val="en-US"/>
        </w:rPr>
        <w:t>nsulin-</w:t>
      </w:r>
      <w:r w:rsidR="00A60587" w:rsidRPr="001417BE">
        <w:rPr>
          <w:rFonts w:ascii="Times New Roman" w:hAnsi="Times New Roman" w:cs="Times New Roman"/>
          <w:sz w:val="24"/>
          <w:szCs w:val="24"/>
          <w:lang w:val="en-US"/>
        </w:rPr>
        <w:t xml:space="preserve">resistant states, such as type 2 diabetes mellitus, impair BAT </w:t>
      </w:r>
      <w:r w:rsidR="00A60587" w:rsidRPr="001417BE">
        <w:rPr>
          <w:rFonts w:ascii="Times New Roman" w:hAnsi="Times New Roman" w:cs="Times New Roman"/>
          <w:sz w:val="24"/>
          <w:szCs w:val="24"/>
          <w:vertAlign w:val="superscript"/>
          <w:lang w:val="en-US"/>
        </w:rPr>
        <w:t>18</w:t>
      </w:r>
      <w:r w:rsidR="00A60587" w:rsidRPr="001417BE">
        <w:rPr>
          <w:rFonts w:ascii="Times New Roman" w:hAnsi="Times New Roman" w:cs="Times New Roman"/>
          <w:sz w:val="24"/>
          <w:szCs w:val="24"/>
          <w:lang w:val="en-US"/>
        </w:rPr>
        <w:t>F-FDG uptake without affecting its oxidative metabolism or fatty acid uptake</w:t>
      </w:r>
      <w:r w:rsidR="00497D1D" w:rsidRPr="001417BE">
        <w:rPr>
          <w:rFonts w:ascii="Times New Roman" w:hAnsi="Times New Roman" w:cs="Times New Roman"/>
          <w:sz w:val="24"/>
          <w:szCs w:val="24"/>
          <w:lang w:val="en-US"/>
        </w:rPr>
        <w:t xml:space="preserve"> </w:t>
      </w:r>
      <w:r w:rsidR="007F62F0" w:rsidRPr="001417BE">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{"citationItems":[{"id":"ITEM-1","itemData":{"DOI":"10.2337/db14-1651","ISSN":"1939327X","PMID":"25677914","abstract":"Spontaneous glucose uptake by brown adipose tissue (BAT) is lower in overweight or obese individuals and in diabetes. However, BAT metabolism has not been previously investigated in patients with type 2 diabetes during controlled cold exposure. Using positron emission tomography with (11)C-acetate, (18)F-fluoro-deoxyglucose ((18)FDG), and (18)F-fluoro-thiaheptadecanoic acid ((18)FTHA), a fatty acid tracer, BAT oxidative metabolism and perfusion and glucose and nonesterified fatty acid (NEFA) turnover were determined in men with well-controlled type 2 diabetes and age-matched control subjects under experimental cold exposure designed to minimize shivering. Despite smaller volumes of (18)FDG-positive BAT and lower glucose uptake per volume of BAT compared with young healthy control subjects, cold-induced oxidative metabolism and NEFA uptake per BAT volume and an increase in total body energy expenditure did not differ in patients with type 2 diabetes or their age-matched control subjects. The reduction in (18)FDG-positive BAT volume and BAT glucose clearance were associated with a reduction in BAT radiodensity and perfusion. (18)FDG-positive BAT volume and the cold-induced increase in BAT radiodensity were associated with an increase in systemic NEFA turnover. These results show that cold-induced NEFA uptake and oxidative metabolism are not defective in type 2 diabetes despite reduced glucose uptake per BAT volume and BAT \"whitening.\"","author":[{"dropping-particle":"","family":"Blondin","given":"Denis P.","non-dropping-particle":"","parse-names":false,"suffix":""},{"dropping-particle":"","family":"Labbé","given":"Sébastien M.","non-dropping-particle":"","parse-names":false,"suffix":""},{"dropping-particle":"","family":"Noll","given":"Christophe","non-dropping-particle":"","parse-names":false,"suffix":""},{"dropping-particle":"","family":"Kunach","given":"Margaret","non-dropping-particle":"","parse-names":false,"suffix":""},{"dropping-particle":"","family":"Phoenix","given":"Serge","non-dropping-particle":"","parse-names":false,"suffix":""},{"dropping-particle":"","family":"Guérin","given":"Brigitte","non-dropping-particle":"","parse-names":false,"suffix":""},{"dropping-particle":"","family":"Turcotte","given":"Éric E.","non-dropping-particle":"","parse-names":false,"suffix":""},{"dropping-particle":"","family":"Haman","given":"Francois","non-dropping-particle":"","parse-names":false,"suffix":""},{"dropping-particle":"","family":"Richard","given":"Denis","non-dropping-particle":"","parse-names":false,"suffix":""},{"dropping-particle":"","family":"Carpentier","given":"André C.","non-dropping-particle":"","parse-names":false,"suffix":""}],"container-title":"Diabetes","id":"ITEM-1","issue":"7","issued":{"date-parts":[["2015"]]},"page":"2388-2397","title":"Selective impairment of glucose but not fatty acid or oxidative metabolism in brown adipose tissue of subjects with type 2 diabetes","type":"article-journal","volume":"64"},"uris":["http://www.mendeley.com/documents/?uuid=4178a071-d21c-4830-80e3-51b361c90a83"]}],"mendeley":{"formattedCitation":"(24)","plainTextFormattedCitation":"(24)","previouslyFormattedCitation":"(24)"},"properties":{"noteIndex":0},"schema":"https://github.com/citation-style-language/schema/raw/master/csl-citation.json"}</w:instrText>
      </w:r>
      <w:r w:rsidR="007F62F0" w:rsidRPr="001417BE">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(24)</w:t>
      </w:r>
      <w:r w:rsidR="007F62F0" w:rsidRPr="001417BE">
        <w:rPr>
          <w:rFonts w:ascii="Times New Roman" w:hAnsi="Times New Roman" w:cs="Times New Roman"/>
          <w:sz w:val="24"/>
          <w:szCs w:val="24"/>
          <w:lang w:val="en-US"/>
        </w:rPr>
        <w:fldChar w:fldCharType="end"/>
      </w:r>
      <w:r w:rsidR="00A60587" w:rsidRPr="001417BE">
        <w:rPr>
          <w:rFonts w:ascii="Times New Roman" w:hAnsi="Times New Roman" w:cs="Times New Roman"/>
          <w:sz w:val="24"/>
          <w:szCs w:val="24"/>
          <w:lang w:val="en-US"/>
        </w:rPr>
        <w:t>. Therefore, the</w:t>
      </w:r>
      <w:r w:rsidR="00171EF0" w:rsidRPr="001417BE">
        <w:rPr>
          <w:rFonts w:ascii="Times New Roman" w:hAnsi="Times New Roman" w:cs="Times New Roman"/>
          <w:sz w:val="24"/>
          <w:szCs w:val="24"/>
          <w:lang w:val="en-US"/>
        </w:rPr>
        <w:t xml:space="preserve"> reported</w:t>
      </w:r>
      <w:r w:rsidR="00A60587" w:rsidRPr="001417BE">
        <w:rPr>
          <w:rFonts w:ascii="Times New Roman" w:hAnsi="Times New Roman" w:cs="Times New Roman"/>
          <w:sz w:val="24"/>
          <w:szCs w:val="24"/>
          <w:lang w:val="en-US"/>
        </w:rPr>
        <w:t xml:space="preserve"> inverse association between BAT</w:t>
      </w:r>
      <w:r w:rsidR="00517361" w:rsidRPr="001417BE">
        <w:rPr>
          <w:rFonts w:ascii="Times New Roman" w:hAnsi="Times New Roman" w:cs="Times New Roman"/>
          <w:sz w:val="24"/>
          <w:szCs w:val="24"/>
          <w:lang w:val="en-US"/>
        </w:rPr>
        <w:t xml:space="preserve"> </w:t>
      </w:r>
      <w:r w:rsidR="00F609A5">
        <w:rPr>
          <w:rFonts w:ascii="Times New Roman" w:hAnsi="Times New Roman" w:cs="Times New Roman"/>
          <w:sz w:val="24"/>
          <w:szCs w:val="24"/>
          <w:lang w:val="en-US"/>
        </w:rPr>
        <w:t>volume</w:t>
      </w:r>
      <w:r w:rsidR="00A60587" w:rsidRPr="001417BE">
        <w:rPr>
          <w:rFonts w:ascii="Times New Roman" w:hAnsi="Times New Roman" w:cs="Times New Roman"/>
          <w:sz w:val="24"/>
          <w:szCs w:val="24"/>
          <w:lang w:val="en-US"/>
        </w:rPr>
        <w:t xml:space="preserve"> </w:t>
      </w:r>
      <w:r w:rsidR="003F2B75" w:rsidRPr="001417BE">
        <w:rPr>
          <w:rFonts w:ascii="Times New Roman" w:hAnsi="Times New Roman" w:cs="Times New Roman"/>
          <w:sz w:val="24"/>
          <w:szCs w:val="24"/>
          <w:lang w:val="en-US"/>
        </w:rPr>
        <w:t xml:space="preserve">(assessed by </w:t>
      </w:r>
      <w:r w:rsidR="003F2B75" w:rsidRPr="001417BE">
        <w:rPr>
          <w:rFonts w:ascii="Times New Roman" w:hAnsi="Times New Roman" w:cs="Times New Roman"/>
          <w:sz w:val="24"/>
          <w:szCs w:val="24"/>
          <w:vertAlign w:val="superscript"/>
          <w:lang w:val="en-US"/>
        </w:rPr>
        <w:t>18</w:t>
      </w:r>
      <w:r w:rsidR="003F2B75" w:rsidRPr="001417BE">
        <w:rPr>
          <w:rFonts w:ascii="Times New Roman" w:hAnsi="Times New Roman" w:cs="Times New Roman"/>
          <w:sz w:val="24"/>
          <w:szCs w:val="24"/>
          <w:lang w:val="en-US"/>
        </w:rPr>
        <w:t xml:space="preserve">F-FDG uptake) </w:t>
      </w:r>
      <w:r w:rsidR="00A60587" w:rsidRPr="001417BE">
        <w:rPr>
          <w:rFonts w:ascii="Times New Roman" w:hAnsi="Times New Roman" w:cs="Times New Roman"/>
          <w:sz w:val="24"/>
          <w:szCs w:val="24"/>
          <w:lang w:val="en-US"/>
        </w:rPr>
        <w:t xml:space="preserve">and whole-body adiposity might </w:t>
      </w:r>
      <w:r w:rsidR="00F86712" w:rsidRPr="001417BE">
        <w:rPr>
          <w:rFonts w:ascii="Times New Roman" w:hAnsi="Times New Roman" w:cs="Times New Roman"/>
          <w:sz w:val="24"/>
          <w:szCs w:val="24"/>
          <w:lang w:val="en-US"/>
        </w:rPr>
        <w:t xml:space="preserve">also </w:t>
      </w:r>
      <w:r w:rsidR="00A60587" w:rsidRPr="001417BE">
        <w:rPr>
          <w:rFonts w:ascii="Times New Roman" w:hAnsi="Times New Roman" w:cs="Times New Roman"/>
          <w:sz w:val="24"/>
          <w:szCs w:val="24"/>
          <w:lang w:val="en-US"/>
        </w:rPr>
        <w:t xml:space="preserve">be </w:t>
      </w:r>
      <w:r w:rsidR="00191501" w:rsidRPr="001417BE">
        <w:rPr>
          <w:rFonts w:ascii="Times New Roman" w:hAnsi="Times New Roman" w:cs="Times New Roman"/>
          <w:sz w:val="24"/>
          <w:szCs w:val="24"/>
          <w:lang w:val="en-US"/>
        </w:rPr>
        <w:t>biased</w:t>
      </w:r>
      <w:r w:rsidR="00A60587" w:rsidRPr="001417BE">
        <w:rPr>
          <w:rFonts w:ascii="Times New Roman" w:hAnsi="Times New Roman" w:cs="Times New Roman"/>
          <w:sz w:val="24"/>
          <w:szCs w:val="24"/>
          <w:lang w:val="en-US"/>
        </w:rPr>
        <w:t xml:space="preserve"> </w:t>
      </w:r>
      <w:r w:rsidR="00191FF7">
        <w:rPr>
          <w:rFonts w:ascii="Times New Roman" w:hAnsi="Times New Roman" w:cs="Times New Roman"/>
          <w:sz w:val="24"/>
          <w:szCs w:val="24"/>
          <w:lang w:val="en-US"/>
        </w:rPr>
        <w:t>by</w:t>
      </w:r>
      <w:r w:rsidR="00F86712" w:rsidRPr="001417BE">
        <w:rPr>
          <w:rFonts w:ascii="Times New Roman" w:hAnsi="Times New Roman" w:cs="Times New Roman"/>
          <w:sz w:val="24"/>
          <w:szCs w:val="24"/>
          <w:lang w:val="en-US"/>
        </w:rPr>
        <w:t xml:space="preserve"> </w:t>
      </w:r>
      <w:r w:rsidR="00691E23" w:rsidRPr="001417BE">
        <w:rPr>
          <w:rFonts w:ascii="Times New Roman" w:hAnsi="Times New Roman" w:cs="Times New Roman"/>
          <w:sz w:val="24"/>
          <w:szCs w:val="24"/>
          <w:lang w:val="en-US"/>
        </w:rPr>
        <w:t xml:space="preserve">individuals </w:t>
      </w:r>
      <w:r w:rsidR="00171EF0" w:rsidRPr="001417BE">
        <w:rPr>
          <w:rFonts w:ascii="Times New Roman" w:hAnsi="Times New Roman" w:cs="Times New Roman"/>
          <w:sz w:val="24"/>
          <w:szCs w:val="24"/>
          <w:lang w:val="en-US"/>
        </w:rPr>
        <w:t>who have</w:t>
      </w:r>
      <w:r w:rsidR="00691E23" w:rsidRPr="001417BE">
        <w:rPr>
          <w:rFonts w:ascii="Times New Roman" w:hAnsi="Times New Roman" w:cs="Times New Roman"/>
          <w:sz w:val="24"/>
          <w:szCs w:val="24"/>
          <w:lang w:val="en-US"/>
        </w:rPr>
        <w:t xml:space="preserve"> </w:t>
      </w:r>
      <w:r w:rsidR="000764CD">
        <w:rPr>
          <w:rFonts w:ascii="Times New Roman" w:hAnsi="Times New Roman" w:cs="Times New Roman"/>
          <w:sz w:val="24"/>
          <w:szCs w:val="24"/>
          <w:lang w:val="en-US"/>
        </w:rPr>
        <w:t xml:space="preserve">age- or </w:t>
      </w:r>
      <w:r w:rsidR="00A60587" w:rsidRPr="001417BE">
        <w:rPr>
          <w:rFonts w:ascii="Times New Roman" w:hAnsi="Times New Roman" w:cs="Times New Roman"/>
          <w:sz w:val="24"/>
          <w:szCs w:val="24"/>
          <w:lang w:val="en-US"/>
        </w:rPr>
        <w:t>obes</w:t>
      </w:r>
      <w:r w:rsidR="00691E23" w:rsidRPr="001417BE">
        <w:rPr>
          <w:rFonts w:ascii="Times New Roman" w:hAnsi="Times New Roman" w:cs="Times New Roman"/>
          <w:sz w:val="24"/>
          <w:szCs w:val="24"/>
          <w:lang w:val="en-US"/>
        </w:rPr>
        <w:t xml:space="preserve">ity-induced </w:t>
      </w:r>
      <w:r w:rsidR="00A60587" w:rsidRPr="001417BE">
        <w:rPr>
          <w:rFonts w:ascii="Times New Roman" w:hAnsi="Times New Roman" w:cs="Times New Roman"/>
          <w:sz w:val="24"/>
          <w:szCs w:val="24"/>
          <w:lang w:val="en-US"/>
        </w:rPr>
        <w:t>insulin resistance.</w:t>
      </w:r>
    </w:p>
    <w:p w14:paraId="31FEB3E9" w14:textId="3D883215" w:rsidR="008D04C2" w:rsidRDefault="000764CD" w:rsidP="00D066F4">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191501" w:rsidRPr="001417BE">
        <w:rPr>
          <w:rFonts w:ascii="Times New Roman" w:hAnsi="Times New Roman" w:cs="Times New Roman"/>
          <w:sz w:val="24"/>
          <w:szCs w:val="24"/>
          <w:lang w:val="en-US"/>
        </w:rPr>
        <w:t>h</w:t>
      </w:r>
      <w:r w:rsidR="00171EF0" w:rsidRPr="001417BE">
        <w:rPr>
          <w:rFonts w:ascii="Times New Roman" w:hAnsi="Times New Roman" w:cs="Times New Roman"/>
          <w:sz w:val="24"/>
          <w:szCs w:val="24"/>
          <w:lang w:val="en-US"/>
        </w:rPr>
        <w:t>e present work</w:t>
      </w:r>
      <w:r w:rsidR="00191501" w:rsidRPr="001417BE">
        <w:rPr>
          <w:rFonts w:ascii="Times New Roman" w:hAnsi="Times New Roman" w:cs="Times New Roman"/>
          <w:sz w:val="24"/>
          <w:szCs w:val="24"/>
          <w:lang w:val="en-US"/>
        </w:rPr>
        <w:t xml:space="preserve"> investigate</w:t>
      </w:r>
      <w:r w:rsidR="002D7356">
        <w:rPr>
          <w:rFonts w:ascii="Times New Roman" w:hAnsi="Times New Roman" w:cs="Times New Roman"/>
          <w:sz w:val="24"/>
          <w:szCs w:val="24"/>
          <w:lang w:val="en-US"/>
        </w:rPr>
        <w:t>d</w:t>
      </w:r>
      <w:r w:rsidR="00191501" w:rsidRPr="001417BE">
        <w:rPr>
          <w:rFonts w:ascii="Times New Roman" w:hAnsi="Times New Roman" w:cs="Times New Roman"/>
          <w:sz w:val="24"/>
          <w:szCs w:val="24"/>
          <w:lang w:val="en-US"/>
        </w:rPr>
        <w:t xml:space="preserve"> the association between </w:t>
      </w:r>
      <w:r w:rsidR="00691E23" w:rsidRPr="001417BE">
        <w:rPr>
          <w:rFonts w:ascii="Times New Roman" w:hAnsi="Times New Roman" w:cs="Times New Roman"/>
          <w:sz w:val="24"/>
          <w:szCs w:val="24"/>
          <w:lang w:val="en-US"/>
        </w:rPr>
        <w:t>BAT</w:t>
      </w:r>
      <w:r w:rsidR="00191501" w:rsidRPr="001417BE">
        <w:rPr>
          <w:rFonts w:ascii="Times New Roman" w:hAnsi="Times New Roman" w:cs="Times New Roman"/>
          <w:sz w:val="24"/>
          <w:szCs w:val="24"/>
          <w:lang w:val="en-US"/>
        </w:rPr>
        <w:t xml:space="preserve"> </w:t>
      </w:r>
      <w:r w:rsidR="00691E23" w:rsidRPr="001417BE">
        <w:rPr>
          <w:rFonts w:ascii="Times New Roman" w:hAnsi="Times New Roman" w:cs="Times New Roman"/>
          <w:sz w:val="24"/>
          <w:szCs w:val="24"/>
          <w:lang w:val="en-US"/>
        </w:rPr>
        <w:t xml:space="preserve">and </w:t>
      </w:r>
      <w:r w:rsidR="00FE444B">
        <w:rPr>
          <w:rFonts w:ascii="Times New Roman" w:hAnsi="Times New Roman" w:cs="Times New Roman"/>
          <w:sz w:val="24"/>
          <w:szCs w:val="24"/>
          <w:lang w:val="en-US"/>
        </w:rPr>
        <w:t>whole-</w:t>
      </w:r>
      <w:r w:rsidR="00691E23" w:rsidRPr="001417BE">
        <w:rPr>
          <w:rFonts w:ascii="Times New Roman" w:hAnsi="Times New Roman" w:cs="Times New Roman"/>
          <w:sz w:val="24"/>
          <w:szCs w:val="24"/>
          <w:lang w:val="en-US"/>
        </w:rPr>
        <w:t xml:space="preserve">body </w:t>
      </w:r>
      <w:r w:rsidR="00FE444B">
        <w:rPr>
          <w:rFonts w:ascii="Times New Roman" w:hAnsi="Times New Roman" w:cs="Times New Roman"/>
          <w:sz w:val="24"/>
          <w:szCs w:val="24"/>
          <w:lang w:val="en-US"/>
        </w:rPr>
        <w:t>adiposity</w:t>
      </w:r>
      <w:r w:rsidR="006B1A86" w:rsidRPr="001417BE">
        <w:rPr>
          <w:rFonts w:ascii="Times New Roman" w:hAnsi="Times New Roman" w:cs="Times New Roman"/>
          <w:sz w:val="24"/>
          <w:szCs w:val="24"/>
          <w:lang w:val="en-US"/>
        </w:rPr>
        <w:t xml:space="preserve"> </w:t>
      </w:r>
      <w:r w:rsidR="00191501" w:rsidRPr="001417BE">
        <w:rPr>
          <w:rFonts w:ascii="Times New Roman" w:hAnsi="Times New Roman" w:cs="Times New Roman"/>
          <w:sz w:val="24"/>
          <w:szCs w:val="24"/>
          <w:lang w:val="en-US"/>
        </w:rPr>
        <w:t>in young</w:t>
      </w:r>
      <w:r w:rsidR="00171EF0" w:rsidRPr="001417BE">
        <w:rPr>
          <w:rFonts w:ascii="Times New Roman" w:hAnsi="Times New Roman" w:cs="Times New Roman"/>
          <w:sz w:val="24"/>
          <w:szCs w:val="24"/>
          <w:lang w:val="en-US"/>
        </w:rPr>
        <w:t>,</w:t>
      </w:r>
      <w:r w:rsidR="00191501" w:rsidRPr="001417BE">
        <w:rPr>
          <w:rFonts w:ascii="Times New Roman" w:hAnsi="Times New Roman" w:cs="Times New Roman"/>
          <w:sz w:val="24"/>
          <w:szCs w:val="24"/>
          <w:lang w:val="en-US"/>
        </w:rPr>
        <w:t xml:space="preserve"> healthy </w:t>
      </w:r>
      <w:r w:rsidR="008D2C45" w:rsidRPr="001417BE">
        <w:rPr>
          <w:rFonts w:ascii="Times New Roman" w:hAnsi="Times New Roman" w:cs="Times New Roman"/>
          <w:sz w:val="24"/>
          <w:szCs w:val="24"/>
          <w:lang w:val="en-US"/>
        </w:rPr>
        <w:t>adults</w:t>
      </w:r>
      <w:r w:rsidR="002D7356">
        <w:rPr>
          <w:rFonts w:ascii="Times New Roman" w:hAnsi="Times New Roman" w:cs="Times New Roman"/>
          <w:sz w:val="24"/>
          <w:szCs w:val="24"/>
          <w:lang w:val="en-US"/>
        </w:rPr>
        <w:t xml:space="preserve"> by</w:t>
      </w:r>
      <w:r w:rsidR="00171EF0" w:rsidRPr="001417BE">
        <w:rPr>
          <w:rFonts w:ascii="Times New Roman" w:hAnsi="Times New Roman" w:cs="Times New Roman"/>
          <w:sz w:val="24"/>
          <w:szCs w:val="24"/>
          <w:lang w:val="en-US"/>
        </w:rPr>
        <w:t xml:space="preserve"> assessing</w:t>
      </w:r>
      <w:r w:rsidR="00DE7690" w:rsidRPr="001417BE">
        <w:rPr>
          <w:rFonts w:ascii="Times New Roman" w:hAnsi="Times New Roman" w:cs="Times New Roman"/>
          <w:sz w:val="24"/>
          <w:szCs w:val="24"/>
          <w:lang w:val="en-US"/>
        </w:rPr>
        <w:t xml:space="preserve"> BAT volume</w:t>
      </w:r>
      <w:r w:rsidR="008D600B">
        <w:rPr>
          <w:rFonts w:ascii="Times New Roman" w:hAnsi="Times New Roman" w:cs="Times New Roman"/>
          <w:sz w:val="24"/>
          <w:szCs w:val="24"/>
          <w:lang w:val="en-US"/>
        </w:rPr>
        <w:t xml:space="preserve">, </w:t>
      </w:r>
      <w:r w:rsidR="007569E7" w:rsidRPr="001417BE">
        <w:rPr>
          <w:rFonts w:ascii="Times New Roman" w:hAnsi="Times New Roman" w:cs="Times New Roman"/>
          <w:sz w:val="24"/>
          <w:szCs w:val="24"/>
          <w:vertAlign w:val="superscript"/>
          <w:lang w:val="en-US"/>
        </w:rPr>
        <w:t>18</w:t>
      </w:r>
      <w:r w:rsidR="007569E7" w:rsidRPr="001417BE">
        <w:rPr>
          <w:rFonts w:ascii="Times New Roman" w:hAnsi="Times New Roman" w:cs="Times New Roman"/>
          <w:sz w:val="24"/>
          <w:szCs w:val="24"/>
          <w:lang w:val="en-US"/>
        </w:rPr>
        <w:t xml:space="preserve">F-FDG </w:t>
      </w:r>
      <w:r w:rsidR="00C3457A" w:rsidRPr="001417BE">
        <w:rPr>
          <w:rFonts w:ascii="Times New Roman" w:hAnsi="Times New Roman" w:cs="Times New Roman"/>
          <w:sz w:val="24"/>
          <w:szCs w:val="24"/>
          <w:lang w:val="en-US"/>
        </w:rPr>
        <w:t xml:space="preserve">uptake </w:t>
      </w:r>
      <w:r w:rsidR="008D600B">
        <w:rPr>
          <w:rFonts w:ascii="Times New Roman" w:hAnsi="Times New Roman" w:cs="Times New Roman"/>
          <w:sz w:val="24"/>
          <w:szCs w:val="24"/>
          <w:lang w:val="en-US"/>
        </w:rPr>
        <w:t xml:space="preserve">and mean radiodensity </w:t>
      </w:r>
      <w:r w:rsidR="008D600B">
        <w:rPr>
          <w:rFonts w:ascii="Times New Roman" w:hAnsi="Times New Roman" w:cs="Times New Roman"/>
          <w:sz w:val="24"/>
          <w:lang w:val="en-US"/>
        </w:rPr>
        <w:t xml:space="preserve">(i.e. an inverse proxy of BAT fat content </w:t>
      </w:r>
      <w:r w:rsidR="008D600B">
        <w:rPr>
          <w:rFonts w:ascii="Times New Roman" w:hAnsi="Times New Roman" w:cs="Times New Roman"/>
          <w:sz w:val="24"/>
          <w:lang w:val="en-US"/>
        </w:rPr>
        <w:fldChar w:fldCharType="begin" w:fldLock="1"/>
      </w:r>
      <w:r w:rsidR="001B72D2">
        <w:rPr>
          <w:rFonts w:ascii="Times New Roman" w:hAnsi="Times New Roman" w:cs="Times New Roman"/>
          <w:sz w:val="24"/>
          <w:lang w:val="en-US"/>
        </w:rPr>
        <w:instrText>ADDIN CSL_CITATION {"citationItems":[{"id":"ITEM-1","itemData":{"DOI":"10.1210/jc.2016-2698","ISBN":"1945-7197","ISSN":"19457197","PMID":"28368474","abstract":"Context: Metabolic imaging studying brown adipose tissue (BAT) physiology has increased, in which computed tomography (CT) is commonly used as an anatomical reference for metabolic positron emission tomography (PET) imaging. However, the capacity of CT to provide metabolic information has been underexploited.\nObjective: To evaluate whether CT radiodensity of BAT could noninvasively estimate underlying tissue morphology, regarding amount of stored triglycerides. Furthermore, could the alteration in tissue characteristics due to cold stimulus, as a marker for active BAT, be detected with radiodensity? Can BAT be differentiated from white adipose tissue (WAT) solely using CT-based measurements?\nDesign, Setting, and Participants: A cross-sectional study evaluating 66 healthy human subjects with CT, PET, and 1H-magnetic resonance spectroscopy (1H-MRS).\nMain Outcome Measures: BAT radiodensity was measured with CT. BAT-stored triglyceride content was measured with 1H-MRS. Arterial blood volume in BAT, as a marker of tissue vascularity, was measured with [15O]H2O, along with glucose or fatty acid uptake using [18F]2-fluoro-2-deoxy-D-glucose or 14(R,S)-[18F]fluoro-6-thia-heptadecanoic acid PET imaging, respectively.\nResults: BAT radiodensity was found to be correlating with tissue-retained blood and triglyceride content. Cold stimulus induced an increase in BAT radiodensity. Active BAT depots had higher radiodensity than both nonactive BAT and WAT. BAT radiodensity associated with systemic metabolic health parameters.\nConclusion: BAT radiodensity can be used as a marker of underlying tissue morphology. Active BAT can be identified using CT, exploiting tissue composition information. Moreover, BAT radiodensity provides an insight into whole-body systemic metabolic health.","author":[{"dropping-particle":"","family":"Din","given":"Mueez U.","non-dropping-particle":"","parse-names":false,"suffix":""},{"dropping-particle":"","family":"Raiko","given":"Juho","non-dropping-particle":"","parse-names":false,"suffix":""},{"dropping-particle":"","family":"Saari","given":"Teemu","non-dropping-particle":"","parse-names":false,"suffix":""},{"dropping-particle":"","family":"Saunavaara","given":"Virva","non-dropping-particle":"","parse-names":false,"suffix":""},{"dropping-particle":"","family":"Kudomi","given":"Nobu","non-dropping-particle":"","parse-names":false,"suffix":""},{"dropping-particle":"","family":"Solin","given":"Olof","non-dropping-particle":"","parse-names":false,"suffix":""},{"dropping-particle":"","family":"Parkkola","given":"Riitta","non-dropping-particle":"","parse-names":false,"suffix":""},{"dropping-particle":"","family":"Nuutila","given":"Pirjo","non-dropping-particle":"","parse-names":false,"suffix":""},{"dropping-particle":"","family":"Virtanen","given":"Kirsi A.","non-dropping-particle":"","parse-names":false,"suffix":""}],"container-title":"Journal of Clinical Endocrinology and Metabolism","id":"ITEM-1","issue":"7","issued":{"date-parts":[["2017"]]},"page":"2258-2267","title":"Human brown fat radiodensity indicates underlying tissue composition and systemic metabolic health","type":"article-journal","volume":"102"},"uris":["http://www.mendeley.com/documents/?uuid=89b82f0d-fcf6-4aa2-943e-3746c547138e"]}],"mendeley":{"formattedCitation":"(25)","plainTextFormattedCitation":"(25)","previouslyFormattedCitation":"(25)"},"properties":{"noteIndex":0},"schema":"https://github.com/citation-style-language/schema/raw/master/csl-citation.json"}</w:instrText>
      </w:r>
      <w:r w:rsidR="008D600B">
        <w:rPr>
          <w:rFonts w:ascii="Times New Roman" w:hAnsi="Times New Roman" w:cs="Times New Roman"/>
          <w:sz w:val="24"/>
          <w:lang w:val="en-US"/>
        </w:rPr>
        <w:fldChar w:fldCharType="separate"/>
      </w:r>
      <w:r w:rsidR="001B72D2" w:rsidRPr="001B72D2">
        <w:rPr>
          <w:rFonts w:ascii="Times New Roman" w:hAnsi="Times New Roman" w:cs="Times New Roman"/>
          <w:noProof/>
          <w:sz w:val="24"/>
          <w:lang w:val="en-US"/>
        </w:rPr>
        <w:t>(25)</w:t>
      </w:r>
      <w:r w:rsidR="008D600B">
        <w:rPr>
          <w:rFonts w:ascii="Times New Roman" w:hAnsi="Times New Roman" w:cs="Times New Roman"/>
          <w:sz w:val="24"/>
          <w:lang w:val="en-US"/>
        </w:rPr>
        <w:fldChar w:fldCharType="end"/>
      </w:r>
      <w:r w:rsidR="008D600B">
        <w:rPr>
          <w:rFonts w:ascii="Times New Roman" w:hAnsi="Times New Roman" w:cs="Times New Roman"/>
          <w:sz w:val="24"/>
          <w:lang w:val="en-US"/>
        </w:rPr>
        <w:t xml:space="preserve">) </w:t>
      </w:r>
      <w:r w:rsidR="00C3457A" w:rsidRPr="001417BE">
        <w:rPr>
          <w:rFonts w:ascii="Times New Roman" w:hAnsi="Times New Roman" w:cs="Times New Roman"/>
          <w:sz w:val="24"/>
          <w:szCs w:val="24"/>
          <w:lang w:val="en-US"/>
        </w:rPr>
        <w:t>after</w:t>
      </w:r>
      <w:r w:rsidR="00171EF0" w:rsidRPr="001417BE">
        <w:rPr>
          <w:rFonts w:ascii="Times New Roman" w:hAnsi="Times New Roman" w:cs="Times New Roman"/>
          <w:sz w:val="24"/>
          <w:szCs w:val="24"/>
          <w:lang w:val="en-US"/>
        </w:rPr>
        <w:t xml:space="preserve"> </w:t>
      </w:r>
      <w:r w:rsidR="008114AB">
        <w:rPr>
          <w:rFonts w:ascii="Times New Roman" w:hAnsi="Times New Roman" w:cs="Times New Roman"/>
          <w:sz w:val="24"/>
          <w:szCs w:val="24"/>
          <w:lang w:val="en-US"/>
        </w:rPr>
        <w:t>individualiz</w:t>
      </w:r>
      <w:r w:rsidR="008114AB" w:rsidRPr="001417BE">
        <w:rPr>
          <w:rFonts w:ascii="Times New Roman" w:hAnsi="Times New Roman" w:cs="Times New Roman"/>
          <w:sz w:val="24"/>
          <w:szCs w:val="24"/>
          <w:lang w:val="en-US"/>
        </w:rPr>
        <w:t xml:space="preserve">ed </w:t>
      </w:r>
      <w:r w:rsidR="00171EF0" w:rsidRPr="001417BE">
        <w:rPr>
          <w:rFonts w:ascii="Times New Roman" w:hAnsi="Times New Roman" w:cs="Times New Roman"/>
          <w:sz w:val="24"/>
          <w:szCs w:val="24"/>
          <w:lang w:val="en-US"/>
        </w:rPr>
        <w:t>cold-</w:t>
      </w:r>
      <w:r w:rsidR="00C3457A" w:rsidRPr="001417BE">
        <w:rPr>
          <w:rFonts w:ascii="Times New Roman" w:hAnsi="Times New Roman" w:cs="Times New Roman"/>
          <w:sz w:val="24"/>
          <w:szCs w:val="24"/>
          <w:lang w:val="en-US"/>
        </w:rPr>
        <w:t>exposure</w:t>
      </w:r>
      <w:r w:rsidR="00171EF0" w:rsidRPr="001417BE">
        <w:rPr>
          <w:rFonts w:ascii="Times New Roman" w:hAnsi="Times New Roman" w:cs="Times New Roman"/>
          <w:sz w:val="24"/>
          <w:szCs w:val="24"/>
          <w:lang w:val="en-US"/>
        </w:rPr>
        <w:t>,</w:t>
      </w:r>
      <w:r w:rsidR="00602581" w:rsidRPr="001417BE">
        <w:rPr>
          <w:rFonts w:ascii="Times New Roman" w:hAnsi="Times New Roman" w:cs="Times New Roman"/>
          <w:sz w:val="24"/>
          <w:szCs w:val="24"/>
          <w:lang w:val="en-US"/>
        </w:rPr>
        <w:t xml:space="preserve"> </w:t>
      </w:r>
      <w:r w:rsidR="00DE7690" w:rsidRPr="001417BE">
        <w:rPr>
          <w:rFonts w:ascii="Times New Roman" w:hAnsi="Times New Roman" w:cs="Times New Roman"/>
          <w:sz w:val="24"/>
          <w:szCs w:val="24"/>
          <w:lang w:val="en-US"/>
        </w:rPr>
        <w:t xml:space="preserve">strictly following </w:t>
      </w:r>
      <w:r w:rsidR="00171EF0" w:rsidRPr="001417BE">
        <w:rPr>
          <w:rFonts w:ascii="Times New Roman" w:hAnsi="Times New Roman" w:cs="Times New Roman"/>
          <w:sz w:val="24"/>
          <w:szCs w:val="24"/>
          <w:lang w:val="en-US"/>
        </w:rPr>
        <w:t xml:space="preserve">all other </w:t>
      </w:r>
      <w:r w:rsidR="00DE7690" w:rsidRPr="001417BE">
        <w:rPr>
          <w:rFonts w:ascii="Times New Roman" w:hAnsi="Times New Roman" w:cs="Times New Roman"/>
          <w:sz w:val="24"/>
          <w:szCs w:val="24"/>
          <w:lang w:val="en-US"/>
        </w:rPr>
        <w:t xml:space="preserve">current methodological recommendations for human BAT analysis </w:t>
      </w:r>
      <w:r w:rsidR="007F62F0" w:rsidRPr="001417BE">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{"citationItems":[{"id":"ITEM-1","itemData":{"DOI":"10.1016/j.cmet.2016.07.014","ISSN":"15504131","PMID":"27508870","abstract":"Human brown adipose tissue (BAT) presence, metabolic activity, and estimated mass are typically measured by imaging [18F]fluorodeoxyglucose (FDG) uptake in response to cold exposure in regions of the body expected to contain BAT, using positron emission tomography combined with X-ray computed tomography (FDG-PET/CT). Efforts to describe the epidemiology and biology of human BAT are hampered by diverse experimental practices, making it difficult to directly compare results among laboratories. An expert panel was assembled by the National Institute of Diabetes and Digestive and Kidney Diseases on November 4, 2014 to discuss minimal requirements for conducting FDG-PET/CT experiments of human BAT, data analysis, and publication of results. This resulted in Brown Adipose Reporting Criteria in Imaging STudies (BARCIST 1.0). Since there are no fully validated best practices at this time, panel recommendations are meant to enhance comparability across experiments, but not to constrain experimental design or the questions that can be asked.","author":[{"dropping-particle":"","family":"Chen","given":"Kong Y.","non-dropping-particle":"","parse-names":false,"suffix":""},{"dropping-particle":"","family":"Cypess","given":"Aaron M.","non-dropping-particle":"","parse-names":false,"suffix":""},{"dropping-particle":"","family":"Laughlin","given":"Maren R.","non-dropping-particle":"","parse-names":false,"suffix":""},{"dropping-particle":"","family":"Haft","given":"Carol R.","non-dropping-particle":"","parse-names":false,"suffix":""},{"dropping-particle":"","family":"Hu","given":"Houchun Harry","non-dropping-particle":"","parse-names":false,"suffix":""},{"dropping-particle":"","family":"Bredella","given":"Miriam A.","non-dropping-particle":"","parse-names":false,"suffix":""},{"dropping-particle":"","family":"Enerbäck","given":"Sven","non-dropping-particle":"","parse-names":false,"suffix":""},{"dropping-particle":"","family":"Kinahan","given":"Paul E.","non-dropping-particle":"","parse-names":false,"suffix":""},{"dropping-particle":"","family":"Lichtenbelt","given":"Wouter van Marken","non-dropping-particle":"","parse-names":false,"suffix":""},{"dropping-particle":"","family":"Lin","given":"Frank I.","non-dropping-particle":"","parse-names":false,"suffix":""},{"dropping-particle":"","family":"Sunderland","given":"John J.","non-dropping-particle":"","parse-names":false,"suffix":""},{"dropping-particle":"","family":"Virtanen","given":"Kirsi A.","non-dropping-particle":"","parse-names":false,"suffix":""},{"dropping-particle":"","family":"Wahl","given":"Richard L.","non-dropping-particle":"","parse-names":false,"suffix":""}],"container-title":"Cell Metabolism","id":"ITEM-1","issue":"2","issued":{"date-parts":[["2016","8","9"]]},"page":"210-222","title":"Brown Adipose Reporting Criteria in Imaging STudies (BARCIST 1.0): Recommendations for Standardized FDG-PET/CT Experiments in Humans","type":"article-journal","volume":"24"},"uris":["http://www.mendeley.com/documents/?uuid=fe518d60-4768-305a-aee3-493837d621e6"]}],"mendeley":{"formattedCitation":"(19)","plainTextFormattedCitation":"(19)","previouslyFormattedCitation":"(19)"},"properties":{"noteIndex":0},"schema":"https://github.com/citation-style-language/schema/raw/master/csl-citation.json"}</w:instrText>
      </w:r>
      <w:r w:rsidR="007F62F0" w:rsidRPr="001417BE">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(19)</w:t>
      </w:r>
      <w:r w:rsidR="007F62F0" w:rsidRPr="001417BE">
        <w:rPr>
          <w:rFonts w:ascii="Times New Roman" w:hAnsi="Times New Roman" w:cs="Times New Roman"/>
          <w:sz w:val="24"/>
          <w:szCs w:val="24"/>
          <w:lang w:val="en-US"/>
        </w:rPr>
        <w:fldChar w:fldCharType="end"/>
      </w:r>
      <w:r w:rsidR="00D066F4" w:rsidRPr="001417BE">
        <w:rPr>
          <w:rFonts w:ascii="Times New Roman" w:hAnsi="Times New Roman" w:cs="Times New Roman"/>
          <w:sz w:val="24"/>
          <w:szCs w:val="24"/>
          <w:lang w:val="en-US"/>
        </w:rPr>
        <w:t>.</w:t>
      </w:r>
    </w:p>
    <w:p w14:paraId="65A9FB19" w14:textId="48431631" w:rsidR="0035145C" w:rsidRPr="001417BE" w:rsidRDefault="0031613E" w:rsidP="0035145C">
      <w:pPr>
        <w:spacing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RESEARCH DESIGN</w:t>
      </w:r>
      <w:r w:rsidR="0035145C">
        <w:rPr>
          <w:rFonts w:ascii="Times New Roman" w:hAnsi="Times New Roman" w:cs="Times New Roman"/>
          <w:b/>
          <w:sz w:val="24"/>
          <w:szCs w:val="24"/>
          <w:lang w:val="en-US"/>
        </w:rPr>
        <w:t xml:space="preserve"> AND </w:t>
      </w:r>
      <w:r w:rsidR="0035145C" w:rsidRPr="001417BE">
        <w:rPr>
          <w:rFonts w:ascii="Times New Roman" w:hAnsi="Times New Roman" w:cs="Times New Roman"/>
          <w:b/>
          <w:sz w:val="24"/>
          <w:szCs w:val="24"/>
          <w:lang w:val="en-US"/>
        </w:rPr>
        <w:t>METHODS</w:t>
      </w:r>
    </w:p>
    <w:p w14:paraId="4512DFF9" w14:textId="77777777" w:rsidR="0035145C" w:rsidRPr="00397714" w:rsidRDefault="0035145C" w:rsidP="0035145C">
      <w:pPr>
        <w:spacing w:line="480" w:lineRule="auto"/>
        <w:jc w:val="both"/>
        <w:rPr>
          <w:rFonts w:ascii="Times New Roman" w:hAnsi="Times New Roman" w:cs="Times New Roman"/>
          <w:b/>
          <w:bCs/>
          <w:i/>
          <w:sz w:val="24"/>
          <w:szCs w:val="24"/>
          <w:lang w:val="en-US"/>
        </w:rPr>
      </w:pPr>
      <w:r w:rsidRPr="00397714">
        <w:rPr>
          <w:rFonts w:ascii="Times New Roman" w:hAnsi="Times New Roman" w:cs="Times New Roman"/>
          <w:b/>
          <w:bCs/>
          <w:i/>
          <w:sz w:val="24"/>
          <w:szCs w:val="24"/>
          <w:lang w:val="en-US"/>
        </w:rPr>
        <w:t>Study subjects</w:t>
      </w:r>
    </w:p>
    <w:p w14:paraId="002730E6" w14:textId="0E2BF611" w:rsidR="0035145C" w:rsidRPr="001417BE" w:rsidRDefault="0035145C" w:rsidP="0035145C">
      <w:pPr>
        <w:spacing w:line="480" w:lineRule="auto"/>
        <w:jc w:val="both"/>
        <w:rPr>
          <w:rFonts w:ascii="Times New Roman" w:hAnsi="Times New Roman" w:cs="Times New Roman"/>
          <w:sz w:val="24"/>
          <w:szCs w:val="24"/>
          <w:lang w:val="en-US"/>
        </w:rPr>
      </w:pPr>
      <w:r w:rsidRPr="001417BE">
        <w:rPr>
          <w:rFonts w:ascii="Times New Roman" w:hAnsi="Times New Roman" w:cs="Times New Roman"/>
          <w:sz w:val="24"/>
          <w:szCs w:val="24"/>
          <w:lang w:val="en-US"/>
        </w:rPr>
        <w:t xml:space="preserve">The study subjects were </w:t>
      </w:r>
      <w:r>
        <w:rPr>
          <w:rFonts w:ascii="Times New Roman" w:hAnsi="Times New Roman" w:cs="Times New Roman"/>
          <w:sz w:val="24"/>
          <w:szCs w:val="24"/>
          <w:lang w:val="en-US"/>
        </w:rPr>
        <w:t>12</w:t>
      </w:r>
      <w:r w:rsidR="0012492D">
        <w:rPr>
          <w:rFonts w:ascii="Times New Roman" w:hAnsi="Times New Roman" w:cs="Times New Roman"/>
          <w:sz w:val="24"/>
          <w:szCs w:val="24"/>
          <w:lang w:val="en-US"/>
        </w:rPr>
        <w:t>6</w:t>
      </w:r>
      <w:r w:rsidRPr="001417BE">
        <w:rPr>
          <w:rFonts w:ascii="Times New Roman" w:hAnsi="Times New Roman" w:cs="Times New Roman"/>
          <w:sz w:val="24"/>
          <w:szCs w:val="24"/>
          <w:lang w:val="en-US"/>
        </w:rPr>
        <w:t xml:space="preserve"> young, healthy adults (Table </w:t>
      </w:r>
      <w:r>
        <w:rPr>
          <w:rFonts w:ascii="Times New Roman" w:hAnsi="Times New Roman" w:cs="Times New Roman"/>
          <w:sz w:val="24"/>
          <w:szCs w:val="24"/>
          <w:lang w:val="en-US"/>
        </w:rPr>
        <w:t>1</w:t>
      </w:r>
      <w:r w:rsidRPr="001417BE">
        <w:rPr>
          <w:rFonts w:ascii="Times New Roman" w:hAnsi="Times New Roman" w:cs="Times New Roman"/>
          <w:sz w:val="24"/>
          <w:szCs w:val="24"/>
          <w:lang w:val="en-US"/>
        </w:rPr>
        <w:t>). Th</w:t>
      </w:r>
      <w:r>
        <w:rPr>
          <w:rFonts w:ascii="Times New Roman" w:hAnsi="Times New Roman" w:cs="Times New Roman"/>
          <w:sz w:val="24"/>
          <w:szCs w:val="24"/>
          <w:lang w:val="en-US"/>
        </w:rPr>
        <w:t>is study employs some of their</w:t>
      </w:r>
      <w:r w:rsidRPr="001417BE">
        <w:rPr>
          <w:rFonts w:ascii="Times New Roman" w:hAnsi="Times New Roman" w:cs="Times New Roman"/>
          <w:sz w:val="24"/>
          <w:szCs w:val="24"/>
          <w:lang w:val="en-US"/>
        </w:rPr>
        <w:t xml:space="preserve"> baseline assessment </w:t>
      </w:r>
      <w:r>
        <w:rPr>
          <w:rFonts w:ascii="Times New Roman" w:hAnsi="Times New Roman" w:cs="Times New Roman"/>
          <w:sz w:val="24"/>
          <w:szCs w:val="24"/>
          <w:lang w:val="en-US"/>
        </w:rPr>
        <w:t xml:space="preserve">data as recorded in </w:t>
      </w:r>
      <w:r w:rsidRPr="001417BE">
        <w:rPr>
          <w:rFonts w:ascii="Times New Roman" w:hAnsi="Times New Roman" w:cs="Times New Roman"/>
          <w:sz w:val="24"/>
          <w:szCs w:val="24"/>
          <w:lang w:val="en-US"/>
        </w:rPr>
        <w:t xml:space="preserve">the ACTIBATE study </w:t>
      </w:r>
      <w:r w:rsidRPr="001417BE">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{"citationItems":[{"id":"ITEM-1","itemData":{"DOI":"10.1016/j.cct.2015.11.004","ISSN":"1559-2030","PMID":"26546068","abstract":"AIMS The energy expenditure capacity of brown adipose tissue (BAT) makes it an attractive target as a therapy against obesity and type 2 diabetes. BAT activators namely catecholamines, natriuretic peptides and certain myokines, are secreted in response to exercise. ACTIBATE will determine the effect of exercise on BAT activity and mass measured by positron emission tomography/computed tomography (PET/CT, primary outcome) in young adults. ACTIBATE will also investigate the physiological consequences of activating BAT (secondary outcomes). METHODS ACTIBATE will recruit 150 sedentary, healthy, young adults (50% women) aged 18-25 years. Eligible participants will be randomly assigned to a non-exercise group (n ≈ 50) or one of two exercise groups (n=50 each). Participants in the exercise groups will perform aerobic and strength training 3-4 days/week at a heart rate equivalent to 60% of heart rate reserve (HRres), and at 50% of 1 repetition maximum (RM) for the moderate-intensity group, and at 80% of HRres and 70% RM for the vigorous-intensity group. Laboratory measures completed at baseline and 6 months include BAT activity and mass, resting energy expenditure, meal and cold-induced thermogenesis, body temperature regulation and shivering threshold, body composition and cardiovascular disease risk factors. We will also obtain biopsies from abdominal subcutaneous white adipose tissue and skeletal muscle to analyse the expression of genes encoding proteins involved in the thermogenic machinery. DISCUSSION Findings from ACTIBATE will have significant implications for our understanding of exercise and its protective effects against the development of type 2 diabetes, obesity and related metabolic diseases. ClinicalTrials.gov ID: NCT02365129.","author":[{"dropping-particle":"","family":"Sanchez-Delgado","given":"Guillermo","non-dropping-particle":"","parse-names":false,"suffix":""},{"dropping-particle":"","family":"Martinez-Tellez","given":"Borja","non-dropping-particle":"","parse-names":false,"suffix":""},{"dropping-particle":"","family":"Olza","given":"Josune","non-dropping-particle":"","parse-names":false,"suffix":""},{"dropping-particle":"","family":"Aguilera","given":"Concepcion M.","non-dropping-particle":"","parse-names":false,"suffix":""},{"dropping-particle":"","family":"Labayen","given":"Idoia","non-dropping-particle":"","parse-names":false,"suffix":""},{"dropping-particle":"","family":"Ortega","given":"Francisco B.","non-dropping-particle":"","parse-names":false,"suffix":""},{"dropping-particle":"","family":"Chillon","given":"Palma","non-dropping-particle":"","parse-names":false,"suffix":""},{"dropping-particle":"","family":"Fernandez-Reguera","given":"Carlos","non-dropping-particle":"","parse-names":false,"suffix":""},{"dropping-particle":"","family":"Alcantara","given":"Juan M A","non-dropping-particle":"","parse-names":false,"suffix":""},{"dropping-particle":"","family":"Martinez-Avila","given":"Wendy D.","non-dropping-particle":"","parse-names":false,"suffix":""},{"dropping-particle":"","family":"Muñoz-Hernandez","given":"Victoria","non-dropping-particle":"","parse-names":false,"suffix":""},{"dropping-particle":"","family":"Acosta","given":"Francisco M.","non-dropping-particle":"","parse-names":false,"suffix":""},{"dropping-particle":"","family":"Prados-Ruiz","given":"Juan","non-dropping-particle":"","parse-names":false,"suffix":""},{"dropping-particle":"","family":"Amaro-Gahete","given":"Francisco J.","non-dropping-particle":"","parse-names":false,"suffix":""},{"dropping-particle":"","family":"Hidalgo-Garcia","given":"Laura","non-dropping-particle":"","parse-names":false,"suffix":""},{"dropping-particle":"","family":"Rodriguez","given":"Lorena","non-dropping-particle":"","parse-names":false,"suffix":""},{"dropping-particle":"","family":"Ruiz","given":"Yasmeen Abdel-Karim","non-dropping-particle":"","parse-names":false,"suffix":""},{"dropping-particle":"","family":"Ramirez-Navarro","given":"Angel","non-dropping-particle":"","parse-names":false,"suffix":""},{"dropping-particle":"","family":"Muros-de Fuentes","given":"Maria A.","non-dropping-particle":"","parse-names":false,"suffix":""},{"dropping-particle":"","family":"García-Rivero","given":"Yolanda","non-dropping-particle":"","parse-names":false,"suffix":""},{"dropping-particle":"","family":"Sanchez-Sanchez","given":"Rocio","non-dropping-particle":"","parse-names":false,"suffix":""},{"dropping-particle":"","family":"Dios Beas Jimenez","given":"Juan","non-dropping-particle":"de","parse-names":false,"suffix":""},{"dropping-particle":"","family":"Teresa","given":"Carlos","non-dropping-particle":"de","parse-names":false,"suffix":""},{"dropping-particle":"","family":"Navarrete","given":"Socorro","non-dropping-particle":"","parse-names":false,"suffix":""},{"dropping-particle":"","family":"Lozano","given":"Rosa","non-dropping-particle":"","parse-names":false,"suffix":""},{"dropping-particle":"","family":"Brea-Gomez","given":"Esther","non-dropping-particle":"","parse-names":false,"suffix":""},{"dropping-particle":"","family":"Rubio-Lopez","given":"Jose","non-dropping-particle":"","parse-names":false,"suffix":""},{"dropping-particle":"","family":"Ruiz","given":"Maria R.","non-dropping-particle":"","parse-names":false,"suffix":""},{"dropping-particle":"","family":"Cano-Nieto","given":"Amalia","non-dropping-particle":"","parse-names":false,"suffix":""},{"dropping-particle":"","family":"Llamas-Elvira","given":"Jose M.","non-dropping-particle":"","parse-names":false,"suffix":""},{"dropping-particle":"","family":"Jimenez Rios","given":"Jose A.","non-dropping-particle":"","parse-names":false,"suffix":""},{"dropping-particle":"","family":"Gil","given":"Angel","non-dropping-particle":"","parse-names":false,"suffix":""},{"dropping-particle":"","family":"Ruiz","given":"Jonatan R.","non-dropping-particle":"","parse-names":false,"suffix":""}],"container-title":"Contemporary clinical trials","id":"ITEM-1","issue":"Pt B","issued":{"date-parts":[["2015","11","1"]]},"page":"416-25","publisher":"Elsevier Inc.","title":"Activating brown adipose tissue through exercise (ACTIBATE) in young adults: Rationale, design and methodology.","type":"article-journal","volume":"45"},"uris":["http://www.mendeley.com/documents/?uuid=6122d775-b517-4148-a1ae-191a2e2298e2"]}],"mendeley":{"formattedCitation":"(26)","plainTextFormattedCitation":"(26)","previouslyFormattedCitation":"(26)"},"properties":{"noteIndex":0},"schema":"https://github.com/citation-style-language/schema/raw/master/csl-citation.json"}</w:instrText>
      </w:r>
      <w:r w:rsidRPr="001417BE">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(26)</w:t>
      </w:r>
      <w:r w:rsidRPr="001417BE">
        <w:rPr>
          <w:rFonts w:ascii="Times New Roman" w:hAnsi="Times New Roman" w:cs="Times New Roman"/>
          <w:sz w:val="24"/>
          <w:szCs w:val="24"/>
          <w:lang w:val="en-US"/>
        </w:rPr>
        <w:fldChar w:fldCharType="end"/>
      </w:r>
      <w:r w:rsidRPr="001417BE">
        <w:rPr>
          <w:rFonts w:ascii="Times New Roman" w:hAnsi="Times New Roman" w:cs="Times New Roman"/>
          <w:sz w:val="24"/>
          <w:szCs w:val="24"/>
          <w:lang w:val="en-US"/>
        </w:rPr>
        <w:t xml:space="preserve">, an exercise-based randomized, controlled trial (clinicaltrial.gov: NCT02365129). All reported themselves sedentary (&lt;20 min of moderate-vigorous physical activity on &lt;3days/week), not to smoke, to take no medication, to have had a stable body weight in the last 3 months (&lt;3 kg change), </w:t>
      </w:r>
      <w:bookmarkStart w:id="4" w:name="_Hlk501706478"/>
      <w:r w:rsidRPr="001417BE">
        <w:rPr>
          <w:rFonts w:ascii="Times New Roman" w:hAnsi="Times New Roman" w:cs="Times New Roman"/>
          <w:sz w:val="24"/>
          <w:szCs w:val="24"/>
          <w:lang w:val="en-US"/>
        </w:rPr>
        <w:t>and not to be exposed to cold</w:t>
      </w:r>
      <w:bookmarkEnd w:id="4"/>
      <w:r w:rsidRPr="001417BE">
        <w:rPr>
          <w:rFonts w:ascii="Times New Roman" w:hAnsi="Times New Roman" w:cs="Times New Roman"/>
          <w:sz w:val="24"/>
          <w:szCs w:val="24"/>
          <w:lang w:val="en-US"/>
        </w:rPr>
        <w:t xml:space="preserve"> regularly. All were classified as healthy in a comprehensive medical examination.</w:t>
      </w:r>
      <w:r>
        <w:rPr>
          <w:rFonts w:ascii="Times New Roman" w:hAnsi="Times New Roman" w:cs="Times New Roman"/>
          <w:sz w:val="24"/>
          <w:szCs w:val="24"/>
          <w:lang w:val="en-US"/>
        </w:rPr>
        <w:t xml:space="preserve"> </w:t>
      </w:r>
      <w:r w:rsidRPr="001417BE">
        <w:rPr>
          <w:rFonts w:ascii="Times New Roman" w:hAnsi="Times New Roman" w:cs="Times New Roman"/>
          <w:sz w:val="24"/>
          <w:szCs w:val="24"/>
          <w:lang w:val="en-US"/>
        </w:rPr>
        <w:t xml:space="preserve">All subjects provided their signed, informed consent to be included. The study was approved by the Human Research Ethics Committees of the University of Granada (nº924) and the </w:t>
      </w:r>
      <w:r w:rsidRPr="001417BE">
        <w:rPr>
          <w:rFonts w:ascii="Times New Roman" w:hAnsi="Times New Roman" w:cs="Times New Roman"/>
          <w:i/>
          <w:sz w:val="24"/>
          <w:szCs w:val="24"/>
          <w:lang w:val="en-US"/>
        </w:rPr>
        <w:t>Servicio Andaluz de Salud</w:t>
      </w:r>
      <w:r w:rsidRPr="001417BE">
        <w:rPr>
          <w:rFonts w:ascii="Times New Roman" w:hAnsi="Times New Roman" w:cs="Times New Roman"/>
          <w:sz w:val="24"/>
          <w:szCs w:val="24"/>
          <w:lang w:val="en-US"/>
        </w:rPr>
        <w:t xml:space="preserve"> (</w:t>
      </w:r>
      <w:r w:rsidRPr="001417BE">
        <w:rPr>
          <w:rFonts w:ascii="Times New Roman" w:hAnsi="Times New Roman" w:cs="Times New Roman"/>
          <w:i/>
          <w:sz w:val="24"/>
          <w:szCs w:val="24"/>
          <w:lang w:val="en-US"/>
        </w:rPr>
        <w:t>Centro de Granada, CEI-Granada</w:t>
      </w:r>
      <w:r w:rsidRPr="001417BE">
        <w:rPr>
          <w:rFonts w:ascii="Times New Roman" w:hAnsi="Times New Roman" w:cs="Times New Roman"/>
          <w:sz w:val="24"/>
          <w:szCs w:val="24"/>
          <w:lang w:val="en-US"/>
        </w:rPr>
        <w:t>), and was performed adhering to the latest version of the Declaration of Helsinki.</w:t>
      </w:r>
    </w:p>
    <w:p w14:paraId="7A8B8812" w14:textId="77777777" w:rsidR="0035145C" w:rsidRPr="00397714" w:rsidRDefault="0035145C" w:rsidP="0035145C">
      <w:pPr>
        <w:spacing w:line="480" w:lineRule="auto"/>
        <w:jc w:val="both"/>
        <w:rPr>
          <w:rFonts w:ascii="Times New Roman" w:hAnsi="Times New Roman" w:cs="Times New Roman"/>
          <w:b/>
          <w:bCs/>
          <w:i/>
          <w:sz w:val="24"/>
          <w:szCs w:val="24"/>
          <w:lang w:val="en-US"/>
        </w:rPr>
      </w:pPr>
      <w:r w:rsidRPr="00397714">
        <w:rPr>
          <w:rFonts w:ascii="Times New Roman" w:hAnsi="Times New Roman" w:cs="Times New Roman"/>
          <w:b/>
          <w:bCs/>
          <w:i/>
          <w:sz w:val="24"/>
          <w:szCs w:val="24"/>
          <w:lang w:val="en-US"/>
        </w:rPr>
        <w:t>Procedures</w:t>
      </w:r>
    </w:p>
    <w:p w14:paraId="55F0144C" w14:textId="5596F991" w:rsidR="0035145C" w:rsidRPr="001417BE" w:rsidRDefault="0035145C" w:rsidP="0035145C">
      <w:pPr>
        <w:spacing w:line="480" w:lineRule="auto"/>
        <w:jc w:val="both"/>
        <w:rPr>
          <w:rFonts w:ascii="Times New Roman" w:hAnsi="Times New Roman" w:cs="Times New Roman"/>
          <w:sz w:val="24"/>
          <w:szCs w:val="24"/>
          <w:lang w:val="en-US"/>
        </w:rPr>
      </w:pPr>
      <w:r w:rsidRPr="00782D3B">
        <w:rPr>
          <w:rFonts w:ascii="Times New Roman" w:hAnsi="Times New Roman" w:cs="Times New Roman"/>
          <w:sz w:val="24"/>
          <w:szCs w:val="24"/>
          <w:lang w:val="en-US"/>
        </w:rPr>
        <w:lastRenderedPageBreak/>
        <w:t>Experimental work was</w:t>
      </w:r>
      <w:r w:rsidRPr="001417BE">
        <w:rPr>
          <w:rFonts w:ascii="Times New Roman" w:hAnsi="Times New Roman" w:cs="Times New Roman"/>
          <w:sz w:val="24"/>
          <w:szCs w:val="24"/>
          <w:lang w:val="en-US"/>
        </w:rPr>
        <w:t xml:space="preserve"> performed in Granada (</w:t>
      </w:r>
      <w:r w:rsidRPr="00782D3B">
        <w:rPr>
          <w:rFonts w:ascii="Times New Roman" w:hAnsi="Times New Roman" w:cs="Times New Roman"/>
          <w:sz w:val="24"/>
          <w:szCs w:val="24"/>
          <w:lang w:val="en-US"/>
        </w:rPr>
        <w:t xml:space="preserve">southern Spain) in </w:t>
      </w:r>
      <w:r>
        <w:rPr>
          <w:rFonts w:ascii="Times New Roman" w:hAnsi="Times New Roman" w:cs="Times New Roman"/>
          <w:sz w:val="24"/>
          <w:szCs w:val="24"/>
          <w:lang w:val="en-US"/>
        </w:rPr>
        <w:t>eight</w:t>
      </w:r>
      <w:r w:rsidRPr="00782D3B">
        <w:rPr>
          <w:rFonts w:ascii="Times New Roman" w:hAnsi="Times New Roman" w:cs="Times New Roman"/>
          <w:sz w:val="24"/>
          <w:szCs w:val="24"/>
          <w:lang w:val="en-US"/>
        </w:rPr>
        <w:t xml:space="preserve"> waves, between September and November of 2015 and of 2016. Subject</w:t>
      </w:r>
      <w:r w:rsidRPr="001417BE">
        <w:rPr>
          <w:rFonts w:ascii="Times New Roman" w:hAnsi="Times New Roman" w:cs="Times New Roman"/>
          <w:sz w:val="24"/>
          <w:szCs w:val="24"/>
          <w:lang w:val="en-US"/>
        </w:rPr>
        <w:t xml:space="preserve"> data were collected over three visits to the laboratory </w:t>
      </w:r>
      <w:r w:rsidRPr="001417BE">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{"citationItems":[{"id":"ITEM-1","itemData":{"DOI":"10.1016/j.cct.2015.11.004","ISSN":"1559-2030","PMID":"26546068","abstract":"AIMS The energy expenditure capacity of brown adipose tissue (BAT) makes it an attractive target as a therapy against obesity and type 2 diabetes. BAT activators namely catecholamines, natriuretic peptides and certain myokines, are secreted in response to exercise. ACTIBATE will determine the effect of exercise on BAT activity and mass measured by positron emission tomography/computed tomography (PET/CT, primary outcome) in young adults. ACTIBATE will also investigate the physiological consequences of activating BAT (secondary outcomes). METHODS ACTIBATE will recruit 150 sedentary, healthy, young adults (50% women) aged 18-25 years. Eligible participants will be randomly assigned to a non-exercise group (n ≈ 50) or one of two exercise groups (n=50 each). Participants in the exercise groups will perform aerobic and strength training 3-4 days/week at a heart rate equivalent to 60% of heart rate reserve (HRres), and at 50% of 1 repetition maximum (RM) for the moderate-intensity group, and at 80% of HRres and 70% RM for the vigorous-intensity group. Laboratory measures completed at baseline and 6 months include BAT activity and mass, resting energy expenditure, meal and cold-induced thermogenesis, body temperature regulation and shivering threshold, body composition and cardiovascular disease risk factors. We will also obtain biopsies from abdominal subcutaneous white adipose tissue and skeletal muscle to analyse the expression of genes encoding proteins involved in the thermogenic machinery. DISCUSSION Findings from ACTIBATE will have significant implications for our understanding of exercise and its protective effects against the development of type 2 diabetes, obesity and related metabolic diseases. ClinicalTrials.gov ID: NCT02365129.","author":[{"dropping-particle":"","family":"Sanchez-Delgado","given":"Guillermo","non-dropping-particle":"","parse-names":false,"suffix":""},{"dropping-particle":"","family":"Martinez-Tellez","given":"Borja","non-dropping-particle":"","parse-names":false,"suffix":""},{"dropping-particle":"","family":"Olza","given":"Josune","non-dropping-particle":"","parse-names":false,"suffix":""},{"dropping-particle":"","family":"Aguilera","given":"Concepcion M.","non-dropping-particle":"","parse-names":false,"suffix":""},{"dropping-particle":"","family":"Labayen","given":"Idoia","non-dropping-particle":"","parse-names":false,"suffix":""},{"dropping-particle":"","family":"Ortega","given":"Francisco B.","non-dropping-particle":"","parse-names":false,"suffix":""},{"dropping-particle":"","family":"Chillon","given":"Palma","non-dropping-particle":"","parse-names":false,"suffix":""},{"dropping-particle":"","family":"Fernandez-Reguera","given":"Carlos","non-dropping-particle":"","parse-names":false,"suffix":""},{"dropping-particle":"","family":"Alcantara","given":"Juan M A","non-dropping-particle":"","parse-names":false,"suffix":""},{"dropping-particle":"","family":"Martinez-Avila","given":"Wendy D.","non-dropping-particle":"","parse-names":false,"suffix":""},{"dropping-particle":"","family":"Muñoz-Hernandez","given":"Victoria","non-dropping-particle":"","parse-names":false,"suffix":""},{"dropping-particle":"","family":"Acosta","given":"Francisco M.","non-dropping-particle":"","parse-names":false,"suffix":""},{"dropping-particle":"","family":"Prados-Ruiz","given":"Juan","non-dropping-particle":"","parse-names":false,"suffix":""},{"dropping-particle":"","family":"Amaro-Gahete","given":"Francisco J.","non-dropping-particle":"","parse-names":false,"suffix":""},{"dropping-particle":"","family":"Hidalgo-Garcia","given":"Laura","non-dropping-particle":"","parse-names":false,"suffix":""},{"dropping-particle":"","family":"Rodriguez","given":"Lorena","non-dropping-particle":"","parse-names":false,"suffix":""},{"dropping-particle":"","family":"Ruiz","given":"Yasmeen Abdel-Karim","non-dropping-particle":"","parse-names":false,"suffix":""},{"dropping-particle":"","family":"Ramirez-Navarro","given":"Angel","non-dropping-particle":"","parse-names":false,"suffix":""},{"dropping-particle":"","family":"Muros-de Fuentes","given":"Maria A.","non-dropping-particle":"","parse-names":false,"suffix":""},{"dropping-particle":"","family":"García-Rivero","given":"Yolanda","non-dropping-particle":"","parse-names":false,"suffix":""},{"dropping-particle":"","family":"Sanchez-Sanchez","given":"Rocio","non-dropping-particle":"","parse-names":false,"suffix":""},{"dropping-particle":"","family":"Dios Beas Jimenez","given":"Juan","non-dropping-particle":"de","parse-names":false,"suffix":""},{"dropping-particle":"","family":"Teresa","given":"Carlos","non-dropping-particle":"de","parse-names":false,"suffix":""},{"dropping-particle":"","family":"Navarrete","given":"Socorro","non-dropping-particle":"","parse-names":false,"suffix":""},{"dropping-particle":"","family":"Lozano","given":"Rosa","non-dropping-particle":"","parse-names":false,"suffix":""},{"dropping-particle":"","family":"Brea-Gomez","given":"Esther","non-dropping-particle":"","parse-names":false,"suffix":""},{"dropping-particle":"","family":"Rubio-Lopez","given":"Jose","non-dropping-particle":"","parse-names":false,"suffix":""},{"dropping-particle":"","family":"Ruiz","given":"Maria R.","non-dropping-particle":"","parse-names":false,"suffix":""},{"dropping-particle":"","family":"Cano-Nieto","given":"Amalia","non-dropping-particle":"","parse-names":false,"suffix":""},{"dropping-particle":"","family":"Llamas-Elvira","given":"Jose M.","non-dropping-particle":"","parse-names":false,"suffix":""},{"dropping-particle":"","family":"Jimenez Rios","given":"Jose A.","non-dropping-particle":"","parse-names":false,"suffix":""},{"dropping-particle":"","family":"Gil","given":"Angel","non-dropping-particle":"","parse-names":false,"suffix":""},{"dropping-particle":"","family":"Ruiz","given":"Jonatan R.","non-dropping-particle":"","parse-names":false,"suffix":""}],"container-title":"Contemporary clinical trials","id":"ITEM-1","issue":"Pt B","issued":{"date-parts":[["2015","11","1"]]},"page":"416-25","publisher":"Elsevier Inc.","title":"Activating brown adipose tissue through exercise (ACTIBATE) in young adults: Rationale, design and methodology.","type":"article-journal","volume":"45"},"uris":["http://www.mendeley.com/documents/?uuid=6122d775-b517-4148-a1ae-191a2e2298e2"]}],"mendeley":{"formattedCitation":"(26)","plainTextFormattedCitation":"(26)","previouslyFormattedCitation":"(26)"},"properties":{"noteIndex":0},"schema":"https://github.com/citation-style-language/schema/raw/master/csl-citation.json"}</w:instrText>
      </w:r>
      <w:r w:rsidRPr="001417BE">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(26)</w:t>
      </w:r>
      <w:r w:rsidRPr="001417BE">
        <w:rPr>
          <w:rFonts w:ascii="Times New Roman" w:hAnsi="Times New Roman" w:cs="Times New Roman"/>
          <w:sz w:val="24"/>
          <w:szCs w:val="24"/>
          <w:lang w:val="en-US"/>
        </w:rPr>
        <w:fldChar w:fldCharType="end"/>
      </w:r>
      <w:r w:rsidRPr="001417BE">
        <w:rPr>
          <w:rFonts w:ascii="Times New Roman" w:hAnsi="Times New Roman" w:cs="Times New Roman"/>
          <w:sz w:val="24"/>
          <w:szCs w:val="24"/>
          <w:lang w:val="en-US"/>
        </w:rPr>
        <w:t xml:space="preserve">. In the first, body composition (lean mass, </w:t>
      </w:r>
      <w:r w:rsidRPr="001417BE">
        <w:rPr>
          <w:rFonts w:ascii="Times New Roman" w:eastAsia="Times New Roman" w:hAnsi="Times New Roman" w:cs="Times New Roman"/>
          <w:sz w:val="24"/>
          <w:szCs w:val="20"/>
          <w:lang w:val="en-US" w:eastAsia="es-ES"/>
        </w:rPr>
        <w:t>fat mass, percentage fat mass and VAT</w:t>
      </w:r>
      <w:r>
        <w:rPr>
          <w:rFonts w:ascii="Times New Roman" w:eastAsia="Times New Roman" w:hAnsi="Times New Roman" w:cs="Times New Roman"/>
          <w:sz w:val="24"/>
          <w:szCs w:val="20"/>
          <w:lang w:val="en-US" w:eastAsia="es-ES"/>
        </w:rPr>
        <w:t xml:space="preserve"> mass</w:t>
      </w:r>
      <w:r w:rsidRPr="001417BE">
        <w:rPr>
          <w:rFonts w:ascii="Times New Roman" w:eastAsia="Times New Roman" w:hAnsi="Times New Roman" w:cs="Times New Roman"/>
          <w:sz w:val="24"/>
          <w:szCs w:val="20"/>
          <w:lang w:val="en-US" w:eastAsia="es-ES"/>
        </w:rPr>
        <w:t>)</w:t>
      </w:r>
      <w:r w:rsidRPr="001417BE">
        <w:rPr>
          <w:rFonts w:ascii="Times New Roman" w:hAnsi="Times New Roman" w:cs="Times New Roman"/>
          <w:sz w:val="24"/>
          <w:szCs w:val="24"/>
          <w:lang w:val="en-US"/>
        </w:rPr>
        <w:t xml:space="preserve"> was assessed by whole-body </w:t>
      </w:r>
      <w:r w:rsidRPr="001417BE">
        <w:rPr>
          <w:rFonts w:ascii="Times New Roman" w:hAnsi="Times New Roman" w:cs="Times New Roman"/>
          <w:sz w:val="24"/>
          <w:lang w:val="en-US"/>
        </w:rPr>
        <w:t xml:space="preserve">DXA using a Discovery Wi device (Hologic, Inc., Bedford, MA, USA). Height and weight were measured </w:t>
      </w:r>
      <w:r w:rsidRPr="001417BE">
        <w:rPr>
          <w:rFonts w:ascii="Times New Roman" w:hAnsi="Times New Roman" w:cs="Times New Roman"/>
          <w:sz w:val="24"/>
          <w:szCs w:val="24"/>
          <w:lang w:val="en-US"/>
        </w:rPr>
        <w:t xml:space="preserve">with subjects barefoot and wearing light clothing, using a Model 799 electronic column scale (SECA, Hamburg, Germany). </w:t>
      </w:r>
      <w:r w:rsidRPr="001417BE">
        <w:rPr>
          <w:rFonts w:ascii="Times New Roman" w:eastAsia="Times New Roman" w:hAnsi="Times New Roman" w:cs="Times New Roman"/>
          <w:sz w:val="24"/>
          <w:szCs w:val="20"/>
          <w:lang w:val="en-US" w:eastAsia="es-ES"/>
        </w:rPr>
        <w:t xml:space="preserve">BMI </w:t>
      </w:r>
      <w:r w:rsidRPr="001417BE">
        <w:rPr>
          <w:rFonts w:ascii="Times New Roman" w:hAnsi="Times New Roman" w:cs="Times New Roman"/>
          <w:sz w:val="24"/>
          <w:szCs w:val="24"/>
          <w:lang w:val="en-US"/>
        </w:rPr>
        <w:t>was calculated as weight (kg) / height (m)</w:t>
      </w:r>
      <w:r w:rsidRPr="001417BE">
        <w:rPr>
          <w:rFonts w:ascii="Times New Roman" w:hAnsi="Times New Roman" w:cs="Times New Roman"/>
          <w:sz w:val="24"/>
          <w:szCs w:val="24"/>
          <w:vertAlign w:val="superscript"/>
          <w:lang w:val="en-US"/>
        </w:rPr>
        <w:t>2</w:t>
      </w:r>
      <w:r w:rsidRPr="001417BE">
        <w:rPr>
          <w:rFonts w:ascii="Times New Roman" w:hAnsi="Times New Roman" w:cs="Times New Roman"/>
          <w:sz w:val="24"/>
          <w:szCs w:val="24"/>
          <w:lang w:val="en-US"/>
        </w:rPr>
        <w:t xml:space="preserve">.  Body surface area was calculated following the DuBois and DuBois formula: </w:t>
      </w:r>
      <w:r w:rsidRPr="001417BE">
        <w:rPr>
          <w:rFonts w:ascii="Times New Roman" w:hAnsi="Times New Roman" w:cs="Times New Roman"/>
          <w:i/>
          <w:sz w:val="24"/>
          <w:szCs w:val="24"/>
          <w:lang w:val="en-US"/>
        </w:rPr>
        <w:t>Body surface area = (Weight (kg)</w:t>
      </w:r>
      <w:r w:rsidRPr="001417BE">
        <w:rPr>
          <w:rFonts w:ascii="Times New Roman" w:hAnsi="Times New Roman" w:cs="Times New Roman"/>
          <w:i/>
          <w:sz w:val="24"/>
          <w:szCs w:val="24"/>
          <w:vertAlign w:val="superscript"/>
          <w:lang w:val="en-US"/>
        </w:rPr>
        <w:t>0.425</w:t>
      </w:r>
      <w:r w:rsidRPr="001417BE">
        <w:rPr>
          <w:rFonts w:ascii="Times New Roman" w:hAnsi="Times New Roman" w:cs="Times New Roman"/>
          <w:i/>
          <w:sz w:val="24"/>
          <w:szCs w:val="24"/>
          <w:lang w:val="en-US"/>
        </w:rPr>
        <w:t xml:space="preserve"> x (Height (cm)</w:t>
      </w:r>
      <w:r w:rsidRPr="001417BE">
        <w:rPr>
          <w:rFonts w:ascii="Times New Roman" w:hAnsi="Times New Roman" w:cs="Times New Roman"/>
          <w:i/>
          <w:sz w:val="24"/>
          <w:szCs w:val="24"/>
          <w:vertAlign w:val="superscript"/>
          <w:lang w:val="en-US"/>
        </w:rPr>
        <w:t>0.725</w:t>
      </w:r>
      <w:r w:rsidRPr="001417BE">
        <w:rPr>
          <w:rFonts w:ascii="Times New Roman" w:hAnsi="Times New Roman" w:cs="Times New Roman"/>
          <w:i/>
          <w:sz w:val="24"/>
          <w:szCs w:val="24"/>
          <w:lang w:val="en-US"/>
        </w:rPr>
        <w:t>) x 0.007184</w:t>
      </w:r>
      <w:r w:rsidRPr="001417BE">
        <w:rPr>
          <w:rFonts w:ascii="Times New Roman" w:hAnsi="Times New Roman" w:cs="Times New Roman"/>
          <w:sz w:val="24"/>
          <w:szCs w:val="24"/>
          <w:lang w:val="en-US"/>
        </w:rPr>
        <w:t xml:space="preserve"> </w:t>
      </w:r>
      <w:r w:rsidRPr="001417BE">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author":[{"dropping-particle":"","family":"DuBois","given":"D","non-dropping-particle":"","parse-names":false,"suffix":""},{"dropping-particle":"","family":"DuBois","given":"EF","non-dropping-particle":"","parse-names":false,"suffix":""}],"container-title":"Archives of Internal Medicine","id":"ITEM-1","issued":{"date-parts":[["1916"]]},"page":"863-71","title":"A formula to estimate the approximate surface area if height and weight be known. Arch Intern Medicine","type":"article-journal","volume":"17"},"uris":["http://www.mendeley.com/documents/?uuid=277e3041-661f-4e4a-87fe-8aa5682df8a5"]}],"mendeley":{"formattedCitation":"(27)","plainTextFormattedCitation":"(27)","previouslyFormattedCitation":"(27)"},"properties":{"noteIndex":0},"schema":"https://github.com/citation-style-language/schema/raw/master/csl-citation.json"}</w:instrText>
      </w:r>
      <w:r w:rsidRPr="001417BE">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(27)</w:t>
      </w:r>
      <w:r w:rsidRPr="001417BE">
        <w:rPr>
          <w:rFonts w:ascii="Times New Roman" w:hAnsi="Times New Roman" w:cs="Times New Roman"/>
          <w:sz w:val="24"/>
          <w:szCs w:val="24"/>
          <w:lang w:val="en-US"/>
        </w:rPr>
        <w:fldChar w:fldCharType="end"/>
      </w:r>
      <w:r w:rsidRPr="001417BE">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01716E">
        <w:rPr>
          <w:rFonts w:ascii="Times New Roman" w:hAnsi="Times New Roman" w:cs="Times New Roman"/>
          <w:sz w:val="24"/>
          <w:szCs w:val="24"/>
          <w:lang w:val="en-US"/>
        </w:rPr>
        <w:t>Waist circumference was measured twice in the minimum perimeter with an inextensible metallic tape, in the standing position, and the average value were considered for further analyses</w:t>
      </w:r>
      <w:r>
        <w:rPr>
          <w:rFonts w:ascii="Times New Roman" w:hAnsi="Times New Roman" w:cs="Times New Roman"/>
          <w:sz w:val="24"/>
          <w:szCs w:val="24"/>
          <w:lang w:val="en-US"/>
        </w:rPr>
        <w:t>.</w:t>
      </w:r>
    </w:p>
    <w:p w14:paraId="76479647" w14:textId="113D0E89" w:rsidR="0035145C" w:rsidRPr="001417BE" w:rsidRDefault="0035145C" w:rsidP="0035145C">
      <w:pPr>
        <w:spacing w:line="480" w:lineRule="auto"/>
        <w:jc w:val="both"/>
        <w:rPr>
          <w:rFonts w:ascii="Times New Roman" w:hAnsi="Times New Roman" w:cs="Times New Roman"/>
          <w:sz w:val="24"/>
          <w:szCs w:val="24"/>
          <w:lang w:val="en-US"/>
        </w:rPr>
      </w:pPr>
      <w:r w:rsidRPr="001417BE">
        <w:rPr>
          <w:rFonts w:ascii="Times New Roman" w:hAnsi="Times New Roman" w:cs="Times New Roman"/>
          <w:sz w:val="24"/>
          <w:szCs w:val="24"/>
          <w:lang w:val="en-US"/>
        </w:rPr>
        <w:t xml:space="preserve">The shivering threshold was assessed, as described elsewhere </w:t>
      </w:r>
      <w:r w:rsidRPr="001417BE">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{"citationItems":[{"id":"ITEM-1","itemData":{"DOI":"10.3389/fphys.2017.00863","ISSN":"1664042X","PMID":"29163207","abstract":"Brown adipose tissue (BAT) activity is induced when humans are exposed to cold. Therefore, cold exposure prior to the 18F-FDG-PET/CT scan is used as a tool to quantify BAT. Several cooling protocols, including fixed and personalised ones are currently in use. The aim of the present study was to determine the effect of a new personalised cooling protocol where the shivering threshold was measured on a separate day, on BAT volume and activity in young adults. A total of 47 adults (n=28 women) aged 22±2 years participated in the study. We determined participants’ shivering threshold (visually and self-reported) using a water perfused cooling vest in an air-conditioned cold room. 48-72 hours later, participants wore the cooling vest set at ~4ºC above the shivering threshold for 60 minutes prior to injection of 18F-FDG and ~5ºC above the shivering threshold for ~60 minutes after injection, until PET/CT scan. We quantified BAT following BARCIST 1.0 recommendations. We identified 40 participants (85%, n=25 women) as PET+ and 7 (n=3 women) as PET-. The PET+ group presented significantly higher BAT volume and activity than PET- group (all P&lt;0.05). PET+ women had higher BAT mean activity than PET+ men (SUVmean: 5.0±1.6 vs. 3.6±0.9 g/ml respectively, P=0.003), and there were no significant sex differences in BAT volume (P=0.161). A total of 9 out of 47 participants did not shiver during the shivering threshold test. Our findings are similar to previous cold-stimulated human BAT studies; therefore, we conclude that our personalised cooling protocol is able to activate BAT in young adults.","author":[{"dropping-particle":"","family":"Martinez-Tellez","given":"Borja","non-dropping-particle":"","parse-names":false,"suffix":""},{"dropping-particle":"","family":"Sanchez-Delgado","given":"Guillermo","non-dropping-particle":"","parse-names":false,"suffix":""},{"dropping-particle":"","family":"Garcia-Rivero","given":"Yolanda","non-dropping-particle":"","parse-names":false,"suffix":""},{"dropping-particle":"","family":"Alcantara","given":"Juan M.A.","non-dropping-particle":"","parse-names":false,"suffix":""},{"dropping-particle":"","family":"Martinez-Avila","given":"Wendy D.","non-dropping-particle":"","parse-names":false,"suffix":""},{"dropping-particle":"V.","family":"Muñoz-Hernandez","given":"Maria","non-dropping-particle":"","parse-names":false,"suffix":""},{"dropping-particle":"","family":"Olza","given":"Josune","non-dropping-particle":"","parse-names":false,"suffix":""},{"dropping-particle":"","family":"Boon","given":"Mariëtte R.","non-dropping-particle":"","parse-names":false,"suffix":""},{"dropping-particle":"","family":"Rensen","given":"Patrick C.N.","non-dropping-particle":"","parse-names":false,"suffix":""},{"dropping-particle":"","family":"Llamas-Elvira","given":"Jose M.","non-dropping-particle":"","parse-names":false,"suffix":""},{"dropping-particle":"","family":"Ruiz","given":"Jonatan R.","non-dropping-particle":"","parse-names":false,"suffix":""}],"container-title":"Frontiers in Physiology","id":"ITEM-1","issue":"NOV","issued":{"date-parts":[["2017"]]},"page":"1-10","title":"A new personalized cooling protocol to activate brown adipose tissue in young adults","type":"article-journal","volume":"8"},"uris":["http://www.mendeley.com/documents/?uuid=4f8e2321-4f44-4f3f-83bb-cca944a318a9"]}],"mendeley":{"formattedCitation":"(28)","plainTextFormattedCitation":"(28)","previouslyFormattedCitation":"(28)"},"properties":{"noteIndex":0},"schema":"https://github.com/citation-style-language/schema/raw/master/csl-citation.json"}</w:instrText>
      </w:r>
      <w:r w:rsidRPr="001417BE">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(28)</w:t>
      </w:r>
      <w:r w:rsidRPr="001417BE">
        <w:rPr>
          <w:rFonts w:ascii="Times New Roman" w:hAnsi="Times New Roman" w:cs="Times New Roman"/>
          <w:sz w:val="24"/>
          <w:szCs w:val="24"/>
          <w:lang w:val="en-US"/>
        </w:rPr>
        <w:fldChar w:fldCharType="end"/>
      </w:r>
      <w:r w:rsidRPr="001417BE">
        <w:rPr>
          <w:rFonts w:ascii="Times New Roman" w:hAnsi="Times New Roman" w:cs="Times New Roman"/>
          <w:sz w:val="24"/>
          <w:szCs w:val="24"/>
          <w:lang w:val="en-US"/>
        </w:rPr>
        <w:t xml:space="preserve">, on each subject's second visit. Briefly, after a fasting period (&gt;6 h), the subjects were dressed in standardized clothes (clothing insulation value: 0.20) and entered a warm room for 30 min. They were then moved into a mild cold room (19.5-20ºC) and fitted with a water-perfused cooling vest </w:t>
      </w:r>
      <w:r w:rsidRPr="001417BE">
        <w:rPr>
          <w:rFonts w:ascii="Times New Roman" w:hAnsi="Times New Roman" w:cs="Times New Roman"/>
          <w:sz w:val="24"/>
          <w:lang w:val="en-US"/>
        </w:rPr>
        <w:t>(</w:t>
      </w:r>
      <w:r w:rsidRPr="001417BE">
        <w:rPr>
          <w:rFonts w:ascii="Times New Roman" w:hAnsi="Times New Roman" w:cs="Times New Roman"/>
          <w:sz w:val="24"/>
          <w:szCs w:val="24"/>
          <w:lang w:val="en-US"/>
        </w:rPr>
        <w:t>Polar Products Inc., Stow, Ohio, USA) set at 16.6ºC. The water temperature was progressively decreased until shivering started. Shivering was detected visually and by asking the participants if they had begun to shiver.</w:t>
      </w:r>
    </w:p>
    <w:p w14:paraId="335D067F" w14:textId="75BCFB15" w:rsidR="0035145C" w:rsidRPr="001417BE" w:rsidRDefault="0035145C" w:rsidP="0035145C">
      <w:pPr>
        <w:spacing w:line="480" w:lineRule="auto"/>
        <w:jc w:val="both"/>
        <w:rPr>
          <w:rFonts w:ascii="Times New Roman" w:hAnsi="Times New Roman" w:cs="Times New Roman"/>
          <w:sz w:val="24"/>
          <w:szCs w:val="24"/>
          <w:lang w:val="en-US"/>
        </w:rPr>
      </w:pPr>
      <w:r w:rsidRPr="001417BE">
        <w:rPr>
          <w:rFonts w:ascii="Times New Roman" w:hAnsi="Times New Roman" w:cs="Times New Roman"/>
          <w:sz w:val="24"/>
          <w:szCs w:val="24"/>
          <w:lang w:val="en-US"/>
        </w:rPr>
        <w:t xml:space="preserve">On the third visit, </w:t>
      </w:r>
      <w:r w:rsidRPr="001417BE">
        <w:rPr>
          <w:rFonts w:ascii="Times New Roman" w:hAnsi="Times New Roman" w:cs="Times New Roman"/>
          <w:sz w:val="24"/>
          <w:lang w:val="en-US"/>
        </w:rPr>
        <w:t xml:space="preserve">48-72 h after the shivering threshold test, </w:t>
      </w:r>
      <w:r w:rsidRPr="001417BE">
        <w:rPr>
          <w:rFonts w:ascii="Times New Roman" w:hAnsi="Times New Roman" w:cs="Times New Roman"/>
          <w:sz w:val="24"/>
          <w:szCs w:val="24"/>
          <w:lang w:val="en-US"/>
        </w:rPr>
        <w:t xml:space="preserve">BAT </w:t>
      </w:r>
      <w:r>
        <w:rPr>
          <w:rFonts w:ascii="Times New Roman" w:hAnsi="Times New Roman" w:cs="Times New Roman"/>
          <w:sz w:val="24"/>
          <w:szCs w:val="24"/>
          <w:lang w:val="en-US"/>
        </w:rPr>
        <w:t xml:space="preserve">volume and </w:t>
      </w:r>
      <w:r w:rsidRPr="006E1F71">
        <w:rPr>
          <w:rFonts w:ascii="Times New Roman" w:hAnsi="Times New Roman" w:cs="Times New Roman"/>
          <w:sz w:val="24"/>
          <w:szCs w:val="24"/>
          <w:vertAlign w:val="superscript"/>
          <w:lang w:val="en-US"/>
        </w:rPr>
        <w:t>18</w:t>
      </w:r>
      <w:r>
        <w:rPr>
          <w:rFonts w:ascii="Times New Roman" w:hAnsi="Times New Roman" w:cs="Times New Roman"/>
          <w:sz w:val="24"/>
          <w:szCs w:val="24"/>
          <w:lang w:val="en-US"/>
        </w:rPr>
        <w:t xml:space="preserve">F-FDG uptake </w:t>
      </w:r>
      <w:r w:rsidRPr="001417BE">
        <w:rPr>
          <w:rFonts w:ascii="Times New Roman" w:hAnsi="Times New Roman" w:cs="Times New Roman"/>
          <w:sz w:val="24"/>
          <w:szCs w:val="24"/>
          <w:lang w:val="en-US"/>
        </w:rPr>
        <w:t>w</w:t>
      </w:r>
      <w:r>
        <w:rPr>
          <w:rFonts w:ascii="Times New Roman" w:hAnsi="Times New Roman" w:cs="Times New Roman"/>
          <w:sz w:val="24"/>
          <w:szCs w:val="24"/>
          <w:lang w:val="en-US"/>
        </w:rPr>
        <w:t>ere</w:t>
      </w:r>
      <w:r w:rsidRPr="001417BE">
        <w:rPr>
          <w:rFonts w:ascii="Times New Roman" w:hAnsi="Times New Roman" w:cs="Times New Roman"/>
          <w:sz w:val="24"/>
          <w:szCs w:val="24"/>
          <w:lang w:val="en-US"/>
        </w:rPr>
        <w:t xml:space="preserve"> assessed as previously described </w:t>
      </w:r>
      <w:r w:rsidRPr="001417BE">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{"citationItems":[{"id":"ITEM-1","itemData":{"DOI":"10.3389/fphys.2017.00863","ISSN":"1664042X","PMID":"29163207","abstract":"Brown adipose tissue (BAT) activity is induced when humans are exposed to cold. Therefore, cold exposure prior to the 18F-FDG-PET/CT scan is used as a tool to quantify BAT. Several cooling protocols, including fixed and personalised ones are currently in use. The aim of the present study was to determine the effect of a new personalised cooling protocol where the shivering threshold was measured on a separate day, on BAT volume and activity in young adults. A total of 47 adults (n=28 women) aged 22±2 years participated in the study. We determined participants’ shivering threshold (visually and self-reported) using a water perfused cooling vest in an air-conditioned cold room. 48-72 hours later, participants wore the cooling vest set at ~4ºC above the shivering threshold for 60 minutes prior to injection of 18F-FDG and ~5ºC above the shivering threshold for ~60 minutes after injection, until PET/CT scan. We quantified BAT following BARCIST 1.0 recommendations. We identified 40 participants (85%, n=25 women) as PET+ and 7 (n=3 women) as PET-. The PET+ group presented significantly higher BAT volume and activity than PET- group (all P&lt;0.05). PET+ women had higher BAT mean activity than PET+ men (SUVmean: 5.0±1.6 vs. 3.6±0.9 g/ml respectively, P=0.003), and there were no significant sex differences in BAT volume (P=0.161). A total of 9 out of 47 participants did not shiver during the shivering threshold test. Our findings are similar to previous cold-stimulated human BAT studies; therefore, we conclude that our personalised cooling protocol is able to activate BAT in young adults.","author":[{"dropping-particle":"","family":"Martinez-Tellez","given":"Borja","non-dropping-particle":"","parse-names":false,"suffix":""},{"dropping-particle":"","family":"Sanchez-Delgado","given":"Guillermo","non-dropping-particle":"","parse-names":false,"suffix":""},{"dropping-particle":"","family":"Garcia-Rivero","given":"Yolanda","non-dropping-particle":"","parse-names":false,"suffix":""},{"dropping-particle":"","family":"Alcantara","given":"Juan M.A.","non-dropping-particle":"","parse-names":false,"suffix":""},{"dropping-particle":"","family":"Martinez-Avila","given":"Wendy D.","non-dropping-particle":"","parse-names":false,"suffix":""},{"dropping-particle":"V.","family":"Muñoz-Hernandez","given":"Maria","non-dropping-particle":"","parse-names":false,"suffix":""},{"dropping-particle":"","family":"Olza","given":"Josune","non-dropping-particle":"","parse-names":false,"suffix":""},{"dropping-particle":"","family":"Boon","given":"Mariëtte R.","non-dropping-particle":"","parse-names":false,"suffix":""},{"dropping-particle":"","family":"Rensen","given":"Patrick C.N.","non-dropping-particle":"","parse-names":false,"suffix":""},{"dropping-particle":"","family":"Llamas-Elvira","given":"Jose M.","non-dropping-particle":"","parse-names":false,"suffix":""},{"dropping-particle":"","family":"Ruiz","given":"Jonatan R.","non-dropping-particle":"","parse-names":false,"suffix":""}],"container-title":"Frontiers in Physiology","id":"ITEM-1","issue":"NOV","issued":{"date-parts":[["2017"]]},"page":"1-10","title":"A new personalized cooling protocol to activate brown adipose tissue in young adults","type":"article-journal","volume":"8"},"uris":["http://www.mendeley.com/documents/?uuid=4f8e2321-4f44-4f3f-83bb-cca944a318a9"]}],"mendeley":{"formattedCitation":"(28)","plainTextFormattedCitation":"(28)","previouslyFormattedCitation":"(28)"},"properties":{"noteIndex":0},"schema":"https://github.com/citation-style-language/schema/raw/master/csl-citation.json"}</w:instrText>
      </w:r>
      <w:r w:rsidRPr="001417BE">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(28)</w:t>
      </w:r>
      <w:r w:rsidRPr="001417BE">
        <w:rPr>
          <w:rFonts w:ascii="Times New Roman" w:hAnsi="Times New Roman" w:cs="Times New Roman"/>
          <w:sz w:val="24"/>
          <w:szCs w:val="24"/>
          <w:lang w:val="en-US"/>
        </w:rPr>
        <w:fldChar w:fldCharType="end"/>
      </w:r>
      <w:r w:rsidRPr="001417BE">
        <w:rPr>
          <w:rFonts w:ascii="Times New Roman" w:hAnsi="Times New Roman" w:cs="Times New Roman"/>
          <w:sz w:val="24"/>
          <w:szCs w:val="24"/>
          <w:lang w:val="en-US"/>
        </w:rPr>
        <w:t>. Upon arrival, still under fast</w:t>
      </w:r>
      <w:r>
        <w:rPr>
          <w:rFonts w:ascii="Times New Roman" w:hAnsi="Times New Roman" w:cs="Times New Roman"/>
          <w:sz w:val="24"/>
          <w:szCs w:val="24"/>
          <w:lang w:val="en-US"/>
        </w:rPr>
        <w:t xml:space="preserve"> </w:t>
      </w:r>
      <w:r w:rsidRPr="001417BE">
        <w:rPr>
          <w:rFonts w:ascii="Times New Roman" w:hAnsi="Times New Roman" w:cs="Times New Roman"/>
          <w:sz w:val="24"/>
          <w:szCs w:val="24"/>
          <w:lang w:val="en-US"/>
        </w:rPr>
        <w:t xml:space="preserve">(&gt;6 h), the subjects put on the same standardized clothes and entered a warm room. After 30 min, they were moved to a mild cold room (19.5-20ºC) and equipped with the same water-perfused vest set 4ºC above their shivering threshold. Participants remained cold-exposed for 2 h, during which </w:t>
      </w:r>
      <w:r>
        <w:rPr>
          <w:rFonts w:ascii="Times New Roman" w:hAnsi="Times New Roman" w:cs="Times New Roman"/>
          <w:sz w:val="24"/>
          <w:szCs w:val="24"/>
          <w:lang w:val="en-US"/>
        </w:rPr>
        <w:t xml:space="preserve">time </w:t>
      </w:r>
      <w:r w:rsidRPr="001417BE">
        <w:rPr>
          <w:rFonts w:ascii="Times New Roman" w:hAnsi="Times New Roman" w:cs="Times New Roman"/>
          <w:sz w:val="24"/>
          <w:szCs w:val="24"/>
          <w:lang w:val="en-US"/>
        </w:rPr>
        <w:t xml:space="preserve">the water temperature was slightly increased if participants began to shiver. </w:t>
      </w:r>
      <w:bookmarkStart w:id="5" w:name="_Hlk65704140"/>
      <w:r w:rsidR="009B5C1B">
        <w:rPr>
          <w:rFonts w:ascii="Times New Roman" w:hAnsi="Times New Roman" w:cs="Times New Roman"/>
          <w:sz w:val="24"/>
          <w:szCs w:val="24"/>
          <w:lang w:val="en-US"/>
        </w:rPr>
        <w:t>Of note, the water temperature target (</w:t>
      </w:r>
      <w:bookmarkStart w:id="6" w:name="_Hlk65704123"/>
      <w:r w:rsidR="009B5C1B" w:rsidRPr="001417BE">
        <w:rPr>
          <w:rFonts w:ascii="Times New Roman" w:hAnsi="Times New Roman" w:cs="Times New Roman"/>
          <w:sz w:val="24"/>
          <w:szCs w:val="24"/>
          <w:lang w:val="en-US"/>
        </w:rPr>
        <w:t xml:space="preserve">4ºC </w:t>
      </w:r>
      <w:bookmarkEnd w:id="6"/>
      <w:r w:rsidR="009B5C1B">
        <w:rPr>
          <w:rFonts w:ascii="Times New Roman" w:hAnsi="Times New Roman" w:cs="Times New Roman"/>
          <w:sz w:val="24"/>
          <w:szCs w:val="24"/>
          <w:lang w:val="en-US"/>
        </w:rPr>
        <w:t>above the shivering threshold) was selected after we observed, in a previous unpublished pilot study, that most participants start</w:t>
      </w:r>
      <w:r w:rsidR="005F124F">
        <w:rPr>
          <w:rFonts w:ascii="Times New Roman" w:hAnsi="Times New Roman" w:cs="Times New Roman"/>
          <w:sz w:val="24"/>
          <w:szCs w:val="24"/>
          <w:lang w:val="en-US"/>
        </w:rPr>
        <w:t>ed</w:t>
      </w:r>
      <w:r w:rsidR="009B5C1B">
        <w:rPr>
          <w:rFonts w:ascii="Times New Roman" w:hAnsi="Times New Roman" w:cs="Times New Roman"/>
          <w:sz w:val="24"/>
          <w:szCs w:val="24"/>
          <w:lang w:val="en-US"/>
        </w:rPr>
        <w:t xml:space="preserve"> shivering during 2 h of cold exposure at lower temperatures. </w:t>
      </w:r>
      <w:bookmarkEnd w:id="5"/>
      <w:r w:rsidRPr="001417BE">
        <w:rPr>
          <w:rFonts w:ascii="Times New Roman" w:hAnsi="Times New Roman" w:cs="Times New Roman"/>
          <w:sz w:val="24"/>
          <w:szCs w:val="24"/>
          <w:lang w:val="en-US"/>
        </w:rPr>
        <w:t xml:space="preserve">One hour after the beginning of cold exposure, the subjects were injected </w:t>
      </w:r>
      <w:r w:rsidRPr="001417BE">
        <w:rPr>
          <w:rFonts w:ascii="Times New Roman" w:hAnsi="Times New Roman" w:cs="Times New Roman"/>
          <w:sz w:val="24"/>
          <w:szCs w:val="24"/>
          <w:lang w:val="en-US"/>
        </w:rPr>
        <w:lastRenderedPageBreak/>
        <w:t xml:space="preserve">with an </w:t>
      </w:r>
      <w:r w:rsidRPr="001417BE">
        <w:rPr>
          <w:rFonts w:ascii="Times New Roman" w:hAnsi="Times New Roman" w:cs="Times New Roman"/>
          <w:sz w:val="24"/>
          <w:lang w:val="en-US"/>
        </w:rPr>
        <w:t xml:space="preserve">intravenous </w:t>
      </w:r>
      <w:r w:rsidRPr="001417BE">
        <w:rPr>
          <w:rFonts w:ascii="Times New Roman" w:hAnsi="Times New Roman" w:cs="Times New Roman"/>
          <w:sz w:val="24"/>
          <w:vertAlign w:val="superscript"/>
          <w:lang w:val="en-US"/>
        </w:rPr>
        <w:t>18</w:t>
      </w:r>
      <w:r w:rsidRPr="001417BE">
        <w:rPr>
          <w:rFonts w:ascii="Times New Roman" w:hAnsi="Times New Roman" w:cs="Times New Roman"/>
          <w:sz w:val="24"/>
          <w:lang w:val="en-US"/>
        </w:rPr>
        <w:t xml:space="preserve">F-FDG bolus (≈185 MBq), and the water temperature increased by 1ºC. After finishing the 2 h of cold-exposure, an </w:t>
      </w:r>
      <w:r w:rsidRPr="001417BE">
        <w:rPr>
          <w:rFonts w:ascii="Times New Roman" w:hAnsi="Times New Roman" w:cs="Times New Roman"/>
          <w:sz w:val="24"/>
          <w:vertAlign w:val="superscript"/>
          <w:lang w:val="en-US"/>
        </w:rPr>
        <w:t>18</w:t>
      </w:r>
      <w:r w:rsidRPr="001417BE">
        <w:rPr>
          <w:rFonts w:ascii="Times New Roman" w:hAnsi="Times New Roman" w:cs="Times New Roman"/>
          <w:sz w:val="24"/>
          <w:lang w:val="en-US"/>
        </w:rPr>
        <w:t>F-FDG-PET-CT scan was performed using a Siemens Biograph 16 PET-CT machine (Siemens, Berlin, Germany).</w:t>
      </w:r>
      <w:r>
        <w:rPr>
          <w:rFonts w:ascii="Times New Roman" w:hAnsi="Times New Roman" w:cs="Times New Roman"/>
          <w:sz w:val="24"/>
          <w:lang w:val="en-US"/>
        </w:rPr>
        <w:t xml:space="preserve"> We registered the date when the PET-CT was performed as the number of days from January 1</w:t>
      </w:r>
      <w:r w:rsidRPr="006326C2">
        <w:rPr>
          <w:rFonts w:ascii="Times New Roman" w:hAnsi="Times New Roman" w:cs="Times New Roman"/>
          <w:sz w:val="24"/>
          <w:vertAlign w:val="superscript"/>
          <w:lang w:val="en-US"/>
        </w:rPr>
        <w:t>st</w:t>
      </w:r>
      <w:r>
        <w:rPr>
          <w:rFonts w:ascii="Times New Roman" w:hAnsi="Times New Roman" w:cs="Times New Roman"/>
          <w:sz w:val="24"/>
          <w:lang w:val="en-US"/>
        </w:rPr>
        <w:t xml:space="preserve"> of the same year to the date when</w:t>
      </w:r>
      <w:r w:rsidRPr="005C74F0">
        <w:rPr>
          <w:rFonts w:ascii="Times New Roman" w:hAnsi="Times New Roman" w:cs="Times New Roman"/>
          <w:sz w:val="24"/>
          <w:lang w:val="en-US"/>
        </w:rPr>
        <w:t xml:space="preserve"> </w:t>
      </w:r>
      <w:r>
        <w:rPr>
          <w:rFonts w:ascii="Times New Roman" w:hAnsi="Times New Roman" w:cs="Times New Roman"/>
          <w:sz w:val="24"/>
          <w:lang w:val="en-US"/>
        </w:rPr>
        <w:t>the PET-CT was actually performed</w:t>
      </w:r>
      <w:r w:rsidR="00402BF7">
        <w:rPr>
          <w:rFonts w:ascii="Times New Roman" w:hAnsi="Times New Roman" w:cs="Times New Roman"/>
          <w:sz w:val="24"/>
          <w:lang w:val="en-US"/>
        </w:rPr>
        <w:t xml:space="preserve"> (e.g. February 15</w:t>
      </w:r>
      <w:r w:rsidR="00402BF7" w:rsidRPr="00402BF7">
        <w:rPr>
          <w:rFonts w:ascii="Times New Roman" w:hAnsi="Times New Roman" w:cs="Times New Roman"/>
          <w:sz w:val="24"/>
          <w:vertAlign w:val="superscript"/>
          <w:lang w:val="en-US"/>
        </w:rPr>
        <w:t>th</w:t>
      </w:r>
      <w:r w:rsidR="00402BF7">
        <w:rPr>
          <w:rFonts w:ascii="Times New Roman" w:hAnsi="Times New Roman" w:cs="Times New Roman"/>
          <w:sz w:val="24"/>
          <w:lang w:val="en-US"/>
        </w:rPr>
        <w:t xml:space="preserve"> would be recorded as day 46)</w:t>
      </w:r>
      <w:r>
        <w:rPr>
          <w:rFonts w:ascii="Times New Roman" w:hAnsi="Times New Roman" w:cs="Times New Roman"/>
          <w:sz w:val="24"/>
          <w:lang w:val="en-US"/>
        </w:rPr>
        <w:t>.</w:t>
      </w:r>
    </w:p>
    <w:p w14:paraId="12CF14C6" w14:textId="77777777" w:rsidR="0035145C" w:rsidRPr="00397714" w:rsidRDefault="0035145C" w:rsidP="0035145C">
      <w:pPr>
        <w:spacing w:line="480" w:lineRule="auto"/>
        <w:jc w:val="both"/>
        <w:rPr>
          <w:rFonts w:ascii="Times New Roman" w:hAnsi="Times New Roman" w:cs="Times New Roman"/>
          <w:b/>
          <w:bCs/>
          <w:i/>
          <w:sz w:val="24"/>
          <w:szCs w:val="24"/>
          <w:lang w:val="en-US"/>
        </w:rPr>
      </w:pPr>
      <w:r w:rsidRPr="00397714">
        <w:rPr>
          <w:rFonts w:ascii="Times New Roman" w:hAnsi="Times New Roman" w:cs="Times New Roman"/>
          <w:b/>
          <w:bCs/>
          <w:i/>
          <w:sz w:val="24"/>
          <w:szCs w:val="24"/>
          <w:vertAlign w:val="superscript"/>
          <w:lang w:val="en-US"/>
        </w:rPr>
        <w:t>18</w:t>
      </w:r>
      <w:r w:rsidRPr="00397714">
        <w:rPr>
          <w:rFonts w:ascii="Times New Roman" w:hAnsi="Times New Roman" w:cs="Times New Roman"/>
          <w:b/>
          <w:bCs/>
          <w:i/>
          <w:sz w:val="24"/>
          <w:szCs w:val="24"/>
          <w:lang w:val="en-US"/>
        </w:rPr>
        <w:t>F-FDG PET-CT analyses</w:t>
      </w:r>
    </w:p>
    <w:p w14:paraId="2D5CB337" w14:textId="1D6D758B" w:rsidR="0035145C" w:rsidRPr="001417BE" w:rsidRDefault="0035145C" w:rsidP="006D5746">
      <w:pPr>
        <w:spacing w:line="480" w:lineRule="auto"/>
        <w:jc w:val="both"/>
        <w:rPr>
          <w:rFonts w:ascii="Times New Roman" w:hAnsi="Times New Roman" w:cs="Times New Roman"/>
          <w:sz w:val="24"/>
          <w:lang w:val="en-US"/>
        </w:rPr>
      </w:pPr>
      <w:bookmarkStart w:id="7" w:name="_Hlk65613972"/>
      <w:r w:rsidRPr="001417BE">
        <w:rPr>
          <w:rFonts w:ascii="Times New Roman" w:hAnsi="Times New Roman" w:cs="Times New Roman"/>
          <w:sz w:val="24"/>
          <w:lang w:val="en-US"/>
        </w:rPr>
        <w:t xml:space="preserve">PET-CT images were taken </w:t>
      </w:r>
      <w:r w:rsidR="001F369B">
        <w:rPr>
          <w:rFonts w:ascii="Times New Roman" w:hAnsi="Times New Roman" w:cs="Times New Roman"/>
          <w:sz w:val="24"/>
          <w:lang w:val="en-US"/>
        </w:rPr>
        <w:t xml:space="preserve">after cold stimulation </w:t>
      </w:r>
      <w:r w:rsidRPr="001417BE">
        <w:rPr>
          <w:rFonts w:ascii="Times New Roman" w:hAnsi="Times New Roman" w:cs="Times New Roman"/>
          <w:sz w:val="24"/>
          <w:lang w:val="en-US"/>
        </w:rPr>
        <w:t xml:space="preserve">from the atlas vertebrae (cervical 1) to the thoracic vertebra 6 (2 BEDs), approximately. The images were analyzed using the Beth Israel plugin for FIJI software </w:t>
      </w:r>
      <w:r w:rsidRPr="001417BE">
        <w:rPr>
          <w:rFonts w:ascii="Times New Roman" w:hAnsi="Times New Roman" w:cs="Times New Roman"/>
          <w:sz w:val="24"/>
          <w:lang w:val="en-US"/>
        </w:rPr>
        <w:fldChar w:fldCharType="begin" w:fldLock="1"/>
      </w:r>
      <w:r w:rsidR="001B72D2">
        <w:rPr>
          <w:rFonts w:ascii="Times New Roman" w:hAnsi="Times New Roman" w:cs="Times New Roman"/>
          <w:sz w:val="24"/>
          <w:lang w:val="en-US"/>
        </w:rPr>
        <w:instrText>ADDIN CSL_CITATION {"citationItems":[{"id":"ITEM-1","itemData":{"DOI":"10.1038/nmeth.2019","ISSN":"1548-7091","PMID":"22743772","abstract":"Fiji is a distribution of the popular open-source software ImageJ focused on biological-image analysis. Fiji uses modern software engineering practices to combine powerful software libraries with a broad range of scripting languages to enable rapid prototyping of image-processing algorithms. Fiji facilitates the transformation of new algorithms into ImageJ plugins that can be shared with end users through an integrated update system. We propose Fiji as a platform for productive collaboration between computer science and biology research communities.","author":[{"dropping-particle":"","family":"Schindelin","given":"Johannes","non-dropping-particle":"","parse-names":false,"suffix":""},{"dropping-particle":"","family":"Arganda-Carreras","given":"Ignacio","non-dropping-particle":"","parse-names":false,"suffix":""},{"dropping-particle":"","family":"Frise","given":"Erwin","non-dropping-particle":"","parse-names":false,"suffix":""},{"dropping-particle":"","family":"Kaynig","given":"Verena","non-dropping-particle":"","parse-names":false,"suffix":""},{"dropping-particle":"","family":"Longair","given":"Mark","non-dropping-particle":"","parse-names":false,"suffix":""},{"dropping-particle":"","family":"Pietzsch","given":"Tobias","non-dropping-particle":"","parse-names":false,"suffix":""},{"dropping-particle":"","family":"Preibisch","given":"Stephan","non-dropping-particle":"","parse-names":false,"suffix":""},{"dropping-particle":"","family":"Rueden","given":"Curtis","non-dropping-particle":"","parse-names":false,"suffix":""},{"dropping-particle":"","family":"Saalfeld","given":"Stephan","non-dropping-particle":"","parse-names":false,"suffix":""},{"dropping-particle":"","family":"Schmid","given":"Benjamin","non-dropping-particle":"","parse-names":false,"suffix":""},{"dropping-particle":"","family":"Tinevez","given":"Jean-Yves","non-dropping-particle":"","parse-names":false,"suffix":""},{"dropping-particle":"","family":"White","given":"Daniel James","non-dropping-particle":"","parse-names":false,"suffix":""},{"dropping-particle":"","family":"Hartenstein","given":"Volker","non-dropping-particle":"","parse-names":false,"suffix":""},{"dropping-particle":"","family":"Eliceiri","given":"Kevin","non-dropping-particle":"","parse-names":false,"suffix":""},{"dropping-particle":"","family":"Tomancak","given":"Pavel","non-dropping-particle":"","parse-names":false,"suffix":""},{"dropping-particle":"","family":"Cardona","given":"Albert","non-dropping-particle":"","parse-names":false,"suffix":""}],"container-title":"Nature Methods","id":"ITEM-1","issue":"7","issued":{"date-parts":[["2012","6","28"]]},"page":"676-682","title":"Fiji: an open-source platform for biological-image analysis","type":"article-journal","volume":"9"},"uris":["http://www.mendeley.com/documents/?uuid=25a18f55-ac79-3232-ad15-cccb3479f451"]}],"mendeley":{"formattedCitation":"(29)","plainTextFormattedCitation":"(29)","previouslyFormattedCitation":"(29)"},"properties":{"noteIndex":0},"schema":"https://github.com/citation-style-language/schema/raw/master/csl-citation.json"}</w:instrText>
      </w:r>
      <w:r w:rsidRPr="001417BE">
        <w:rPr>
          <w:rFonts w:ascii="Times New Roman" w:hAnsi="Times New Roman" w:cs="Times New Roman"/>
          <w:sz w:val="24"/>
          <w:lang w:val="en-US"/>
        </w:rPr>
        <w:fldChar w:fldCharType="separate"/>
      </w:r>
      <w:r w:rsidR="001B72D2" w:rsidRPr="001B72D2">
        <w:rPr>
          <w:rFonts w:ascii="Times New Roman" w:hAnsi="Times New Roman" w:cs="Times New Roman"/>
          <w:noProof/>
          <w:sz w:val="24"/>
          <w:lang w:val="en-US"/>
        </w:rPr>
        <w:t>(29)</w:t>
      </w:r>
      <w:r w:rsidRPr="001417BE">
        <w:rPr>
          <w:rFonts w:ascii="Times New Roman" w:hAnsi="Times New Roman" w:cs="Times New Roman"/>
          <w:sz w:val="24"/>
          <w:lang w:val="en-US"/>
        </w:rPr>
        <w:fldChar w:fldCharType="end"/>
      </w:r>
      <w:r w:rsidRPr="001417BE">
        <w:rPr>
          <w:rFonts w:ascii="Times New Roman" w:hAnsi="Times New Roman" w:cs="Times New Roman"/>
          <w:sz w:val="24"/>
          <w:lang w:val="en-US"/>
        </w:rPr>
        <w:t xml:space="preserve">. </w:t>
      </w:r>
      <w:r w:rsidR="006D5746">
        <w:rPr>
          <w:rFonts w:ascii="Times New Roman" w:hAnsi="Times New Roman" w:cs="Times New Roman"/>
          <w:sz w:val="24"/>
          <w:lang w:val="en-US"/>
        </w:rPr>
        <w:t>Six</w:t>
      </w:r>
      <w:r w:rsidR="006D5746" w:rsidRPr="001417BE">
        <w:rPr>
          <w:rFonts w:ascii="Times New Roman" w:hAnsi="Times New Roman" w:cs="Times New Roman"/>
          <w:sz w:val="24"/>
          <w:lang w:val="en-US"/>
        </w:rPr>
        <w:t xml:space="preserve"> </w:t>
      </w:r>
      <w:r w:rsidRPr="001417BE">
        <w:rPr>
          <w:rFonts w:ascii="Times New Roman" w:hAnsi="Times New Roman" w:cs="Times New Roman"/>
          <w:sz w:val="24"/>
          <w:lang w:val="en-US"/>
        </w:rPr>
        <w:t>region</w:t>
      </w:r>
      <w:r w:rsidR="006D5746">
        <w:rPr>
          <w:rFonts w:ascii="Times New Roman" w:hAnsi="Times New Roman" w:cs="Times New Roman"/>
          <w:sz w:val="24"/>
          <w:lang w:val="en-US"/>
        </w:rPr>
        <w:t>s</w:t>
      </w:r>
      <w:r w:rsidRPr="001417BE">
        <w:rPr>
          <w:rFonts w:ascii="Times New Roman" w:hAnsi="Times New Roman" w:cs="Times New Roman"/>
          <w:sz w:val="24"/>
          <w:lang w:val="en-US"/>
        </w:rPr>
        <w:t xml:space="preserve"> of interest </w:t>
      </w:r>
      <w:r w:rsidR="006D5746">
        <w:rPr>
          <w:rFonts w:ascii="Times New Roman" w:hAnsi="Times New Roman" w:cs="Times New Roman"/>
          <w:sz w:val="24"/>
          <w:lang w:val="en-US"/>
        </w:rPr>
        <w:t xml:space="preserve">(right and left laterocervical and supraclavicular areas, paraspinal region and mediastinum) </w:t>
      </w:r>
      <w:r w:rsidR="006D5746" w:rsidRPr="001417BE">
        <w:rPr>
          <w:rFonts w:ascii="Times New Roman" w:hAnsi="Times New Roman" w:cs="Times New Roman"/>
          <w:sz w:val="24"/>
          <w:lang w:val="en-US"/>
        </w:rPr>
        <w:t>w</w:t>
      </w:r>
      <w:r w:rsidR="006D5746">
        <w:rPr>
          <w:rFonts w:ascii="Times New Roman" w:hAnsi="Times New Roman" w:cs="Times New Roman"/>
          <w:sz w:val="24"/>
          <w:lang w:val="en-US"/>
        </w:rPr>
        <w:t>ere</w:t>
      </w:r>
      <w:r w:rsidR="006D5746" w:rsidRPr="001417BE">
        <w:rPr>
          <w:rFonts w:ascii="Times New Roman" w:hAnsi="Times New Roman" w:cs="Times New Roman"/>
          <w:sz w:val="24"/>
          <w:lang w:val="en-US"/>
        </w:rPr>
        <w:t xml:space="preserve"> </w:t>
      </w:r>
      <w:r w:rsidRPr="001417BE">
        <w:rPr>
          <w:rFonts w:ascii="Times New Roman" w:hAnsi="Times New Roman" w:cs="Times New Roman"/>
          <w:sz w:val="24"/>
          <w:lang w:val="en-US"/>
        </w:rPr>
        <w:t xml:space="preserve">semi-automatically outlined from the atlas vertebrae (cervical 1) to thoracic vertebra 4. Following current recommendations </w:t>
      </w:r>
      <w:r w:rsidRPr="001417BE">
        <w:rPr>
          <w:rFonts w:ascii="Times New Roman" w:hAnsi="Times New Roman" w:cs="Times New Roman"/>
          <w:sz w:val="24"/>
          <w:lang w:val="en-US"/>
        </w:rPr>
        <w:fldChar w:fldCharType="begin" w:fldLock="1"/>
      </w:r>
      <w:r w:rsidR="001B72D2">
        <w:rPr>
          <w:rFonts w:ascii="Times New Roman" w:hAnsi="Times New Roman" w:cs="Times New Roman"/>
          <w:sz w:val="24"/>
          <w:lang w:val="en-US"/>
        </w:rPr>
        <w:instrText>ADDIN CSL_CITATION {"citationItems":[{"id":"ITEM-1","itemData":{"DOI":"10.1016/j.cmet.2016.07.014","ISSN":"15504131","PMID":"27508870","abstract":"Human brown adipose tissue (BAT) presence, metabolic activity, and estimated mass are typically measured by imaging [18F]fluorodeoxyglucose (FDG) uptake in response to cold exposure in regions of the body expected to contain BAT, using positron emission tomography combined with X-ray computed tomography (FDG-PET/CT). Efforts to describe the epidemiology and biology of human BAT are hampered by diverse experimental practices, making it difficult to directly compare results among laboratories. An expert panel was assembled by the National Institute of Diabetes and Digestive and Kidney Diseases on November 4, 2014 to discuss minimal requirements for conducting FDG-PET/CT experiments of human BAT, data analysis, and publication of results. This resulted in Brown Adipose Reporting Criteria in Imaging STudies (BARCIST 1.0). Since there are no fully validated best practices at this time, panel recommendations are meant to enhance comparability across experiments, but not to constrain experimental design or the questions that can be asked.","author":[{"dropping-particle":"","family":"Chen","given":"Kong Y.","non-dropping-particle":"","parse-names":false,"suffix":""},{"dropping-particle":"","family":"Cypess","given":"Aaron M.","non-dropping-particle":"","parse-names":false,"suffix":""},{"dropping-particle":"","family":"Laughlin","given":"Maren R.","non-dropping-particle":"","parse-names":false,"suffix":""},{"dropping-particle":"","family":"Haft","given":"Carol R.","non-dropping-particle":"","parse-names":false,"suffix":""},{"dropping-particle":"","family":"Hu","given":"Houchun Harry","non-dropping-particle":"","parse-names":false,"suffix":""},{"dropping-particle":"","family":"Bredella","given":"Miriam A.","non-dropping-particle":"","parse-names":false,"suffix":""},{"dropping-particle":"","family":"Enerbäck","given":"Sven","non-dropping-particle":"","parse-names":false,"suffix":""},{"dropping-particle":"","family":"Kinahan","given":"Paul E.","non-dropping-particle":"","parse-names":false,"suffix":""},{"dropping-particle":"","family":"Lichtenbelt","given":"Wouter van Marken","non-dropping-particle":"","parse-names":false,"suffix":""},{"dropping-particle":"","family":"Lin","given":"Frank I.","non-dropping-particle":"","parse-names":false,"suffix":""},{"dropping-particle":"","family":"Sunderland","given":"John J.","non-dropping-particle":"","parse-names":false,"suffix":""},{"dropping-particle":"","family":"Virtanen","given":"Kirsi A.","non-dropping-particle":"","parse-names":false,"suffix":""},{"dropping-particle":"","family":"Wahl","given":"Richard L.","non-dropping-particle":"","parse-names":false,"suffix":""}],"container-title":"Cell Metabolism","id":"ITEM-1","issue":"2","issued":{"date-parts":[["2016","8","9"]]},"page":"210-222","title":"Brown Adipose Reporting Criteria in Imaging STudies (BARCIST 1.0): Recommendations for Standardized FDG-PET/CT Experiments in Humans","type":"article-journal","volume":"24"},"uris":["http://www.mendeley.com/documents/?uuid=fe518d60-4768-305a-aee3-493837d621e6"]}],"mendeley":{"formattedCitation":"(19)","plainTextFormattedCitation":"(19)","previouslyFormattedCitation":"(19)"},"properties":{"noteIndex":0},"schema":"https://github.com/citation-style-language/schema/raw/master/csl-citation.json"}</w:instrText>
      </w:r>
      <w:r w:rsidRPr="001417BE">
        <w:rPr>
          <w:rFonts w:ascii="Times New Roman" w:hAnsi="Times New Roman" w:cs="Times New Roman"/>
          <w:sz w:val="24"/>
          <w:lang w:val="en-US"/>
        </w:rPr>
        <w:fldChar w:fldCharType="separate"/>
      </w:r>
      <w:r w:rsidR="001B72D2" w:rsidRPr="001B72D2">
        <w:rPr>
          <w:rFonts w:ascii="Times New Roman" w:hAnsi="Times New Roman" w:cs="Times New Roman"/>
          <w:noProof/>
          <w:sz w:val="24"/>
          <w:lang w:val="en-US"/>
        </w:rPr>
        <w:t>(19)</w:t>
      </w:r>
      <w:r w:rsidRPr="001417BE">
        <w:rPr>
          <w:rFonts w:ascii="Times New Roman" w:hAnsi="Times New Roman" w:cs="Times New Roman"/>
          <w:sz w:val="24"/>
          <w:lang w:val="en-US"/>
        </w:rPr>
        <w:fldChar w:fldCharType="end"/>
      </w:r>
      <w:r w:rsidRPr="001417BE">
        <w:rPr>
          <w:rFonts w:ascii="Times New Roman" w:hAnsi="Times New Roman" w:cs="Times New Roman"/>
          <w:sz w:val="24"/>
          <w:lang w:val="en-US"/>
        </w:rPr>
        <w:t xml:space="preserve">, </w:t>
      </w:r>
      <w:r w:rsidR="006D5746">
        <w:rPr>
          <w:rFonts w:ascii="Times New Roman" w:hAnsi="Times New Roman" w:cs="Times New Roman"/>
          <w:sz w:val="24"/>
          <w:lang w:val="en-US"/>
        </w:rPr>
        <w:t>we defined BAT as all voxel</w:t>
      </w:r>
      <w:r w:rsidR="001F369B">
        <w:rPr>
          <w:rFonts w:ascii="Times New Roman" w:hAnsi="Times New Roman" w:cs="Times New Roman"/>
          <w:sz w:val="24"/>
          <w:lang w:val="en-US"/>
        </w:rPr>
        <w:t>s</w:t>
      </w:r>
      <w:r w:rsidR="006D5746">
        <w:rPr>
          <w:rFonts w:ascii="Times New Roman" w:hAnsi="Times New Roman" w:cs="Times New Roman"/>
          <w:sz w:val="24"/>
          <w:lang w:val="en-US"/>
        </w:rPr>
        <w:t xml:space="preserve"> presenting a </w:t>
      </w:r>
      <w:r>
        <w:rPr>
          <w:rFonts w:ascii="Times New Roman" w:hAnsi="Times New Roman" w:cs="Times New Roman"/>
          <w:sz w:val="24"/>
          <w:lang w:val="en-US"/>
        </w:rPr>
        <w:t xml:space="preserve">radiodensity </w:t>
      </w:r>
      <w:r w:rsidR="006D5746">
        <w:rPr>
          <w:rFonts w:ascii="Times New Roman" w:hAnsi="Times New Roman" w:cs="Times New Roman"/>
          <w:sz w:val="24"/>
          <w:lang w:val="en-US"/>
        </w:rPr>
        <w:t xml:space="preserve">between </w:t>
      </w:r>
      <w:r w:rsidRPr="001417BE">
        <w:rPr>
          <w:rFonts w:ascii="Times New Roman" w:hAnsi="Times New Roman" w:cs="Times New Roman"/>
          <w:sz w:val="24"/>
          <w:lang w:val="en-US"/>
        </w:rPr>
        <w:t xml:space="preserve">−190 </w:t>
      </w:r>
      <w:r w:rsidR="006D5746">
        <w:rPr>
          <w:rFonts w:ascii="Times New Roman" w:hAnsi="Times New Roman" w:cs="Times New Roman"/>
          <w:sz w:val="24"/>
          <w:lang w:val="en-US"/>
        </w:rPr>
        <w:t xml:space="preserve">and </w:t>
      </w:r>
      <w:r w:rsidRPr="001417BE">
        <w:rPr>
          <w:rFonts w:ascii="Times New Roman" w:hAnsi="Times New Roman" w:cs="Times New Roman"/>
          <w:sz w:val="24"/>
          <w:lang w:val="en-US"/>
        </w:rPr>
        <w:t>−10</w:t>
      </w:r>
      <w:r w:rsidRPr="007A35F2">
        <w:rPr>
          <w:rFonts w:ascii="Times New Roman" w:hAnsi="Times New Roman" w:cs="Times New Roman"/>
          <w:sz w:val="24"/>
          <w:lang w:val="en-US"/>
        </w:rPr>
        <w:t xml:space="preserve"> </w:t>
      </w:r>
      <w:r w:rsidRPr="001417BE">
        <w:rPr>
          <w:rFonts w:ascii="Times New Roman" w:hAnsi="Times New Roman" w:cs="Times New Roman"/>
          <w:sz w:val="24"/>
          <w:lang w:val="en-US"/>
        </w:rPr>
        <w:t>Hounsfield units</w:t>
      </w:r>
      <w:r>
        <w:rPr>
          <w:rFonts w:ascii="Times New Roman" w:hAnsi="Times New Roman" w:cs="Times New Roman"/>
          <w:sz w:val="24"/>
          <w:lang w:val="en-US"/>
        </w:rPr>
        <w:t xml:space="preserve"> [HU]</w:t>
      </w:r>
      <w:r w:rsidRPr="001417BE">
        <w:rPr>
          <w:rFonts w:ascii="Times New Roman" w:hAnsi="Times New Roman" w:cs="Times New Roman"/>
          <w:sz w:val="24"/>
          <w:lang w:val="en-US"/>
        </w:rPr>
        <w:t>)</w:t>
      </w:r>
      <w:r>
        <w:rPr>
          <w:rFonts w:ascii="Times New Roman" w:hAnsi="Times New Roman" w:cs="Times New Roman"/>
          <w:sz w:val="24"/>
          <w:lang w:val="en-US"/>
        </w:rPr>
        <w:t xml:space="preserve">, and </w:t>
      </w:r>
      <w:r w:rsidR="006D5746">
        <w:rPr>
          <w:rFonts w:ascii="Times New Roman" w:hAnsi="Times New Roman" w:cs="Times New Roman"/>
          <w:sz w:val="24"/>
          <w:lang w:val="en-US"/>
        </w:rPr>
        <w:t xml:space="preserve">a SUV higher than </w:t>
      </w:r>
      <w:r w:rsidRPr="001417BE">
        <w:rPr>
          <w:rFonts w:ascii="Times New Roman" w:hAnsi="Times New Roman" w:cs="Times New Roman"/>
          <w:sz w:val="24"/>
          <w:lang w:val="en-US"/>
        </w:rPr>
        <w:t>an individualized SUV threshold [1.2/(lean body mass/body mass)]</w:t>
      </w:r>
      <w:r>
        <w:rPr>
          <w:rFonts w:ascii="Times New Roman" w:hAnsi="Times New Roman" w:cs="Times New Roman"/>
          <w:sz w:val="24"/>
          <w:lang w:val="en-US"/>
        </w:rPr>
        <w:t xml:space="preserve">. </w:t>
      </w:r>
      <w:r w:rsidR="006D5746">
        <w:rPr>
          <w:rFonts w:ascii="Times New Roman" w:hAnsi="Times New Roman" w:cs="Times New Roman"/>
          <w:sz w:val="24"/>
          <w:lang w:val="en-US"/>
        </w:rPr>
        <w:t>Consequently, BAT volume was determined as the sum of all voxels meeting the aforementioned criteria; SUVmean was computed as the average SUV of all voxels classified as BAT; and SUVpeak was determined as the average SUV of all voxels contained in a 1cc sphere centered in the voxel presenting the highest SUV among those classified as BAT. Moreover, t</w:t>
      </w:r>
      <w:r>
        <w:rPr>
          <w:rFonts w:ascii="Times New Roman" w:hAnsi="Times New Roman" w:cs="Times New Roman"/>
          <w:sz w:val="24"/>
          <w:lang w:val="en-US"/>
        </w:rPr>
        <w:t xml:space="preserve">he radiodensity of all voxels </w:t>
      </w:r>
      <w:r w:rsidR="006D5746">
        <w:rPr>
          <w:rFonts w:ascii="Times New Roman" w:hAnsi="Times New Roman" w:cs="Times New Roman"/>
          <w:sz w:val="24"/>
          <w:lang w:val="en-US"/>
        </w:rPr>
        <w:t xml:space="preserve">classified as </w:t>
      </w:r>
      <w:r>
        <w:rPr>
          <w:rFonts w:ascii="Times New Roman" w:hAnsi="Times New Roman" w:cs="Times New Roman"/>
          <w:sz w:val="24"/>
          <w:lang w:val="en-US"/>
        </w:rPr>
        <w:t xml:space="preserve">BAT </w:t>
      </w:r>
      <w:r w:rsidR="006D5746">
        <w:rPr>
          <w:rFonts w:ascii="Times New Roman" w:hAnsi="Times New Roman" w:cs="Times New Roman"/>
          <w:sz w:val="24"/>
          <w:lang w:val="en-US"/>
        </w:rPr>
        <w:t>in a single region of interest covering the whole-body</w:t>
      </w:r>
      <w:r w:rsidR="00846D40">
        <w:rPr>
          <w:rFonts w:ascii="Times New Roman" w:hAnsi="Times New Roman" w:cs="Times New Roman"/>
          <w:sz w:val="24"/>
          <w:lang w:val="en-US"/>
        </w:rPr>
        <w:t>, except the mouth,</w:t>
      </w:r>
      <w:r w:rsidR="006D5746">
        <w:rPr>
          <w:rFonts w:ascii="Times New Roman" w:hAnsi="Times New Roman" w:cs="Times New Roman"/>
          <w:sz w:val="24"/>
          <w:lang w:val="en-US"/>
        </w:rPr>
        <w:t xml:space="preserve"> from the atlas to the thoracic vertebra 4 </w:t>
      </w:r>
      <w:r>
        <w:rPr>
          <w:rFonts w:ascii="Times New Roman" w:hAnsi="Times New Roman" w:cs="Times New Roman"/>
          <w:sz w:val="24"/>
          <w:lang w:val="en-US"/>
        </w:rPr>
        <w:t>was averaged for obtaining BAT mean radiodensity</w:t>
      </w:r>
      <w:r w:rsidR="001F369B">
        <w:rPr>
          <w:rFonts w:ascii="Times New Roman" w:hAnsi="Times New Roman" w:cs="Times New Roman"/>
          <w:sz w:val="24"/>
          <w:lang w:val="en-US"/>
        </w:rPr>
        <w:t xml:space="preserve"> (an indicator of the tissue fat content </w:t>
      </w:r>
      <w:r w:rsidR="001F369B">
        <w:rPr>
          <w:rFonts w:ascii="Times New Roman" w:hAnsi="Times New Roman" w:cs="Times New Roman"/>
          <w:sz w:val="24"/>
          <w:lang w:val="en-US"/>
        </w:rPr>
        <w:fldChar w:fldCharType="begin" w:fldLock="1"/>
      </w:r>
      <w:r w:rsidR="001B72D2">
        <w:rPr>
          <w:rFonts w:ascii="Times New Roman" w:hAnsi="Times New Roman" w:cs="Times New Roman"/>
          <w:sz w:val="24"/>
          <w:lang w:val="en-US"/>
        </w:rPr>
        <w:instrText>ADDIN CSL_CITATION {"citationItems":[{"id":"ITEM-1","itemData":{"DOI":"10.1210/jc.2016-2698","ISBN":"1945-7197","ISSN":"19457197","PMID":"28368474","abstract":"Context: Metabolic imaging studying brown adipose tissue (BAT) physiology has increased, in which computed tomography (CT) is commonly used as an anatomical reference for metabolic positron emission tomography (PET) imaging. However, the capacity of CT to provide metabolic information has been underexploited.\nObjective: To evaluate whether CT radiodensity of BAT could noninvasively estimate underlying tissue morphology, regarding amount of stored triglycerides. Furthermore, could the alteration in tissue characteristics due to cold stimulus, as a marker for active BAT, be detected with radiodensity? Can BAT be differentiated from white adipose tissue (WAT) solely using CT-based measurements?\nDesign, Setting, and Participants: A cross-sectional study evaluating 66 healthy human subjects with CT, PET, and 1H-magnetic resonance spectroscopy (1H-MRS).\nMain Outcome Measures: BAT radiodensity was measured with CT. BAT-stored triglyceride content was measured with 1H-MRS. Arterial blood volume in BAT, as a marker of tissue vascularity, was measured with [15O]H2O, along with glucose or fatty acid uptake using [18F]2-fluoro-2-deoxy-D-glucose or 14(R,S)-[18F]fluoro-6-thia-heptadecanoic acid PET imaging, respectively.\nResults: BAT radiodensity was found to be correlating with tissue-retained blood and triglyceride content. Cold stimulus induced an increase in BAT radiodensity. Active BAT depots had higher radiodensity than both nonactive BAT and WAT. BAT radiodensity associated with systemic metabolic health parameters.\nConclusion: BAT radiodensity can be used as a marker of underlying tissue morphology. Active BAT can be identified using CT, exploiting tissue composition information. Moreover, BAT radiodensity provides an insight into whole-body systemic metabolic health.","author":[{"dropping-particle":"","family":"Din","given":"Mueez U.","non-dropping-particle":"","parse-names":false,"suffix":""},{"dropping-particle":"","family":"Raiko","given":"Juho","non-dropping-particle":"","parse-names":false,"suffix":""},{"dropping-particle":"","family":"Saari","given":"Teemu","non-dropping-particle":"","parse-names":false,"suffix":""},{"dropping-particle":"","family":"Saunavaara","given":"Virva","non-dropping-particle":"","parse-names":false,"suffix":""},{"dropping-particle":"","family":"Kudomi","given":"Nobu","non-dropping-particle":"","parse-names":false,"suffix":""},{"dropping-particle":"","family":"Solin","given":"Olof","non-dropping-particle":"","parse-names":false,"suffix":""},{"dropping-particle":"","family":"Parkkola","given":"Riitta","non-dropping-particle":"","parse-names":false,"suffix":""},{"dropping-particle":"","family":"Nuutila","given":"Pirjo","non-dropping-particle":"","parse-names":false,"suffix":""},{"dropping-particle":"","family":"Virtanen","given":"Kirsi A.","non-dropping-particle":"","parse-names":false,"suffix":""}],"container-title":"Journal of Clinical Endocrinology and Metabolism","id":"ITEM-1","issue":"7","issued":{"date-parts":[["2017"]]},"page":"2258-2267","title":"Human brown fat radiodensity indicates underlying tissue composition and systemic metabolic health","type":"article-journal","volume":"102"},"uris":["http://www.mendeley.com/documents/?uuid=89b82f0d-fcf6-4aa2-943e-3746c547138e"]}],"mendeley":{"formattedCitation":"(25)","plainTextFormattedCitation":"(25)","previouslyFormattedCitation":"(25)"},"properties":{"noteIndex":0},"schema":"https://github.com/citation-style-language/schema/raw/master/csl-citation.json"}</w:instrText>
      </w:r>
      <w:r w:rsidR="001F369B">
        <w:rPr>
          <w:rFonts w:ascii="Times New Roman" w:hAnsi="Times New Roman" w:cs="Times New Roman"/>
          <w:sz w:val="24"/>
          <w:lang w:val="en-US"/>
        </w:rPr>
        <w:fldChar w:fldCharType="separate"/>
      </w:r>
      <w:r w:rsidR="001B72D2" w:rsidRPr="001B72D2">
        <w:rPr>
          <w:rFonts w:ascii="Times New Roman" w:hAnsi="Times New Roman" w:cs="Times New Roman"/>
          <w:noProof/>
          <w:sz w:val="24"/>
          <w:lang w:val="en-US"/>
        </w:rPr>
        <w:t>(25)</w:t>
      </w:r>
      <w:r w:rsidR="001F369B">
        <w:rPr>
          <w:rFonts w:ascii="Times New Roman" w:hAnsi="Times New Roman" w:cs="Times New Roman"/>
          <w:sz w:val="24"/>
          <w:lang w:val="en-US"/>
        </w:rPr>
        <w:fldChar w:fldCharType="end"/>
      </w:r>
      <w:r w:rsidR="001F369B">
        <w:rPr>
          <w:rFonts w:ascii="Times New Roman" w:hAnsi="Times New Roman" w:cs="Times New Roman"/>
          <w:sz w:val="24"/>
          <w:lang w:val="en-US"/>
        </w:rPr>
        <w:t>)</w:t>
      </w:r>
      <w:r>
        <w:rPr>
          <w:rFonts w:ascii="Times New Roman" w:hAnsi="Times New Roman" w:cs="Times New Roman"/>
          <w:sz w:val="24"/>
          <w:lang w:val="en-US"/>
        </w:rPr>
        <w:t xml:space="preserve">. </w:t>
      </w:r>
      <w:r w:rsidR="006D5746">
        <w:rPr>
          <w:rFonts w:ascii="Times New Roman" w:hAnsi="Times New Roman" w:cs="Times New Roman"/>
          <w:sz w:val="24"/>
          <w:lang w:val="en-US"/>
        </w:rPr>
        <w:t xml:space="preserve">Thirty-one individuals presented some voxels classified as BAT out of the anatomical areas where BAT is located, and were therefore excluded from BAT mean radiodensity analyses. </w:t>
      </w:r>
      <w:r w:rsidRPr="001417BE">
        <w:rPr>
          <w:rFonts w:ascii="Times New Roman" w:hAnsi="Times New Roman" w:cs="Times New Roman"/>
          <w:sz w:val="24"/>
          <w:lang w:val="en-US"/>
        </w:rPr>
        <w:t xml:space="preserve">SUVpeak values for the descending aorta, tricipital subcutaneous white adipose tissue, and dorsocervical subcutaneous white adipose tissue (behind thoracic vertebra 2) were </w:t>
      </w:r>
      <w:r w:rsidR="006D5746">
        <w:rPr>
          <w:rFonts w:ascii="Times New Roman" w:hAnsi="Times New Roman" w:cs="Times New Roman"/>
          <w:sz w:val="24"/>
          <w:lang w:val="en-US"/>
        </w:rPr>
        <w:t xml:space="preserve">also </w:t>
      </w:r>
      <w:r w:rsidRPr="001417BE">
        <w:rPr>
          <w:rFonts w:ascii="Times New Roman" w:hAnsi="Times New Roman" w:cs="Times New Roman"/>
          <w:sz w:val="24"/>
          <w:lang w:val="en-US"/>
        </w:rPr>
        <w:t>determined</w:t>
      </w:r>
      <w:r w:rsidR="006D5746">
        <w:rPr>
          <w:rFonts w:ascii="Times New Roman" w:hAnsi="Times New Roman" w:cs="Times New Roman"/>
          <w:sz w:val="24"/>
          <w:lang w:val="en-US"/>
        </w:rPr>
        <w:t>. All SUV values are</w:t>
      </w:r>
      <w:r w:rsidRPr="001417BE">
        <w:rPr>
          <w:rFonts w:ascii="Times New Roman" w:hAnsi="Times New Roman" w:cs="Times New Roman"/>
          <w:sz w:val="24"/>
          <w:lang w:val="en-US"/>
        </w:rPr>
        <w:t xml:space="preserve"> expressed as a function lean body mass.</w:t>
      </w:r>
    </w:p>
    <w:bookmarkEnd w:id="7"/>
    <w:p w14:paraId="5854232A" w14:textId="77777777" w:rsidR="0035145C" w:rsidRPr="00397714" w:rsidRDefault="0035145C" w:rsidP="0035145C">
      <w:pPr>
        <w:spacing w:line="480" w:lineRule="auto"/>
        <w:jc w:val="both"/>
        <w:rPr>
          <w:rFonts w:ascii="Times New Roman" w:hAnsi="Times New Roman" w:cs="Times New Roman"/>
          <w:b/>
          <w:bCs/>
          <w:i/>
          <w:sz w:val="24"/>
          <w:szCs w:val="24"/>
          <w:lang w:val="en-US"/>
        </w:rPr>
      </w:pPr>
      <w:r w:rsidRPr="00397714">
        <w:rPr>
          <w:rFonts w:ascii="Times New Roman" w:hAnsi="Times New Roman" w:cs="Times New Roman"/>
          <w:b/>
          <w:bCs/>
          <w:i/>
          <w:sz w:val="24"/>
          <w:szCs w:val="24"/>
          <w:lang w:val="en-US"/>
        </w:rPr>
        <w:lastRenderedPageBreak/>
        <w:t xml:space="preserve">Insulin resistance </w:t>
      </w:r>
    </w:p>
    <w:p w14:paraId="2ED5E876" w14:textId="0F4E7A30" w:rsidR="0035145C" w:rsidRPr="001417BE" w:rsidRDefault="0035145C" w:rsidP="0035145C">
      <w:pPr>
        <w:spacing w:line="480" w:lineRule="auto"/>
        <w:jc w:val="both"/>
        <w:rPr>
          <w:rFonts w:ascii="Times New Roman" w:hAnsi="Times New Roman" w:cs="Times New Roman"/>
          <w:sz w:val="24"/>
          <w:szCs w:val="24"/>
          <w:lang w:val="en-US"/>
        </w:rPr>
      </w:pPr>
      <w:r w:rsidRPr="001417BE">
        <w:rPr>
          <w:rFonts w:ascii="Times New Roman" w:hAnsi="Times New Roman" w:cs="Times New Roman"/>
          <w:sz w:val="24"/>
          <w:szCs w:val="24"/>
          <w:lang w:val="en-US"/>
        </w:rPr>
        <w:t xml:space="preserve">Insulin resistance was estimated using the HOMA: </w:t>
      </w:r>
      <w:r w:rsidRPr="001417BE">
        <w:rPr>
          <w:rFonts w:ascii="Times New Roman" w:hAnsi="Times New Roman" w:cs="Times New Roman"/>
          <w:i/>
          <w:sz w:val="24"/>
          <w:szCs w:val="24"/>
          <w:lang w:val="en-US"/>
        </w:rPr>
        <w:t>fasting insulin (mU/L) x fasting glucose (mmol/L) / 22.5</w:t>
      </w:r>
      <w:r w:rsidRPr="001417BE">
        <w:rPr>
          <w:rFonts w:ascii="Times New Roman" w:hAnsi="Times New Roman" w:cs="Times New Roman"/>
          <w:sz w:val="24"/>
          <w:szCs w:val="24"/>
          <w:lang w:val="en-US"/>
        </w:rPr>
        <w:t xml:space="preserve"> </w:t>
      </w:r>
      <w:r w:rsidRPr="001417BE">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{"citationItems":[{"id":"ITEM-1","itemData":{"ISSN":"0012-186X","PMID":"3899825","abstract":"The steady-state basal plasma glucose and insulin concentrations are determined by their interaction in a feedback loop. A computer-solved model has been used to predict the homeostatic concentrations which arise from varying degrees beta-cell deficiency and insulin resistance. Comparison of a patient's fasting values with the model's predictions allows a quantitative assessment of the contributions of insulin resistance and deficient beta-cell function to the fasting hyperglycaemia (homeostasis model assessment, HOMA). The accuracy and precision of the estimate have been determined by comparison with independent measures of insulin resistance and beta-cell function using hyperglycaemic and euglycaemic clamps and an intravenous glucose tolerance test. The estimate of insulin resistance obtained by homeostasis model assessment correlated with estimates obtained by use of the euglycaemic clamp (Rs = 0.88, p less than 0.0001), the fasting insulin concentration (Rs = 0.81, p less than 0.0001), and the hyperglycaemic clamp, (Rs = 0.69, p less than 0.01). There was no correlation with any aspect of insulin-receptor binding. The estimate of deficient beta-cell function obtained by homeostasis model assessment correlated with that derived using the hyperglycaemic clamp (Rs = 0.61, p less than 0.01) and with the estimate from the intravenous glucose tolerance test (Rs = 0.64, p less than 0.05). The low precision of the estimates from the model (coefficients of variation: 31% for insulin resistance and 32% for beta-cell deficit) limits its use, but the correlation of the model's estimates with patient data accords with the hypothesis that basal glucose and insulin interactions are largely determined by a simple feed back loop.","author":[{"dropping-particle":"","family":"Matthews","given":"D R","non-dropping-particle":"","parse-names":false,"suffix":""},{"dropping-particle":"","family":"Hosker","given":"J P","non-dropping-particle":"","parse-names":false,"suffix":""},{"dropping-particle":"","family":"Rudenski","given":"A S","non-dropping-particle":"","parse-names":false,"suffix":""},{"dropping-particle":"","family":"Naylor","given":"B A","non-dropping-particle":"","parse-names":false,"suffix":""},{"dropping-particle":"","family":"Treacher","given":"D F","non-dropping-particle":"","parse-names":false,"suffix":""},{"dropping-particle":"","family":"Turner","given":"R C","non-dropping-particle":"","parse-names":false,"suffix":""}],"container-title":"Diabetologia","id":"ITEM-1","issue":"7","issued":{"date-parts":[["1985","7"]]},"page":"412-9","title":"Homeostasis model assessment: insulin resistance and beta-cell function from fasting plasma glucose and insulin concentrations in man.","type":"article-journal","volume":"28"},"uris":["http://www.mendeley.com/documents/?uuid=5af462b2-76bf-3582-921b-26d82006d35d"]}],"mendeley":{"formattedCitation":"(30)","plainTextFormattedCitation":"(30)","previouslyFormattedCitation":"(30)"},"properties":{"noteIndex":0},"schema":"https://github.com/citation-style-language/schema/raw/master/csl-citation.json"}</w:instrText>
      </w:r>
      <w:r w:rsidRPr="001417BE">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(30)</w:t>
      </w:r>
      <w:r w:rsidRPr="001417BE">
        <w:rPr>
          <w:rFonts w:ascii="Times New Roman" w:hAnsi="Times New Roman" w:cs="Times New Roman"/>
          <w:sz w:val="24"/>
          <w:szCs w:val="24"/>
          <w:lang w:val="en-US"/>
        </w:rPr>
        <w:fldChar w:fldCharType="end"/>
      </w:r>
      <w:r w:rsidRPr="001417BE">
        <w:rPr>
          <w:rFonts w:ascii="Times New Roman" w:hAnsi="Times New Roman" w:cs="Times New Roman"/>
          <w:sz w:val="24"/>
          <w:szCs w:val="24"/>
          <w:lang w:val="en-US"/>
        </w:rPr>
        <w:t>. Serum glucose and insulin concentrations were determined in a peripheral blood sample, taken after an overnight fast plus avoiding physical activity for the previous 48 h. Glucose determinations were performed using a Beckman Coulter AU5832 analyzer employing reagent OSR6521 (Beckman Coulter Inc., CA, USA). The insulin concentration was determined by chemiluminescent immunoassay in a DXI analyzer (Beckman Coulter Inc., CA, USA).</w:t>
      </w:r>
    </w:p>
    <w:p w14:paraId="5F43C76A" w14:textId="77777777" w:rsidR="0035145C" w:rsidRPr="00397714" w:rsidRDefault="0035145C" w:rsidP="0035145C">
      <w:pPr>
        <w:spacing w:line="480" w:lineRule="auto"/>
        <w:jc w:val="both"/>
        <w:rPr>
          <w:rFonts w:ascii="Times New Roman" w:hAnsi="Times New Roman" w:cs="Times New Roman"/>
          <w:b/>
          <w:bCs/>
          <w:i/>
          <w:sz w:val="24"/>
          <w:szCs w:val="24"/>
          <w:lang w:val="en-US"/>
        </w:rPr>
      </w:pPr>
      <w:r w:rsidRPr="00397714">
        <w:rPr>
          <w:rFonts w:ascii="Times New Roman" w:hAnsi="Times New Roman" w:cs="Times New Roman"/>
          <w:b/>
          <w:bCs/>
          <w:i/>
          <w:sz w:val="24"/>
          <w:szCs w:val="24"/>
          <w:lang w:val="en-US"/>
        </w:rPr>
        <w:t>Statistics</w:t>
      </w:r>
    </w:p>
    <w:p w14:paraId="46461176" w14:textId="26716860" w:rsidR="0035145C" w:rsidRDefault="0035145C" w:rsidP="0035145C">
      <w:pPr>
        <w:spacing w:line="480" w:lineRule="auto"/>
        <w:jc w:val="both"/>
        <w:rPr>
          <w:rFonts w:ascii="Times New Roman" w:hAnsi="Times New Roman" w:cs="Times New Roman"/>
          <w:sz w:val="24"/>
          <w:szCs w:val="24"/>
          <w:lang w:val="en-US"/>
        </w:rPr>
      </w:pPr>
      <w:r w:rsidRPr="001417BE">
        <w:rPr>
          <w:rFonts w:ascii="Times New Roman" w:hAnsi="Times New Roman"/>
          <w:sz w:val="24"/>
          <w:szCs w:val="24"/>
          <w:lang w:val="en-US"/>
        </w:rPr>
        <w:t xml:space="preserve">Results are presented as mean </w:t>
      </w:r>
      <w:r w:rsidRPr="001417BE">
        <w:rPr>
          <w:rFonts w:ascii="Times New Roman" w:hAnsi="Times New Roman" w:cs="Times New Roman"/>
          <w:sz w:val="24"/>
          <w:szCs w:val="24"/>
          <w:lang w:val="en-US"/>
        </w:rPr>
        <w:t>±</w:t>
      </w:r>
      <w:r w:rsidRPr="001417BE">
        <w:rPr>
          <w:rFonts w:ascii="Times New Roman" w:hAnsi="Times New Roman"/>
          <w:sz w:val="24"/>
          <w:szCs w:val="24"/>
          <w:lang w:val="en-US"/>
        </w:rPr>
        <w:t xml:space="preserve"> standard deviation</w:t>
      </w:r>
      <w:r w:rsidRPr="001417BE">
        <w:rPr>
          <w:rFonts w:ascii="Times New Roman" w:hAnsi="Times New Roman" w:cs="Times New Roman"/>
          <w:sz w:val="24"/>
          <w:szCs w:val="24"/>
          <w:lang w:val="en-US"/>
        </w:rPr>
        <w:t>, unless otherwise stated. S</w:t>
      </w:r>
      <w:r w:rsidRPr="001417BE">
        <w:rPr>
          <w:rFonts w:ascii="Times New Roman" w:hAnsi="Times New Roman" w:cs="Times New Roman"/>
          <w:sz w:val="24"/>
          <w:lang w:val="en-US"/>
        </w:rPr>
        <w:t xml:space="preserve">imple linear regression models were used to test the association between BAT-related and </w:t>
      </w:r>
      <w:r>
        <w:rPr>
          <w:rFonts w:ascii="Times New Roman" w:hAnsi="Times New Roman" w:cs="Times New Roman"/>
          <w:sz w:val="24"/>
          <w:lang w:val="en-US"/>
        </w:rPr>
        <w:t>whole-body adiposity</w:t>
      </w:r>
      <w:r w:rsidRPr="001417BE">
        <w:rPr>
          <w:rFonts w:ascii="Times New Roman" w:hAnsi="Times New Roman" w:cs="Times New Roman"/>
          <w:sz w:val="24"/>
          <w:lang w:val="en-US"/>
        </w:rPr>
        <w:t xml:space="preserve"> variables. Multiple linear regression models were used to test these associations, adjusting for the date when the PET-CT was performed (Model 1)</w:t>
      </w:r>
      <w:r>
        <w:rPr>
          <w:rFonts w:ascii="Times New Roman" w:hAnsi="Times New Roman" w:cs="Times New Roman"/>
          <w:sz w:val="24"/>
          <w:lang w:val="en-US"/>
        </w:rPr>
        <w:t>;</w:t>
      </w:r>
      <w:r w:rsidRPr="001417BE">
        <w:rPr>
          <w:rFonts w:ascii="Times New Roman" w:hAnsi="Times New Roman" w:cs="Times New Roman"/>
          <w:sz w:val="24"/>
          <w:lang w:val="en-US"/>
        </w:rPr>
        <w:t xml:space="preserve"> the date when the PET-CT was performed and </w:t>
      </w:r>
      <w:r>
        <w:rPr>
          <w:rFonts w:ascii="Times New Roman" w:hAnsi="Times New Roman" w:cs="Times New Roman"/>
          <w:sz w:val="24"/>
          <w:lang w:val="en-US"/>
        </w:rPr>
        <w:t>HOMA</w:t>
      </w:r>
      <w:r w:rsidRPr="001417BE">
        <w:rPr>
          <w:rFonts w:ascii="Times New Roman" w:hAnsi="Times New Roman" w:cs="Times New Roman"/>
          <w:sz w:val="24"/>
          <w:lang w:val="en-US"/>
        </w:rPr>
        <w:t xml:space="preserve"> (Model 2), </w:t>
      </w:r>
      <w:r>
        <w:rPr>
          <w:rFonts w:ascii="Times New Roman" w:hAnsi="Times New Roman" w:cs="Times New Roman"/>
          <w:sz w:val="24"/>
          <w:lang w:val="en-US"/>
        </w:rPr>
        <w:t xml:space="preserve">since </w:t>
      </w:r>
      <w:r w:rsidRPr="001417BE">
        <w:rPr>
          <w:rFonts w:ascii="Times New Roman" w:hAnsi="Times New Roman" w:cs="Times New Roman"/>
          <w:sz w:val="24"/>
          <w:lang w:val="en-US"/>
        </w:rPr>
        <w:t xml:space="preserve">insulin resistance might mediate the associations between BAT and </w:t>
      </w:r>
      <w:r>
        <w:rPr>
          <w:rFonts w:ascii="Times New Roman" w:hAnsi="Times New Roman" w:cs="Times New Roman"/>
          <w:sz w:val="24"/>
          <w:lang w:val="en-US"/>
        </w:rPr>
        <w:t>whole-body adiposity</w:t>
      </w:r>
      <w:r w:rsidRPr="001417BE">
        <w:rPr>
          <w:rFonts w:ascii="Times New Roman" w:hAnsi="Times New Roman" w:cs="Times New Roman"/>
          <w:sz w:val="24"/>
          <w:lang w:val="en-US"/>
        </w:rPr>
        <w:t xml:space="preserve"> </w:t>
      </w:r>
      <w:r w:rsidRPr="001417BE">
        <w:rPr>
          <w:rFonts w:ascii="Times New Roman" w:hAnsi="Times New Roman" w:cs="Times New Roman"/>
          <w:sz w:val="24"/>
          <w:lang w:val="en-US"/>
        </w:rPr>
        <w:fldChar w:fldCharType="begin" w:fldLock="1"/>
      </w:r>
      <w:r w:rsidR="001B72D2">
        <w:rPr>
          <w:rFonts w:ascii="Times New Roman" w:hAnsi="Times New Roman" w:cs="Times New Roman"/>
          <w:sz w:val="24"/>
          <w:lang w:val="en-US"/>
        </w:rPr>
        <w:instrText>ADDIN CSL_CITATION {"citationItems":[{"id":"ITEM-1","itemData":{"DOI":"10.1097/MOL.0000000000000296","ISSN":"0957-9672","PMID":"27023630","abstract":"PURPOSE OF REVIEW Brown adipose tissue (BAT) is an emerging target to combat cardiometabolic disorders as it can take up substantial amounts of glucose and lipids from the circulation for heat production. This review focuses on new concepts in BAT physiology and discusses the need for new techniques to determine BAT activity in humans. RECENT FINDINGS Mouse studies showed that BAT activation selectively increases oxidation of lipids over glucose, by recruiting fatty acids from intracellular triglycerides. To replenish these intracellular lipid stores, brown adipocytes take up both glucose and triglyceride-derived fatty acids, resulting in attenuation of dyslipidaemia, insulin resistance and atherosclerosis. Clinical studies identified the involvement of the β3-adrenergic receptor in BAT activation and demonstrated that human BAT activation also selectively increases lipid oxidation. Notably, insulin resistance during ageing or weight gain reduces the capacity of BAT to internalize glucose, without reducing fatty acid uptake or oxidative metabolism. SUMMARY Preclinical studies established BAT as an important target to combat cardiometabolic disorders and elucidated underlying mechanisms whereas clinical studies identified therapeutic handles. Development of novel lipid-based PET-CT tracers and identification of translational biomarkers of BAT activity are required as alternatives to [F]fluorodeoxyglucose PET-CT to accelerate clinical development of BAT-activating therapeutic strategies.","author":[{"dropping-particle":"","family":"Schilperoort","given":"Maaike","non-dropping-particle":"","parse-names":false,"suffix":""},{"dropping-particle":"","family":"Hoeke","given":"Geerte","non-dropping-particle":"","parse-names":false,"suffix":""},{"dropping-particle":"","family":"Kooijman","given":"Sander","non-dropping-particle":"","parse-names":false,"suffix":""},{"dropping-particle":"","family":"Rensen","given":"Patrick C.N.","non-dropping-particle":"","parse-names":false,"suffix":""}],"container-title":"Current Opinion in Lipidology","id":"ITEM-1","issue":"3","issued":{"date-parts":[["2016","6"]]},"page":"242-248","title":"Relevance of lipid metabolism for brown fat visualization and quantification","type":"article-journal","volume":"27"},"uris":["http://www.mendeley.com/documents/?uuid=6fb2647f-6c62-3e9d-ac4e-09167c983591"]},{"id":"ITEM-2","itemData":{"DOI":"10.1016/j.pcad.2018.07.002","ISSN":"1873-1740","PMID":"29981351","abstract":"Human brown adipose tissue (BAT) was re-discovered in 2009 by several independent groups, who showed that it is present and active in adults, as judged from the profound uptake of the glucose analogue radiotracer 18F-fluorodeoxyglucose in positron-emission tomography and computed tomography scan analysis after cold exposure. A potential clinical implication of activating BAT relates to its high metabolic activity and its potential role in stimulating energy expenditure (i.e. resting energy expenditure, meal-induced thermogenesis, and cold-induced thermogenesis), which makes it an attractive target to reduce adiposity. Moreover, due to its ability to oxidise glucose and lipids, BAT activation may also potentially exert beneficial metabolic and cardiovascular effects through reducing glucose and lipid levels, respectively. This review describes the potential role of human BAT in the prevention and treatment of obesity, metabolism, and cardiovascular disease focusing on its impact on energy expenditure and management of body fat accumulation as well as on glucose and lipid metabolism. This article also summarises the strategies that are currently being studied to activate human BAT.","author":[{"dropping-particle":"","family":"Ruiz","given":"Jonatan R.","non-dropping-particle":"","parse-names":false,"suffix":""},{"dropping-particle":"","family":"Martinez-Tellez","given":"Borja","non-dropping-particle":"","parse-names":false,"suffix":""},{"dropping-particle":"","family":"Sanchez-Delgado","given":"Guillermo","non-dropping-particle":"","parse-names":false,"suffix":""},{"dropping-particle":"","family":"Osuna-Prieto","given":"Francisco J.","non-dropping-particle":"","parse-names":false,"suffix":""},{"dropping-particle":"","family":"Rensen","given":"Patrick C N","non-dropping-particle":"","parse-names":false,"suffix":""},{"dropping-particle":"","family":"Boon","given":"Mariëtte R.","non-dropping-particle":"","parse-names":false,"suffix":""}],"container-title":"Progress in cardiovascular diseases","id":"ITEM-2","issue":"2","issued":{"date-parts":[["2018","7","4"]]},"page":"232-245","title":"Role of Human Brown Fat in Obesity, Metabolism and Cardiovascular Disease: Strategies to Turn Up the Heat.","type":"article-journal","volume":"61"},"uris":["http://www.mendeley.com/documents/?uuid=6526b5bb-4b7c-310a-84b2-eea7d95ab3a1"]},{"id":"ITEM-3","itemData":{"DOI":"10.2337/db14-0746","ISSN":"1939-327X","PMID":"25056438","abstract":"Brown adipose tissue (BAT) has attracted scientific interest as an antidiabetic tissue owing to its ability to dissipate energy as heat. Despite a plethora of data concerning the role of BAT in glucose metabolism in rodents, the role of BAT (if any) in glucose metabolism in humans remains unclear. To investigate whether BAT activation alters whole-body glucose homeostasis and insulin sensitivity in humans, we studied seven BAT-positive (BAT(+)) men and five BAT-negative (BAT(-)) men under thermoneutral conditions and after prolonged (5-8 h) cold exposure (CE). The two groups were similar in age, BMI, and adiposity. CE significantly increased resting energy expenditure, whole-body glucose disposal, plasma glucose oxidation, and insulin sensitivity in the BAT(+) group only. These results demonstrate a physiologically significant role of BAT in whole-body energy expenditure, glucose homeostasis, and insulin sensitivity in humans, and support the notion that BAT may function as an antidiabetic tissue in humans.","author":[{"dropping-particle":"","family":"Chondronikola","given":"Maria","non-dropping-particle":"","parse-names":false,"suffix":""},{"dropping-particle":"","family":"Volpi","given":"Elena","non-dropping-particle":"","parse-names":false,"suffix":""},{"dropping-particle":"","family":"Børsheim","given":"Elisabet","non-dropping-particle":"","parse-names":false,"suffix":""},{"dropping-particle":"","family":"Porter","given":"Craig","non-dropping-particle":"","parse-names":false,"suffix":""},{"dropping-particle":"","family":"Annamalai","given":"Palam","non-dropping-particle":"","parse-names":false,"suffix":""},{"dropping-particle":"","family":"Enerbäck","given":"Sven","non-dropping-particle":"","parse-names":false,"suffix":""},{"dropping-particle":"","family":"Lidell","given":"Martin E.","non-dropping-particle":"","parse-names":false,"suffix":""},{"dropping-particle":"","family":"Saraf","given":"Manish K.","non-dropping-particle":"","parse-names":false,"suffix":""},{"dropping-particle":"","family":"Labbe","given":"Sebastien M.","non-dropping-particle":"","parse-names":false,"suffix":""},{"dropping-particle":"","family":"Hurren","given":"Nicholas M.","non-dropping-particle":"","parse-names":false,"suffix":""},{"dropping-particle":"","family":"Yfanti","given":"Christina","non-dropping-particle":"","parse-names":false,"suffix":""},{"dropping-particle":"","family":"Chao","given":"Tony","non-dropping-particle":"","parse-names":false,"suffix":""},{"dropping-particle":"","family":"Andersen","given":"Clark R.","non-dropping-particle":"","parse-names":false,"suffix":""},{"dropping-particle":"","family":"Cesani","given":"Fernando","non-dropping-particle":"","parse-names":false,"suffix":""},{"dropping-particle":"","family":"Hawkins","given":"Hal","non-dropping-particle":"","parse-names":false,"suffix":""},{"dropping-particle":"","family":"Sidossis","given":"Labros S.","non-dropping-particle":"","parse-names":false,"suffix":""}],"container-title":"Diabetes","id":"ITEM-3","issue":"12","issued":{"date-parts":[["2014","12","1"]]},"page":"4089-99","title":"Brown adipose tissue improves whole-body glucose homeostasis and insulin sensitivity in humans.","type":"article-journal","volume":"63"},"uris":["http://www.mendeley.com/documents/?uuid=42bda581-8a11-321f-b7be-0d6d8f69c211"]}],"mendeley":{"formattedCitation":"(10,31,32)","plainTextFormattedCitation":"(10,31,32)","previouslyFormattedCitation":"(10,31,32)"},"properties":{"noteIndex":0},"schema":"https://github.com/citation-style-language/schema/raw/master/csl-citation.json"}</w:instrText>
      </w:r>
      <w:r w:rsidRPr="001417BE">
        <w:rPr>
          <w:rFonts w:ascii="Times New Roman" w:hAnsi="Times New Roman" w:cs="Times New Roman"/>
          <w:sz w:val="24"/>
          <w:lang w:val="en-US"/>
        </w:rPr>
        <w:fldChar w:fldCharType="separate"/>
      </w:r>
      <w:r w:rsidR="001B72D2" w:rsidRPr="001B72D2">
        <w:rPr>
          <w:rFonts w:ascii="Times New Roman" w:hAnsi="Times New Roman" w:cs="Times New Roman"/>
          <w:noProof/>
          <w:sz w:val="24"/>
          <w:lang w:val="en-US"/>
        </w:rPr>
        <w:t>(10,31,32)</w:t>
      </w:r>
      <w:r w:rsidRPr="001417BE">
        <w:rPr>
          <w:rFonts w:ascii="Times New Roman" w:hAnsi="Times New Roman" w:cs="Times New Roman"/>
          <w:sz w:val="24"/>
          <w:lang w:val="en-US"/>
        </w:rPr>
        <w:fldChar w:fldCharType="end"/>
      </w:r>
      <w:r>
        <w:rPr>
          <w:rFonts w:ascii="Times New Roman" w:hAnsi="Times New Roman" w:cs="Times New Roman"/>
          <w:sz w:val="24"/>
          <w:lang w:val="en-US"/>
        </w:rPr>
        <w:t xml:space="preserve">; </w:t>
      </w:r>
      <w:r w:rsidRPr="001417BE">
        <w:rPr>
          <w:rFonts w:ascii="Times New Roman" w:hAnsi="Times New Roman" w:cs="Times New Roman"/>
          <w:sz w:val="24"/>
          <w:lang w:val="en-US"/>
        </w:rPr>
        <w:t>the date when the PET-CT was performed</w:t>
      </w:r>
      <w:r>
        <w:rPr>
          <w:rFonts w:ascii="Times New Roman" w:hAnsi="Times New Roman" w:cs="Times New Roman"/>
          <w:sz w:val="24"/>
          <w:lang w:val="en-US"/>
        </w:rPr>
        <w:t xml:space="preserve"> and the body surface area </w:t>
      </w:r>
      <w:r w:rsidRPr="001417BE">
        <w:rPr>
          <w:rFonts w:ascii="Times New Roman" w:hAnsi="Times New Roman" w:cs="Times New Roman"/>
          <w:sz w:val="24"/>
          <w:lang w:val="en-US"/>
        </w:rPr>
        <w:t>(Model 3)</w:t>
      </w:r>
      <w:r>
        <w:rPr>
          <w:rFonts w:ascii="Times New Roman" w:hAnsi="Times New Roman" w:cs="Times New Roman"/>
          <w:sz w:val="24"/>
          <w:lang w:val="en-US"/>
        </w:rPr>
        <w:t xml:space="preserve">; and </w:t>
      </w:r>
      <w:r w:rsidRPr="001417BE">
        <w:rPr>
          <w:rFonts w:ascii="Times New Roman" w:hAnsi="Times New Roman" w:cs="Times New Roman"/>
          <w:sz w:val="24"/>
          <w:lang w:val="en-US"/>
        </w:rPr>
        <w:t>the date when the PET-CT was performed</w:t>
      </w:r>
      <w:r>
        <w:rPr>
          <w:rFonts w:ascii="Times New Roman" w:hAnsi="Times New Roman" w:cs="Times New Roman"/>
          <w:sz w:val="24"/>
          <w:lang w:val="en-US"/>
        </w:rPr>
        <w:t xml:space="preserve"> and the temperature of the cooling vest during the individualized cooling protocol (Model 4)</w:t>
      </w:r>
      <w:r w:rsidRPr="001417BE">
        <w:rPr>
          <w:rFonts w:ascii="Times New Roman" w:hAnsi="Times New Roman" w:cs="Times New Roman"/>
          <w:sz w:val="24"/>
          <w:lang w:val="en-US"/>
        </w:rPr>
        <w:t xml:space="preserve">. </w:t>
      </w:r>
      <w:r w:rsidRPr="001417BE">
        <w:rPr>
          <w:rFonts w:ascii="Times New Roman" w:hAnsi="Times New Roman" w:cs="Times New Roman"/>
          <w:sz w:val="24"/>
          <w:szCs w:val="24"/>
          <w:lang w:val="en-US"/>
        </w:rPr>
        <w:t xml:space="preserve">All calculations were made using the Statistical Package for Social Sciences v.21.0 (IBM SPSS Statistics, IBM Corporation, </w:t>
      </w:r>
      <w:r w:rsidRPr="00E20A19">
        <w:rPr>
          <w:rFonts w:ascii="Times New Roman" w:hAnsi="Times New Roman" w:cs="Times New Roman"/>
          <w:sz w:val="24"/>
          <w:szCs w:val="24"/>
          <w:lang w:val="en-US"/>
        </w:rPr>
        <w:t xml:space="preserve">Armonk, </w:t>
      </w:r>
      <w:r>
        <w:rPr>
          <w:rFonts w:ascii="Times New Roman" w:hAnsi="Times New Roman" w:cs="Times New Roman"/>
          <w:sz w:val="24"/>
          <w:szCs w:val="24"/>
          <w:lang w:val="en-US"/>
        </w:rPr>
        <w:t>NY USA</w:t>
      </w:r>
      <w:r w:rsidRPr="001417BE">
        <w:rPr>
          <w:rFonts w:ascii="Times New Roman" w:hAnsi="Times New Roman" w:cs="Times New Roman"/>
          <w:sz w:val="24"/>
          <w:szCs w:val="24"/>
          <w:lang w:val="en-US"/>
        </w:rPr>
        <w:t>).  Significance was set at P&lt;0.05.</w:t>
      </w:r>
    </w:p>
    <w:p w14:paraId="7226C719" w14:textId="35E56DEA" w:rsidR="00397714" w:rsidRPr="00397714" w:rsidRDefault="00397714" w:rsidP="0035145C">
      <w:pPr>
        <w:spacing w:line="480" w:lineRule="auto"/>
        <w:jc w:val="both"/>
        <w:rPr>
          <w:rFonts w:ascii="Times New Roman" w:hAnsi="Times New Roman" w:cs="Times New Roman"/>
          <w:b/>
          <w:bCs/>
          <w:i/>
          <w:sz w:val="24"/>
          <w:szCs w:val="24"/>
          <w:lang w:val="en-US"/>
        </w:rPr>
      </w:pPr>
      <w:r w:rsidRPr="00397714">
        <w:rPr>
          <w:rFonts w:ascii="Times New Roman" w:hAnsi="Times New Roman" w:cs="Times New Roman"/>
          <w:b/>
          <w:bCs/>
          <w:i/>
          <w:sz w:val="24"/>
          <w:szCs w:val="24"/>
          <w:lang w:val="en-US"/>
        </w:rPr>
        <w:t>Data and Resource Availability</w:t>
      </w:r>
    </w:p>
    <w:p w14:paraId="3DB6898B" w14:textId="39CCDF88" w:rsidR="00397714" w:rsidRPr="00397714" w:rsidRDefault="00397714" w:rsidP="0035145C">
      <w:pPr>
        <w:spacing w:line="480" w:lineRule="auto"/>
        <w:jc w:val="both"/>
        <w:rPr>
          <w:rFonts w:ascii="Times New Roman" w:hAnsi="Times New Roman" w:cs="Times New Roman"/>
          <w:iCs/>
          <w:sz w:val="24"/>
          <w:szCs w:val="24"/>
          <w:lang w:val="en-US"/>
        </w:rPr>
      </w:pPr>
      <w:r w:rsidRPr="00397714">
        <w:rPr>
          <w:rFonts w:ascii="Times New Roman" w:hAnsi="Times New Roman" w:cs="Times New Roman"/>
          <w:iCs/>
          <w:sz w:val="24"/>
          <w:szCs w:val="24"/>
          <w:lang w:val="en-US"/>
        </w:rPr>
        <w:t>The datasets generated during and/or analyzed during the current study are available from the corresponding author upon reasonable request</w:t>
      </w:r>
      <w:r>
        <w:rPr>
          <w:rFonts w:ascii="Times New Roman" w:hAnsi="Times New Roman" w:cs="Times New Roman"/>
          <w:iCs/>
          <w:sz w:val="24"/>
          <w:szCs w:val="24"/>
          <w:lang w:val="en-US"/>
        </w:rPr>
        <w:t xml:space="preserve">, </w:t>
      </w:r>
      <w:r w:rsidRPr="00397714">
        <w:rPr>
          <w:rFonts w:ascii="Times New Roman" w:hAnsi="Times New Roman" w:cs="Times New Roman"/>
          <w:iCs/>
          <w:sz w:val="24"/>
          <w:szCs w:val="24"/>
          <w:lang w:val="en-US"/>
        </w:rPr>
        <w:t>and will be shared in accordance with appropriate data use agreements</w:t>
      </w:r>
      <w:r>
        <w:rPr>
          <w:rFonts w:ascii="Times New Roman" w:hAnsi="Times New Roman" w:cs="Times New Roman"/>
          <w:iCs/>
          <w:sz w:val="24"/>
          <w:szCs w:val="24"/>
          <w:lang w:val="en-US"/>
        </w:rPr>
        <w:t xml:space="preserve">. </w:t>
      </w:r>
      <w:r w:rsidRPr="00397714">
        <w:rPr>
          <w:rFonts w:ascii="Times New Roman" w:hAnsi="Times New Roman" w:cs="Times New Roman"/>
          <w:iCs/>
          <w:sz w:val="24"/>
          <w:szCs w:val="24"/>
          <w:lang w:val="en-US"/>
        </w:rPr>
        <w:t>No applicable resources were generated or analyzed during the current study.</w:t>
      </w:r>
    </w:p>
    <w:p w14:paraId="6A402AE4" w14:textId="32DC2781" w:rsidR="00021E1E" w:rsidRPr="00E83D2C" w:rsidRDefault="00021E1E" w:rsidP="00F016F2">
      <w:pPr>
        <w:spacing w:after="0" w:line="480" w:lineRule="auto"/>
        <w:rPr>
          <w:rFonts w:ascii="Times New Roman" w:hAnsi="Times New Roman" w:cs="Times New Roman"/>
          <w:b/>
          <w:sz w:val="24"/>
          <w:szCs w:val="24"/>
          <w:lang w:val="en-US"/>
        </w:rPr>
      </w:pPr>
      <w:r w:rsidRPr="001417BE">
        <w:rPr>
          <w:rFonts w:ascii="Times New Roman" w:hAnsi="Times New Roman" w:cs="Times New Roman"/>
          <w:b/>
          <w:sz w:val="24"/>
          <w:szCs w:val="24"/>
          <w:lang w:val="en-US"/>
        </w:rPr>
        <w:t>RESULTS</w:t>
      </w:r>
    </w:p>
    <w:p w14:paraId="4C8454AE" w14:textId="6FFBE736" w:rsidR="000764CD" w:rsidRDefault="000764CD" w:rsidP="00761702">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Table 1</w:t>
      </w:r>
      <w:r w:rsidR="0035145C">
        <w:rPr>
          <w:rFonts w:ascii="Times New Roman" w:hAnsi="Times New Roman" w:cs="Times New Roman"/>
          <w:sz w:val="24"/>
          <w:szCs w:val="24"/>
          <w:lang w:val="en-US"/>
        </w:rPr>
        <w:t xml:space="preserve"> show participant’s characteristics</w:t>
      </w:r>
      <w:r w:rsidR="001417BE" w:rsidRPr="001417BE">
        <w:rPr>
          <w:rFonts w:ascii="Times New Roman" w:hAnsi="Times New Roman" w:cs="Times New Roman"/>
          <w:sz w:val="24"/>
          <w:szCs w:val="24"/>
          <w:lang w:val="en-US"/>
        </w:rPr>
        <w:t xml:space="preserve">. </w:t>
      </w:r>
      <w:r w:rsidR="00841F74">
        <w:rPr>
          <w:rFonts w:ascii="Times New Roman" w:hAnsi="Times New Roman" w:cs="Times New Roman"/>
          <w:sz w:val="24"/>
          <w:szCs w:val="24"/>
          <w:lang w:val="en-US"/>
        </w:rPr>
        <w:t>S</w:t>
      </w:r>
      <w:r>
        <w:rPr>
          <w:rFonts w:ascii="Times New Roman" w:hAnsi="Times New Roman" w:cs="Times New Roman"/>
          <w:sz w:val="24"/>
          <w:szCs w:val="24"/>
          <w:lang w:val="en-US"/>
        </w:rPr>
        <w:t>ignificant sex interaction effects were detected</w:t>
      </w:r>
      <w:r w:rsidR="00EA06A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in many of the association analyses, </w:t>
      </w:r>
      <w:r w:rsidR="00841F74">
        <w:rPr>
          <w:rFonts w:ascii="Times New Roman" w:hAnsi="Times New Roman" w:cs="Times New Roman"/>
          <w:sz w:val="24"/>
          <w:szCs w:val="24"/>
          <w:lang w:val="en-US"/>
        </w:rPr>
        <w:t xml:space="preserve">and thus, </w:t>
      </w:r>
      <w:r>
        <w:rPr>
          <w:rFonts w:ascii="Times New Roman" w:hAnsi="Times New Roman" w:cs="Times New Roman"/>
          <w:sz w:val="24"/>
          <w:szCs w:val="24"/>
          <w:lang w:val="en-US"/>
        </w:rPr>
        <w:t xml:space="preserve">results are presented </w:t>
      </w:r>
      <w:r w:rsidR="005F124F">
        <w:rPr>
          <w:rFonts w:ascii="Times New Roman" w:hAnsi="Times New Roman" w:cs="Times New Roman"/>
          <w:sz w:val="24"/>
          <w:szCs w:val="24"/>
          <w:lang w:val="en-US"/>
        </w:rPr>
        <w:t xml:space="preserve">in </w:t>
      </w:r>
      <w:r>
        <w:rPr>
          <w:rFonts w:ascii="Times New Roman" w:hAnsi="Times New Roman" w:cs="Times New Roman"/>
          <w:sz w:val="24"/>
          <w:szCs w:val="24"/>
          <w:lang w:val="en-US"/>
        </w:rPr>
        <w:t>men (n=42) and women (n=84) separately.</w:t>
      </w:r>
      <w:r w:rsidR="002C0E3D">
        <w:rPr>
          <w:rFonts w:ascii="Times New Roman" w:hAnsi="Times New Roman" w:cs="Times New Roman"/>
          <w:sz w:val="24"/>
          <w:szCs w:val="24"/>
          <w:lang w:val="en-US"/>
        </w:rPr>
        <w:t xml:space="preserve"> </w:t>
      </w:r>
      <w:r w:rsidR="00841F74">
        <w:rPr>
          <w:rFonts w:ascii="Times New Roman" w:hAnsi="Times New Roman" w:cs="Times New Roman"/>
          <w:sz w:val="24"/>
          <w:szCs w:val="24"/>
          <w:lang w:val="en-US"/>
        </w:rPr>
        <w:t>Sex d</w:t>
      </w:r>
      <w:r w:rsidR="002C0E3D">
        <w:rPr>
          <w:rFonts w:ascii="Times New Roman" w:hAnsi="Times New Roman" w:cs="Times New Roman"/>
          <w:sz w:val="24"/>
          <w:szCs w:val="24"/>
          <w:lang w:val="en-US"/>
        </w:rPr>
        <w:t xml:space="preserve">ifferences in BMI are shown </w:t>
      </w:r>
      <w:r w:rsidR="002C0E3D">
        <w:rPr>
          <w:rFonts w:ascii="Times New Roman" w:hAnsi="Times New Roman" w:cs="Times New Roman"/>
          <w:sz w:val="24"/>
          <w:lang w:val="en-US"/>
        </w:rPr>
        <w:t>Supplementary figure 1.</w:t>
      </w:r>
    </w:p>
    <w:p w14:paraId="5994B078" w14:textId="1C10D522" w:rsidR="000764CD" w:rsidRPr="000764CD" w:rsidRDefault="000764CD" w:rsidP="00761702">
      <w:pPr>
        <w:spacing w:line="480" w:lineRule="auto"/>
        <w:jc w:val="both"/>
        <w:rPr>
          <w:rFonts w:ascii="Times New Roman" w:hAnsi="Times New Roman" w:cs="Times New Roman"/>
          <w:b/>
          <w:bCs/>
          <w:i/>
          <w:iCs/>
          <w:sz w:val="24"/>
          <w:szCs w:val="24"/>
          <w:lang w:val="en-US"/>
        </w:rPr>
      </w:pPr>
      <w:r w:rsidRPr="000764CD">
        <w:rPr>
          <w:rFonts w:ascii="Times New Roman" w:hAnsi="Times New Roman" w:cs="Times New Roman"/>
          <w:b/>
          <w:bCs/>
          <w:i/>
          <w:iCs/>
          <w:sz w:val="24"/>
          <w:szCs w:val="24"/>
          <w:lang w:val="en-US"/>
        </w:rPr>
        <w:t>BAT volume and whole-body adiposity</w:t>
      </w:r>
    </w:p>
    <w:p w14:paraId="6CFFAC2C" w14:textId="22F1BFC0" w:rsidR="00761702" w:rsidRPr="001417BE" w:rsidRDefault="001417BE" w:rsidP="00761702">
      <w:pPr>
        <w:spacing w:line="480" w:lineRule="auto"/>
        <w:jc w:val="both"/>
        <w:rPr>
          <w:rFonts w:ascii="Times New Roman" w:hAnsi="Times New Roman" w:cs="Times New Roman"/>
          <w:sz w:val="24"/>
          <w:szCs w:val="24"/>
          <w:lang w:val="en-US"/>
        </w:rPr>
      </w:pPr>
      <w:r w:rsidRPr="001417BE">
        <w:rPr>
          <w:rFonts w:ascii="Times New Roman" w:hAnsi="Times New Roman" w:cs="Times New Roman"/>
          <w:sz w:val="24"/>
          <w:szCs w:val="24"/>
          <w:lang w:val="en-US"/>
        </w:rPr>
        <w:t xml:space="preserve">BAT volume </w:t>
      </w:r>
      <w:r w:rsidR="00761702" w:rsidRPr="001417BE">
        <w:rPr>
          <w:rFonts w:ascii="Times New Roman" w:hAnsi="Times New Roman" w:cs="Times New Roman"/>
          <w:sz w:val="24"/>
          <w:szCs w:val="24"/>
          <w:lang w:val="en-US"/>
        </w:rPr>
        <w:t xml:space="preserve">was </w:t>
      </w:r>
      <w:r w:rsidR="00A3172C" w:rsidRPr="001417BE">
        <w:rPr>
          <w:rFonts w:ascii="Times New Roman" w:hAnsi="Times New Roman" w:cs="Times New Roman"/>
          <w:sz w:val="24"/>
          <w:szCs w:val="24"/>
          <w:lang w:val="en-US"/>
        </w:rPr>
        <w:t xml:space="preserve">found to be </w:t>
      </w:r>
      <w:r w:rsidR="00841F74">
        <w:rPr>
          <w:rFonts w:ascii="Times New Roman" w:hAnsi="Times New Roman" w:cs="Times New Roman"/>
          <w:sz w:val="24"/>
          <w:szCs w:val="24"/>
          <w:lang w:val="en-US"/>
        </w:rPr>
        <w:t xml:space="preserve">weakly but </w:t>
      </w:r>
      <w:r w:rsidR="00761702" w:rsidRPr="001417BE">
        <w:rPr>
          <w:rFonts w:ascii="Times New Roman" w:hAnsi="Times New Roman" w:cs="Times New Roman"/>
          <w:sz w:val="24"/>
          <w:szCs w:val="24"/>
          <w:lang w:val="en-US"/>
        </w:rPr>
        <w:t xml:space="preserve">positively associated </w:t>
      </w:r>
      <w:r w:rsidR="005A1FAD" w:rsidRPr="001417BE">
        <w:rPr>
          <w:rFonts w:ascii="Times New Roman" w:hAnsi="Times New Roman" w:cs="Times New Roman"/>
          <w:sz w:val="24"/>
          <w:szCs w:val="24"/>
          <w:lang w:val="en-US"/>
        </w:rPr>
        <w:t xml:space="preserve">with </w:t>
      </w:r>
      <w:r w:rsidR="00761702" w:rsidRPr="001417BE">
        <w:rPr>
          <w:rFonts w:ascii="Times New Roman" w:hAnsi="Times New Roman" w:cs="Times New Roman"/>
          <w:sz w:val="24"/>
          <w:szCs w:val="24"/>
          <w:lang w:val="en-US"/>
        </w:rPr>
        <w:t>body mass index (BMI), fat mass</w:t>
      </w:r>
      <w:r w:rsidR="00275CEB">
        <w:rPr>
          <w:rFonts w:ascii="Times New Roman" w:hAnsi="Times New Roman" w:cs="Times New Roman"/>
          <w:sz w:val="24"/>
          <w:szCs w:val="24"/>
          <w:lang w:val="en-US"/>
        </w:rPr>
        <w:t xml:space="preserve"> and</w:t>
      </w:r>
      <w:r w:rsidR="00761702" w:rsidRPr="001417BE">
        <w:rPr>
          <w:rFonts w:ascii="Times New Roman" w:hAnsi="Times New Roman" w:cs="Times New Roman"/>
          <w:sz w:val="24"/>
          <w:szCs w:val="24"/>
          <w:lang w:val="en-US"/>
        </w:rPr>
        <w:t xml:space="preserve"> </w:t>
      </w:r>
      <w:r w:rsidR="00CC49E5" w:rsidRPr="001417BE">
        <w:rPr>
          <w:rFonts w:ascii="Times New Roman" w:hAnsi="Times New Roman" w:cs="Times New Roman"/>
          <w:sz w:val="24"/>
          <w:szCs w:val="24"/>
          <w:lang w:val="en-US"/>
        </w:rPr>
        <w:t>percentage fat mass</w:t>
      </w:r>
      <w:r w:rsidR="00275CEB">
        <w:rPr>
          <w:rFonts w:ascii="Times New Roman" w:hAnsi="Times New Roman" w:cs="Times New Roman"/>
          <w:sz w:val="24"/>
          <w:szCs w:val="24"/>
          <w:lang w:val="en-US"/>
        </w:rPr>
        <w:t xml:space="preserve"> in men</w:t>
      </w:r>
      <w:r w:rsidR="00A514FE">
        <w:rPr>
          <w:rFonts w:ascii="Times New Roman" w:hAnsi="Times New Roman" w:cs="Times New Roman"/>
          <w:sz w:val="24"/>
          <w:szCs w:val="24"/>
          <w:lang w:val="en-US"/>
        </w:rPr>
        <w:t>,</w:t>
      </w:r>
      <w:r w:rsidR="00A3172C" w:rsidRPr="001417BE">
        <w:rPr>
          <w:rFonts w:ascii="Times New Roman" w:hAnsi="Times New Roman" w:cs="Times New Roman"/>
          <w:sz w:val="24"/>
          <w:szCs w:val="24"/>
          <w:lang w:val="en-US"/>
        </w:rPr>
        <w:t xml:space="preserve"> </w:t>
      </w:r>
      <w:r w:rsidR="00275CEB">
        <w:rPr>
          <w:rFonts w:ascii="Times New Roman" w:hAnsi="Times New Roman" w:cs="Times New Roman"/>
          <w:sz w:val="24"/>
          <w:szCs w:val="24"/>
          <w:lang w:val="en-US"/>
        </w:rPr>
        <w:t xml:space="preserve">but not in women </w:t>
      </w:r>
      <w:r w:rsidR="00A514FE">
        <w:rPr>
          <w:rFonts w:ascii="Times New Roman" w:hAnsi="Times New Roman" w:cs="Times New Roman"/>
          <w:sz w:val="24"/>
          <w:szCs w:val="24"/>
          <w:lang w:val="en-US"/>
        </w:rPr>
        <w:t>(</w:t>
      </w:r>
      <w:r w:rsidR="008D600B" w:rsidRPr="001417BE">
        <w:rPr>
          <w:rFonts w:ascii="Times New Roman" w:hAnsi="Times New Roman" w:cs="Times New Roman"/>
          <w:sz w:val="24"/>
          <w:szCs w:val="24"/>
          <w:lang w:val="en-US"/>
        </w:rPr>
        <w:t>Figure 1</w:t>
      </w:r>
      <w:r w:rsidR="00275CEB">
        <w:rPr>
          <w:rFonts w:ascii="Times New Roman" w:hAnsi="Times New Roman" w:cs="Times New Roman"/>
          <w:sz w:val="24"/>
          <w:szCs w:val="24"/>
          <w:lang w:val="en-US"/>
        </w:rPr>
        <w:t>)</w:t>
      </w:r>
      <w:r w:rsidR="00761702" w:rsidRPr="001417BE">
        <w:rPr>
          <w:rFonts w:ascii="Times New Roman" w:hAnsi="Times New Roman" w:cs="Times New Roman"/>
          <w:sz w:val="24"/>
          <w:szCs w:val="24"/>
          <w:lang w:val="en-US"/>
        </w:rPr>
        <w:t>.</w:t>
      </w:r>
      <w:r w:rsidR="00275CEB">
        <w:rPr>
          <w:rFonts w:ascii="Times New Roman" w:hAnsi="Times New Roman" w:cs="Times New Roman"/>
          <w:sz w:val="24"/>
          <w:szCs w:val="24"/>
          <w:lang w:val="en-US"/>
        </w:rPr>
        <w:t xml:space="preserve"> We further adjusted the analyses for the date </w:t>
      </w:r>
      <w:r w:rsidR="00275CEB" w:rsidRPr="001417BE">
        <w:rPr>
          <w:rFonts w:ascii="Times New Roman" w:hAnsi="Times New Roman" w:cs="Times New Roman"/>
          <w:sz w:val="24"/>
          <w:szCs w:val="24"/>
          <w:lang w:val="en-US"/>
        </w:rPr>
        <w:t xml:space="preserve">when </w:t>
      </w:r>
      <w:r w:rsidR="00275CEB" w:rsidRPr="001417BE">
        <w:rPr>
          <w:rFonts w:ascii="Times New Roman" w:hAnsi="Times New Roman" w:cs="Times New Roman"/>
          <w:sz w:val="24"/>
          <w:lang w:val="en-US"/>
        </w:rPr>
        <w:t xml:space="preserve">the PET-CT scan </w:t>
      </w:r>
      <w:r w:rsidR="00FE444B" w:rsidRPr="001417BE">
        <w:rPr>
          <w:rFonts w:ascii="Times New Roman" w:hAnsi="Times New Roman" w:cs="Times New Roman"/>
          <w:sz w:val="24"/>
          <w:lang w:val="en-US"/>
        </w:rPr>
        <w:t>was performed</w:t>
      </w:r>
      <w:r w:rsidR="00FE444B">
        <w:rPr>
          <w:rFonts w:ascii="Times New Roman" w:hAnsi="Times New Roman" w:cs="Times New Roman"/>
          <w:sz w:val="24"/>
          <w:lang w:val="en-US"/>
        </w:rPr>
        <w:t xml:space="preserve"> </w:t>
      </w:r>
      <w:r w:rsidR="00EA06AC">
        <w:rPr>
          <w:rFonts w:ascii="Times New Roman" w:hAnsi="Times New Roman" w:cs="Times New Roman"/>
          <w:sz w:val="24"/>
          <w:lang w:val="en-US"/>
        </w:rPr>
        <w:t>(a surrogate marker of outdoor temperature variation)</w:t>
      </w:r>
      <w:r w:rsidR="00275CEB">
        <w:rPr>
          <w:rFonts w:ascii="Times New Roman" w:hAnsi="Times New Roman" w:cs="Times New Roman"/>
          <w:sz w:val="24"/>
          <w:lang w:val="en-US"/>
        </w:rPr>
        <w:t xml:space="preserve">, since it has been shown to highly influence BAT-related parameters </w:t>
      </w:r>
      <w:r w:rsidR="00EA06AC">
        <w:rPr>
          <w:rFonts w:ascii="Times New Roman" w:hAnsi="Times New Roman" w:cs="Times New Roman"/>
          <w:sz w:val="24"/>
          <w:lang w:val="en-US"/>
        </w:rPr>
        <w:t xml:space="preserve">quantification </w:t>
      </w:r>
      <w:r w:rsidR="0098285D">
        <w:rPr>
          <w:rFonts w:ascii="Times New Roman" w:hAnsi="Times New Roman" w:cs="Times New Roman"/>
          <w:sz w:val="24"/>
          <w:lang w:val="en-US"/>
        </w:rPr>
        <w:fldChar w:fldCharType="begin" w:fldLock="1"/>
      </w:r>
      <w:r w:rsidR="00841F74">
        <w:rPr>
          <w:rFonts w:ascii="Times New Roman" w:hAnsi="Times New Roman" w:cs="Times New Roman"/>
          <w:sz w:val="24"/>
          <w:lang w:val="en-US"/>
        </w:rPr>
        <w:instrText>ADDIN CSL_CITATION {"citationItems":[{"id":"ITEM-1","itemData":{"DOI":"10.1152/ajpregu.00057.2015","ISSN":"1522-1490","PMID":"27030666","abstract":"Brown adipose tissue (BAT) contributes to whole-body energy expenditure (EE), especially cold-induced thermogenesis (CIT), in humans. Although it is known that EE and CIT vary seasonally, their relationship with BAT has not been investigated. In the present study, we examined the impact of BAT on seasonal variations of EE/CIT and thermal responses to cold exposure in a randomized crossover design. Forty-five healthy male volunteers participated, and their BAT was assessed by positron emission tomography and computed tomography. CIT, the difference of EE at 27ºC and after 2-h cold exposure at 19ºC, significantly increased in winter compared to summer, being greater in subjects with metabolically active BAT (High BAT, 185.6 kcal/d, 18.3 kcal/d, P&lt;0.001) than those without (Low BAT, 90.6 kcal/d, -46.5 kcal/d, P&lt;0.05). Multivariate regression analysis revealed a significant interaction effect between season and BAT on CIT (P&lt;0.001). The cold-induced drop of tympanic temperature (Tty) and skin temperature (Tskin) in the forehead region and in the supraclavicular region close to BAT deposits were smaller in the High BAT group than in the Low BAT group in winter but not in summer. In contrast, the drop of Tskinin the subclavicular and peripheral regions distant from BAT was similar in the two groups in both seasons. In conclusion, CIT increased from summer to winter in a BAT-dependent manner, paralleling cold-induced changes in Tty/Tskin, indicating a role of BAT in seasonal changes in the thermogenic and thermal responses to cold exposure in humans.","author":[{"dropping-particle":"","family":"Yoneshiro","given":"Takeshi","non-dropping-particle":"","parse-names":false,"suffix":""},{"dropping-particle":"","family":"Matsushita","given":"Mami","non-dropping-particle":"","parse-names":false,"suffix":""},{"dropping-particle":"","family":"Nakae","given":"Satoshi","non-dropping-particle":"","parse-names":false,"suffix":""},{"dropping-particle":"","family":"Kameya","given":"Toshimitsu","non-dropping-particle":"","parse-names":false,"suffix":""},{"dropping-particle":"","family":"Sugie","given":"Hiroki","non-dropping-particle":"","parse-names":false,"suffix":""},{"dropping-particle":"","family":"Tanaka","given":"Shigeho","non-dropping-particle":"","parse-names":false,"suffix":""},{"dropping-particle":"","family":"Saito","given":"Masayuki","non-dropping-particle":"","parse-names":false,"suffix":""}],"container-title":"American journal of physiology. Regulatory, integrative and comparative physiology","id":"ITEM-1","issue":"10","issued":{"date-parts":[["2016","3","30"]]},"page":"R999-R1009","title":"Brown adipose tissue is involved in the seasonal variation of cold-induced thermogenesis in humans.","type":"article-journal","volume":"310"},"uris":["http://www.mendeley.com/documents/?uuid=c7de7b02-452c-3b44-a207-c6b4d188f402"]},{"id":"ITEM-2","itemData":{"DOI":"10.2337/db09-0833","ISSN":"1939-327X","PMID":"19696186","abstract":"OBJECTIVE: Brown adipose tissue (BAT) is present in adult humans where it may be important in the prevention of obesity, although the main factors regulating its abundance are not well established. BAT demonstrates seasonal variation relating to ambient temperature and photoperiod in mammals. The objective of our study was therefore to determine whether seasonal variation in BAT activity in humans was more closely related to the prevailing photoperiod or temperature. RESEARCH DESIGN AND METHODS: We studied 3,614 consecutive patients who underwent positron emission tomography followed by computed tomography scans. The presence and location of BAT depots were documented and correlated with monthly changes in photoperiod and ambient temperature. RESULTS: BAT activity was demonstrated in 167 (4.6%) scans. BAT was demonstrated in 52/724 scans (7.2%) in winter compared with 27/1,067 (2.5%) in summer months (P &lt; 0.00001, chi(2) test). Monthly changes in the occurrence of BAT were more closely related to differences in photoperiod (r(2) = 0.876) rather than ambient temperature (r(2) = 0.696). Individuals with serial scans also demonstrated strong seasonal variation in BAT activity (average standardized uptake value [SUV(max)] 1.5 in July and 9.4 in January). BAT was also more common in female patients (female: n = 107, 7.2%; male: n = 60, 2.8%; P &lt; 0.00001, chi(2) test). CONCLUSIONS: Our study demonstrates a very strong seasonal variation in the presence of BAT. This effect is more closely associated with photoperiod than ambient temperature, suggesting a previously undescribed mechanism for mediating BAT function in humans that could now potentially be recruited for the prevention or reversal of obesity.","author":[{"dropping-particle":"","family":"Au-Yong","given":"Iain T H","non-dropping-particle":"","parse-names":false,"suffix":""},{"dropping-particle":"","family":"Thorn","given":"Natasha","non-dropping-particle":"","parse-names":false,"suffix":""},{"dropping-particle":"","family":"Ganatra","given":"Rakesh","non-dropping-particle":"","parse-names":false,"suffix":""},{"dropping-particle":"","family":"Perkins","given":"Alan C","non-dropping-particle":"","parse-names":false,"suffix":""},{"dropping-particle":"","family":"Symonds","given":"Michael E","non-dropping-particle":"","parse-names":false,"suffix":""}],"container-title":"Diabetes","id":"ITEM-2","issue":"11","issued":{"date-parts":[["2009","11"]]},"page":"2583-7","title":"Brown adipose tissue and seasonal variation in humans.","type":"article-journal","volume":"58"},"uris":["http://www.mendeley.com/documents/?uuid=7056ef07-7997-4ce2-b030-d9019bf4afa9"]}],"mendeley":{"formattedCitation":"(33,34)","plainTextFormattedCitation":"(33,34)","previouslyFormattedCitation":"(33,34)"},"properties":{"noteIndex":0},"schema":"https://github.com/citation-style-language/schema/raw/master/csl-citation.json"}</w:instrText>
      </w:r>
      <w:r w:rsidR="0098285D">
        <w:rPr>
          <w:rFonts w:ascii="Times New Roman" w:hAnsi="Times New Roman" w:cs="Times New Roman"/>
          <w:sz w:val="24"/>
          <w:lang w:val="en-US"/>
        </w:rPr>
        <w:fldChar w:fldCharType="separate"/>
      </w:r>
      <w:r w:rsidR="00CC0D78" w:rsidRPr="00CC0D78">
        <w:rPr>
          <w:rFonts w:ascii="Times New Roman" w:hAnsi="Times New Roman" w:cs="Times New Roman"/>
          <w:noProof/>
          <w:sz w:val="24"/>
          <w:lang w:val="en-US"/>
        </w:rPr>
        <w:t>(33,34)</w:t>
      </w:r>
      <w:r w:rsidR="0098285D">
        <w:rPr>
          <w:rFonts w:ascii="Times New Roman" w:hAnsi="Times New Roman" w:cs="Times New Roman"/>
          <w:sz w:val="24"/>
          <w:lang w:val="en-US"/>
        </w:rPr>
        <w:fldChar w:fldCharType="end"/>
      </w:r>
      <w:r w:rsidR="00275CEB">
        <w:rPr>
          <w:rFonts w:ascii="Times New Roman" w:hAnsi="Times New Roman" w:cs="Times New Roman"/>
          <w:sz w:val="24"/>
          <w:lang w:val="en-US"/>
        </w:rPr>
        <w:t xml:space="preserve">. </w:t>
      </w:r>
      <w:bookmarkStart w:id="8" w:name="_Hlk65705227"/>
      <w:r w:rsidR="00275CEB">
        <w:rPr>
          <w:rFonts w:ascii="Times New Roman" w:hAnsi="Times New Roman" w:cs="Times New Roman"/>
          <w:sz w:val="24"/>
          <w:lang w:val="en-US"/>
        </w:rPr>
        <w:t xml:space="preserve">After this adjustment, all the </w:t>
      </w:r>
      <w:r w:rsidR="008114AB">
        <w:rPr>
          <w:rFonts w:ascii="Times New Roman" w:hAnsi="Times New Roman" w:cs="Times New Roman"/>
          <w:sz w:val="24"/>
          <w:lang w:val="en-US"/>
        </w:rPr>
        <w:t>associations</w:t>
      </w:r>
      <w:r w:rsidR="00275CEB">
        <w:rPr>
          <w:rFonts w:ascii="Times New Roman" w:hAnsi="Times New Roman" w:cs="Times New Roman"/>
          <w:sz w:val="24"/>
          <w:lang w:val="en-US"/>
        </w:rPr>
        <w:t xml:space="preserve"> in men remained significant</w:t>
      </w:r>
      <w:r w:rsidR="00A514FE">
        <w:rPr>
          <w:rFonts w:ascii="Times New Roman" w:hAnsi="Times New Roman" w:cs="Times New Roman"/>
          <w:sz w:val="24"/>
          <w:szCs w:val="24"/>
          <w:lang w:val="en-US"/>
        </w:rPr>
        <w:t xml:space="preserve"> (</w:t>
      </w:r>
      <w:r w:rsidR="00275CEB">
        <w:rPr>
          <w:rFonts w:ascii="Times New Roman" w:hAnsi="Times New Roman" w:cs="Times New Roman"/>
          <w:sz w:val="24"/>
          <w:szCs w:val="24"/>
          <w:lang w:val="en-US"/>
        </w:rPr>
        <w:t>Table 2)</w:t>
      </w:r>
      <w:bookmarkEnd w:id="8"/>
      <w:r w:rsidR="00275CEB">
        <w:rPr>
          <w:rFonts w:ascii="Times New Roman" w:hAnsi="Times New Roman" w:cs="Times New Roman"/>
          <w:sz w:val="24"/>
          <w:szCs w:val="24"/>
          <w:lang w:val="en-US"/>
        </w:rPr>
        <w:t xml:space="preserve">. Moreover, these associations were also </w:t>
      </w:r>
      <w:r w:rsidR="00C86ADE" w:rsidRPr="001417BE">
        <w:rPr>
          <w:rFonts w:ascii="Times New Roman" w:hAnsi="Times New Roman" w:cs="Times New Roman"/>
          <w:sz w:val="24"/>
          <w:szCs w:val="24"/>
          <w:lang w:val="en-US"/>
        </w:rPr>
        <w:t xml:space="preserve">independent </w:t>
      </w:r>
      <w:r w:rsidR="00266F81" w:rsidRPr="001417BE">
        <w:rPr>
          <w:rFonts w:ascii="Times New Roman" w:hAnsi="Times New Roman" w:cs="Times New Roman"/>
          <w:sz w:val="24"/>
          <w:szCs w:val="24"/>
          <w:lang w:val="en-US"/>
        </w:rPr>
        <w:t xml:space="preserve">of </w:t>
      </w:r>
      <w:r w:rsidR="006E1F71">
        <w:rPr>
          <w:rFonts w:ascii="Times New Roman" w:hAnsi="Times New Roman" w:cs="Times New Roman"/>
          <w:sz w:val="24"/>
          <w:lang w:val="en-US"/>
        </w:rPr>
        <w:t xml:space="preserve">insulin sensitivity as assessed by the </w:t>
      </w:r>
      <w:r w:rsidR="006E1F71" w:rsidRPr="001417BE">
        <w:rPr>
          <w:rFonts w:ascii="Times New Roman" w:hAnsi="Times New Roman" w:cs="Times New Roman"/>
          <w:sz w:val="24"/>
          <w:szCs w:val="24"/>
          <w:lang w:val="en-US"/>
        </w:rPr>
        <w:t>Homeostatic Model Assessment (</w:t>
      </w:r>
      <w:r w:rsidR="00266F81" w:rsidRPr="001417BE">
        <w:rPr>
          <w:rFonts w:ascii="Times New Roman" w:hAnsi="Times New Roman" w:cs="Times New Roman"/>
          <w:sz w:val="24"/>
          <w:lang w:val="en-US"/>
        </w:rPr>
        <w:t>HOMA</w:t>
      </w:r>
      <w:r w:rsidR="006E1F71">
        <w:rPr>
          <w:rFonts w:ascii="Times New Roman" w:hAnsi="Times New Roman" w:cs="Times New Roman"/>
          <w:sz w:val="24"/>
          <w:lang w:val="en-US"/>
        </w:rPr>
        <w:t>)</w:t>
      </w:r>
      <w:r w:rsidR="00EA06AC">
        <w:rPr>
          <w:rFonts w:ascii="Times New Roman" w:hAnsi="Times New Roman" w:cs="Times New Roman"/>
          <w:sz w:val="24"/>
          <w:lang w:val="en-US"/>
        </w:rPr>
        <w:t>,</w:t>
      </w:r>
      <w:r w:rsidR="008D600B">
        <w:rPr>
          <w:rFonts w:ascii="Times New Roman" w:hAnsi="Times New Roman" w:cs="Times New Roman"/>
          <w:sz w:val="24"/>
          <w:lang w:val="en-US"/>
        </w:rPr>
        <w:t xml:space="preserve"> and</w:t>
      </w:r>
      <w:r w:rsidR="00275CEB">
        <w:rPr>
          <w:rFonts w:ascii="Times New Roman" w:hAnsi="Times New Roman" w:cs="Times New Roman"/>
          <w:sz w:val="24"/>
          <w:lang w:val="en-US"/>
        </w:rPr>
        <w:t xml:space="preserve"> the body surface area</w:t>
      </w:r>
      <w:r w:rsidR="00186BD2">
        <w:rPr>
          <w:rFonts w:ascii="Times New Roman" w:hAnsi="Times New Roman" w:cs="Times New Roman"/>
          <w:sz w:val="24"/>
          <w:lang w:val="en-US"/>
        </w:rPr>
        <w:t xml:space="preserve"> (an important determinant of heat loss)</w:t>
      </w:r>
      <w:r w:rsidR="008D600B">
        <w:rPr>
          <w:rFonts w:ascii="Times New Roman" w:hAnsi="Times New Roman" w:cs="Times New Roman"/>
          <w:sz w:val="24"/>
          <w:lang w:val="en-US"/>
        </w:rPr>
        <w:t xml:space="preserve"> </w:t>
      </w:r>
      <w:r w:rsidR="008D600B" w:rsidRPr="001417BE">
        <w:rPr>
          <w:rFonts w:ascii="Times New Roman" w:hAnsi="Times New Roman" w:cs="Times New Roman"/>
          <w:sz w:val="24"/>
          <w:lang w:val="en-US"/>
        </w:rPr>
        <w:t xml:space="preserve">(Table </w:t>
      </w:r>
      <w:r w:rsidR="008D600B">
        <w:rPr>
          <w:rFonts w:ascii="Times New Roman" w:hAnsi="Times New Roman" w:cs="Times New Roman"/>
          <w:sz w:val="24"/>
          <w:lang w:val="en-US"/>
        </w:rPr>
        <w:t>2</w:t>
      </w:r>
      <w:r w:rsidR="008D600B" w:rsidRPr="001417BE">
        <w:rPr>
          <w:rFonts w:ascii="Times New Roman" w:hAnsi="Times New Roman" w:cs="Times New Roman"/>
          <w:sz w:val="24"/>
          <w:lang w:val="en-US"/>
        </w:rPr>
        <w:t>)</w:t>
      </w:r>
      <w:r w:rsidR="008D600B">
        <w:rPr>
          <w:rFonts w:ascii="Times New Roman" w:hAnsi="Times New Roman" w:cs="Times New Roman"/>
          <w:sz w:val="24"/>
          <w:lang w:val="en-US"/>
        </w:rPr>
        <w:t xml:space="preserve">. </w:t>
      </w:r>
      <w:r w:rsidR="00AA09DF">
        <w:rPr>
          <w:rFonts w:ascii="Times New Roman" w:hAnsi="Times New Roman" w:cs="Times New Roman"/>
          <w:sz w:val="24"/>
          <w:lang w:val="en-US"/>
        </w:rPr>
        <w:t>When excluding the individuals without detectable BAT (PET</w:t>
      </w:r>
      <w:r w:rsidR="00A73DE3">
        <w:rPr>
          <w:rFonts w:ascii="Times New Roman" w:hAnsi="Times New Roman" w:cs="Times New Roman"/>
          <w:sz w:val="24"/>
          <w:lang w:val="en-US"/>
        </w:rPr>
        <w:t xml:space="preserve"> negative</w:t>
      </w:r>
      <w:r w:rsidR="00AA09DF">
        <w:rPr>
          <w:rFonts w:ascii="Times New Roman" w:hAnsi="Times New Roman" w:cs="Times New Roman"/>
          <w:sz w:val="24"/>
          <w:lang w:val="en-US"/>
        </w:rPr>
        <w:t xml:space="preserve">; 8 men and 10 women) </w:t>
      </w:r>
      <w:r w:rsidR="009F54E3">
        <w:rPr>
          <w:rFonts w:ascii="Times New Roman" w:hAnsi="Times New Roman" w:cs="Times New Roman"/>
          <w:sz w:val="24"/>
          <w:lang w:val="en-US"/>
        </w:rPr>
        <w:t xml:space="preserve">all </w:t>
      </w:r>
      <w:r w:rsidR="00AA09DF">
        <w:rPr>
          <w:rFonts w:ascii="Times New Roman" w:hAnsi="Times New Roman" w:cs="Times New Roman"/>
          <w:sz w:val="24"/>
          <w:lang w:val="en-US"/>
        </w:rPr>
        <w:t xml:space="preserve">the associations </w:t>
      </w:r>
      <w:r w:rsidR="009F54E3">
        <w:rPr>
          <w:rFonts w:ascii="Times New Roman" w:hAnsi="Times New Roman" w:cs="Times New Roman"/>
          <w:sz w:val="24"/>
          <w:lang w:val="en-US"/>
        </w:rPr>
        <w:t>remained similar (data not shown).</w:t>
      </w:r>
    </w:p>
    <w:p w14:paraId="5046E803" w14:textId="2E24DD5B" w:rsidR="000764CD" w:rsidRPr="000764CD" w:rsidRDefault="000764CD" w:rsidP="000764CD">
      <w:pPr>
        <w:spacing w:line="480" w:lineRule="auto"/>
        <w:jc w:val="both"/>
        <w:rPr>
          <w:rFonts w:ascii="Times New Roman" w:hAnsi="Times New Roman" w:cs="Times New Roman"/>
          <w:b/>
          <w:bCs/>
          <w:i/>
          <w:iCs/>
          <w:sz w:val="24"/>
          <w:szCs w:val="24"/>
          <w:lang w:val="en-US"/>
        </w:rPr>
      </w:pPr>
      <w:r w:rsidRPr="000764CD">
        <w:rPr>
          <w:rFonts w:ascii="Times New Roman" w:hAnsi="Times New Roman" w:cs="Times New Roman"/>
          <w:b/>
          <w:bCs/>
          <w:i/>
          <w:iCs/>
          <w:sz w:val="24"/>
          <w:szCs w:val="24"/>
          <w:lang w:val="en-US"/>
        </w:rPr>
        <w:t xml:space="preserve">BAT </w:t>
      </w:r>
      <w:r w:rsidRPr="000764CD">
        <w:rPr>
          <w:rFonts w:ascii="Times New Roman" w:hAnsi="Times New Roman" w:cs="Times New Roman"/>
          <w:b/>
          <w:bCs/>
          <w:i/>
          <w:iCs/>
          <w:sz w:val="24"/>
          <w:szCs w:val="24"/>
          <w:vertAlign w:val="superscript"/>
          <w:lang w:val="en-US"/>
        </w:rPr>
        <w:t>18</w:t>
      </w:r>
      <w:r>
        <w:rPr>
          <w:rFonts w:ascii="Times New Roman" w:hAnsi="Times New Roman" w:cs="Times New Roman"/>
          <w:b/>
          <w:bCs/>
          <w:i/>
          <w:iCs/>
          <w:sz w:val="24"/>
          <w:szCs w:val="24"/>
          <w:lang w:val="en-US"/>
        </w:rPr>
        <w:t xml:space="preserve">F-FDG uptake </w:t>
      </w:r>
      <w:r w:rsidRPr="000764CD">
        <w:rPr>
          <w:rFonts w:ascii="Times New Roman" w:hAnsi="Times New Roman" w:cs="Times New Roman"/>
          <w:b/>
          <w:bCs/>
          <w:i/>
          <w:iCs/>
          <w:sz w:val="24"/>
          <w:szCs w:val="24"/>
          <w:lang w:val="en-US"/>
        </w:rPr>
        <w:t>and whole-body adiposity</w:t>
      </w:r>
    </w:p>
    <w:p w14:paraId="33C3E411" w14:textId="31866DB2" w:rsidR="0098285D" w:rsidRPr="003207BB" w:rsidRDefault="005A1FAD" w:rsidP="00761702">
      <w:pPr>
        <w:spacing w:line="480" w:lineRule="auto"/>
        <w:jc w:val="both"/>
        <w:rPr>
          <w:rFonts w:ascii="Times New Roman" w:hAnsi="Times New Roman" w:cs="Times New Roman"/>
          <w:sz w:val="24"/>
          <w:lang w:val="en-US"/>
        </w:rPr>
      </w:pPr>
      <w:r w:rsidRPr="001417BE">
        <w:rPr>
          <w:rFonts w:ascii="Times New Roman" w:hAnsi="Times New Roman" w:cs="Times New Roman"/>
          <w:sz w:val="24"/>
          <w:lang w:val="en-US"/>
        </w:rPr>
        <w:t xml:space="preserve">Figure </w:t>
      </w:r>
      <w:r w:rsidR="009F54E3">
        <w:rPr>
          <w:rFonts w:ascii="Times New Roman" w:hAnsi="Times New Roman" w:cs="Times New Roman"/>
          <w:sz w:val="24"/>
          <w:lang w:val="en-US"/>
        </w:rPr>
        <w:t>2</w:t>
      </w:r>
      <w:r w:rsidRPr="001417BE">
        <w:rPr>
          <w:rFonts w:ascii="Times New Roman" w:hAnsi="Times New Roman" w:cs="Times New Roman"/>
          <w:sz w:val="24"/>
          <w:lang w:val="en-US"/>
        </w:rPr>
        <w:t xml:space="preserve"> shows t</w:t>
      </w:r>
      <w:r w:rsidR="005C0C18" w:rsidRPr="001417BE">
        <w:rPr>
          <w:rFonts w:ascii="Times New Roman" w:hAnsi="Times New Roman" w:cs="Times New Roman"/>
          <w:sz w:val="24"/>
          <w:lang w:val="en-US"/>
        </w:rPr>
        <w:t>he association</w:t>
      </w:r>
      <w:r w:rsidR="006F0378" w:rsidRPr="001417BE">
        <w:rPr>
          <w:rFonts w:ascii="Times New Roman" w:hAnsi="Times New Roman" w:cs="Times New Roman"/>
          <w:sz w:val="24"/>
          <w:lang w:val="en-US"/>
        </w:rPr>
        <w:t xml:space="preserve"> between BAT SUVmean and </w:t>
      </w:r>
      <w:r w:rsidR="007848B9">
        <w:rPr>
          <w:rFonts w:ascii="Times New Roman" w:hAnsi="Times New Roman" w:cs="Times New Roman"/>
          <w:sz w:val="24"/>
          <w:lang w:val="en-US"/>
        </w:rPr>
        <w:t>whole-body adiposity</w:t>
      </w:r>
      <w:r w:rsidR="006F0378" w:rsidRPr="001417BE">
        <w:rPr>
          <w:rFonts w:ascii="Times New Roman" w:hAnsi="Times New Roman" w:cs="Times New Roman"/>
          <w:sz w:val="24"/>
          <w:lang w:val="en-US"/>
        </w:rPr>
        <w:t xml:space="preserve">. </w:t>
      </w:r>
      <w:r w:rsidR="00B2763B">
        <w:rPr>
          <w:rFonts w:ascii="Times New Roman" w:hAnsi="Times New Roman" w:cs="Times New Roman"/>
          <w:sz w:val="24"/>
          <w:lang w:val="en-US"/>
        </w:rPr>
        <w:t>In women, an</w:t>
      </w:r>
      <w:r w:rsidR="002C4BE7" w:rsidRPr="003363C6">
        <w:rPr>
          <w:rFonts w:ascii="Times New Roman" w:hAnsi="Times New Roman" w:cs="Times New Roman"/>
          <w:sz w:val="24"/>
          <w:lang w:val="en-US"/>
        </w:rPr>
        <w:t xml:space="preserve"> </w:t>
      </w:r>
      <w:r w:rsidR="005C0C18" w:rsidRPr="003363C6">
        <w:rPr>
          <w:rFonts w:ascii="Times New Roman" w:hAnsi="Times New Roman" w:cs="Times New Roman"/>
          <w:sz w:val="24"/>
          <w:lang w:val="en-US"/>
        </w:rPr>
        <w:t>inverse</w:t>
      </w:r>
      <w:r w:rsidR="00DD2C56" w:rsidRPr="003363C6">
        <w:rPr>
          <w:rFonts w:ascii="Times New Roman" w:hAnsi="Times New Roman" w:cs="Times New Roman"/>
          <w:sz w:val="24"/>
          <w:lang w:val="en-US"/>
        </w:rPr>
        <w:t xml:space="preserve"> association</w:t>
      </w:r>
      <w:r w:rsidR="005C0C18" w:rsidRPr="003363C6">
        <w:rPr>
          <w:rFonts w:ascii="Times New Roman" w:hAnsi="Times New Roman" w:cs="Times New Roman"/>
          <w:sz w:val="24"/>
          <w:lang w:val="en-US"/>
        </w:rPr>
        <w:t xml:space="preserve"> was</w:t>
      </w:r>
      <w:r w:rsidR="005C0C18" w:rsidRPr="001417BE">
        <w:rPr>
          <w:rFonts w:ascii="Times New Roman" w:hAnsi="Times New Roman" w:cs="Times New Roman"/>
          <w:sz w:val="24"/>
          <w:lang w:val="en-US"/>
        </w:rPr>
        <w:t xml:space="preserve"> </w:t>
      </w:r>
      <w:r w:rsidR="00B2763B">
        <w:rPr>
          <w:rFonts w:ascii="Times New Roman" w:hAnsi="Times New Roman" w:cs="Times New Roman"/>
          <w:sz w:val="24"/>
          <w:lang w:val="en-US"/>
        </w:rPr>
        <w:t>detected</w:t>
      </w:r>
      <w:r w:rsidR="005C0C18" w:rsidRPr="001417BE">
        <w:rPr>
          <w:rFonts w:ascii="Times New Roman" w:hAnsi="Times New Roman" w:cs="Times New Roman"/>
          <w:sz w:val="24"/>
          <w:lang w:val="en-US"/>
        </w:rPr>
        <w:t xml:space="preserve"> </w:t>
      </w:r>
      <w:r w:rsidR="00DD2C56" w:rsidRPr="001417BE">
        <w:rPr>
          <w:rFonts w:ascii="Times New Roman" w:hAnsi="Times New Roman" w:cs="Times New Roman"/>
          <w:sz w:val="24"/>
          <w:lang w:val="en-US"/>
        </w:rPr>
        <w:t>between BAT SUVmean and BMI</w:t>
      </w:r>
      <w:r w:rsidR="00DD2C56" w:rsidRPr="003363C6">
        <w:rPr>
          <w:rFonts w:ascii="Times New Roman" w:hAnsi="Times New Roman" w:cs="Times New Roman"/>
          <w:sz w:val="24"/>
          <w:lang w:val="en-US"/>
        </w:rPr>
        <w:t>,</w:t>
      </w:r>
      <w:r w:rsidR="00DD2C56" w:rsidRPr="001417BE">
        <w:rPr>
          <w:rFonts w:ascii="Times New Roman" w:hAnsi="Times New Roman" w:cs="Times New Roman"/>
          <w:sz w:val="24"/>
          <w:lang w:val="en-US"/>
        </w:rPr>
        <w:t xml:space="preserve"> </w:t>
      </w:r>
      <w:r w:rsidR="008D600B">
        <w:rPr>
          <w:rFonts w:ascii="Times New Roman" w:hAnsi="Times New Roman" w:cs="Times New Roman"/>
          <w:sz w:val="24"/>
          <w:lang w:val="en-US"/>
        </w:rPr>
        <w:t>whereas</w:t>
      </w:r>
      <w:r w:rsidR="00DD2C56" w:rsidRPr="001417BE">
        <w:rPr>
          <w:rFonts w:ascii="Times New Roman" w:hAnsi="Times New Roman" w:cs="Times New Roman"/>
          <w:sz w:val="24"/>
          <w:lang w:val="en-US"/>
        </w:rPr>
        <w:t xml:space="preserve"> </w:t>
      </w:r>
      <w:r w:rsidR="00B2763B">
        <w:rPr>
          <w:rFonts w:ascii="Times New Roman" w:hAnsi="Times New Roman" w:cs="Times New Roman"/>
          <w:sz w:val="24"/>
          <w:lang w:val="en-US"/>
        </w:rPr>
        <w:t xml:space="preserve">a </w:t>
      </w:r>
      <w:r w:rsidR="00B2763B" w:rsidRPr="003363C6">
        <w:rPr>
          <w:rFonts w:ascii="Times New Roman" w:hAnsi="Times New Roman" w:cs="Times New Roman"/>
          <w:sz w:val="24"/>
          <w:lang w:val="en-US"/>
        </w:rPr>
        <w:t xml:space="preserve">trend towards an </w:t>
      </w:r>
      <w:r w:rsidR="005C0C18" w:rsidRPr="001417BE">
        <w:rPr>
          <w:rFonts w:ascii="Times New Roman" w:hAnsi="Times New Roman" w:cs="Times New Roman"/>
          <w:sz w:val="24"/>
          <w:lang w:val="en-US"/>
        </w:rPr>
        <w:t>inverse</w:t>
      </w:r>
      <w:r w:rsidR="00DD2C56" w:rsidRPr="001417BE">
        <w:rPr>
          <w:rFonts w:ascii="Times New Roman" w:hAnsi="Times New Roman" w:cs="Times New Roman"/>
          <w:sz w:val="24"/>
          <w:lang w:val="en-US"/>
        </w:rPr>
        <w:t xml:space="preserve"> association</w:t>
      </w:r>
      <w:r w:rsidR="005C0C18" w:rsidRPr="001417BE">
        <w:rPr>
          <w:rFonts w:ascii="Times New Roman" w:hAnsi="Times New Roman" w:cs="Times New Roman"/>
          <w:sz w:val="24"/>
          <w:lang w:val="en-US"/>
        </w:rPr>
        <w:t xml:space="preserve"> was </w:t>
      </w:r>
      <w:r w:rsidR="00B2763B">
        <w:rPr>
          <w:rFonts w:ascii="Times New Roman" w:hAnsi="Times New Roman" w:cs="Times New Roman"/>
          <w:sz w:val="24"/>
          <w:lang w:val="en-US"/>
        </w:rPr>
        <w:t>seen</w:t>
      </w:r>
      <w:r w:rsidR="00DD2C56" w:rsidRPr="001417BE">
        <w:rPr>
          <w:rFonts w:ascii="Times New Roman" w:hAnsi="Times New Roman" w:cs="Times New Roman"/>
          <w:sz w:val="24"/>
          <w:lang w:val="en-US"/>
        </w:rPr>
        <w:t xml:space="preserve"> between BAT SUVmean and </w:t>
      </w:r>
      <w:r w:rsidR="00B2763B">
        <w:rPr>
          <w:rFonts w:ascii="Times New Roman" w:hAnsi="Times New Roman" w:cs="Times New Roman"/>
          <w:sz w:val="24"/>
          <w:lang w:val="en-US"/>
        </w:rPr>
        <w:t xml:space="preserve">fat mass and </w:t>
      </w:r>
      <w:r w:rsidR="00DD2C56" w:rsidRPr="001417BE">
        <w:rPr>
          <w:rFonts w:ascii="Times New Roman" w:hAnsi="Times New Roman" w:cs="Times New Roman"/>
          <w:sz w:val="24"/>
          <w:lang w:val="en-US"/>
        </w:rPr>
        <w:t xml:space="preserve">VAT </w:t>
      </w:r>
      <w:r w:rsidR="00B2763B">
        <w:rPr>
          <w:rFonts w:ascii="Times New Roman" w:hAnsi="Times New Roman" w:cs="Times New Roman"/>
          <w:sz w:val="24"/>
          <w:lang w:val="en-US"/>
        </w:rPr>
        <w:t>mass</w:t>
      </w:r>
      <w:r w:rsidR="007848B9">
        <w:rPr>
          <w:rFonts w:ascii="Times New Roman" w:hAnsi="Times New Roman" w:cs="Times New Roman"/>
          <w:sz w:val="24"/>
          <w:lang w:val="en-US"/>
        </w:rPr>
        <w:t xml:space="preserve">. In contrast, </w:t>
      </w:r>
      <w:r w:rsidR="00B2763B">
        <w:rPr>
          <w:rFonts w:ascii="Times New Roman" w:hAnsi="Times New Roman" w:cs="Times New Roman"/>
          <w:sz w:val="24"/>
          <w:lang w:val="en-US"/>
        </w:rPr>
        <w:t>no associations were detected in men</w:t>
      </w:r>
      <w:r w:rsidR="008D600B">
        <w:rPr>
          <w:rFonts w:ascii="Times New Roman" w:hAnsi="Times New Roman" w:cs="Times New Roman"/>
          <w:sz w:val="24"/>
          <w:lang w:val="en-US"/>
        </w:rPr>
        <w:t xml:space="preserve"> (</w:t>
      </w:r>
      <w:r w:rsidR="00D25C33">
        <w:rPr>
          <w:rFonts w:ascii="Times New Roman" w:hAnsi="Times New Roman" w:cs="Times New Roman"/>
          <w:sz w:val="24"/>
          <w:lang w:val="en-US"/>
        </w:rPr>
        <w:t>Figure 2)</w:t>
      </w:r>
      <w:r w:rsidR="00EF359D" w:rsidRPr="001417BE">
        <w:rPr>
          <w:rFonts w:ascii="Times New Roman" w:hAnsi="Times New Roman" w:cs="Times New Roman"/>
          <w:sz w:val="24"/>
          <w:szCs w:val="24"/>
          <w:lang w:val="en-US"/>
        </w:rPr>
        <w:t>.</w:t>
      </w:r>
      <w:r w:rsidR="00B2763B">
        <w:rPr>
          <w:rFonts w:ascii="Times New Roman" w:hAnsi="Times New Roman" w:cs="Times New Roman"/>
          <w:sz w:val="24"/>
          <w:szCs w:val="24"/>
          <w:lang w:val="en-US"/>
        </w:rPr>
        <w:t xml:space="preserve"> </w:t>
      </w:r>
      <w:r w:rsidR="00EF359D" w:rsidRPr="001417BE">
        <w:rPr>
          <w:rFonts w:ascii="Times New Roman" w:hAnsi="Times New Roman" w:cs="Times New Roman"/>
          <w:sz w:val="24"/>
          <w:szCs w:val="24"/>
          <w:lang w:val="en-US"/>
        </w:rPr>
        <w:t>T</w:t>
      </w:r>
      <w:r w:rsidR="00FD7777" w:rsidRPr="001417BE">
        <w:rPr>
          <w:rFonts w:ascii="Times New Roman" w:hAnsi="Times New Roman" w:cs="Times New Roman"/>
          <w:sz w:val="24"/>
          <w:szCs w:val="24"/>
          <w:lang w:val="en-US"/>
        </w:rPr>
        <w:t>h</w:t>
      </w:r>
      <w:r w:rsidR="005C0C18" w:rsidRPr="001417BE">
        <w:rPr>
          <w:rFonts w:ascii="Times New Roman" w:hAnsi="Times New Roman" w:cs="Times New Roman"/>
          <w:sz w:val="24"/>
          <w:szCs w:val="24"/>
          <w:lang w:val="en-US"/>
        </w:rPr>
        <w:t>is</w:t>
      </w:r>
      <w:r w:rsidR="00FD7777" w:rsidRPr="001417BE">
        <w:rPr>
          <w:rFonts w:ascii="Times New Roman" w:hAnsi="Times New Roman" w:cs="Times New Roman"/>
          <w:sz w:val="24"/>
          <w:szCs w:val="24"/>
          <w:lang w:val="en-US"/>
        </w:rPr>
        <w:t xml:space="preserve"> pattern </w:t>
      </w:r>
      <w:r w:rsidR="0075211D" w:rsidRPr="001417BE">
        <w:rPr>
          <w:rFonts w:ascii="Times New Roman" w:hAnsi="Times New Roman" w:cs="Times New Roman"/>
          <w:sz w:val="24"/>
          <w:szCs w:val="24"/>
          <w:lang w:val="en-US"/>
        </w:rPr>
        <w:t>remained</w:t>
      </w:r>
      <w:r w:rsidR="005C0C18" w:rsidRPr="001417BE">
        <w:rPr>
          <w:rFonts w:ascii="Times New Roman" w:hAnsi="Times New Roman" w:cs="Times New Roman"/>
          <w:sz w:val="24"/>
          <w:szCs w:val="24"/>
          <w:lang w:val="en-US"/>
        </w:rPr>
        <w:t xml:space="preserve"> after adjusting for the date </w:t>
      </w:r>
      <w:r w:rsidR="006326C2">
        <w:rPr>
          <w:rFonts w:ascii="Times New Roman" w:hAnsi="Times New Roman" w:cs="Times New Roman"/>
          <w:sz w:val="24"/>
          <w:szCs w:val="24"/>
          <w:lang w:val="en-US"/>
        </w:rPr>
        <w:t>when the</w:t>
      </w:r>
      <w:r w:rsidR="00DD2C56" w:rsidRPr="001417BE">
        <w:rPr>
          <w:rFonts w:ascii="Times New Roman" w:hAnsi="Times New Roman" w:cs="Times New Roman"/>
          <w:sz w:val="24"/>
          <w:lang w:val="en-US"/>
        </w:rPr>
        <w:t xml:space="preserve"> PET-CT</w:t>
      </w:r>
      <w:r w:rsidR="005C0C18" w:rsidRPr="001417BE">
        <w:rPr>
          <w:rFonts w:ascii="Times New Roman" w:hAnsi="Times New Roman" w:cs="Times New Roman"/>
          <w:sz w:val="24"/>
          <w:lang w:val="en-US"/>
        </w:rPr>
        <w:t xml:space="preserve"> </w:t>
      </w:r>
      <w:r w:rsidR="006326C2">
        <w:rPr>
          <w:rFonts w:ascii="Times New Roman" w:hAnsi="Times New Roman" w:cs="Times New Roman"/>
          <w:sz w:val="24"/>
          <w:lang w:val="en-US"/>
        </w:rPr>
        <w:t>was performed</w:t>
      </w:r>
      <w:r w:rsidR="00DD2C56" w:rsidRPr="001417BE">
        <w:rPr>
          <w:rFonts w:ascii="Times New Roman" w:hAnsi="Times New Roman" w:cs="Times New Roman"/>
          <w:sz w:val="24"/>
          <w:lang w:val="en-US"/>
        </w:rPr>
        <w:t xml:space="preserve">, HOMA </w:t>
      </w:r>
      <w:r w:rsidR="00B2763B">
        <w:rPr>
          <w:rFonts w:ascii="Times New Roman" w:hAnsi="Times New Roman" w:cs="Times New Roman"/>
          <w:sz w:val="24"/>
          <w:lang w:val="en-US"/>
        </w:rPr>
        <w:t xml:space="preserve">and the cooling vest water temperature, but disappeared after adjusting for the body surface area </w:t>
      </w:r>
      <w:r w:rsidR="00DD2C56" w:rsidRPr="001417BE">
        <w:rPr>
          <w:rFonts w:ascii="Times New Roman" w:hAnsi="Times New Roman" w:cs="Times New Roman"/>
          <w:sz w:val="24"/>
          <w:lang w:val="en-US"/>
        </w:rPr>
        <w:t>(</w:t>
      </w:r>
      <w:r w:rsidR="00B31869" w:rsidRPr="001417BE">
        <w:rPr>
          <w:rFonts w:ascii="Times New Roman" w:hAnsi="Times New Roman" w:cs="Times New Roman"/>
          <w:sz w:val="24"/>
          <w:lang w:val="en-US"/>
        </w:rPr>
        <w:t xml:space="preserve">Table </w:t>
      </w:r>
      <w:r w:rsidR="00B2763B">
        <w:rPr>
          <w:rFonts w:ascii="Times New Roman" w:hAnsi="Times New Roman" w:cs="Times New Roman"/>
          <w:sz w:val="24"/>
          <w:lang w:val="en-US"/>
        </w:rPr>
        <w:t>3</w:t>
      </w:r>
      <w:r w:rsidR="00DD2C56" w:rsidRPr="001417BE">
        <w:rPr>
          <w:rFonts w:ascii="Times New Roman" w:hAnsi="Times New Roman" w:cs="Times New Roman"/>
          <w:sz w:val="24"/>
          <w:lang w:val="en-US"/>
        </w:rPr>
        <w:t>).</w:t>
      </w:r>
      <w:r w:rsidR="00186BD2">
        <w:rPr>
          <w:rFonts w:ascii="Times New Roman" w:hAnsi="Times New Roman" w:cs="Times New Roman"/>
          <w:sz w:val="24"/>
          <w:lang w:val="en-US"/>
        </w:rPr>
        <w:t xml:space="preserve"> All the associations remained</w:t>
      </w:r>
      <w:r w:rsidR="00841F74">
        <w:rPr>
          <w:rFonts w:ascii="Times New Roman" w:hAnsi="Times New Roman" w:cs="Times New Roman"/>
          <w:sz w:val="24"/>
          <w:lang w:val="en-US"/>
        </w:rPr>
        <w:t xml:space="preserve"> </w:t>
      </w:r>
      <w:r w:rsidR="00186BD2">
        <w:rPr>
          <w:rFonts w:ascii="Times New Roman" w:hAnsi="Times New Roman" w:cs="Times New Roman"/>
          <w:sz w:val="24"/>
          <w:lang w:val="en-US"/>
        </w:rPr>
        <w:t>when PET</w:t>
      </w:r>
      <w:r w:rsidR="00A73DE3">
        <w:rPr>
          <w:rFonts w:ascii="Times New Roman" w:hAnsi="Times New Roman" w:cs="Times New Roman"/>
          <w:sz w:val="24"/>
          <w:lang w:val="en-US"/>
        </w:rPr>
        <w:t xml:space="preserve"> negative</w:t>
      </w:r>
      <w:r w:rsidR="00186BD2">
        <w:rPr>
          <w:rFonts w:ascii="Times New Roman" w:hAnsi="Times New Roman" w:cs="Times New Roman"/>
          <w:sz w:val="24"/>
          <w:lang w:val="en-US"/>
        </w:rPr>
        <w:t xml:space="preserve"> participants were excluded from the analyses (data not shown).</w:t>
      </w:r>
      <w:r w:rsidR="008B1B9B">
        <w:rPr>
          <w:rFonts w:ascii="Times New Roman" w:hAnsi="Times New Roman" w:cs="Times New Roman"/>
          <w:sz w:val="24"/>
          <w:lang w:val="en-US"/>
        </w:rPr>
        <w:t xml:space="preserve"> </w:t>
      </w:r>
      <w:r w:rsidR="00186BD2">
        <w:rPr>
          <w:rFonts w:ascii="Times New Roman" w:hAnsi="Times New Roman" w:cs="Times New Roman"/>
          <w:sz w:val="24"/>
          <w:lang w:val="en-US"/>
        </w:rPr>
        <w:t>N</w:t>
      </w:r>
      <w:r w:rsidR="00502295" w:rsidRPr="001417BE">
        <w:rPr>
          <w:rFonts w:ascii="Times New Roman" w:hAnsi="Times New Roman" w:cs="Times New Roman"/>
          <w:sz w:val="24"/>
          <w:lang w:val="en-US"/>
        </w:rPr>
        <w:t xml:space="preserve">o association </w:t>
      </w:r>
      <w:r w:rsidR="00506728" w:rsidRPr="001417BE">
        <w:rPr>
          <w:rFonts w:ascii="Times New Roman" w:hAnsi="Times New Roman" w:cs="Times New Roman"/>
          <w:sz w:val="24"/>
          <w:lang w:val="en-US"/>
        </w:rPr>
        <w:t xml:space="preserve">was </w:t>
      </w:r>
      <w:r w:rsidR="00A96EE3">
        <w:rPr>
          <w:rFonts w:ascii="Times New Roman" w:hAnsi="Times New Roman" w:cs="Times New Roman"/>
          <w:sz w:val="24"/>
          <w:lang w:val="en-US"/>
        </w:rPr>
        <w:t>observed</w:t>
      </w:r>
      <w:r w:rsidR="00A96EE3" w:rsidRPr="001417BE">
        <w:rPr>
          <w:rFonts w:ascii="Times New Roman" w:hAnsi="Times New Roman" w:cs="Times New Roman"/>
          <w:sz w:val="24"/>
          <w:lang w:val="en-US"/>
        </w:rPr>
        <w:t xml:space="preserve"> </w:t>
      </w:r>
      <w:r w:rsidR="00506728" w:rsidRPr="001417BE">
        <w:rPr>
          <w:rFonts w:ascii="Times New Roman" w:hAnsi="Times New Roman" w:cs="Times New Roman"/>
          <w:sz w:val="24"/>
          <w:lang w:val="en-US"/>
        </w:rPr>
        <w:t xml:space="preserve">between BAT SUVpeak and </w:t>
      </w:r>
      <w:r w:rsidR="007848B9">
        <w:rPr>
          <w:rFonts w:ascii="Times New Roman" w:hAnsi="Times New Roman" w:cs="Times New Roman"/>
          <w:sz w:val="24"/>
          <w:lang w:val="en-US"/>
        </w:rPr>
        <w:t>whole-body adiposity</w:t>
      </w:r>
      <w:r w:rsidR="007848B9" w:rsidRPr="001417BE">
        <w:rPr>
          <w:rFonts w:ascii="Times New Roman" w:hAnsi="Times New Roman" w:cs="Times New Roman"/>
          <w:sz w:val="24"/>
          <w:lang w:val="en-US"/>
        </w:rPr>
        <w:t xml:space="preserve"> </w:t>
      </w:r>
      <w:r w:rsidR="00506728" w:rsidRPr="001417BE">
        <w:rPr>
          <w:rFonts w:ascii="Times New Roman" w:hAnsi="Times New Roman" w:cs="Times New Roman"/>
          <w:sz w:val="24"/>
          <w:lang w:val="en-US"/>
        </w:rPr>
        <w:t>variable</w:t>
      </w:r>
      <w:r w:rsidR="00502295" w:rsidRPr="001417BE">
        <w:rPr>
          <w:rFonts w:ascii="Times New Roman" w:hAnsi="Times New Roman" w:cs="Times New Roman"/>
          <w:sz w:val="24"/>
          <w:lang w:val="en-US"/>
        </w:rPr>
        <w:t xml:space="preserve"> </w:t>
      </w:r>
      <w:r w:rsidR="00186BD2">
        <w:rPr>
          <w:rFonts w:ascii="Times New Roman" w:hAnsi="Times New Roman" w:cs="Times New Roman"/>
          <w:sz w:val="24"/>
          <w:lang w:val="en-US"/>
        </w:rPr>
        <w:t xml:space="preserve">nor in men neither in women </w:t>
      </w:r>
      <w:r w:rsidR="00502295" w:rsidRPr="001417BE">
        <w:rPr>
          <w:rFonts w:ascii="Times New Roman" w:hAnsi="Times New Roman" w:cs="Times New Roman"/>
          <w:sz w:val="24"/>
          <w:lang w:val="en-US"/>
        </w:rPr>
        <w:t>(</w:t>
      </w:r>
      <w:r w:rsidR="00186BD2">
        <w:rPr>
          <w:rFonts w:ascii="Times New Roman" w:hAnsi="Times New Roman" w:cs="Times New Roman"/>
          <w:sz w:val="24"/>
          <w:lang w:val="en-US"/>
        </w:rPr>
        <w:t>Figure 3</w:t>
      </w:r>
      <w:r w:rsidR="00502295" w:rsidRPr="001417BE">
        <w:rPr>
          <w:rFonts w:ascii="Times New Roman" w:hAnsi="Times New Roman" w:cs="Times New Roman"/>
          <w:sz w:val="24"/>
          <w:lang w:val="en-US"/>
        </w:rPr>
        <w:t xml:space="preserve">). </w:t>
      </w:r>
      <w:r w:rsidR="0098285D">
        <w:rPr>
          <w:rFonts w:ascii="Times New Roman" w:hAnsi="Times New Roman" w:cs="Times New Roman"/>
          <w:sz w:val="24"/>
          <w:lang w:val="en-US"/>
        </w:rPr>
        <w:t xml:space="preserve">Similar results were obtained when excluding the </w:t>
      </w:r>
      <w:r w:rsidR="0098285D" w:rsidRPr="003207BB">
        <w:rPr>
          <w:rFonts w:ascii="Times New Roman" w:hAnsi="Times New Roman" w:cs="Times New Roman"/>
          <w:sz w:val="24"/>
          <w:lang w:val="en-US"/>
        </w:rPr>
        <w:t>PET</w:t>
      </w:r>
      <w:r w:rsidR="00A73DE3">
        <w:rPr>
          <w:rFonts w:ascii="Times New Roman" w:hAnsi="Times New Roman" w:cs="Times New Roman"/>
          <w:sz w:val="24"/>
          <w:lang w:val="en-US"/>
        </w:rPr>
        <w:t xml:space="preserve"> negative</w:t>
      </w:r>
      <w:r w:rsidR="0098285D" w:rsidRPr="003207BB">
        <w:rPr>
          <w:rFonts w:ascii="Times New Roman" w:hAnsi="Times New Roman" w:cs="Times New Roman"/>
          <w:sz w:val="24"/>
          <w:lang w:val="en-US"/>
        </w:rPr>
        <w:t xml:space="preserve"> participants</w:t>
      </w:r>
      <w:r w:rsidR="00DF2D6B">
        <w:rPr>
          <w:rFonts w:ascii="Times New Roman" w:hAnsi="Times New Roman" w:cs="Times New Roman"/>
          <w:sz w:val="24"/>
          <w:lang w:val="en-US"/>
        </w:rPr>
        <w:t xml:space="preserve"> (data not shown)</w:t>
      </w:r>
      <w:r w:rsidR="0098285D" w:rsidRPr="003207BB">
        <w:rPr>
          <w:rFonts w:ascii="Times New Roman" w:hAnsi="Times New Roman" w:cs="Times New Roman"/>
          <w:sz w:val="24"/>
          <w:lang w:val="en-US"/>
        </w:rPr>
        <w:t>.</w:t>
      </w:r>
    </w:p>
    <w:p w14:paraId="56B7890A" w14:textId="6D393748" w:rsidR="000764CD" w:rsidRPr="000764CD" w:rsidRDefault="000764CD" w:rsidP="000764CD">
      <w:pPr>
        <w:spacing w:line="480" w:lineRule="auto"/>
        <w:jc w:val="both"/>
        <w:rPr>
          <w:rFonts w:ascii="Times New Roman" w:hAnsi="Times New Roman" w:cs="Times New Roman"/>
          <w:b/>
          <w:bCs/>
          <w:i/>
          <w:iCs/>
          <w:sz w:val="24"/>
          <w:szCs w:val="24"/>
          <w:lang w:val="en-US"/>
        </w:rPr>
      </w:pPr>
      <w:r w:rsidRPr="003207BB">
        <w:rPr>
          <w:rFonts w:ascii="Times New Roman" w:hAnsi="Times New Roman" w:cs="Times New Roman"/>
          <w:b/>
          <w:bCs/>
          <w:i/>
          <w:iCs/>
          <w:sz w:val="24"/>
          <w:szCs w:val="24"/>
          <w:lang w:val="en-US"/>
        </w:rPr>
        <w:lastRenderedPageBreak/>
        <w:t>BAT mean radiodensity and whole-body adiposity</w:t>
      </w:r>
    </w:p>
    <w:p w14:paraId="3D9297F1" w14:textId="7423D987" w:rsidR="0093662C" w:rsidRDefault="006F484B" w:rsidP="00C2680A">
      <w:pPr>
        <w:spacing w:line="480" w:lineRule="auto"/>
        <w:jc w:val="both"/>
        <w:rPr>
          <w:rFonts w:ascii="Times New Roman" w:hAnsi="Times New Roman" w:cs="Times New Roman"/>
          <w:sz w:val="24"/>
          <w:lang w:val="en-US"/>
        </w:rPr>
      </w:pPr>
      <w:r w:rsidRPr="001417BE">
        <w:rPr>
          <w:rFonts w:ascii="Times New Roman" w:hAnsi="Times New Roman" w:cs="Times New Roman"/>
          <w:sz w:val="24"/>
          <w:lang w:val="en-US"/>
        </w:rPr>
        <w:t xml:space="preserve">Figure </w:t>
      </w:r>
      <w:r w:rsidR="0098285D">
        <w:rPr>
          <w:rFonts w:ascii="Times New Roman" w:hAnsi="Times New Roman" w:cs="Times New Roman"/>
          <w:sz w:val="24"/>
          <w:lang w:val="en-US"/>
        </w:rPr>
        <w:t>4</w:t>
      </w:r>
      <w:r w:rsidRPr="001417BE">
        <w:rPr>
          <w:rFonts w:ascii="Times New Roman" w:hAnsi="Times New Roman" w:cs="Times New Roman"/>
          <w:sz w:val="24"/>
          <w:lang w:val="en-US"/>
        </w:rPr>
        <w:t xml:space="preserve"> shows the association between </w:t>
      </w:r>
      <w:r w:rsidR="005E2373" w:rsidRPr="001417BE">
        <w:rPr>
          <w:rFonts w:ascii="Times New Roman" w:hAnsi="Times New Roman" w:cs="Times New Roman"/>
          <w:sz w:val="24"/>
          <w:lang w:val="en-US"/>
        </w:rPr>
        <w:t xml:space="preserve">BAT mean radiodensity and </w:t>
      </w:r>
      <w:r w:rsidR="007848B9">
        <w:rPr>
          <w:rFonts w:ascii="Times New Roman" w:hAnsi="Times New Roman" w:cs="Times New Roman"/>
          <w:sz w:val="24"/>
          <w:lang w:val="en-US"/>
        </w:rPr>
        <w:t>whole-body adiposity</w:t>
      </w:r>
      <w:r w:rsidR="00FC341D" w:rsidRPr="001417BE">
        <w:rPr>
          <w:rFonts w:ascii="Times New Roman" w:hAnsi="Times New Roman" w:cs="Times New Roman"/>
          <w:sz w:val="24"/>
          <w:lang w:val="en-US"/>
        </w:rPr>
        <w:t xml:space="preserve">. BAT mean radiodensity was </w:t>
      </w:r>
      <w:r w:rsidR="00E54C4B" w:rsidRPr="001417BE">
        <w:rPr>
          <w:rFonts w:ascii="Times New Roman" w:hAnsi="Times New Roman" w:cs="Times New Roman"/>
          <w:sz w:val="24"/>
          <w:lang w:val="en-US"/>
        </w:rPr>
        <w:t>inversely</w:t>
      </w:r>
      <w:r w:rsidR="00FC341D" w:rsidRPr="001417BE">
        <w:rPr>
          <w:rFonts w:ascii="Times New Roman" w:hAnsi="Times New Roman" w:cs="Times New Roman"/>
          <w:sz w:val="24"/>
          <w:lang w:val="en-US"/>
        </w:rPr>
        <w:t xml:space="preserve"> associated with BMI</w:t>
      </w:r>
      <w:r w:rsidR="00364F45">
        <w:rPr>
          <w:rFonts w:ascii="Times New Roman" w:hAnsi="Times New Roman" w:cs="Times New Roman"/>
          <w:sz w:val="24"/>
          <w:lang w:val="en-US"/>
        </w:rPr>
        <w:t xml:space="preserve">, waist </w:t>
      </w:r>
      <w:r w:rsidR="00724FF1">
        <w:rPr>
          <w:rFonts w:ascii="Times New Roman" w:hAnsi="Times New Roman" w:cs="Times New Roman"/>
          <w:sz w:val="24"/>
          <w:lang w:val="en-US"/>
        </w:rPr>
        <w:t>circumference</w:t>
      </w:r>
      <w:r w:rsidR="007848B9">
        <w:rPr>
          <w:rFonts w:ascii="Times New Roman" w:hAnsi="Times New Roman" w:cs="Times New Roman"/>
          <w:sz w:val="24"/>
          <w:lang w:val="en-US"/>
        </w:rPr>
        <w:t xml:space="preserve"> </w:t>
      </w:r>
      <w:r w:rsidR="00FC341D" w:rsidRPr="001417BE">
        <w:rPr>
          <w:rFonts w:ascii="Times New Roman" w:hAnsi="Times New Roman" w:cs="Times New Roman"/>
          <w:sz w:val="24"/>
          <w:lang w:val="en-US"/>
        </w:rPr>
        <w:t xml:space="preserve">and </w:t>
      </w:r>
      <w:r w:rsidR="0093662C">
        <w:rPr>
          <w:rFonts w:ascii="Times New Roman" w:hAnsi="Times New Roman" w:cs="Times New Roman"/>
          <w:sz w:val="24"/>
          <w:lang w:val="en-US"/>
        </w:rPr>
        <w:t xml:space="preserve">fat </w:t>
      </w:r>
      <w:r w:rsidR="00CC49E5" w:rsidRPr="001417BE">
        <w:rPr>
          <w:rFonts w:ascii="Times New Roman" w:hAnsi="Times New Roman" w:cs="Times New Roman"/>
          <w:sz w:val="24"/>
          <w:lang w:val="en-US"/>
        </w:rPr>
        <w:t>mass</w:t>
      </w:r>
      <w:r w:rsidR="00816096" w:rsidRPr="001417BE">
        <w:rPr>
          <w:rFonts w:ascii="Times New Roman" w:hAnsi="Times New Roman" w:cs="Times New Roman"/>
          <w:sz w:val="24"/>
          <w:lang w:val="en-US"/>
        </w:rPr>
        <w:t xml:space="preserve"> </w:t>
      </w:r>
      <w:r w:rsidR="0093662C">
        <w:rPr>
          <w:rFonts w:ascii="Times New Roman" w:hAnsi="Times New Roman" w:cs="Times New Roman"/>
          <w:sz w:val="24"/>
          <w:lang w:val="en-US"/>
        </w:rPr>
        <w:t xml:space="preserve">in men and with percentage fat mass in women. </w:t>
      </w:r>
      <w:r w:rsidR="00D25C33">
        <w:rPr>
          <w:rFonts w:ascii="Times New Roman" w:hAnsi="Times New Roman" w:cs="Times New Roman"/>
          <w:sz w:val="24"/>
          <w:lang w:val="en-US"/>
        </w:rPr>
        <w:t>Moreover</w:t>
      </w:r>
      <w:r w:rsidR="0093662C">
        <w:rPr>
          <w:rFonts w:ascii="Times New Roman" w:hAnsi="Times New Roman" w:cs="Times New Roman"/>
          <w:sz w:val="24"/>
          <w:lang w:val="en-US"/>
        </w:rPr>
        <w:t xml:space="preserve">, a </w:t>
      </w:r>
      <w:r w:rsidR="007848B9">
        <w:rPr>
          <w:rFonts w:ascii="Times New Roman" w:hAnsi="Times New Roman" w:cs="Times New Roman"/>
          <w:sz w:val="24"/>
          <w:lang w:val="en-US"/>
        </w:rPr>
        <w:t xml:space="preserve">trend </w:t>
      </w:r>
      <w:r w:rsidR="003207BB">
        <w:rPr>
          <w:rFonts w:ascii="Times New Roman" w:hAnsi="Times New Roman" w:cs="Times New Roman"/>
          <w:sz w:val="24"/>
          <w:lang w:val="en-US"/>
        </w:rPr>
        <w:t>towards</w:t>
      </w:r>
      <w:r w:rsidR="0093662C">
        <w:rPr>
          <w:rFonts w:ascii="Times New Roman" w:hAnsi="Times New Roman" w:cs="Times New Roman"/>
          <w:sz w:val="24"/>
          <w:lang w:val="en-US"/>
        </w:rPr>
        <w:t xml:space="preserve"> to a</w:t>
      </w:r>
      <w:r w:rsidR="005E2373" w:rsidRPr="00A761C7">
        <w:rPr>
          <w:rFonts w:ascii="Times New Roman" w:hAnsi="Times New Roman" w:cs="Times New Roman"/>
          <w:sz w:val="24"/>
          <w:lang w:val="en-US"/>
        </w:rPr>
        <w:t xml:space="preserve"> negative association </w:t>
      </w:r>
      <w:r w:rsidR="0093662C">
        <w:rPr>
          <w:rFonts w:ascii="Times New Roman" w:hAnsi="Times New Roman" w:cs="Times New Roman"/>
          <w:sz w:val="24"/>
          <w:lang w:val="en-US"/>
        </w:rPr>
        <w:t xml:space="preserve">was observed </w:t>
      </w:r>
      <w:r w:rsidR="005E2373" w:rsidRPr="00A761C7">
        <w:rPr>
          <w:rFonts w:ascii="Times New Roman" w:hAnsi="Times New Roman" w:cs="Times New Roman"/>
          <w:sz w:val="24"/>
          <w:lang w:val="en-US"/>
        </w:rPr>
        <w:t xml:space="preserve">between BAT mean radiodensity and </w:t>
      </w:r>
      <w:r w:rsidR="0093662C">
        <w:rPr>
          <w:rFonts w:ascii="Times New Roman" w:hAnsi="Times New Roman" w:cs="Times New Roman"/>
          <w:sz w:val="24"/>
          <w:lang w:val="en-US"/>
        </w:rPr>
        <w:t xml:space="preserve">percentage fat mass and </w:t>
      </w:r>
      <w:r w:rsidR="00FC341D" w:rsidRPr="00A761C7">
        <w:rPr>
          <w:rFonts w:ascii="Times New Roman" w:hAnsi="Times New Roman" w:cs="Times New Roman"/>
          <w:sz w:val="24"/>
          <w:lang w:val="en-US"/>
        </w:rPr>
        <w:t xml:space="preserve">VAT </w:t>
      </w:r>
      <w:r w:rsidR="00A761C7" w:rsidRPr="00A761C7">
        <w:rPr>
          <w:rFonts w:ascii="Times New Roman" w:hAnsi="Times New Roman" w:cs="Times New Roman"/>
          <w:sz w:val="24"/>
          <w:lang w:val="en-US"/>
        </w:rPr>
        <w:t>mass</w:t>
      </w:r>
      <w:r w:rsidR="001417BE" w:rsidRPr="00A761C7">
        <w:rPr>
          <w:rFonts w:ascii="Times New Roman" w:hAnsi="Times New Roman" w:cs="Times New Roman"/>
          <w:sz w:val="24"/>
          <w:lang w:val="en-US"/>
        </w:rPr>
        <w:t xml:space="preserve"> </w:t>
      </w:r>
      <w:r w:rsidR="0093662C">
        <w:rPr>
          <w:rFonts w:ascii="Times New Roman" w:hAnsi="Times New Roman" w:cs="Times New Roman"/>
          <w:sz w:val="24"/>
          <w:lang w:val="en-US"/>
        </w:rPr>
        <w:t>in men</w:t>
      </w:r>
      <w:r w:rsidR="003207BB">
        <w:rPr>
          <w:rFonts w:ascii="Times New Roman" w:hAnsi="Times New Roman" w:cs="Times New Roman"/>
          <w:sz w:val="24"/>
          <w:lang w:val="en-US"/>
        </w:rPr>
        <w:t>,</w:t>
      </w:r>
      <w:r w:rsidR="0093662C">
        <w:rPr>
          <w:rFonts w:ascii="Times New Roman" w:hAnsi="Times New Roman" w:cs="Times New Roman"/>
          <w:sz w:val="24"/>
          <w:lang w:val="en-US"/>
        </w:rPr>
        <w:t xml:space="preserve"> and fat mass </w:t>
      </w:r>
      <w:r w:rsidR="003207BB">
        <w:rPr>
          <w:rFonts w:ascii="Times New Roman" w:hAnsi="Times New Roman" w:cs="Times New Roman"/>
          <w:sz w:val="24"/>
          <w:lang w:val="en-US"/>
        </w:rPr>
        <w:t>(</w:t>
      </w:r>
      <w:r w:rsidR="0093662C">
        <w:rPr>
          <w:rFonts w:ascii="Times New Roman" w:hAnsi="Times New Roman" w:cs="Times New Roman"/>
          <w:sz w:val="24"/>
          <w:lang w:val="en-US"/>
        </w:rPr>
        <w:t>and VAT mass in women.</w:t>
      </w:r>
      <w:r w:rsidR="003207BB">
        <w:rPr>
          <w:rFonts w:ascii="Times New Roman" w:hAnsi="Times New Roman" w:cs="Times New Roman"/>
          <w:sz w:val="24"/>
          <w:lang w:val="en-US"/>
        </w:rPr>
        <w:t xml:space="preserve"> </w:t>
      </w:r>
      <w:r w:rsidR="00724FF1" w:rsidRPr="001417BE">
        <w:rPr>
          <w:rFonts w:ascii="Times New Roman" w:hAnsi="Times New Roman" w:cs="Times New Roman"/>
          <w:sz w:val="24"/>
          <w:lang w:val="en-US"/>
        </w:rPr>
        <w:t>Table</w:t>
      </w:r>
      <w:r w:rsidR="00724FF1">
        <w:rPr>
          <w:rFonts w:ascii="Times New Roman" w:hAnsi="Times New Roman" w:cs="Times New Roman"/>
          <w:sz w:val="24"/>
          <w:lang w:val="en-US"/>
        </w:rPr>
        <w:t>s</w:t>
      </w:r>
      <w:r w:rsidR="00724FF1" w:rsidRPr="001417BE">
        <w:rPr>
          <w:rFonts w:ascii="Times New Roman" w:hAnsi="Times New Roman" w:cs="Times New Roman"/>
          <w:sz w:val="24"/>
          <w:lang w:val="en-US"/>
        </w:rPr>
        <w:t xml:space="preserve"> </w:t>
      </w:r>
      <w:r w:rsidR="00724FF1">
        <w:rPr>
          <w:rFonts w:ascii="Times New Roman" w:hAnsi="Times New Roman" w:cs="Times New Roman"/>
          <w:sz w:val="24"/>
          <w:lang w:val="en-US"/>
        </w:rPr>
        <w:t>2 and 3 show t</w:t>
      </w:r>
      <w:r w:rsidR="003207BB">
        <w:rPr>
          <w:rFonts w:ascii="Times New Roman" w:hAnsi="Times New Roman" w:cs="Times New Roman"/>
          <w:sz w:val="24"/>
          <w:lang w:val="en-US"/>
        </w:rPr>
        <w:t>hese association</w:t>
      </w:r>
      <w:r w:rsidR="00DF2D6B">
        <w:rPr>
          <w:rFonts w:ascii="Times New Roman" w:hAnsi="Times New Roman" w:cs="Times New Roman"/>
          <w:sz w:val="24"/>
          <w:lang w:val="en-US"/>
        </w:rPr>
        <w:t>s</w:t>
      </w:r>
      <w:r w:rsidR="003207BB">
        <w:rPr>
          <w:rFonts w:ascii="Times New Roman" w:hAnsi="Times New Roman" w:cs="Times New Roman"/>
          <w:sz w:val="24"/>
          <w:lang w:val="en-US"/>
        </w:rPr>
        <w:t xml:space="preserve"> adjust</w:t>
      </w:r>
      <w:r w:rsidR="00724FF1">
        <w:rPr>
          <w:rFonts w:ascii="Times New Roman" w:hAnsi="Times New Roman" w:cs="Times New Roman"/>
          <w:sz w:val="24"/>
          <w:lang w:val="en-US"/>
        </w:rPr>
        <w:t>ed</w:t>
      </w:r>
      <w:r w:rsidR="003207BB">
        <w:rPr>
          <w:rFonts w:ascii="Times New Roman" w:hAnsi="Times New Roman" w:cs="Times New Roman"/>
          <w:sz w:val="24"/>
          <w:lang w:val="en-US"/>
        </w:rPr>
        <w:t xml:space="preserve"> for </w:t>
      </w:r>
      <w:r w:rsidR="003207BB">
        <w:rPr>
          <w:rFonts w:ascii="Times New Roman" w:hAnsi="Times New Roman" w:cs="Times New Roman"/>
          <w:sz w:val="24"/>
          <w:szCs w:val="24"/>
          <w:lang w:val="en-US"/>
        </w:rPr>
        <w:t xml:space="preserve">the date </w:t>
      </w:r>
      <w:r w:rsidR="003207BB" w:rsidRPr="001417BE">
        <w:rPr>
          <w:rFonts w:ascii="Times New Roman" w:hAnsi="Times New Roman" w:cs="Times New Roman"/>
          <w:sz w:val="24"/>
          <w:szCs w:val="24"/>
          <w:lang w:val="en-US"/>
        </w:rPr>
        <w:t xml:space="preserve">when </w:t>
      </w:r>
      <w:r w:rsidR="003207BB" w:rsidRPr="001417BE">
        <w:rPr>
          <w:rFonts w:ascii="Times New Roman" w:hAnsi="Times New Roman" w:cs="Times New Roman"/>
          <w:sz w:val="24"/>
          <w:lang w:val="en-US"/>
        </w:rPr>
        <w:t>the PET-CT scan was performed</w:t>
      </w:r>
      <w:r w:rsidR="003207BB">
        <w:rPr>
          <w:rFonts w:ascii="Times New Roman" w:hAnsi="Times New Roman" w:cs="Times New Roman"/>
          <w:sz w:val="24"/>
          <w:lang w:val="en-US"/>
        </w:rPr>
        <w:t xml:space="preserve">, </w:t>
      </w:r>
      <w:r w:rsidR="003207BB" w:rsidRPr="001417BE">
        <w:rPr>
          <w:rFonts w:ascii="Times New Roman" w:hAnsi="Times New Roman" w:cs="Times New Roman"/>
          <w:sz w:val="24"/>
          <w:lang w:val="en-US"/>
        </w:rPr>
        <w:t>HOMA</w:t>
      </w:r>
      <w:r w:rsidR="003207BB">
        <w:rPr>
          <w:rFonts w:ascii="Times New Roman" w:hAnsi="Times New Roman" w:cs="Times New Roman"/>
          <w:sz w:val="24"/>
          <w:lang w:val="en-US"/>
        </w:rPr>
        <w:t xml:space="preserve">, the body surface area and the water temperature of the cooling vest used during the </w:t>
      </w:r>
      <w:r w:rsidR="003207BB">
        <w:rPr>
          <w:rFonts w:ascii="Times New Roman" w:hAnsi="Times New Roman" w:cs="Times New Roman"/>
          <w:sz w:val="24"/>
          <w:szCs w:val="24"/>
          <w:lang w:val="en-US"/>
        </w:rPr>
        <w:t>individualiz</w:t>
      </w:r>
      <w:r w:rsidR="003207BB" w:rsidRPr="001417BE">
        <w:rPr>
          <w:rFonts w:ascii="Times New Roman" w:hAnsi="Times New Roman" w:cs="Times New Roman"/>
          <w:sz w:val="24"/>
          <w:szCs w:val="24"/>
          <w:lang w:val="en-US"/>
        </w:rPr>
        <w:t xml:space="preserve">ed </w:t>
      </w:r>
      <w:r w:rsidR="003207BB">
        <w:rPr>
          <w:rFonts w:ascii="Times New Roman" w:hAnsi="Times New Roman" w:cs="Times New Roman"/>
          <w:sz w:val="24"/>
          <w:lang w:val="en-US"/>
        </w:rPr>
        <w:t>cooling protocol.</w:t>
      </w:r>
    </w:p>
    <w:p w14:paraId="086DEB37" w14:textId="08C1F00E" w:rsidR="000A0DB7" w:rsidRDefault="000A0DB7" w:rsidP="000A0DB7">
      <w:pPr>
        <w:spacing w:line="480" w:lineRule="auto"/>
        <w:jc w:val="both"/>
        <w:rPr>
          <w:rFonts w:ascii="Times New Roman" w:hAnsi="Times New Roman" w:cs="Times New Roman"/>
          <w:sz w:val="24"/>
          <w:lang w:val="en-US"/>
        </w:rPr>
      </w:pPr>
      <w:r w:rsidRPr="001417BE">
        <w:rPr>
          <w:rFonts w:ascii="Times New Roman" w:hAnsi="Times New Roman" w:cs="Times New Roman"/>
          <w:sz w:val="24"/>
          <w:lang w:val="en-US"/>
        </w:rPr>
        <w:t>Additionally</w:t>
      </w:r>
      <w:r>
        <w:rPr>
          <w:rFonts w:ascii="Times New Roman" w:hAnsi="Times New Roman" w:cs="Times New Roman"/>
          <w:sz w:val="24"/>
          <w:lang w:val="en-US"/>
        </w:rPr>
        <w:t>,</w:t>
      </w:r>
      <w:r w:rsidRPr="001417BE">
        <w:rPr>
          <w:rFonts w:ascii="Times New Roman" w:hAnsi="Times New Roman" w:cs="Times New Roman"/>
          <w:sz w:val="24"/>
          <w:lang w:val="en-US"/>
        </w:rPr>
        <w:t xml:space="preserve"> checks were made to determine whether the observed significant associations between BAT volume or SUVmean and </w:t>
      </w:r>
      <w:r w:rsidR="007848B9">
        <w:rPr>
          <w:rFonts w:ascii="Times New Roman" w:hAnsi="Times New Roman" w:cs="Times New Roman"/>
          <w:sz w:val="24"/>
          <w:lang w:val="en-US"/>
        </w:rPr>
        <w:t>whole-body adiposity</w:t>
      </w:r>
      <w:r w:rsidR="007848B9" w:rsidRPr="001417BE">
        <w:rPr>
          <w:rFonts w:ascii="Times New Roman" w:hAnsi="Times New Roman" w:cs="Times New Roman"/>
          <w:sz w:val="24"/>
          <w:lang w:val="en-US"/>
        </w:rPr>
        <w:t xml:space="preserve"> </w:t>
      </w:r>
      <w:r w:rsidRPr="001417BE">
        <w:rPr>
          <w:rFonts w:ascii="Times New Roman" w:hAnsi="Times New Roman" w:cs="Times New Roman"/>
          <w:sz w:val="24"/>
          <w:lang w:val="en-US"/>
        </w:rPr>
        <w:t xml:space="preserve">were dependent on BAT mean radiodensity. </w:t>
      </w:r>
      <w:r>
        <w:rPr>
          <w:rFonts w:ascii="Times New Roman" w:hAnsi="Times New Roman" w:cs="Times New Roman"/>
          <w:sz w:val="24"/>
          <w:lang w:val="en-US"/>
        </w:rPr>
        <w:t xml:space="preserve">In men, BAT volume and </w:t>
      </w:r>
      <w:r w:rsidRPr="000A0DB7">
        <w:rPr>
          <w:rFonts w:ascii="Times New Roman" w:hAnsi="Times New Roman" w:cs="Times New Roman"/>
          <w:sz w:val="24"/>
          <w:lang w:val="en-US"/>
        </w:rPr>
        <w:t xml:space="preserve">mean radiodensity </w:t>
      </w:r>
      <w:r>
        <w:rPr>
          <w:rFonts w:ascii="Times New Roman" w:hAnsi="Times New Roman" w:cs="Times New Roman"/>
          <w:sz w:val="24"/>
          <w:lang w:val="en-US"/>
        </w:rPr>
        <w:t xml:space="preserve">were </w:t>
      </w:r>
      <w:r w:rsidR="00D25C33">
        <w:rPr>
          <w:rFonts w:ascii="Times New Roman" w:hAnsi="Times New Roman" w:cs="Times New Roman"/>
          <w:sz w:val="24"/>
          <w:lang w:val="en-US"/>
        </w:rPr>
        <w:t xml:space="preserve">both </w:t>
      </w:r>
      <w:r w:rsidRPr="000A0DB7">
        <w:rPr>
          <w:rFonts w:ascii="Times New Roman" w:hAnsi="Times New Roman" w:cs="Times New Roman"/>
          <w:sz w:val="24"/>
          <w:lang w:val="en-US"/>
        </w:rPr>
        <w:t>independently associated with BMI (both P&lt;0.032)</w:t>
      </w:r>
      <w:r w:rsidR="00DF2D6B">
        <w:rPr>
          <w:rFonts w:ascii="Times New Roman" w:hAnsi="Times New Roman" w:cs="Times New Roman"/>
          <w:sz w:val="24"/>
          <w:lang w:val="en-US"/>
        </w:rPr>
        <w:t xml:space="preserve"> and</w:t>
      </w:r>
      <w:r w:rsidRPr="000A0DB7">
        <w:rPr>
          <w:rFonts w:ascii="Times New Roman" w:hAnsi="Times New Roman" w:cs="Times New Roman"/>
          <w:sz w:val="24"/>
          <w:lang w:val="en-US"/>
        </w:rPr>
        <w:t xml:space="preserve"> fat mass (both P&lt;0.049), </w:t>
      </w:r>
      <w:r w:rsidR="00D525CD">
        <w:rPr>
          <w:rFonts w:ascii="Times New Roman" w:hAnsi="Times New Roman" w:cs="Times New Roman"/>
          <w:sz w:val="24"/>
          <w:lang w:val="en-US"/>
        </w:rPr>
        <w:t>and trend</w:t>
      </w:r>
      <w:r w:rsidR="007848B9">
        <w:rPr>
          <w:rFonts w:ascii="Times New Roman" w:hAnsi="Times New Roman" w:cs="Times New Roman"/>
          <w:sz w:val="24"/>
          <w:lang w:val="en-US"/>
        </w:rPr>
        <w:t>s</w:t>
      </w:r>
      <w:r w:rsidR="00D525CD">
        <w:rPr>
          <w:rFonts w:ascii="Times New Roman" w:hAnsi="Times New Roman" w:cs="Times New Roman"/>
          <w:sz w:val="24"/>
          <w:lang w:val="en-US"/>
        </w:rPr>
        <w:t xml:space="preserve"> </w:t>
      </w:r>
      <w:r w:rsidR="007848B9">
        <w:rPr>
          <w:rFonts w:ascii="Times New Roman" w:hAnsi="Times New Roman" w:cs="Times New Roman"/>
          <w:sz w:val="24"/>
          <w:lang w:val="en-US"/>
        </w:rPr>
        <w:t xml:space="preserve">towards significance </w:t>
      </w:r>
      <w:r w:rsidR="00D525CD">
        <w:rPr>
          <w:rFonts w:ascii="Times New Roman" w:hAnsi="Times New Roman" w:cs="Times New Roman"/>
          <w:sz w:val="24"/>
          <w:lang w:val="en-US"/>
        </w:rPr>
        <w:t>w</w:t>
      </w:r>
      <w:r w:rsidR="008B1B9B">
        <w:rPr>
          <w:rFonts w:ascii="Times New Roman" w:hAnsi="Times New Roman" w:cs="Times New Roman"/>
          <w:sz w:val="24"/>
          <w:lang w:val="en-US"/>
        </w:rPr>
        <w:t>ere</w:t>
      </w:r>
      <w:r w:rsidR="00D525CD">
        <w:rPr>
          <w:rFonts w:ascii="Times New Roman" w:hAnsi="Times New Roman" w:cs="Times New Roman"/>
          <w:sz w:val="24"/>
          <w:lang w:val="en-US"/>
        </w:rPr>
        <w:t xml:space="preserve"> observed </w:t>
      </w:r>
      <w:r w:rsidR="007848B9">
        <w:rPr>
          <w:rFonts w:ascii="Times New Roman" w:hAnsi="Times New Roman" w:cs="Times New Roman"/>
          <w:sz w:val="24"/>
          <w:lang w:val="en-US"/>
        </w:rPr>
        <w:t xml:space="preserve">for the association of BAT volume and </w:t>
      </w:r>
      <w:r w:rsidR="007848B9" w:rsidRPr="000A0DB7">
        <w:rPr>
          <w:rFonts w:ascii="Times New Roman" w:hAnsi="Times New Roman" w:cs="Times New Roman"/>
          <w:sz w:val="24"/>
          <w:lang w:val="en-US"/>
        </w:rPr>
        <w:t xml:space="preserve">mean radiodensity </w:t>
      </w:r>
      <w:r w:rsidR="00D525CD">
        <w:rPr>
          <w:rFonts w:ascii="Times New Roman" w:hAnsi="Times New Roman" w:cs="Times New Roman"/>
          <w:sz w:val="24"/>
          <w:lang w:val="en-US"/>
        </w:rPr>
        <w:t xml:space="preserve">with </w:t>
      </w:r>
      <w:r w:rsidRPr="000A0DB7">
        <w:rPr>
          <w:rFonts w:ascii="Times New Roman" w:hAnsi="Times New Roman" w:cs="Times New Roman"/>
          <w:sz w:val="24"/>
          <w:lang w:val="en-US"/>
        </w:rPr>
        <w:t xml:space="preserve">fat mass percentage </w:t>
      </w:r>
      <w:r w:rsidRPr="007848B9">
        <w:rPr>
          <w:rFonts w:ascii="Times New Roman" w:hAnsi="Times New Roman" w:cs="Times New Roman"/>
          <w:sz w:val="24"/>
          <w:lang w:val="en-US"/>
        </w:rPr>
        <w:t xml:space="preserve">and VAT </w:t>
      </w:r>
      <w:r w:rsidRPr="000A0DB7">
        <w:rPr>
          <w:rFonts w:ascii="Times New Roman" w:hAnsi="Times New Roman" w:cs="Times New Roman"/>
          <w:sz w:val="24"/>
          <w:lang w:val="en-US"/>
        </w:rPr>
        <w:t xml:space="preserve">in men. </w:t>
      </w:r>
      <w:r w:rsidR="00D25C33">
        <w:rPr>
          <w:rFonts w:ascii="Times New Roman" w:hAnsi="Times New Roman" w:cs="Times New Roman"/>
          <w:sz w:val="24"/>
          <w:lang w:val="en-US"/>
        </w:rPr>
        <w:t>I</w:t>
      </w:r>
      <w:r w:rsidR="00D25C33" w:rsidRPr="000A0DB7">
        <w:rPr>
          <w:rFonts w:ascii="Times New Roman" w:hAnsi="Times New Roman" w:cs="Times New Roman"/>
          <w:sz w:val="24"/>
          <w:lang w:val="en-US"/>
        </w:rPr>
        <w:t>n women</w:t>
      </w:r>
      <w:r w:rsidR="00D25C33">
        <w:rPr>
          <w:rFonts w:ascii="Times New Roman" w:hAnsi="Times New Roman" w:cs="Times New Roman"/>
          <w:sz w:val="24"/>
          <w:lang w:val="en-US"/>
        </w:rPr>
        <w:t>, a</w:t>
      </w:r>
      <w:r w:rsidRPr="000A0DB7">
        <w:rPr>
          <w:rFonts w:ascii="Times New Roman" w:hAnsi="Times New Roman" w:cs="Times New Roman"/>
          <w:sz w:val="24"/>
          <w:lang w:val="en-US"/>
        </w:rPr>
        <w:t xml:space="preserve">djusting for BAT mean radiodensity </w:t>
      </w:r>
      <w:r>
        <w:rPr>
          <w:rFonts w:ascii="Times New Roman" w:hAnsi="Times New Roman" w:cs="Times New Roman"/>
          <w:sz w:val="24"/>
          <w:lang w:val="en-US"/>
        </w:rPr>
        <w:t xml:space="preserve">did </w:t>
      </w:r>
      <w:r w:rsidRPr="000A0DB7">
        <w:rPr>
          <w:rFonts w:ascii="Times New Roman" w:hAnsi="Times New Roman" w:cs="Times New Roman"/>
          <w:sz w:val="24"/>
          <w:lang w:val="en-US"/>
        </w:rPr>
        <w:t xml:space="preserve">not alter the lack of association between BAT volume and </w:t>
      </w:r>
      <w:r w:rsidR="007848B9">
        <w:rPr>
          <w:rFonts w:ascii="Times New Roman" w:hAnsi="Times New Roman" w:cs="Times New Roman"/>
          <w:sz w:val="24"/>
          <w:lang w:val="en-US"/>
        </w:rPr>
        <w:t>whole-body adiposity</w:t>
      </w:r>
      <w:r w:rsidRPr="000A0DB7">
        <w:rPr>
          <w:rFonts w:ascii="Times New Roman" w:hAnsi="Times New Roman" w:cs="Times New Roman"/>
          <w:sz w:val="24"/>
          <w:lang w:val="en-US"/>
        </w:rPr>
        <w:t xml:space="preserve"> </w:t>
      </w:r>
      <w:r>
        <w:rPr>
          <w:rFonts w:ascii="Times New Roman" w:hAnsi="Times New Roman" w:cs="Times New Roman"/>
          <w:sz w:val="24"/>
          <w:lang w:val="en-US"/>
        </w:rPr>
        <w:t xml:space="preserve">neither the pattern of association between BAT SUVmean and </w:t>
      </w:r>
      <w:r w:rsidR="007848B9">
        <w:rPr>
          <w:rFonts w:ascii="Times New Roman" w:hAnsi="Times New Roman" w:cs="Times New Roman"/>
          <w:sz w:val="24"/>
          <w:lang w:val="en-US"/>
        </w:rPr>
        <w:t>whole-body adiposity</w:t>
      </w:r>
      <w:r>
        <w:rPr>
          <w:rFonts w:ascii="Times New Roman" w:hAnsi="Times New Roman" w:cs="Times New Roman"/>
          <w:sz w:val="24"/>
          <w:lang w:val="en-US"/>
        </w:rPr>
        <w:t>.</w:t>
      </w:r>
    </w:p>
    <w:p w14:paraId="35952D80" w14:textId="5483901E" w:rsidR="003207BB" w:rsidRDefault="0098285D" w:rsidP="003207BB">
      <w:pPr>
        <w:spacing w:line="480" w:lineRule="auto"/>
        <w:jc w:val="both"/>
        <w:rPr>
          <w:rFonts w:ascii="Times New Roman" w:hAnsi="Times New Roman" w:cs="Times New Roman"/>
          <w:sz w:val="24"/>
          <w:lang w:val="en-US"/>
        </w:rPr>
      </w:pPr>
      <w:r w:rsidRPr="001417BE">
        <w:rPr>
          <w:rFonts w:ascii="Times New Roman" w:hAnsi="Times New Roman" w:cs="Times New Roman"/>
          <w:sz w:val="24"/>
          <w:lang w:val="en-US"/>
        </w:rPr>
        <w:t>BAT-related variables were not associated with body surface area (</w:t>
      </w:r>
      <w:r w:rsidR="004B192D">
        <w:rPr>
          <w:rFonts w:ascii="Times New Roman" w:hAnsi="Times New Roman" w:cs="Times New Roman"/>
          <w:sz w:val="24"/>
          <w:lang w:val="en-US"/>
        </w:rPr>
        <w:t xml:space="preserve">Supplementary figure </w:t>
      </w:r>
      <w:r w:rsidR="002C0E3D">
        <w:rPr>
          <w:rFonts w:ascii="Times New Roman" w:hAnsi="Times New Roman" w:cs="Times New Roman"/>
          <w:sz w:val="24"/>
          <w:lang w:val="en-US"/>
        </w:rPr>
        <w:t>2</w:t>
      </w:r>
      <w:r w:rsidRPr="00EF16B7">
        <w:rPr>
          <w:rFonts w:ascii="Times New Roman" w:hAnsi="Times New Roman" w:cs="Times New Roman"/>
          <w:sz w:val="24"/>
          <w:lang w:val="en-US"/>
        </w:rPr>
        <w:t>)</w:t>
      </w:r>
      <w:r w:rsidR="00EF16B7" w:rsidRPr="00EF16B7">
        <w:rPr>
          <w:rFonts w:ascii="Times New Roman" w:hAnsi="Times New Roman" w:cs="Times New Roman"/>
          <w:sz w:val="24"/>
          <w:lang w:val="en-US"/>
        </w:rPr>
        <w:t xml:space="preserve"> or</w:t>
      </w:r>
      <w:r w:rsidR="00EF16B7">
        <w:rPr>
          <w:rFonts w:ascii="Times New Roman" w:hAnsi="Times New Roman" w:cs="Times New Roman"/>
          <w:sz w:val="24"/>
          <w:lang w:val="en-US"/>
        </w:rPr>
        <w:t xml:space="preserve"> </w:t>
      </w:r>
      <w:r w:rsidR="00EF16B7">
        <w:rPr>
          <w:rFonts w:ascii="Times New Roman" w:hAnsi="Times New Roman" w:cs="Times New Roman"/>
          <w:sz w:val="24"/>
          <w:szCs w:val="24"/>
          <w:lang w:val="en-US"/>
        </w:rPr>
        <w:t xml:space="preserve">with lean mass </w:t>
      </w:r>
      <w:r w:rsidR="00EF16B7" w:rsidRPr="001417BE">
        <w:rPr>
          <w:rFonts w:ascii="Times New Roman" w:hAnsi="Times New Roman" w:cs="Times New Roman"/>
          <w:sz w:val="24"/>
          <w:lang w:val="en-US"/>
        </w:rPr>
        <w:t>(</w:t>
      </w:r>
      <w:r w:rsidR="00EF16B7">
        <w:rPr>
          <w:rFonts w:ascii="Times New Roman" w:hAnsi="Times New Roman" w:cs="Times New Roman"/>
          <w:sz w:val="24"/>
          <w:lang w:val="en-US"/>
        </w:rPr>
        <w:t xml:space="preserve">Supplementary figure </w:t>
      </w:r>
      <w:r w:rsidR="002C0E3D">
        <w:rPr>
          <w:rFonts w:ascii="Times New Roman" w:hAnsi="Times New Roman" w:cs="Times New Roman"/>
          <w:sz w:val="24"/>
          <w:lang w:val="en-US"/>
        </w:rPr>
        <w:t>3</w:t>
      </w:r>
      <w:r w:rsidR="00EF16B7" w:rsidRPr="001417BE">
        <w:rPr>
          <w:rFonts w:ascii="Times New Roman" w:hAnsi="Times New Roman" w:cs="Times New Roman"/>
          <w:sz w:val="24"/>
          <w:lang w:val="en-US"/>
        </w:rPr>
        <w:t>)</w:t>
      </w:r>
      <w:r w:rsidR="00EF16B7">
        <w:rPr>
          <w:rFonts w:ascii="Times New Roman" w:hAnsi="Times New Roman" w:cs="Times New Roman"/>
          <w:sz w:val="24"/>
          <w:lang w:val="en-US"/>
        </w:rPr>
        <w:t xml:space="preserve"> except for BAT mean radiodensity in men</w:t>
      </w:r>
      <w:r w:rsidR="00EF16B7">
        <w:rPr>
          <w:rFonts w:ascii="Times New Roman" w:hAnsi="Times New Roman" w:cs="Times New Roman"/>
          <w:sz w:val="24"/>
          <w:szCs w:val="24"/>
          <w:lang w:val="en-US"/>
        </w:rPr>
        <w:t>.</w:t>
      </w:r>
      <w:r w:rsidRPr="001417BE">
        <w:rPr>
          <w:rFonts w:ascii="Times New Roman" w:hAnsi="Times New Roman" w:cs="Times New Roman"/>
          <w:sz w:val="24"/>
          <w:lang w:val="en-US"/>
        </w:rPr>
        <w:t xml:space="preserve"> </w:t>
      </w:r>
      <w:r w:rsidR="004B192D">
        <w:rPr>
          <w:rFonts w:ascii="Times New Roman" w:hAnsi="Times New Roman" w:cs="Times New Roman"/>
          <w:sz w:val="24"/>
          <w:lang w:val="en-US"/>
        </w:rPr>
        <w:t>Supplementary t</w:t>
      </w:r>
      <w:r w:rsidR="003207BB" w:rsidRPr="001417BE">
        <w:rPr>
          <w:rFonts w:ascii="Times New Roman" w:hAnsi="Times New Roman" w:cs="Times New Roman"/>
          <w:sz w:val="24"/>
          <w:szCs w:val="24"/>
          <w:lang w:val="en-US"/>
        </w:rPr>
        <w:t>able</w:t>
      </w:r>
      <w:r w:rsidR="004B192D">
        <w:rPr>
          <w:rFonts w:ascii="Times New Roman" w:hAnsi="Times New Roman" w:cs="Times New Roman"/>
          <w:sz w:val="24"/>
          <w:szCs w:val="24"/>
          <w:lang w:val="en-US"/>
        </w:rPr>
        <w:t>s</w:t>
      </w:r>
      <w:r w:rsidR="003207BB" w:rsidRPr="001417BE">
        <w:rPr>
          <w:rFonts w:ascii="Times New Roman" w:hAnsi="Times New Roman" w:cs="Times New Roman"/>
          <w:sz w:val="24"/>
          <w:szCs w:val="24"/>
          <w:lang w:val="en-US"/>
        </w:rPr>
        <w:t xml:space="preserve"> </w:t>
      </w:r>
      <w:r w:rsidR="004B192D">
        <w:rPr>
          <w:rFonts w:ascii="Times New Roman" w:hAnsi="Times New Roman" w:cs="Times New Roman"/>
          <w:sz w:val="24"/>
          <w:szCs w:val="24"/>
          <w:lang w:val="en-US"/>
        </w:rPr>
        <w:t>1 and 2</w:t>
      </w:r>
      <w:r w:rsidR="003207BB" w:rsidRPr="001417BE">
        <w:rPr>
          <w:rFonts w:ascii="Times New Roman" w:hAnsi="Times New Roman" w:cs="Times New Roman"/>
          <w:sz w:val="24"/>
          <w:szCs w:val="24"/>
          <w:lang w:val="en-US"/>
        </w:rPr>
        <w:t xml:space="preserve"> show the associations between subcutaneous white adipose tissue/descending aorta </w:t>
      </w:r>
      <w:r w:rsidR="003207BB" w:rsidRPr="001417BE">
        <w:rPr>
          <w:rFonts w:ascii="Times New Roman" w:hAnsi="Times New Roman" w:cs="Times New Roman"/>
          <w:sz w:val="24"/>
          <w:vertAlign w:val="superscript"/>
          <w:lang w:val="en-US"/>
        </w:rPr>
        <w:t>18</w:t>
      </w:r>
      <w:r w:rsidR="003207BB" w:rsidRPr="001417BE">
        <w:rPr>
          <w:rFonts w:ascii="Times New Roman" w:hAnsi="Times New Roman" w:cs="Times New Roman"/>
          <w:sz w:val="24"/>
          <w:lang w:val="en-US"/>
        </w:rPr>
        <w:t>F-FDG uptake</w:t>
      </w:r>
      <w:r w:rsidR="003207BB" w:rsidRPr="001417BE">
        <w:rPr>
          <w:rFonts w:ascii="Times New Roman" w:eastAsia="Times New Roman" w:hAnsi="Times New Roman" w:cs="Times New Roman"/>
          <w:sz w:val="24"/>
          <w:szCs w:val="20"/>
          <w:lang w:val="en-US" w:eastAsia="es-ES"/>
        </w:rPr>
        <w:t xml:space="preserve"> </w:t>
      </w:r>
      <w:r w:rsidR="003207BB" w:rsidRPr="001417BE">
        <w:rPr>
          <w:rFonts w:ascii="Times New Roman" w:hAnsi="Times New Roman" w:cs="Times New Roman"/>
          <w:sz w:val="24"/>
          <w:szCs w:val="24"/>
          <w:lang w:val="en-US"/>
        </w:rPr>
        <w:t xml:space="preserve">and </w:t>
      </w:r>
      <w:r w:rsidR="007848B9">
        <w:rPr>
          <w:rFonts w:ascii="Times New Roman" w:hAnsi="Times New Roman" w:cs="Times New Roman"/>
          <w:sz w:val="24"/>
          <w:lang w:val="en-US"/>
        </w:rPr>
        <w:t>whole-body adiposity</w:t>
      </w:r>
      <w:r w:rsidR="003207BB" w:rsidRPr="001417BE">
        <w:rPr>
          <w:rFonts w:ascii="Times New Roman" w:hAnsi="Times New Roman" w:cs="Times New Roman"/>
          <w:sz w:val="24"/>
          <w:szCs w:val="24"/>
          <w:lang w:val="en-US"/>
        </w:rPr>
        <w:t>.</w:t>
      </w:r>
    </w:p>
    <w:p w14:paraId="1C6121CE" w14:textId="574DCA22" w:rsidR="0094365A" w:rsidRDefault="00021E1E" w:rsidP="0094365A">
      <w:pPr>
        <w:spacing w:line="480" w:lineRule="auto"/>
        <w:rPr>
          <w:color w:val="222222"/>
          <w:sz w:val="27"/>
          <w:szCs w:val="27"/>
          <w:shd w:val="clear" w:color="auto" w:fill="FFFFFF"/>
          <w:lang w:val="en-US"/>
        </w:rPr>
      </w:pPr>
      <w:r w:rsidRPr="001417BE">
        <w:rPr>
          <w:rFonts w:ascii="Times New Roman" w:hAnsi="Times New Roman" w:cs="Times New Roman"/>
          <w:b/>
          <w:sz w:val="24"/>
          <w:szCs w:val="24"/>
          <w:lang w:val="en-US"/>
        </w:rPr>
        <w:t>DISCUSSION</w:t>
      </w:r>
    </w:p>
    <w:p w14:paraId="555A89EA" w14:textId="04EAD98B" w:rsidR="006163F0" w:rsidRPr="001417BE" w:rsidRDefault="00DB5FD1" w:rsidP="002C7012">
      <w:pPr>
        <w:spacing w:line="480" w:lineRule="auto"/>
        <w:jc w:val="both"/>
        <w:rPr>
          <w:rFonts w:ascii="Times New Roman" w:hAnsi="Times New Roman" w:cs="Times New Roman"/>
          <w:sz w:val="24"/>
          <w:szCs w:val="24"/>
          <w:lang w:val="en-US"/>
        </w:rPr>
      </w:pPr>
      <w:r w:rsidRPr="001417BE">
        <w:rPr>
          <w:rFonts w:ascii="Times New Roman" w:hAnsi="Times New Roman" w:cs="Times New Roman"/>
          <w:sz w:val="24"/>
          <w:szCs w:val="24"/>
          <w:lang w:val="en-US"/>
        </w:rPr>
        <w:t xml:space="preserve">This is the first study </w:t>
      </w:r>
      <w:r w:rsidR="00C232DF">
        <w:rPr>
          <w:rFonts w:ascii="Times New Roman" w:hAnsi="Times New Roman" w:cs="Times New Roman"/>
          <w:sz w:val="24"/>
          <w:szCs w:val="24"/>
          <w:lang w:val="en-US"/>
        </w:rPr>
        <w:t xml:space="preserve">analyzing </w:t>
      </w:r>
      <w:r w:rsidR="00294EA6" w:rsidRPr="001417BE">
        <w:rPr>
          <w:rFonts w:ascii="Times New Roman" w:hAnsi="Times New Roman" w:cs="Times New Roman"/>
          <w:sz w:val="24"/>
          <w:szCs w:val="24"/>
          <w:lang w:val="en-US"/>
        </w:rPr>
        <w:t>t</w:t>
      </w:r>
      <w:r w:rsidR="00D25C33">
        <w:rPr>
          <w:rFonts w:ascii="Times New Roman" w:hAnsi="Times New Roman" w:cs="Times New Roman"/>
          <w:sz w:val="24"/>
          <w:szCs w:val="24"/>
          <w:lang w:val="en-US"/>
        </w:rPr>
        <w:t>he association between BAT volume</w:t>
      </w:r>
      <w:r w:rsidR="002C7012">
        <w:rPr>
          <w:rFonts w:ascii="Times New Roman" w:hAnsi="Times New Roman" w:cs="Times New Roman"/>
          <w:sz w:val="24"/>
          <w:szCs w:val="24"/>
          <w:lang w:val="en-US"/>
        </w:rPr>
        <w:t xml:space="preserve">, assessed </w:t>
      </w:r>
      <w:r w:rsidR="002C7012" w:rsidRPr="001417BE">
        <w:rPr>
          <w:rFonts w:ascii="Times New Roman" w:hAnsi="Times New Roman" w:cs="Times New Roman"/>
          <w:sz w:val="24"/>
          <w:szCs w:val="24"/>
          <w:lang w:val="en-US"/>
        </w:rPr>
        <w:t xml:space="preserve">by an </w:t>
      </w:r>
      <w:r w:rsidR="002C7012" w:rsidRPr="001417BE">
        <w:rPr>
          <w:rFonts w:ascii="Times New Roman" w:hAnsi="Times New Roman" w:cs="Times New Roman"/>
          <w:sz w:val="24"/>
          <w:szCs w:val="24"/>
          <w:vertAlign w:val="superscript"/>
          <w:lang w:val="en-US"/>
        </w:rPr>
        <w:t>18</w:t>
      </w:r>
      <w:r w:rsidR="002C7012" w:rsidRPr="001417BE">
        <w:rPr>
          <w:rFonts w:ascii="Times New Roman" w:hAnsi="Times New Roman" w:cs="Times New Roman"/>
          <w:sz w:val="24"/>
          <w:szCs w:val="24"/>
          <w:lang w:val="en-US"/>
        </w:rPr>
        <w:t xml:space="preserve">F-FDG PET-CT scan after individualized cold-exposure and the strict following of all current methodological recommendations </w:t>
      </w:r>
      <w:r w:rsidR="002C7012" w:rsidRPr="001417BE">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{"citationItems":[{"id":"ITEM-1","itemData":{"DOI":"10.1016/j.cmet.2016.07.014","ISSN":"15504131","PMID":"27508870","abstract":"Human brown adipose tissue (BAT) presence, metabolic activity, and estimated mass are typically measured by imaging [18F]fluorodeoxyglucose (FDG) uptake in response to cold exposure in regions of the body expected to contain BAT, using positron emission tomography combined with X-ray computed tomography (FDG-PET/CT). Efforts to describe the epidemiology and biology of human BAT are hampered by diverse experimental practices, making it difficult to directly compare results among laboratories. An expert panel was assembled by the National Institute of Diabetes and Digestive and Kidney Diseases on November 4, 2014 to discuss minimal requirements for conducting FDG-PET/CT experiments of human BAT, data analysis, and publication of results. This resulted in Brown Adipose Reporting Criteria in Imaging STudies (BARCIST 1.0). Since there are no fully validated best practices at this time, panel recommendations are meant to enhance comparability across experiments, but not to constrain experimental design or the questions that can be asked.","author":[{"dropping-particle":"","family":"Chen","given":"Kong Y.","non-dropping-particle":"","parse-names":false,"suffix":""},{"dropping-particle":"","family":"Cypess","given":"Aaron M.","non-dropping-particle":"","parse-names":false,"suffix":""},{"dropping-particle":"","family":"Laughlin","given":"Maren R.","non-dropping-particle":"","parse-names":false,"suffix":""},{"dropping-particle":"","family":"Haft","given":"Carol R.","non-dropping-particle":"","parse-names":false,"suffix":""},{"dropping-particle":"","family":"Hu","given":"Houchun Harry","non-dropping-particle":"","parse-names":false,"suffix":""},{"dropping-particle":"","family":"Bredella","given":"Miriam A.","non-dropping-particle":"","parse-names":false,"suffix":""},{"dropping-particle":"","family":"Enerbäck","given":"Sven","non-dropping-particle":"","parse-names":false,"suffix":""},{"dropping-particle":"","family":"Kinahan","given":"Paul E.","non-dropping-particle":"","parse-names":false,"suffix":""},{"dropping-particle":"","family":"Lichtenbelt","given":"Wouter van Marken","non-dropping-particle":"","parse-names":false,"suffix":""},{"dropping-particle":"","family":"Lin","given":"Frank I.","non-dropping-particle":"","parse-names":false,"suffix":""},{"dropping-particle":"","family":"Sunderland","given":"John J.","non-dropping-particle":"","parse-names":false,"suffix":""},{"dropping-particle":"","family":"Virtanen","given":"Kirsi A.","non-dropping-particle":"","parse-names":false,"suffix":""},{"dropping-particle":"","family":"Wahl","given":"Richard L.","non-dropping-particle":"","parse-names":false,"suffix":""}],"container-title":"Cell Metabolism","id":"ITEM-1","issue":"2","issued":{"date-parts":[["2016","8","9"]]},"page":"210-222","title":"Brown Adipose Reporting Criteria in Imaging STudies (BARCIST 1.0): Recommendations for Standardized FDG-PET/CT Experiments in Humans","type":"article-journal","volume":"24"},"uris":["http://www.mendeley.com/documents/?uuid=fe518d60-4768-305a-aee3-493837d621e6"]}],"mendeley":{"formattedCitation":"(19)","plainTextFormattedCitation":"(19)","previouslyFormattedCitation":"(19)"},"properties":{"noteIndex":0},"schema":"https://github.com/citation-style-language/schema/raw/master/csl-citation.json"}</w:instrText>
      </w:r>
      <w:r w:rsidR="002C7012" w:rsidRPr="001417BE">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(19)</w:t>
      </w:r>
      <w:r w:rsidR="002C7012" w:rsidRPr="001417BE">
        <w:rPr>
          <w:rFonts w:ascii="Times New Roman" w:hAnsi="Times New Roman" w:cs="Times New Roman"/>
          <w:sz w:val="24"/>
          <w:szCs w:val="24"/>
          <w:lang w:val="en-US"/>
        </w:rPr>
        <w:fldChar w:fldCharType="end"/>
      </w:r>
      <w:r w:rsidR="002C7012">
        <w:rPr>
          <w:rFonts w:ascii="Times New Roman" w:hAnsi="Times New Roman" w:cs="Times New Roman"/>
          <w:sz w:val="24"/>
          <w:szCs w:val="24"/>
          <w:lang w:val="en-US"/>
        </w:rPr>
        <w:t>,</w:t>
      </w:r>
      <w:r w:rsidR="00D25C33">
        <w:rPr>
          <w:rFonts w:ascii="Times New Roman" w:hAnsi="Times New Roman" w:cs="Times New Roman"/>
          <w:sz w:val="24"/>
          <w:szCs w:val="24"/>
          <w:lang w:val="en-US"/>
        </w:rPr>
        <w:t xml:space="preserve"> and </w:t>
      </w:r>
      <w:r w:rsidR="007848B9">
        <w:rPr>
          <w:rFonts w:ascii="Times New Roman" w:hAnsi="Times New Roman" w:cs="Times New Roman"/>
          <w:sz w:val="24"/>
          <w:lang w:val="en-US"/>
        </w:rPr>
        <w:t>whole-body adiposity</w:t>
      </w:r>
      <w:r w:rsidR="002C7012">
        <w:rPr>
          <w:rFonts w:ascii="Times New Roman" w:hAnsi="Times New Roman" w:cs="Times New Roman"/>
          <w:sz w:val="24"/>
          <w:szCs w:val="24"/>
          <w:lang w:val="en-US"/>
        </w:rPr>
        <w:t>,</w:t>
      </w:r>
      <w:r w:rsidR="00D25C33">
        <w:rPr>
          <w:rFonts w:ascii="Times New Roman" w:hAnsi="Times New Roman" w:cs="Times New Roman"/>
          <w:sz w:val="24"/>
          <w:szCs w:val="24"/>
          <w:lang w:val="en-US"/>
        </w:rPr>
        <w:t xml:space="preserve"> in a large group (&gt;100) of </w:t>
      </w:r>
      <w:r w:rsidR="00D25C33">
        <w:rPr>
          <w:rFonts w:ascii="Times New Roman" w:hAnsi="Times New Roman" w:cs="Times New Roman"/>
          <w:sz w:val="24"/>
          <w:szCs w:val="24"/>
          <w:lang w:val="en-US"/>
        </w:rPr>
        <w:lastRenderedPageBreak/>
        <w:t xml:space="preserve">young individuals (likely preventing the </w:t>
      </w:r>
      <w:r w:rsidR="00D25C33" w:rsidRPr="002C7012">
        <w:rPr>
          <w:rFonts w:ascii="Times New Roman" w:hAnsi="Times New Roman" w:cs="Times New Roman"/>
          <w:sz w:val="24"/>
          <w:szCs w:val="24"/>
          <w:vertAlign w:val="superscript"/>
          <w:lang w:val="en-US"/>
        </w:rPr>
        <w:t>18</w:t>
      </w:r>
      <w:r w:rsidR="00D25C33">
        <w:rPr>
          <w:rFonts w:ascii="Times New Roman" w:hAnsi="Times New Roman" w:cs="Times New Roman"/>
          <w:sz w:val="24"/>
          <w:szCs w:val="24"/>
          <w:lang w:val="en-US"/>
        </w:rPr>
        <w:t xml:space="preserve">F-FDG </w:t>
      </w:r>
      <w:r w:rsidR="003B539A">
        <w:rPr>
          <w:rFonts w:ascii="Times New Roman" w:hAnsi="Times New Roman" w:cs="Times New Roman"/>
          <w:sz w:val="24"/>
          <w:szCs w:val="24"/>
          <w:lang w:val="en-US"/>
        </w:rPr>
        <w:t>from</w:t>
      </w:r>
      <w:r w:rsidR="00D25C33">
        <w:rPr>
          <w:rFonts w:ascii="Times New Roman" w:hAnsi="Times New Roman" w:cs="Times New Roman"/>
          <w:sz w:val="24"/>
          <w:szCs w:val="24"/>
          <w:lang w:val="en-US"/>
        </w:rPr>
        <w:t xml:space="preserve"> being biased by age-induced </w:t>
      </w:r>
      <w:r w:rsidR="00DF2D6B">
        <w:rPr>
          <w:rFonts w:ascii="Times New Roman" w:hAnsi="Times New Roman" w:cs="Times New Roman"/>
          <w:sz w:val="24"/>
          <w:szCs w:val="24"/>
          <w:lang w:val="en-US"/>
        </w:rPr>
        <w:t xml:space="preserve">insulin resistance and/or </w:t>
      </w:r>
      <w:r w:rsidR="002C7012">
        <w:rPr>
          <w:rFonts w:ascii="Times New Roman" w:hAnsi="Times New Roman" w:cs="Times New Roman"/>
          <w:sz w:val="24"/>
          <w:szCs w:val="24"/>
          <w:lang w:val="en-US"/>
        </w:rPr>
        <w:t xml:space="preserve">BAT </w:t>
      </w:r>
      <w:r w:rsidR="00091D9E">
        <w:rPr>
          <w:rFonts w:ascii="Times New Roman" w:hAnsi="Times New Roman" w:cs="Times New Roman"/>
          <w:sz w:val="24"/>
          <w:szCs w:val="24"/>
          <w:lang w:val="en-US"/>
        </w:rPr>
        <w:t>dysfunction</w:t>
      </w:r>
      <w:r w:rsidR="00D25C33">
        <w:rPr>
          <w:rFonts w:ascii="Times New Roman" w:hAnsi="Times New Roman" w:cs="Times New Roman"/>
          <w:sz w:val="24"/>
          <w:szCs w:val="24"/>
          <w:lang w:val="en-US"/>
        </w:rPr>
        <w:t>)</w:t>
      </w:r>
      <w:r w:rsidR="002C7012">
        <w:rPr>
          <w:rFonts w:ascii="Times New Roman" w:hAnsi="Times New Roman" w:cs="Times New Roman"/>
          <w:sz w:val="24"/>
          <w:szCs w:val="24"/>
          <w:lang w:val="en-US"/>
        </w:rPr>
        <w:t xml:space="preserve">. Our results </w:t>
      </w:r>
      <w:r w:rsidR="00294EA6" w:rsidRPr="001417BE">
        <w:rPr>
          <w:rFonts w:ascii="Times New Roman" w:hAnsi="Times New Roman" w:cs="Times New Roman"/>
          <w:sz w:val="24"/>
          <w:szCs w:val="24"/>
          <w:lang w:val="en-US"/>
        </w:rPr>
        <w:t>show</w:t>
      </w:r>
      <w:r w:rsidRPr="001417BE">
        <w:rPr>
          <w:rFonts w:ascii="Times New Roman" w:hAnsi="Times New Roman" w:cs="Times New Roman"/>
          <w:sz w:val="24"/>
          <w:szCs w:val="24"/>
          <w:lang w:val="en-US"/>
        </w:rPr>
        <w:t xml:space="preserve"> a</w:t>
      </w:r>
      <w:r w:rsidR="00A33567" w:rsidRPr="001417BE">
        <w:rPr>
          <w:rFonts w:ascii="Times New Roman" w:hAnsi="Times New Roman" w:cs="Times New Roman"/>
          <w:sz w:val="24"/>
          <w:szCs w:val="24"/>
          <w:lang w:val="en-US"/>
        </w:rPr>
        <w:t xml:space="preserve"> </w:t>
      </w:r>
      <w:r w:rsidR="008B1B9B">
        <w:rPr>
          <w:rFonts w:ascii="Times New Roman" w:hAnsi="Times New Roman" w:cs="Times New Roman"/>
          <w:sz w:val="24"/>
          <w:szCs w:val="24"/>
          <w:lang w:val="en-US"/>
        </w:rPr>
        <w:t xml:space="preserve">weak </w:t>
      </w:r>
      <w:r w:rsidR="00A33567" w:rsidRPr="001417BE">
        <w:rPr>
          <w:rFonts w:ascii="Times New Roman" w:hAnsi="Times New Roman" w:cs="Times New Roman"/>
          <w:sz w:val="24"/>
          <w:szCs w:val="24"/>
          <w:lang w:val="en-US"/>
        </w:rPr>
        <w:t>positive</w:t>
      </w:r>
      <w:r w:rsidR="008B1B9B">
        <w:rPr>
          <w:rFonts w:ascii="Times New Roman" w:hAnsi="Times New Roman" w:cs="Times New Roman"/>
          <w:sz w:val="24"/>
          <w:szCs w:val="24"/>
          <w:lang w:val="en-US"/>
        </w:rPr>
        <w:t xml:space="preserve"> </w:t>
      </w:r>
      <w:r w:rsidR="00294EA6" w:rsidRPr="001417BE">
        <w:rPr>
          <w:rFonts w:ascii="Times New Roman" w:hAnsi="Times New Roman" w:cs="Times New Roman"/>
          <w:sz w:val="24"/>
          <w:szCs w:val="24"/>
          <w:lang w:val="en-US"/>
        </w:rPr>
        <w:t xml:space="preserve">relationship </w:t>
      </w:r>
      <w:r w:rsidR="002C7012">
        <w:rPr>
          <w:rFonts w:ascii="Times New Roman" w:hAnsi="Times New Roman" w:cs="Times New Roman"/>
          <w:sz w:val="24"/>
          <w:szCs w:val="24"/>
          <w:lang w:val="en-US"/>
        </w:rPr>
        <w:t xml:space="preserve">of </w:t>
      </w:r>
      <w:r w:rsidR="0094365A" w:rsidRPr="001417BE">
        <w:rPr>
          <w:rFonts w:ascii="Times New Roman" w:hAnsi="Times New Roman" w:cs="Times New Roman"/>
          <w:sz w:val="24"/>
          <w:szCs w:val="24"/>
          <w:lang w:val="en-US"/>
        </w:rPr>
        <w:t>BAT volume</w:t>
      </w:r>
      <w:r w:rsidR="002C7012">
        <w:rPr>
          <w:rFonts w:ascii="Times New Roman" w:hAnsi="Times New Roman" w:cs="Times New Roman"/>
          <w:sz w:val="24"/>
          <w:szCs w:val="24"/>
          <w:lang w:val="en-US"/>
        </w:rPr>
        <w:t xml:space="preserve"> and fat content with</w:t>
      </w:r>
      <w:r w:rsidR="001417BE" w:rsidRPr="001417BE">
        <w:rPr>
          <w:rFonts w:ascii="Times New Roman" w:hAnsi="Times New Roman" w:cs="Times New Roman"/>
          <w:sz w:val="24"/>
          <w:szCs w:val="24"/>
          <w:lang w:val="en-US"/>
        </w:rPr>
        <w:t xml:space="preserve"> </w:t>
      </w:r>
      <w:r w:rsidR="00C20462" w:rsidRPr="001417BE">
        <w:rPr>
          <w:rFonts w:ascii="Times New Roman" w:hAnsi="Times New Roman" w:cs="Times New Roman"/>
          <w:sz w:val="24"/>
          <w:szCs w:val="24"/>
          <w:lang w:val="en-US"/>
        </w:rPr>
        <w:t xml:space="preserve">whole-body adiposity </w:t>
      </w:r>
      <w:r w:rsidR="00B86303" w:rsidRPr="001417BE">
        <w:rPr>
          <w:rFonts w:ascii="Times New Roman" w:hAnsi="Times New Roman" w:cs="Times New Roman"/>
          <w:sz w:val="24"/>
          <w:szCs w:val="24"/>
          <w:lang w:val="en-US"/>
        </w:rPr>
        <w:t>in</w:t>
      </w:r>
      <w:r w:rsidR="0094365A" w:rsidRPr="001417BE">
        <w:rPr>
          <w:rFonts w:ascii="Times New Roman" w:hAnsi="Times New Roman" w:cs="Times New Roman"/>
          <w:sz w:val="24"/>
          <w:szCs w:val="24"/>
          <w:lang w:val="en-US"/>
        </w:rPr>
        <w:t xml:space="preserve"> young</w:t>
      </w:r>
      <w:r w:rsidR="002C7012">
        <w:rPr>
          <w:rFonts w:ascii="Times New Roman" w:hAnsi="Times New Roman" w:cs="Times New Roman"/>
          <w:sz w:val="24"/>
          <w:szCs w:val="24"/>
          <w:lang w:val="en-US"/>
        </w:rPr>
        <w:t xml:space="preserve"> men, </w:t>
      </w:r>
      <w:r w:rsidR="00C232DF">
        <w:rPr>
          <w:rFonts w:ascii="Times New Roman" w:hAnsi="Times New Roman" w:cs="Times New Roman"/>
          <w:sz w:val="24"/>
          <w:szCs w:val="24"/>
          <w:lang w:val="en-US"/>
        </w:rPr>
        <w:t>and lack of association</w:t>
      </w:r>
      <w:r w:rsidR="002C7012">
        <w:rPr>
          <w:rFonts w:ascii="Times New Roman" w:hAnsi="Times New Roman" w:cs="Times New Roman"/>
          <w:sz w:val="24"/>
          <w:szCs w:val="24"/>
          <w:lang w:val="en-US"/>
        </w:rPr>
        <w:t xml:space="preserve"> in women</w:t>
      </w:r>
      <w:r w:rsidR="00594F9B" w:rsidRPr="001417BE">
        <w:rPr>
          <w:rFonts w:ascii="Times New Roman" w:hAnsi="Times New Roman" w:cs="Times New Roman"/>
          <w:sz w:val="24"/>
          <w:szCs w:val="24"/>
          <w:lang w:val="en-US"/>
        </w:rPr>
        <w:t xml:space="preserve">. </w:t>
      </w:r>
      <w:r w:rsidR="00944AC7" w:rsidRPr="001417BE">
        <w:rPr>
          <w:rFonts w:ascii="Times New Roman" w:hAnsi="Times New Roman" w:cs="Times New Roman"/>
          <w:sz w:val="24"/>
          <w:szCs w:val="24"/>
          <w:lang w:val="en-US"/>
        </w:rPr>
        <w:t xml:space="preserve">This </w:t>
      </w:r>
      <w:r w:rsidR="002C7012">
        <w:rPr>
          <w:rFonts w:ascii="Times New Roman" w:hAnsi="Times New Roman" w:cs="Times New Roman"/>
          <w:sz w:val="24"/>
          <w:szCs w:val="24"/>
          <w:lang w:val="en-US"/>
        </w:rPr>
        <w:t xml:space="preserve">refute the widely extended belief of BAT volume being inversely related to </w:t>
      </w:r>
      <w:r w:rsidR="00266E8C">
        <w:rPr>
          <w:rFonts w:ascii="Times New Roman" w:hAnsi="Times New Roman" w:cs="Times New Roman"/>
          <w:sz w:val="24"/>
          <w:szCs w:val="24"/>
          <w:lang w:val="en-US"/>
        </w:rPr>
        <w:t>whole-</w:t>
      </w:r>
      <w:r w:rsidR="002C7012">
        <w:rPr>
          <w:rFonts w:ascii="Times New Roman" w:hAnsi="Times New Roman" w:cs="Times New Roman"/>
          <w:sz w:val="24"/>
          <w:szCs w:val="24"/>
          <w:lang w:val="en-US"/>
        </w:rPr>
        <w:t>body adiposity, and suggest that it might even be the opposite, at least in young male.</w:t>
      </w:r>
    </w:p>
    <w:p w14:paraId="52D4C81A" w14:textId="38DFBB5C" w:rsidR="00191690" w:rsidRDefault="002C7012" w:rsidP="00E2352D">
      <w:pPr>
        <w:spacing w:line="480" w:lineRule="auto"/>
        <w:jc w:val="both"/>
        <w:rPr>
          <w:rFonts w:ascii="Times New Roman" w:hAnsi="Times New Roman" w:cs="Times New Roman"/>
          <w:sz w:val="24"/>
          <w:szCs w:val="24"/>
          <w:lang w:val="en-US"/>
        </w:rPr>
      </w:pPr>
      <w:bookmarkStart w:id="9" w:name="_Hlk65706920"/>
      <w:r w:rsidRPr="001417BE">
        <w:rPr>
          <w:rFonts w:ascii="Times New Roman" w:hAnsi="Times New Roman" w:cs="Times New Roman"/>
          <w:sz w:val="24"/>
          <w:szCs w:val="24"/>
          <w:lang w:val="en-US"/>
        </w:rPr>
        <w:t>Th</w:t>
      </w:r>
      <w:r>
        <w:rPr>
          <w:rFonts w:ascii="Times New Roman" w:hAnsi="Times New Roman" w:cs="Times New Roman"/>
          <w:sz w:val="24"/>
          <w:szCs w:val="24"/>
          <w:lang w:val="en-US"/>
        </w:rPr>
        <w:t xml:space="preserve">e findings of this study </w:t>
      </w:r>
      <w:r w:rsidRPr="001417BE">
        <w:rPr>
          <w:rFonts w:ascii="Times New Roman" w:hAnsi="Times New Roman" w:cs="Times New Roman"/>
          <w:sz w:val="24"/>
          <w:szCs w:val="24"/>
          <w:lang w:val="en-US"/>
        </w:rPr>
        <w:t xml:space="preserve">contrast with the results of </w:t>
      </w:r>
      <w:r w:rsidRPr="00442703">
        <w:rPr>
          <w:rFonts w:ascii="Times New Roman" w:hAnsi="Times New Roman" w:cs="Times New Roman"/>
          <w:sz w:val="24"/>
          <w:szCs w:val="24"/>
          <w:lang w:val="en-US"/>
        </w:rPr>
        <w:t xml:space="preserve">many </w:t>
      </w:r>
      <w:r w:rsidRPr="001417BE">
        <w:rPr>
          <w:rFonts w:ascii="Times New Roman" w:hAnsi="Times New Roman" w:cs="Times New Roman"/>
          <w:sz w:val="24"/>
          <w:szCs w:val="24"/>
          <w:lang w:val="en-US"/>
        </w:rPr>
        <w:t>previous human studies</w:t>
      </w:r>
      <w:r w:rsidR="00E94843">
        <w:rPr>
          <w:rFonts w:ascii="Times New Roman" w:hAnsi="Times New Roman" w:cs="Times New Roman"/>
          <w:sz w:val="24"/>
          <w:szCs w:val="24"/>
          <w:lang w:val="en-US"/>
        </w:rPr>
        <w:t xml:space="preserve"> that reported negative associations between BAT volume and whole-body adiposity</w:t>
      </w:r>
      <w:r w:rsidR="008B1B9B">
        <w:rPr>
          <w:rFonts w:ascii="Times New Roman" w:hAnsi="Times New Roman" w:cs="Times New Roman"/>
          <w:sz w:val="24"/>
          <w:szCs w:val="24"/>
          <w:lang w:val="en-US"/>
        </w:rPr>
        <w:t xml:space="preserve"> </w:t>
      </w:r>
      <w:r w:rsidR="008B1B9B" w:rsidRPr="001417BE">
        <w:rPr>
          <w:rFonts w:ascii="Times New Roman" w:eastAsia="Times New Roman" w:hAnsi="Times New Roman" w:cs="Times New Roman"/>
          <w:sz w:val="24"/>
          <w:szCs w:val="20"/>
          <w:lang w:val="en-US" w:eastAsia="es-ES"/>
        </w:rPr>
        <w:fldChar w:fldCharType="begin" w:fldLock="1"/>
      </w:r>
      <w:r w:rsidR="00AF4442">
        <w:rPr>
          <w:rFonts w:ascii="Times New Roman" w:eastAsia="Times New Roman" w:hAnsi="Times New Roman" w:cs="Times New Roman"/>
          <w:sz w:val="24"/>
          <w:szCs w:val="20"/>
          <w:lang w:val="en-US" w:eastAsia="es-ES"/>
        </w:rPr>
        <w:instrText>ADDIN CSL_CITATION {"citationItems":[{"id":"ITEM-1","itemData":{"DOI":"10.1056/NEJMoa0808718","ISSN":"1533-4406","PMID":"19357405","abstract":"BACKGROUND: Studies in animals indicate that brown adipose tissue is important in the regulation of body weight, and it is possible that individual variation in adaptive thermogenesis can be attributed to variations in the amount or activity of brown adipose tissue. Until recently, the presence of brown adipose tissue was thought to be relevant only in small mammals and infants, with negligible physiologic relevance in adult humans. We performed a systematic examination of the presence, distribution, and activity of brown adipose tissue in lean and obese men during exposure to cold temperature. Brown-adipose-tissue activity was studied in relation to body composition and energy metabolism. METHODS: We studied 24 healthy men--10 who were lean (body-mass index [BMI] [the weight in kilograms divided by the square of the height in meters], &lt; 25) and 14 who were overweight or obese (BMI, &gt; or = 25)--under thermoneutral conditions (22 degrees C) and during mild cold exposure (16 degrees C). Putative brown-adipose-tissue activity was determined with the use of integrated (18)F-fluorodeoxyglucose positron-emission tomography and computed tomography. Body composition and energy expenditure were measured with the use of dual-energy x-ray absorptiometry and indirect calorimetry. RESULTS: Brown-adipose-tissue activity was observed in 23 of the 24 subjects (96%) during cold exposure but not under thermoneutral conditions. The activity was significantly lower in the overweight or obese subjects than in the lean subjects (P=0.007). BMI and percentage of body fat both had significant negative correlations with brown adipose tissue, whereas resting metabolic rate had a significant positive correlation. CONCLUSIONS: The percentage of young men with brown adipose tissue is high, but its activity is reduced in men who are overweight or obese. Brown adipose tissue may be metabolically important in men, and the fact that it is reduced yet present in most overweight or obese subjects may make it a target for the treatment of obesity.","author":[{"dropping-particle":"","family":"Marken Lichtenbelt","given":"Wouter D","non-dropping-particle":"van","parse-names":false,"suffix":""},{"dropping-particle":"","family":"Vanhommerig","given":"Joost W","non-dropping-particle":"","parse-names":false,"suffix":""},{"dropping-particle":"","family":"Smulders","given":"Nanda M","non-dropping-particle":"","parse-names":false,"suffix":""},{"dropping-particle":"","family":"Drossaerts","given":"Jamie M a F L","non-dropping-particle":"","parse-names":false,"suffix":""},{"dropping-particle":"","family":"Kemerink","given":"Gerrit J","non-dropping-particle":"","parse-names":false,"suffix":""},{"dropping-particle":"","family":"Bouvy","given":"Nicole D","non-dropping-particle":"","parse-names":false,"suffix":""},{"dropping-particle":"","family":"Schrauwen","given":"Patrick","non-dropping-particle":"","parse-names":false,"suffix":""},{"dropping-particle":"","family":"Teule","given":"G J Jaap","non-dropping-particle":"","parse-names":false,"suffix":""}],"container-title":"The New England journal of medicine","id":"ITEM-1","issue":"15","issued":{"date-parts":[["2009","4","9"]]},"page":"1500-8","title":"Cold-activated brown adipose tissue in healthy men.","type":"article-journal","volume":"360"},"uris":["http://www.mendeley.com/documents/?uuid=ea046e0d-cbe3-4528-839a-ae355a57b5a4"]},{"id":"ITEM-2","itemData":{"DOI":"10.1056/NEJMoa0810780","ISSN":"1533-4406","PMID":"19357406","abstract":"BACKGROUND: Obesity results from an imbalance between energy intake and expenditure. In rodents and newborn humans, brown adipose tissue helps regulate energy expenditure by thermogenesis mediated by the expression of uncoupling protein 1 (UCP1), but brown adipose tissue has been considered to have no physiologic relevance in adult humans. METHODS: We analyzed 3640 consecutive (18)F-fluorodeoxyglucose ((18)F-FDG) positron-emission tomographic and computed tomographic (PET-CT) scans performed for various diagnostic reasons in 1972 patients for the presence of substantial depots of putative brown adipose tissue. Such depots were defined as collections of tissue that were more than 4 mm in diameter, had the density of adipose tissue according to CT, and had maximal standardized uptake values of (18)F-FDG of at least 2.0 g per milliliter, indicating high metabolic activity. Clinical indexes were recorded and compared with those of date-matched controls. Immunostaining for UCP1 was performed on biopsy specimens from the neck and supraclavicular regions in patients undergoing surgery. RESULTS: Substantial depots of brown adipose tissue were identified by PET-CT in a region extending from the anterior neck to the thorax. Tissue from this region had UCP1-immunopositive, multilocular adipocytes indicating brown adipose tissue. Positive scans were seen in 76 of 1013 women (7.5%) and 30 of 959 men (3.1%), corresponding to a female:male ratio greater than 2:1 (P&lt;0.001). Women also had a greater mass of brown adipose tissue and higher (18)F-FDG uptake activity. The probability of the detection of brown adipose tissue was inversely correlated with years of age (P&lt;0.001), outdoor temperature at the time of the scan (P=0.02), beta-blocker use (P&lt;0.001), and among older patients, body-mass index (P=0.007). CONCLUSIONS: Defined regions of functionally active brown adipose tissue are present in adult humans, are more frequent in women than in men, and may be quantified noninvasively with the use of (18)F-FDG PET-CT. Most important, the amount of brown adipose tissue is inversely correlated with body-mass index, especially in older people, suggesting a potential role of brown adipose tissue in adult human metabolism.","author":[{"dropping-particle":"","family":"Cypess","given":"Aaron M","non-dropping-particle":"","parse-names":false,"suffix":""},{"dropping-particle":"","family":"Lehman","given":"Sanaz","non-dropping-particle":"","parse-names":false,"suffix":""},{"dropping-particle":"","family":"Williams","given":"Gethin","non-dropping-particle":"","parse-names":false,"suffix":""},{"dropping-particle":"","family":"Tal","given":"Ilan","non-dropping-particle":"","parse-names":false,"suffix":""},{"dropping-particle":"","family":"Rodman","given":"Dean","non-dropping-particle":"","parse-names":false,"suffix":""},{"dropping-particle":"","family":"Goldfine","given":"Allison B","non-dropping-particle":"","parse-names":false,"suffix":""},{"dropping-particle":"","family":"Kuo","given":"Frank C","non-dropping-particle":"","parse-names":false,"suffix":""},{"dropping-particle":"","family":"Palmer","given":"Edwin L","non-dropping-particle":"","parse-names":false,"suffix":""},{"dropping-particle":"","family":"Tseng","given":"Yu-Hua","non-dropping-particle":"","parse-names":false,"suffix":""},{"dropping-particle":"","family":"Doria","given":"Alessandro","non-dropping-particle":"","parse-names":false,"suffix":""},{"dropping-particle":"","family":"Kolodny","given":"Gerald M","non-dropping-particle":"","parse-names":false,"suffix":""},{"dropping-particle":"","family":"Kahn","given":"C Ronald","non-dropping-particle":"","parse-names":false,"suffix":""}],"container-title":"The New England journal of medicine","id":"ITEM-2","issue":"15","issued":{"date-parts":[["2009","4","9"]]},"page":"1509-17","title":"Identification and importance of brown adipose tissue in adult humans.","type":"article-journal","volume":"360"},"uris":["http://www.mendeley.com/documents/?uuid=95dc2dea-35bb-4c11-81d0-05c659abe1ee"]},{"id":"ITEM-3","itemData":{"DOI":"10.2337/db09-0530","ISSN":"1939-327X","PMID":"19401428","abstract":"OBJECTIVE: The significant roles of brown adipose tissue (BAT) in the regulation of energy expenditure and adiposity are established in small rodents but have been controversial in humans. The objective is to examine the prevalence of metabolically active BAT in healthy adult humans and to clarify the effects of cold exposure and adiposity. RESEARCH DESIGN AND METHODS: In vivo 2-[(18)F]fluoro-2-deoxyglucose (FDG) uptake into adipose tissue was measured in 56 healthy volunteers (31 male and 25 female subjects) aged 23-65 years by positron emission tomography (PET) combined with X-ray computed tomography (CT). RESULTS: When exposed to cold (19 degrees C) for 2 h, 17 of 32 younger subjects (aged 23-35 years) and 2 of 24 elderly subjects (aged 38-65 years) showed a substantial FDG uptake into adipose tissue of the supraclavicular and paraspinal regions, whereas they showed no detectable uptake when kept warm (27 degrees C). Histological examinations confirmed the presence of brown adipocytes in these regions. The cold-activated FDG uptake was increased in winter compared with summer (P &lt; 0.001) and was inversely related to BMI (P &lt; 0.001) and total (P &lt; 0.01) and visceral (P &lt; 0.001) fat areas estimated from CT image at the umbilical level. CONCLUSIONS: Our findings, being against the conventional view, indicate the high incidence of metabolically active BAT in adult humans and suggest a role in the control of body temperature and adiposity.","author":[{"dropping-particle":"","family":"Saito","given":"Masayuki","non-dropping-particle":"","parse-names":false,"suffix":""},{"dropping-particle":"","family":"Okamatsu-Ogura","given":"Yuko","non-dropping-particle":"","parse-names":false,"suffix":""},{"dropping-particle":"","family":"Matsushita","given":"Mami","non-dropping-particle":"","parse-names":false,"suffix":""},{"dropping-particle":"","family":"Watanabe","given":"Kumiko","non-dropping-particle":"","parse-names":false,"suffix":""},{"dropping-particle":"","family":"Yoneshiro","given":"Takeshi","non-dropping-particle":"","parse-names":false,"suffix":""},{"dropping-particle":"","family":"Nio-Kobayashi","given":"Junko","non-dropping-particle":"","parse-names":false,"suffix":""},{"dropping-particle":"","family":"Iwanaga","given":"Toshihiko","non-dropping-particle":"","parse-names":false,"suffix":""},{"dropping-particle":"","family":"Miyagawa","given":"Masao","non-dropping-particle":"","parse-names":false,"suffix":""},{"dropping-particle":"","family":"Kameya","given":"Toshimitsu","non-dropping-particle":"","parse-names":false,"suffix":""},{"dropping-particle":"","family":"Nakada","given":"Kunihiro","non-dropping-particle":"","parse-names":false,"suffix":""},{"dropping-particle":"","family":"Kawai","given":"Yuko","non-dropping-particle":"","parse-names":false,"suffix":""},{"dropping-particle":"","family":"Tsujisaki","given":"Masayuki","non-dropping-particle":"","parse-names":false,"suffix":""}],"container-title":"Diabetes","id":"ITEM-3","issue":"7","issued":{"date-parts":[["2009","7"]]},"page":"1526-31","title":"High incidence of metabolically active brown adipose tissue in healthy adult humans: effects of cold exposure and adiposity.","type":"article-journal","volume":"58"},"uris":["http://www.mendeley.com/documents/?uuid=3e3a9ac8-5751-457a-b5a7-053a694250c8"]}],"mendeley":{"formattedCitation":"(5,6,8)","plainTextFormattedCitation":"(5,6,8)","previouslyFormattedCitation":"(5,6,8)"},"properties":{"noteIndex":0},"schema":"https://github.com/citation-style-language/schema/raw/master/csl-citation.json"}</w:instrText>
      </w:r>
      <w:r w:rsidR="008B1B9B" w:rsidRPr="001417BE">
        <w:rPr>
          <w:rFonts w:ascii="Times New Roman" w:eastAsia="Times New Roman" w:hAnsi="Times New Roman" w:cs="Times New Roman"/>
          <w:sz w:val="24"/>
          <w:szCs w:val="20"/>
          <w:lang w:val="en-US" w:eastAsia="es-ES"/>
        </w:rPr>
        <w:fldChar w:fldCharType="separate"/>
      </w:r>
      <w:r w:rsidR="00AF4442" w:rsidRPr="00AF4442">
        <w:rPr>
          <w:rFonts w:ascii="Times New Roman" w:eastAsia="Times New Roman" w:hAnsi="Times New Roman" w:cs="Times New Roman"/>
          <w:noProof/>
          <w:sz w:val="24"/>
          <w:szCs w:val="20"/>
          <w:lang w:val="en-US" w:eastAsia="es-ES"/>
        </w:rPr>
        <w:t>(5,6,8)</w:t>
      </w:r>
      <w:r w:rsidR="008B1B9B" w:rsidRPr="001417BE">
        <w:rPr>
          <w:rFonts w:ascii="Times New Roman" w:eastAsia="Times New Roman" w:hAnsi="Times New Roman" w:cs="Times New Roman"/>
          <w:sz w:val="24"/>
          <w:szCs w:val="20"/>
          <w:lang w:val="en-US" w:eastAsia="es-ES"/>
        </w:rPr>
        <w:fldChar w:fldCharType="end"/>
      </w:r>
      <w:bookmarkEnd w:id="9"/>
      <w:r w:rsidRPr="001417BE">
        <w:rPr>
          <w:rFonts w:ascii="Times New Roman" w:hAnsi="Times New Roman" w:cs="Times New Roman"/>
          <w:sz w:val="24"/>
          <w:szCs w:val="24"/>
          <w:lang w:val="en-US"/>
        </w:rPr>
        <w:t xml:space="preserve">. </w:t>
      </w:r>
      <w:r w:rsidR="005E2E64">
        <w:rPr>
          <w:rFonts w:ascii="Times New Roman" w:hAnsi="Times New Roman" w:cs="Times New Roman"/>
          <w:sz w:val="24"/>
          <w:szCs w:val="24"/>
          <w:lang w:val="en-US"/>
        </w:rPr>
        <w:t xml:space="preserve">However, it should be noted that the inverse relationship between BAT volume and </w:t>
      </w:r>
      <w:r w:rsidR="00266E8C">
        <w:rPr>
          <w:rFonts w:ascii="Times New Roman" w:hAnsi="Times New Roman" w:cs="Times New Roman"/>
          <w:sz w:val="24"/>
          <w:szCs w:val="24"/>
          <w:lang w:val="en-US"/>
        </w:rPr>
        <w:t>whole-</w:t>
      </w:r>
      <w:r w:rsidR="005E2E64">
        <w:rPr>
          <w:rFonts w:ascii="Times New Roman" w:hAnsi="Times New Roman" w:cs="Times New Roman"/>
          <w:sz w:val="24"/>
          <w:szCs w:val="24"/>
          <w:lang w:val="en-US"/>
        </w:rPr>
        <w:t>body adiposity has not been unanimously reported in previous literature and has only been found by approximately a half of the studies</w:t>
      </w:r>
      <w:r w:rsidR="00C232DF">
        <w:rPr>
          <w:rFonts w:ascii="Times New Roman" w:hAnsi="Times New Roman" w:cs="Times New Roman"/>
          <w:sz w:val="24"/>
          <w:szCs w:val="24"/>
          <w:lang w:val="en-US"/>
        </w:rPr>
        <w:t xml:space="preserve"> published</w:t>
      </w:r>
      <w:r w:rsidR="005E2E64">
        <w:rPr>
          <w:rFonts w:ascii="Times New Roman" w:hAnsi="Times New Roman" w:cs="Times New Roman"/>
          <w:sz w:val="24"/>
          <w:szCs w:val="24"/>
          <w:lang w:val="en-US"/>
        </w:rPr>
        <w:t xml:space="preserve">. </w:t>
      </w:r>
      <w:r w:rsidR="00C232DF">
        <w:rPr>
          <w:rFonts w:ascii="Times New Roman" w:hAnsi="Times New Roman" w:cs="Times New Roman"/>
          <w:sz w:val="24"/>
          <w:szCs w:val="24"/>
          <w:lang w:val="en-US"/>
        </w:rPr>
        <w:t>Moreover</w:t>
      </w:r>
      <w:r w:rsidR="005E2E64">
        <w:rPr>
          <w:rFonts w:ascii="Times New Roman" w:hAnsi="Times New Roman" w:cs="Times New Roman"/>
          <w:sz w:val="24"/>
          <w:szCs w:val="24"/>
          <w:lang w:val="en-US"/>
        </w:rPr>
        <w:t>,</w:t>
      </w:r>
      <w:r w:rsidRPr="001417BE">
        <w:rPr>
          <w:rFonts w:ascii="Times New Roman" w:hAnsi="Times New Roman" w:cs="Times New Roman"/>
          <w:sz w:val="24"/>
          <w:szCs w:val="24"/>
          <w:lang w:val="en-US"/>
        </w:rPr>
        <w:t xml:space="preserve"> </w:t>
      </w:r>
      <w:bookmarkStart w:id="10" w:name="_Hlk66011867"/>
      <w:r w:rsidRPr="001417BE">
        <w:rPr>
          <w:rFonts w:ascii="Times New Roman" w:hAnsi="Times New Roman" w:cs="Times New Roman"/>
          <w:sz w:val="24"/>
          <w:szCs w:val="24"/>
          <w:lang w:val="en-US"/>
        </w:rPr>
        <w:t>most of the</w:t>
      </w:r>
      <w:r w:rsidR="005E2E64">
        <w:rPr>
          <w:rFonts w:ascii="Times New Roman" w:hAnsi="Times New Roman" w:cs="Times New Roman"/>
          <w:sz w:val="24"/>
          <w:szCs w:val="24"/>
          <w:lang w:val="en-US"/>
        </w:rPr>
        <w:t xml:space="preserve"> </w:t>
      </w:r>
      <w:r w:rsidRPr="001417BE">
        <w:rPr>
          <w:rFonts w:ascii="Times New Roman" w:hAnsi="Times New Roman" w:cs="Times New Roman"/>
          <w:sz w:val="24"/>
          <w:szCs w:val="24"/>
          <w:lang w:val="en-US"/>
        </w:rPr>
        <w:t xml:space="preserve">studies </w:t>
      </w:r>
      <w:r w:rsidR="005E2E64">
        <w:rPr>
          <w:rFonts w:ascii="Times New Roman" w:hAnsi="Times New Roman" w:cs="Times New Roman"/>
          <w:sz w:val="24"/>
          <w:szCs w:val="24"/>
          <w:lang w:val="en-US"/>
        </w:rPr>
        <w:t xml:space="preserve">reporting negative associations between BAT volume and </w:t>
      </w:r>
      <w:r w:rsidR="00AD1CC1">
        <w:rPr>
          <w:rFonts w:ascii="Times New Roman" w:hAnsi="Times New Roman" w:cs="Times New Roman"/>
          <w:sz w:val="24"/>
          <w:szCs w:val="24"/>
          <w:lang w:val="en-US"/>
        </w:rPr>
        <w:t>whole-</w:t>
      </w:r>
      <w:r w:rsidR="005E2E64">
        <w:rPr>
          <w:rFonts w:ascii="Times New Roman" w:hAnsi="Times New Roman" w:cs="Times New Roman"/>
          <w:sz w:val="24"/>
          <w:szCs w:val="24"/>
          <w:lang w:val="en-US"/>
        </w:rPr>
        <w:t xml:space="preserve">body adiposity </w:t>
      </w:r>
      <w:r w:rsidRPr="001417BE">
        <w:rPr>
          <w:rFonts w:ascii="Times New Roman" w:hAnsi="Times New Roman" w:cs="Times New Roman"/>
          <w:sz w:val="24"/>
          <w:szCs w:val="24"/>
          <w:lang w:val="en-US"/>
        </w:rPr>
        <w:t xml:space="preserve">were conducted following </w:t>
      </w:r>
      <w:r w:rsidRPr="001417BE">
        <w:rPr>
          <w:rFonts w:ascii="Times New Roman" w:hAnsi="Times New Roman" w:cs="Times New Roman"/>
          <w:sz w:val="24"/>
          <w:szCs w:val="24"/>
          <w:vertAlign w:val="superscript"/>
          <w:lang w:val="en-US"/>
        </w:rPr>
        <w:t>18</w:t>
      </w:r>
      <w:r w:rsidRPr="001417BE">
        <w:rPr>
          <w:rFonts w:ascii="Times New Roman" w:hAnsi="Times New Roman" w:cs="Times New Roman"/>
          <w:sz w:val="24"/>
          <w:szCs w:val="24"/>
          <w:lang w:val="en-US"/>
        </w:rPr>
        <w:t>F-FDG PET-CT methodologies that did not match the most recent recommendations for BAT assessment and</w:t>
      </w:r>
      <w:r w:rsidR="008B1B9B">
        <w:rPr>
          <w:rFonts w:ascii="Times New Roman" w:hAnsi="Times New Roman" w:cs="Times New Roman"/>
          <w:sz w:val="24"/>
          <w:szCs w:val="24"/>
          <w:lang w:val="en-US"/>
        </w:rPr>
        <w:t>,</w:t>
      </w:r>
      <w:r w:rsidRPr="001417BE">
        <w:rPr>
          <w:rFonts w:ascii="Times New Roman" w:hAnsi="Times New Roman" w:cs="Times New Roman"/>
          <w:sz w:val="24"/>
          <w:szCs w:val="24"/>
          <w:lang w:val="en-US"/>
        </w:rPr>
        <w:t xml:space="preserve"> more importantly, did not involve individualized cold-exposure before scanning </w:t>
      </w:r>
      <w:r w:rsidRPr="001417BE">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{"citationItems":[{"id":"ITEM-1","itemData":{"DOI":"10.1016/j.cmet.2016.07.014","ISSN":"15504131","PMID":"27508870","abstract":"Human brown adipose tissue (BAT) presence, metabolic activity, and estimated mass are typically measured by imaging [18F]fluorodeoxyglucose (FDG) uptake in response to cold exposure in regions of the body expected to contain BAT, using positron emission tomography combined with X-ray computed tomography (FDG-PET/CT). Efforts to describe the epidemiology and biology of human BAT are hampered by diverse experimental practices, making it difficult to directly compare results among laboratories. An expert panel was assembled by the National Institute of Diabetes and Digestive and Kidney Diseases on November 4, 2014 to discuss minimal requirements for conducting FDG-PET/CT experiments of human BAT, data analysis, and publication of results. This resulted in Brown Adipose Reporting Criteria in Imaging STudies (BARCIST 1.0). Since there are no fully validated best practices at this time, panel recommendations are meant to enhance comparability across experiments, but not to constrain experimental design or the questions that can be asked.","author":[{"dropping-particle":"","family":"Chen","given":"Kong Y.","non-dropping-particle":"","parse-names":false,"suffix":""},{"dropping-particle":"","family":"Cypess","given":"Aaron M.","non-dropping-particle":"","parse-names":false,"suffix":""},{"dropping-particle":"","family":"Laughlin","given":"Maren R.","non-dropping-particle":"","parse-names":false,"suffix":""},{"dropping-particle":"","family":"Haft","given":"Carol R.","non-dropping-particle":"","parse-names":false,"suffix":""},{"dropping-particle":"","family":"Hu","given":"Houchun Harry","non-dropping-particle":"","parse-names":false,"suffix":""},{"dropping-particle":"","family":"Bredella","given":"Miriam A.","non-dropping-particle":"","parse-names":false,"suffix":""},{"dropping-particle":"","family":"Enerbäck","given":"Sven","non-dropping-particle":"","parse-names":false,"suffix":""},{"dropping-particle":"","family":"Kinahan","given":"Paul E.","non-dropping-particle":"","parse-names":false,"suffix":""},{"dropping-particle":"","family":"Lichtenbelt","given":"Wouter van Marken","non-dropping-particle":"","parse-names":false,"suffix":""},{"dropping-particle":"","family":"Lin","given":"Frank I.","non-dropping-particle":"","parse-names":false,"suffix":""},{"dropping-particle":"","family":"Sunderland","given":"John J.","non-dropping-particle":"","parse-names":false,"suffix":""},{"dropping-particle":"","family":"Virtanen","given":"Kirsi A.","non-dropping-particle":"","parse-names":false,"suffix":""},{"dropping-particle":"","family":"Wahl","given":"Richard L.","non-dropping-particle":"","parse-names":false,"suffix":""}],"container-title":"Cell Metabolism","id":"ITEM-1","issue":"2","issued":{"date-parts":[["2016","8","9"]]},"page":"210-222","title":"Brown Adipose Reporting Criteria in Imaging STudies (BARCIST 1.0): Recommendations for Standardized FDG-PET/CT Experiments in Humans","type":"article-journal","volume":"24"},"uris":["http://www.mendeley.com/documents/?uuid=fe518d60-4768-305a-aee3-493837d621e6"]}],"mendeley":{"formattedCitation":"(19)","plainTextFormattedCitation":"(19)","previouslyFormattedCitation":"(19)"},"properties":{"noteIndex":0},"schema":"https://github.com/citation-style-language/schema/raw/master/csl-citation.json"}</w:instrText>
      </w:r>
      <w:r w:rsidRPr="001417BE">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(19)</w:t>
      </w:r>
      <w:r w:rsidRPr="001417BE">
        <w:rPr>
          <w:rFonts w:ascii="Times New Roman" w:hAnsi="Times New Roman" w:cs="Times New Roman"/>
          <w:sz w:val="24"/>
          <w:szCs w:val="24"/>
          <w:lang w:val="en-US"/>
        </w:rPr>
        <w:fldChar w:fldCharType="end"/>
      </w:r>
      <w:r w:rsidRPr="001417BE">
        <w:rPr>
          <w:rFonts w:ascii="Times New Roman" w:hAnsi="Times New Roman" w:cs="Times New Roman"/>
          <w:sz w:val="24"/>
          <w:szCs w:val="24"/>
          <w:lang w:val="en-US"/>
        </w:rPr>
        <w:t xml:space="preserve">. It is now accepted that performing </w:t>
      </w:r>
      <w:r w:rsidRPr="001417BE">
        <w:rPr>
          <w:rFonts w:ascii="Times New Roman" w:hAnsi="Times New Roman" w:cs="Times New Roman"/>
          <w:sz w:val="24"/>
          <w:szCs w:val="24"/>
          <w:vertAlign w:val="superscript"/>
          <w:lang w:val="en-US"/>
        </w:rPr>
        <w:t>18</w:t>
      </w:r>
      <w:r w:rsidRPr="001417BE">
        <w:rPr>
          <w:rFonts w:ascii="Times New Roman" w:hAnsi="Times New Roman" w:cs="Times New Roman"/>
          <w:sz w:val="24"/>
          <w:szCs w:val="24"/>
          <w:lang w:val="en-US"/>
        </w:rPr>
        <w:t xml:space="preserve">F-FDG PET-CT after individualized cold-exposure is a reliable technique </w:t>
      </w:r>
      <w:r w:rsidRPr="001417BE">
        <w:rPr>
          <w:rFonts w:ascii="Times New Roman" w:hAnsi="Times New Roman" w:cs="Times New Roman"/>
          <w:sz w:val="24"/>
          <w:szCs w:val="24"/>
          <w:lang w:val="en-US"/>
        </w:rPr>
        <w:fldChar w:fldCharType="begin" w:fldLock="1"/>
      </w:r>
      <w:r w:rsidR="00841F74">
        <w:rPr>
          <w:rFonts w:ascii="Times New Roman" w:hAnsi="Times New Roman" w:cs="Times New Roman"/>
          <w:sz w:val="24"/>
          <w:szCs w:val="24"/>
          <w:lang w:val="en-US"/>
        </w:rPr>
        <w:instrText>ADDIN CSL_CITATION {"citationItems":[{"id":"ITEM-1","itemData":{"DOI":"10.1016/j.cmet.2019.05.019","ISSN":"15504131","author":[{"dropping-particle":"","family":"Fraum","given":"Tyler J.","non-dropping-particle":"","parse-names":false,"suffix":""},{"dropping-particle":"","family":"Crandall","given":"John P.","non-dropping-particle":"","parse-names":false,"suffix":""},{"dropping-particle":"","family":"Ludwig","given":"Daniel R.","non-dropping-particle":"","parse-names":false,"suffix":""},{"dropping-particle":"","family":"Chen","given":"Sihao","non-dropping-particle":"","parse-names":false,"suffix":""},{"dropping-particle":"","family":"Fowler","given":"Kathryn J.","non-dropping-particle":"","parse-names":false,"suffix":""},{"dropping-particle":"","family":"Laforest","given":"Richard A.","non-dropping-particle":"","parse-names":false,"suffix":""},{"dropping-particle":"","family":"Salter","given":"Amber","non-dropping-particle":"","parse-names":false,"suffix":""},{"dropping-particle":"","family":"Dehdashti","given":"Farrokh","non-dropping-particle":"","parse-names":false,"suffix":""},{"dropping-particle":"","family":"An","given":"Hongyu","non-dropping-particle":"","parse-names":false,"suffix":""},{"dropping-particle":"","family":"Wahl","given":"Richard L.","non-dropping-particle":"","parse-names":false,"suffix":""}],"container-title":"Cell Metabolism","id":"ITEM-1","issue":"1","issued":{"date-parts":[["2019","7"]]},"page":"212-224.e4","publisher":"Elsevier Inc.","title":"Repeatability of Quantitative Brown Adipose Tissue Imaging Metrics on Positron Emission Tomography with 18F-Fluorodeoxyglucose in Humans","type":"article-journal","volume":"30"},"uris":["http://www.mendeley.com/documents/?uuid=1c587788-d138-404f-929a-8279b30aebb3"]}],"mendeley":{"formattedCitation":"(35)","plainTextFormattedCitation":"(35)","previouslyFormattedCitation":"(35)"},"properties":{"noteIndex":0},"schema":"https://github.com/citation-style-language/schema/raw/master/csl-citation.json"}</w:instrText>
      </w:r>
      <w:r w:rsidRPr="001417BE">
        <w:rPr>
          <w:rFonts w:ascii="Times New Roman" w:hAnsi="Times New Roman" w:cs="Times New Roman"/>
          <w:sz w:val="24"/>
          <w:szCs w:val="24"/>
          <w:lang w:val="en-US"/>
        </w:rPr>
        <w:fldChar w:fldCharType="separate"/>
      </w:r>
      <w:r w:rsidR="00CC0D78" w:rsidRPr="00CC0D78">
        <w:rPr>
          <w:rFonts w:ascii="Times New Roman" w:hAnsi="Times New Roman" w:cs="Times New Roman"/>
          <w:noProof/>
          <w:sz w:val="24"/>
          <w:szCs w:val="24"/>
          <w:lang w:val="en-US"/>
        </w:rPr>
        <w:t>(35)</w:t>
      </w:r>
      <w:r w:rsidRPr="001417BE">
        <w:rPr>
          <w:rFonts w:ascii="Times New Roman" w:hAnsi="Times New Roman" w:cs="Times New Roman"/>
          <w:sz w:val="24"/>
          <w:szCs w:val="24"/>
          <w:lang w:val="en-US"/>
        </w:rPr>
        <w:fldChar w:fldCharType="end"/>
      </w:r>
      <w:r w:rsidR="003B539A">
        <w:rPr>
          <w:rFonts w:ascii="Times New Roman" w:hAnsi="Times New Roman" w:cs="Times New Roman"/>
          <w:sz w:val="24"/>
          <w:szCs w:val="24"/>
          <w:lang w:val="en-US"/>
        </w:rPr>
        <w:t>,</w:t>
      </w:r>
      <w:r w:rsidRPr="001417BE">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considered </w:t>
      </w:r>
      <w:r w:rsidRPr="001417BE">
        <w:rPr>
          <w:rFonts w:ascii="Times New Roman" w:hAnsi="Times New Roman" w:cs="Times New Roman"/>
          <w:sz w:val="24"/>
          <w:szCs w:val="24"/>
          <w:lang w:val="en-US"/>
        </w:rPr>
        <w:t xml:space="preserve">the gold-standard for </w:t>
      </w:r>
      <w:r w:rsidRPr="001417BE">
        <w:rPr>
          <w:rFonts w:ascii="Times New Roman" w:hAnsi="Times New Roman" w:cs="Times New Roman"/>
          <w:i/>
          <w:sz w:val="24"/>
          <w:szCs w:val="24"/>
          <w:lang w:val="en-US"/>
        </w:rPr>
        <w:t>in vivo</w:t>
      </w:r>
      <w:r w:rsidRPr="001417BE">
        <w:rPr>
          <w:rFonts w:ascii="Times New Roman" w:hAnsi="Times New Roman" w:cs="Times New Roman"/>
          <w:sz w:val="24"/>
          <w:szCs w:val="24"/>
          <w:lang w:val="en-US"/>
        </w:rPr>
        <w:t xml:space="preserve"> human BAT </w:t>
      </w:r>
      <w:r>
        <w:rPr>
          <w:rFonts w:ascii="Times New Roman" w:hAnsi="Times New Roman" w:cs="Times New Roman"/>
          <w:sz w:val="24"/>
          <w:szCs w:val="24"/>
          <w:lang w:val="en-US"/>
        </w:rPr>
        <w:t>volume</w:t>
      </w:r>
      <w:r w:rsidRPr="001417BE">
        <w:rPr>
          <w:rFonts w:ascii="Times New Roman" w:hAnsi="Times New Roman" w:cs="Times New Roman"/>
          <w:sz w:val="24"/>
          <w:szCs w:val="24"/>
          <w:lang w:val="en-US"/>
        </w:rPr>
        <w:t xml:space="preserve"> quantification </w:t>
      </w:r>
      <w:r w:rsidRPr="001417BE">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{"citationItems":[{"id":"ITEM-1","itemData":{"DOI":"10.1016/j.cmet.2016.07.014","ISSN":"15504131","PMID":"27508870","abstract":"Human brown adipose tissue (BAT) presence, metabolic activity, and estimated mass are typically measured by imaging [18F]fluorodeoxyglucose (FDG) uptake in response to cold exposure in regions of the body expected to contain BAT, using positron emission tomography combined with X-ray computed tomography (FDG-PET/CT). Efforts to describe the epidemiology and biology of human BAT are hampered by diverse experimental practices, making it difficult to directly compare results among laboratories. An expert panel was assembled by the National Institute of Diabetes and Digestive and Kidney Diseases on November 4, 2014 to discuss minimal requirements for conducting FDG-PET/CT experiments of human BAT, data analysis, and publication of results. This resulted in Brown Adipose Reporting Criteria in Imaging STudies (BARCIST 1.0). Since there are no fully validated best practices at this time, panel recommendations are meant to enhance comparability across experiments, but not to constrain experimental design or the questions that can be asked.","author":[{"dropping-particle":"","family":"Chen","given":"Kong Y.","non-dropping-particle":"","parse-names":false,"suffix":""},{"dropping-particle":"","family":"Cypess","given":"Aaron M.","non-dropping-particle":"","parse-names":false,"suffix":""},{"dropping-particle":"","family":"Laughlin","given":"Maren R.","non-dropping-particle":"","parse-names":false,"suffix":""},{"dropping-particle":"","family":"Haft","given":"Carol R.","non-dropping-particle":"","parse-names":false,"suffix":""},{"dropping-particle":"","family":"Hu","given":"Houchun Harry","non-dropping-particle":"","parse-names":false,"suffix":""},{"dropping-particle":"","family":"Bredella","given":"Miriam A.","non-dropping-particle":"","parse-names":false,"suffix":""},{"dropping-particle":"","family":"Enerbäck","given":"Sven","non-dropping-particle":"","parse-names":false,"suffix":""},{"dropping-particle":"","family":"Kinahan","given":"Paul E.","non-dropping-particle":"","parse-names":false,"suffix":""},{"dropping-particle":"","family":"Lichtenbelt","given":"Wouter van Marken","non-dropping-particle":"","parse-names":false,"suffix":""},{"dropping-particle":"","family":"Lin","given":"Frank I.","non-dropping-particle":"","parse-names":false,"suffix":""},{"dropping-particle":"","family":"Sunderland","given":"John J.","non-dropping-particle":"","parse-names":false,"suffix":""},{"dropping-particle":"","family":"Virtanen","given":"Kirsi A.","non-dropping-particle":"","parse-names":false,"suffix":""},{"dropping-particle":"","family":"Wahl","given":"Richard L.","non-dropping-particle":"","parse-names":false,"suffix":""}],"container-title":"Cell Metabolism","id":"ITEM-1","issue":"2","issued":{"date-parts":[["2016","8","9"]]},"page":"210-222","title":"Brown Adipose Reporting Criteria in Imaging STudies (BARCIST 1.0): Recommendations for Standardized FDG-PET/CT Experiments in Humans","type":"article-journal","volume":"24"},"uris":["http://www.mendeley.com/documents/?uuid=fe518d60-4768-305a-aee3-493837d621e6"]},{"id":"ITEM-2","itemData":{"DOI":"10.1038/s41598-018-26878-4","ISSN":"2045-2322","PMID":"29867076","abstract":"Human brown adipose tissue (BAT) is commonly assessed by cold-induced 18F-fluorodeoxyglucose (FDG) PET-CT using several quantification criteria. Uniform criteria for data analysis became available recently (BARCIST 1.0). We compared BAT volume and activity following BARCIST 1.0 criteria against the most commonly used criteria [Hounsfield Units (HU):-250, -50, standardized uptake value (SUV):2.0; HU: Not applied, SUV:2.0 and HU:-180, -10, SUV:1.5] in a prospective study using three independent cohorts of men including young lean adults, young overweight/obese adults and middle-aged overweight/obese adults. BAT volume was the most variable outcome between criteria. While BAT volume calculated using the HU: NA; SUV: 2.0 criteria was up to 207% higher than the BAT volume calculated based on BARCIST 1.0 criteria, it was up to 57% lower using the HU: -250, -50; SUV: 2.0 criteria compared to the BARCIST 1.0. Similarly, BAT activity (expressed as SUVmean) also differed between different thresholds mainly because SUVmean depends on BAT volume. SUVpeak was the most consistent BAT outcome across the four study criteria. Of note, we replicated these findings in three independent cohorts. In conclusion, BAT volume and activity as determined by 18F-FDG-PET/CT highly depend on the quantification criteria used. Future human BAT studies should conduct sensitivity analysis with different thresholds in order to understand whether results are driven by the selected HU and/or SUV thresholds. The design of the present study precludes providing any conclusive threshold, but before more definitive thresholds for HU and SUV are available, we support the use of BARCIST 1.0 criteria to facilitate interpretation of BAT characteristics between research groups.","author":[{"dropping-particle":"","family":"Martinez-Tellez","given":"Borja","non-dropping-particle":"","parse-names":false,"suffix":""},{"dropping-particle":"","family":"Nahon","given":"Kimberly J","non-dropping-particle":"","parse-names":false,"suffix":""},{"dropping-particle":"","family":"Sanchez-Delgado","given":"Guillermo","non-dropping-particle":"","parse-names":false,"suffix":""},{"dropping-particle":"","family":"Abreu-Vieira","given":"Gustavo","non-dropping-particle":"","parse-names":false,"suffix":""},{"dropping-particle":"","family":"Llamas-Elvira","given":"Jose M.","non-dropping-particle":"","parse-names":false,"suffix":""},{"dropping-particle":"","family":"Velden","given":"Floris H P","non-dropping-particle":"van","parse-names":false,"suffix":""},{"dropping-particle":"","family":"Pereira Arias-Bouda","given":"Lenka M","non-dropping-particle":"","parse-names":false,"suffix":""},{"dropping-particle":"","family":"Rensen","given":"Patrick C N","non-dropping-particle":"","parse-names":false,"suffix":""},{"dropping-particle":"","family":"Boon","given":"Mariëtte R.","non-dropping-particle":"","parse-names":false,"suffix":""},{"dropping-particle":"","family":"Ruiz","given":"Jonatan R","non-dropping-particle":"","parse-names":false,"suffix":""}],"container-title":"Scientific reports","id":"ITEM-2","issue":"1","issued":{"date-parts":[["2018","6","4"]]},"page":"8567","title":"The impact of using BARCIST 1.0 criteria on quantification of BAT volume and activity in three independent cohorts of adults.","type":"article-journal","volume":"8"},"uris":["http://www.mendeley.com/documents/?uuid=2aadca21-27c7-4427-b0f3-58e1a30a0541"]},{"id":"ITEM-3","itemData":{"DOI":"10.3389/fendo.2018.00447","ISSN":"1664-2392","abstract":"The demonstration ofmetabolically active brown adipose tissue (BAT) in humans primarily using positron emission tomography coupled to computed tomography (PET/CT) with the glucose tracer 18-fluorodeoxyglucose (18FDG) has renewed the interest of the scientific and medical community in the possible role of BAT as a target for the prevention and treatment of obesity and type 2 diabetes (T2D). Here, we offer a comprehensive review of BAT energy metabolism in humans. Considerable advances in methods to measure BAT energy metabolism, including nonesterified fatty acids (NEFA), chylomicron-triglycerides (TG), oxygen, Krebs cycle rate, and intracellular TG have led to very good quantification of energy substrate metabolism per volume of active BAT in vivo. These studies have also shown that intracellular TG are likely the primary energy source of BAT upon activation by cold. Current estimates of BAT’s contribution to energy expenditure range at the lower end of what would be potentially clinically relevant if chronically sustained. Yet, 18FDG PET/CT remains the gold-standard defining method to quantify total BAT volume of activity, used to calculate BAT’s total energy expenditure. Unfortunately, BAT glucose metabolism better reflects BAT’s insulin sensitivity and blood flow. It is now clear that most glucose taken up by BAT does not fuel mitochondrial oxidative metabolism and that BAT glucose uptake can therefore be disconnected from thermogenesis. Furthermore, BAT thermogenesis is efficiently recruited upon repeated cold exposure, doubling to tripling its total oxidative capacity, with reciprocal reduction of muscle thermogenesis. Recent data suggest that total BAT volume may be much larger than the typically observed 50–150ml with 18FDG PET/CT. Therefore, the current estimates of total BAT thermogenesis, largely relying on total BAT volume using 18FDG PET/CT, may underestimate the true contribution of BAT to total energy expenditure. Quantification of the contribution of BAT to energy expenditure begs for the development of more integrated whole body in vivo methods","author":[{"dropping-particle":"","family":"Carpentier","given":"André C.","non-dropping-particle":"","parse-names":false,"suffix":""},{"dropping-particle":"","family":"Blondin","given":"Denis P.","non-dropping-particle":"","parse-names":false,"suffix":""},{"dropping-particle":"","family":"Virtanen","given":"Kirsi A.","non-dropping-particle":"","parse-names":false,"suffix":""},{"dropping-particle":"","family":"Richard","given":"Denis","non-dropping-particle":"","parse-names":false,"suffix":""},{"dropping-particle":"","family":"Haman","given":"François","non-dropping-particle":"","parse-names":false,"suffix":""},{"dropping-particle":"","family":"Turcotte","given":"Éric E.","non-dropping-particle":"","parse-names":false,"suffix":""}],"container-title":"Frontiers in Endocrinology","id":"ITEM-3","issue":"August","issued":{"date-parts":[["2018"]]},"note":"FIGRAS MUY INTEGRATIVAS DE RELEVANCIA Y FISIOLOGÍA BAT: Fig5 espectacular\n\nLIMITACIONES DEL CONOCIMIENTO ACTUAL\n\n- El 18F-FDG: a) no tiene porque ir parejo a termogenesis; b) se sesga por resistencia ala insulina.\n\n- PET: Con una resolción de 1cm3 en el mejor de los casos no detecta depósitos más pequeños, como la mayoría de BAT/beige.\n\nPOR LO ANTERIOR, ES MUY PORBABLE QUE EL 18F-FDG PET-CT INFRAESTIME LA CANTIDAD REAL DE BAT, Y QUE ESTO CONDICIONES LOS CÁLCULOS DE SU CONTRIBUCIÓN AL METABOLISMO DE CUERPO COMPLETO.\n\nSUSTRATOS ENERGÉTICOS BAT\n\nGlucosa\n\n- Aporta referencias que sugieren relevancia BAT en prevenció diabetes (pag 4). \n\n- No obstante, cold-activated BAT solo representa el 1% de la utilización corporal de glucosa.\n\n- Una gran proporción de la glucosa captada por BAT SE SEGREGA COMO LACTATO O SE UTILIXA EN GLICERONEOGNÉSIS,O INCLUSO DE NOVO LIPOGENESIS. \n\n- Capcatión de glucosa no es necesariamente paralela a aumento de flujo sanguíneo, por lo que no tiene porque representar BAT termogenesis. \n\nÁcidos grasos\n\n- BAT capta ácidos grasos de: a) NEFA circulantes; b) Lipoproteinas ricas en triglicéridos (quilomicrones y VLDL).\n\n- La captación en termoneutral es ligeramente superior al WAT. En frío es similar a la del músculo y 3 veces mayor que el WAT.\n\n- El uso del 18-FTHA no permite buena cuantificación de volumen, ni inferir emtabolismo oxidativo porque parte puede ser para reesterificar. El C11-Palmitato si que permite medir metabolismo oxidativo.\n\n- La captación por parte del BAT de TG tras una comida es baja considerando su volumen (3%), a pesar de ser activado con frío. Y ADEMÁS NO SE RELACIONÓ CON EL METABOLISMO OXIDATIVO DEL BAT.\n\nOtros sustratos circulantes\n\n- BAT expresa la gliucerol quinasa (más que el WAT). Y además se observa menor secreción de glicerol que en WAT, lo que sugiere que el BAT puede reutilizar el glicerol.\n\n- Se ha observado que el BAT capta más glutamato que el WAT y que esta captación aumenta en respuesta al frío, sugiriendo que también es un sustrato, aunque su aporte cuantitativo es muy bajo.\n\n- El BAT excreta lactato y piruvato en una cantidad aproximadamente equivalente al 50% de la captación de glucosa.\n\nTriglicéridos intracelulares\n\n- El gold standard es la Resonancia magnética esprectroscópica, aunque el MRI y el CT también tan pistas.\n\n- La reducción del contenido de triglicéridos intracelular en BAT en respuesta al frío no ocurre ni en WAT ni en músculo.\n\n- EL DESCENSO EN EL CONTENIDO LIPÍDICO INTRACELULAR ES INDEPENDIENTE DE EDAD O ESTADO DIABÉTICO.\n\n- PARTE DE LA LIPÓLISIS INTRACELULAR SE EXCRETA AL MEDI EXTRACELULAR (EN TORNO A UN 50%).\n\n- EL CONTENIDO LIPÍDICO INTRACELULAR ES EL PRINCIPAL SUSTRATO DEL BAT EN ANIMALES Y HUMANOS.\n\nCONTRIBUCIÓN DEL BAT AL GASTO ENERGÉTICO EN HUMANOS:\n\n- La captación de FDG y el aumento de flujo inducidos por frío se han asociado a CIT.\n\n- El aumento de CIT post-aclimatación coincide con el aumento del BAT.\n\n- La inhibición de la activida BAT con ácido nicotínico aumenta la actividad de tiritona... lo que interpretan como una prueba de contribución del BAT al CIT. Aunque ojo, ¿Y si el ácido nicotínico también inhibió otros procesos termogénicos no dependientes de tiritona?\n\n- Datos en animales han mostrado un descenso BAT en respuesta al ayuno... si esto ocurre en humanos es desconocido.\n\n- Usando C11-palmitato, un marcador de la actividad del ciclo de Krebs han observado que le frio incrementó la termongénesis en BAT pero no WAT o musculos, que este efeto se multiplica por 2-3 tras una aclimatación, y que ocurre igual en diabeticos que en sanos. \n\n- LOS MÉTODOS ACTUALES NO PERMITEN DETERMINAR CON PRECISION LA CONTRIBUCIÓN DEL BAT A LA TERMOGÉNESIS.\n\nBROWNING\n\n- HAN OBSERVADO EN RATAS QUE INDUCIR BROWNING (EVALUADO HISTOLÓGICAMENTE Y CON UCP1 TRANSCRITOS Y PROT) NO VA EN PARALELO A UN AUMENTO DE LA TERMOGÉNESIS DEL WAT. \n\n- BEYOND UCP1. Ciclos futiles que pueden ocasionar EE más allá de UCP1 en beige tissue: TG lipólisis-reesterificación; Activación Na+-K+-APAasa; ciclo creatina-fosfocreatina, SERCA.\nESTAS ADAPTACIONES SE ASOCIAN CON MEJORA DE LA CAPACIDAD DE OXIDACIÓN DE GRASOS DE wat Y SE PUEEDN CONSEGUIR CON RESTRICCIÓN CALÓRICA Y SUPLEMENTACIÓN OMEGA-3.... OJO FLEXIBILIDAD METABÓLICA!\n\n- El ciclo SERCA se ha mostrado ex-vivo en humanos (Kajimura), y el de la creatina se ha visto in vitro en humanos e in vivo en murinos.\n\n- Sugieren que la esterificazión-reesterifación que se asocia a la actividad del BAT podría no solo tener lugar ahí si no en otros tejidos provocando con ello un mayor GE del que se atribuye con PET de 15-O2.\n\nEJERCICIO Y BAT\n\n- 4 POSIBLES MECANISMOS: a) Estimulación adrenérgica; b) mioquinas; c) papel del BAT como secretor de moleculas importantes durante el ejercicio: 12-13-diHOME, Il6; d) Efecto del ejercicio sobre el cerebro mejroando las neuronas pro-opio-melanocortin, que llevarían a amarronamiento.\n\n- Ejercicio reduce CIT en ratas.\n\n- 18FDG no vale... hace falta metabolismo oxidativo. \n\nOTROS:\n\n- Citas para BAT 60%TEE ratas.\n\n- BAT cervical y supra parece desarrollarse durante la adolescencia.\n\n- UCP1 se activa por unión con AG de cadena larga.\n\n- BAT murino y humano parecen tener parecido contenido y función UCP-1.\n\n- 18F-FDG PET-CT = gold standard\n\n- Dicen que la diferencia en cold tolerance entre un obeso y no obeso no es la insulación si no la mayor tasa de producción de calor por un mayor RMR debido a un mayor lean mass...","page":"1-21","title":"Brown Adipose Tissue Energy Metabolism in Humans","type":"article-journal","volume":"9"},"uris":["http://www.mendeley.com/documents/?uuid=99266f7b-3de2-4ea4-b663-30f1ff5e4483"]}],"mendeley":{"formattedCitation":"(18,19,36)","plainTextFormattedCitation":"(18,19,36)","previouslyFormattedCitation":"(18,19,36)"},"properties":{"noteIndex":0},"schema":"https://github.com/citation-style-language/schema/raw/master/csl-citation.json"}</w:instrText>
      </w:r>
      <w:r w:rsidRPr="001417BE">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(18,19,36)</w:t>
      </w:r>
      <w:r w:rsidRPr="001417BE">
        <w:rPr>
          <w:rFonts w:ascii="Times New Roman" w:hAnsi="Times New Roman" w:cs="Times New Roman"/>
          <w:sz w:val="24"/>
          <w:szCs w:val="24"/>
          <w:lang w:val="en-US"/>
        </w:rPr>
        <w:fldChar w:fldCharType="end"/>
      </w:r>
      <w:r w:rsidRPr="001417BE">
        <w:rPr>
          <w:rFonts w:ascii="Times New Roman" w:hAnsi="Times New Roman" w:cs="Times New Roman"/>
          <w:sz w:val="24"/>
          <w:szCs w:val="24"/>
          <w:lang w:val="en-US"/>
        </w:rPr>
        <w:t xml:space="preserve">. </w:t>
      </w:r>
      <w:bookmarkStart w:id="11" w:name="_Hlk65701969"/>
      <w:bookmarkStart w:id="12" w:name="_Hlk65752296"/>
      <w:r w:rsidRPr="001417BE">
        <w:rPr>
          <w:rFonts w:ascii="Times New Roman" w:hAnsi="Times New Roman" w:cs="Times New Roman"/>
          <w:sz w:val="24"/>
          <w:szCs w:val="24"/>
          <w:lang w:val="en-US"/>
        </w:rPr>
        <w:t xml:space="preserve">Not individualizing cold-exposure before the PET-CT scan likely results in the over- or underestimation of BAT </w:t>
      </w:r>
      <w:r>
        <w:rPr>
          <w:rFonts w:ascii="Times New Roman" w:hAnsi="Times New Roman" w:cs="Times New Roman"/>
          <w:sz w:val="24"/>
          <w:szCs w:val="24"/>
          <w:lang w:val="en-US"/>
        </w:rPr>
        <w:t>volume</w:t>
      </w:r>
      <w:r w:rsidRPr="001417BE">
        <w:rPr>
          <w:rFonts w:ascii="Times New Roman" w:hAnsi="Times New Roman" w:cs="Times New Roman"/>
          <w:sz w:val="24"/>
          <w:szCs w:val="24"/>
          <w:lang w:val="en-US"/>
        </w:rPr>
        <w:t xml:space="preserve">, </w:t>
      </w:r>
      <w:r w:rsidRPr="00266430">
        <w:rPr>
          <w:rFonts w:ascii="Times New Roman" w:hAnsi="Times New Roman" w:cs="Times New Roman"/>
          <w:sz w:val="24"/>
          <w:szCs w:val="24"/>
          <w:lang w:val="en-US"/>
        </w:rPr>
        <w:t xml:space="preserve">leading to different </w:t>
      </w:r>
      <w:r>
        <w:rPr>
          <w:rFonts w:ascii="Times New Roman" w:hAnsi="Times New Roman" w:cs="Times New Roman"/>
          <w:sz w:val="24"/>
          <w:szCs w:val="24"/>
          <w:lang w:val="en-US"/>
        </w:rPr>
        <w:t xml:space="preserve">levels of </w:t>
      </w:r>
      <w:r w:rsidRPr="00266430">
        <w:rPr>
          <w:rFonts w:ascii="Times New Roman" w:hAnsi="Times New Roman" w:cs="Times New Roman"/>
          <w:sz w:val="24"/>
          <w:szCs w:val="24"/>
          <w:lang w:val="en-US"/>
        </w:rPr>
        <w:t xml:space="preserve">bias </w:t>
      </w:r>
      <w:r>
        <w:rPr>
          <w:rFonts w:ascii="Times New Roman" w:hAnsi="Times New Roman" w:cs="Times New Roman"/>
          <w:sz w:val="24"/>
          <w:szCs w:val="24"/>
          <w:lang w:val="en-US"/>
        </w:rPr>
        <w:t>with respect to</w:t>
      </w:r>
      <w:r w:rsidRPr="00266430">
        <w:rPr>
          <w:rFonts w:ascii="Times New Roman" w:hAnsi="Times New Roman" w:cs="Times New Roman"/>
          <w:sz w:val="24"/>
          <w:szCs w:val="24"/>
          <w:lang w:val="en-US"/>
        </w:rPr>
        <w:t xml:space="preserve"> participants </w:t>
      </w:r>
      <w:r>
        <w:rPr>
          <w:rFonts w:ascii="Times New Roman" w:hAnsi="Times New Roman" w:cs="Times New Roman"/>
          <w:sz w:val="24"/>
          <w:szCs w:val="24"/>
          <w:lang w:val="en-US"/>
        </w:rPr>
        <w:t>of</w:t>
      </w:r>
      <w:r w:rsidRPr="00266430">
        <w:rPr>
          <w:rFonts w:ascii="Times New Roman" w:hAnsi="Times New Roman" w:cs="Times New Roman"/>
          <w:sz w:val="24"/>
          <w:szCs w:val="24"/>
          <w:lang w:val="en-US"/>
        </w:rPr>
        <w:t xml:space="preserve"> different body composition</w:t>
      </w:r>
      <w:r>
        <w:rPr>
          <w:rFonts w:ascii="Times New Roman" w:hAnsi="Times New Roman" w:cs="Times New Roman"/>
          <w:sz w:val="24"/>
          <w:szCs w:val="24"/>
          <w:lang w:val="en-US"/>
        </w:rPr>
        <w:t xml:space="preserve"> </w:t>
      </w:r>
      <w:r w:rsidR="00795402">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{"citationItems":[{"id":"ITEM-1","itemData":{"DOI":"10.1152/ajpregu.00021.2014","ISSN":"1522-1490","PMID":"24871967","abstract":"The relevance of functional brown adipose tissue (BAT) depots in human adults was undisputedly proven approximately seven years ago. Here we give an overview of all dedicated studies that were published on cold-induced BAT activity in adult humans that appeared since then. Different cooling protocols and imaging techniques to determine BAT activity are reviewed. BAT activation can be achieved by means of air- or water-cooling protocols. The most promising approach is individualized cooling, during which subjects are studied at the lowest temperature for nonshivering condition, probably revealing maximal nonshivering thermogenesis. The highest BAT prevalence (i.e., close to 100%) is observed using the individualized cooling protocol. Currently, the most widely used technique to study the metabolic activity of BAT is deoxy-2-[18F]fluoro-d-glucose ([18F]FDG)-positron emission tomography/computed tomography (PET/CT) imaging. Dynamic imaging provides quantitative information about glucose uptake rates, whereas static imaging reflects overall BAT glucose uptake, localization, and distribution. In general, standardized uptake values (SUV) are used to quantify BAT activity. An accurate determination of total BAT volume is hampered by the limited spatial resolution of the PET image, leading to spillover. Different research groups use different SUV threshold values, which make it difficult to directly compare BAT activity levels between studies. Another issue is the comparison of [18F]FDG uptake in BAT with respect to other tissues or upon with baseline values. This comparison can be performed by using the “fixed volume” methodology. Finally, the potential use of other relatively noninvasive methods to quantify BAT, like magnetic resonance imaging or thermography, is discussed.","author":[{"dropping-particle":"","family":"Lans","given":"Anouk a J J","non-dropping-particle":"van der","parse-names":false,"suffix":""},{"dropping-particle":"","family":"Wierts","given":"Roel","non-dropping-particle":"","parse-names":false,"suffix":""},{"dropping-particle":"","family":"Vosselman","given":"Maarten J","non-dropping-particle":"","parse-names":false,"suffix":""},{"dropping-particle":"","family":"Schrauwen","given":"Patrick","non-dropping-particle":"","parse-names":false,"suffix":""},{"dropping-particle":"","family":"Brans","given":"Boudewijn","non-dropping-particle":"","parse-names":false,"suffix":""},{"dropping-particle":"","family":"Marken Lichtenbelt","given":"Wouter David","non-dropping-particle":"van","parse-names":false,"suffix":""}],"container-title":"American journal of physiology. Regulatory, integrative and comparative physiology","id":"ITEM-1","issue":"2","issued":{"date-parts":[["2014","7","15"]]},"page":"R103-13","title":"Cold-activated brown adipose tissue in human adults: methodological issues.","type":"article-journal","volume":"307"},"uris":["http://www.mendeley.com/documents/?uuid=e1483f6b-4abf-4ac0-96b4-d230ecaa3194"]}],"mendeley":{"formattedCitation":"(20)","plainTextFormattedCitation":"(20)","previouslyFormattedCitation":"(20)"},"properties":{"noteIndex":0},"schema":"https://github.com/citation-style-language/schema/raw/master/csl-citation.json"}</w:instrText>
      </w:r>
      <w:r w:rsidR="00795402">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(20)</w:t>
      </w:r>
      <w:r w:rsidR="00795402">
        <w:rPr>
          <w:rFonts w:ascii="Times New Roman" w:hAnsi="Times New Roman" w:cs="Times New Roman"/>
          <w:sz w:val="24"/>
          <w:szCs w:val="24"/>
          <w:lang w:val="en-US"/>
        </w:rPr>
        <w:fldChar w:fldCharType="end"/>
      </w:r>
      <w:r>
        <w:rPr>
          <w:rFonts w:ascii="Times New Roman" w:hAnsi="Times New Roman" w:cs="Times New Roman"/>
          <w:sz w:val="24"/>
          <w:szCs w:val="24"/>
          <w:lang w:val="en-US"/>
        </w:rPr>
        <w:t>.</w:t>
      </w:r>
      <w:r w:rsidRPr="00266430">
        <w:rPr>
          <w:rFonts w:ascii="Times New Roman" w:hAnsi="Times New Roman" w:cs="Times New Roman"/>
          <w:sz w:val="24"/>
          <w:szCs w:val="24"/>
          <w:lang w:val="en-US"/>
        </w:rPr>
        <w:t xml:space="preserve"> </w:t>
      </w:r>
      <w:bookmarkStart w:id="13" w:name="_Hlk66011476"/>
      <w:bookmarkEnd w:id="10"/>
      <w:r w:rsidR="00EA5BFB">
        <w:rPr>
          <w:rFonts w:ascii="Times New Roman" w:hAnsi="Times New Roman" w:cs="Times New Roman"/>
          <w:sz w:val="24"/>
          <w:szCs w:val="24"/>
          <w:lang w:val="en-US"/>
        </w:rPr>
        <w:t>This is indeed somehow corroborated by our own data</w:t>
      </w:r>
      <w:r w:rsidR="000B63C3">
        <w:rPr>
          <w:rFonts w:ascii="Times New Roman" w:hAnsi="Times New Roman" w:cs="Times New Roman"/>
          <w:sz w:val="24"/>
          <w:szCs w:val="24"/>
          <w:lang w:val="en-US"/>
        </w:rPr>
        <w:t xml:space="preserve">, since </w:t>
      </w:r>
      <w:bookmarkStart w:id="14" w:name="_Hlk65701592"/>
      <w:bookmarkEnd w:id="11"/>
      <w:r w:rsidR="00E2352D" w:rsidRPr="001417BE">
        <w:rPr>
          <w:rFonts w:ascii="Times New Roman" w:hAnsi="Times New Roman" w:cs="Times New Roman"/>
          <w:sz w:val="24"/>
          <w:szCs w:val="24"/>
          <w:lang w:val="en-US"/>
        </w:rPr>
        <w:t xml:space="preserve">the water temperature when shivering occurred </w:t>
      </w:r>
      <w:r w:rsidR="00E2352D">
        <w:rPr>
          <w:rFonts w:ascii="Times New Roman" w:hAnsi="Times New Roman" w:cs="Times New Roman"/>
          <w:sz w:val="24"/>
          <w:szCs w:val="24"/>
          <w:lang w:val="en-US"/>
        </w:rPr>
        <w:t xml:space="preserve">in an incremental cooling protocol performed 48-72 hours before the PET-CT was </w:t>
      </w:r>
      <w:r w:rsidR="00EA5BFB">
        <w:rPr>
          <w:rFonts w:ascii="Times New Roman" w:hAnsi="Times New Roman" w:cs="Times New Roman"/>
          <w:sz w:val="24"/>
          <w:szCs w:val="24"/>
          <w:lang w:val="en-US"/>
        </w:rPr>
        <w:t>inverse</w:t>
      </w:r>
      <w:r w:rsidR="00E2352D">
        <w:rPr>
          <w:rFonts w:ascii="Times New Roman" w:hAnsi="Times New Roman" w:cs="Times New Roman"/>
          <w:sz w:val="24"/>
          <w:szCs w:val="24"/>
          <w:lang w:val="en-US"/>
        </w:rPr>
        <w:t xml:space="preserve">ly </w:t>
      </w:r>
      <w:r>
        <w:rPr>
          <w:rFonts w:ascii="Times New Roman" w:hAnsi="Times New Roman" w:cs="Times New Roman"/>
          <w:sz w:val="24"/>
          <w:szCs w:val="24"/>
          <w:lang w:val="en-US"/>
        </w:rPr>
        <w:t>associat</w:t>
      </w:r>
      <w:r w:rsidR="00E2352D">
        <w:rPr>
          <w:rFonts w:ascii="Times New Roman" w:hAnsi="Times New Roman" w:cs="Times New Roman"/>
          <w:sz w:val="24"/>
          <w:szCs w:val="24"/>
          <w:lang w:val="en-US"/>
        </w:rPr>
        <w:t xml:space="preserve">ed with </w:t>
      </w:r>
      <w:r w:rsidR="0053119E">
        <w:rPr>
          <w:rFonts w:ascii="Times New Roman" w:hAnsi="Times New Roman" w:cs="Times New Roman"/>
          <w:sz w:val="24"/>
          <w:szCs w:val="24"/>
          <w:lang w:val="en-US"/>
        </w:rPr>
        <w:t>adiposity</w:t>
      </w:r>
      <w:r w:rsidR="0053119E" w:rsidRPr="001417BE">
        <w:rPr>
          <w:rFonts w:ascii="Times New Roman" w:hAnsi="Times New Roman" w:cs="Times New Roman"/>
          <w:sz w:val="24"/>
          <w:szCs w:val="24"/>
          <w:lang w:val="en-US"/>
        </w:rPr>
        <w:t xml:space="preserve"> </w:t>
      </w:r>
      <w:r w:rsidR="00E2352D">
        <w:rPr>
          <w:rFonts w:ascii="Times New Roman" w:hAnsi="Times New Roman" w:cs="Times New Roman"/>
          <w:sz w:val="24"/>
          <w:szCs w:val="24"/>
          <w:lang w:val="en-US"/>
        </w:rPr>
        <w:t>in women</w:t>
      </w:r>
      <w:r w:rsidR="00DF2D6B">
        <w:rPr>
          <w:rFonts w:ascii="Times New Roman" w:hAnsi="Times New Roman" w:cs="Times New Roman"/>
          <w:sz w:val="24"/>
          <w:szCs w:val="24"/>
          <w:lang w:val="en-US"/>
        </w:rPr>
        <w:t xml:space="preserve"> </w:t>
      </w:r>
      <w:r w:rsidR="00EA5BFB">
        <w:rPr>
          <w:rFonts w:ascii="Times New Roman" w:hAnsi="Times New Roman" w:cs="Times New Roman"/>
          <w:sz w:val="24"/>
          <w:szCs w:val="24"/>
          <w:lang w:val="en-US"/>
        </w:rPr>
        <w:t>(</w:t>
      </w:r>
      <w:r w:rsidR="006E1FFF">
        <w:rPr>
          <w:rFonts w:ascii="Times New Roman" w:hAnsi="Times New Roman" w:cs="Times New Roman"/>
          <w:sz w:val="24"/>
          <w:szCs w:val="24"/>
          <w:lang w:val="en-US"/>
        </w:rPr>
        <w:t xml:space="preserve">Supplementary figure </w:t>
      </w:r>
      <w:r w:rsidR="000B63C3">
        <w:rPr>
          <w:rFonts w:ascii="Times New Roman" w:hAnsi="Times New Roman" w:cs="Times New Roman"/>
          <w:sz w:val="24"/>
          <w:szCs w:val="24"/>
          <w:lang w:val="en-US"/>
        </w:rPr>
        <w:t>4</w:t>
      </w:r>
      <w:r w:rsidR="00EA5BFB">
        <w:rPr>
          <w:rFonts w:ascii="Times New Roman" w:hAnsi="Times New Roman" w:cs="Times New Roman"/>
          <w:sz w:val="24"/>
          <w:szCs w:val="24"/>
          <w:lang w:val="en-US"/>
        </w:rPr>
        <w:t>). It</w:t>
      </w:r>
      <w:r>
        <w:rPr>
          <w:rFonts w:ascii="Times New Roman" w:hAnsi="Times New Roman" w:cs="Times New Roman"/>
          <w:sz w:val="24"/>
          <w:szCs w:val="24"/>
          <w:lang w:val="en-US"/>
        </w:rPr>
        <w:t xml:space="preserve"> </w:t>
      </w:r>
      <w:r w:rsidR="00471920">
        <w:rPr>
          <w:rFonts w:ascii="Times New Roman" w:hAnsi="Times New Roman" w:cs="Times New Roman"/>
          <w:sz w:val="24"/>
          <w:szCs w:val="24"/>
          <w:lang w:val="en-US"/>
        </w:rPr>
        <w:t xml:space="preserve">might </w:t>
      </w:r>
      <w:r w:rsidRPr="00BF7D33">
        <w:rPr>
          <w:rFonts w:ascii="Times New Roman" w:hAnsi="Times New Roman" w:cs="Times New Roman"/>
          <w:sz w:val="24"/>
          <w:szCs w:val="24"/>
          <w:lang w:val="en-US"/>
        </w:rPr>
        <w:t>indicate that</w:t>
      </w:r>
      <w:r w:rsidR="0053119E">
        <w:rPr>
          <w:rFonts w:ascii="Times New Roman" w:hAnsi="Times New Roman" w:cs="Times New Roman"/>
          <w:sz w:val="24"/>
          <w:szCs w:val="24"/>
          <w:lang w:val="en-US"/>
        </w:rPr>
        <w:t>, at least in women,</w:t>
      </w:r>
      <w:r w:rsidRPr="00BF7D33">
        <w:rPr>
          <w:rFonts w:ascii="Times New Roman" w:hAnsi="Times New Roman" w:cs="Times New Roman"/>
          <w:sz w:val="24"/>
          <w:szCs w:val="24"/>
          <w:lang w:val="en-US"/>
        </w:rPr>
        <w:t xml:space="preserve"> the higher the </w:t>
      </w:r>
      <w:r w:rsidR="0053119E">
        <w:rPr>
          <w:rFonts w:ascii="Times New Roman" w:hAnsi="Times New Roman" w:cs="Times New Roman"/>
          <w:sz w:val="24"/>
          <w:szCs w:val="24"/>
          <w:lang w:val="en-US"/>
        </w:rPr>
        <w:t>adiposity</w:t>
      </w:r>
      <w:r w:rsidR="00D34432">
        <w:rPr>
          <w:rFonts w:ascii="Times New Roman" w:hAnsi="Times New Roman" w:cs="Times New Roman"/>
          <w:sz w:val="24"/>
          <w:szCs w:val="24"/>
          <w:lang w:val="en-US"/>
        </w:rPr>
        <w:t xml:space="preserve">, </w:t>
      </w:r>
      <w:r w:rsidRPr="00BF7D33">
        <w:rPr>
          <w:rFonts w:ascii="Times New Roman" w:hAnsi="Times New Roman" w:cs="Times New Roman"/>
          <w:sz w:val="24"/>
          <w:szCs w:val="24"/>
          <w:lang w:val="en-US"/>
        </w:rPr>
        <w:t xml:space="preserve">the </w:t>
      </w:r>
      <w:r w:rsidR="00AD1CC1">
        <w:rPr>
          <w:rFonts w:ascii="Times New Roman" w:hAnsi="Times New Roman" w:cs="Times New Roman"/>
          <w:sz w:val="24"/>
          <w:szCs w:val="24"/>
          <w:lang w:val="en-US"/>
        </w:rPr>
        <w:t>coldest</w:t>
      </w:r>
      <w:r w:rsidR="003F158B">
        <w:rPr>
          <w:rFonts w:ascii="Times New Roman" w:hAnsi="Times New Roman" w:cs="Times New Roman"/>
          <w:sz w:val="24"/>
          <w:szCs w:val="24"/>
          <w:lang w:val="en-US"/>
        </w:rPr>
        <w:t xml:space="preserve"> </w:t>
      </w:r>
      <w:r w:rsidR="00EA5BFB" w:rsidRPr="00BF7D33">
        <w:rPr>
          <w:rFonts w:ascii="Times New Roman" w:hAnsi="Times New Roman" w:cs="Times New Roman"/>
          <w:sz w:val="24"/>
          <w:szCs w:val="24"/>
          <w:lang w:val="en-US"/>
        </w:rPr>
        <w:t xml:space="preserve">the </w:t>
      </w:r>
      <w:r w:rsidRPr="00BF7D33">
        <w:rPr>
          <w:rFonts w:ascii="Times New Roman" w:hAnsi="Times New Roman" w:cs="Times New Roman"/>
          <w:sz w:val="24"/>
          <w:szCs w:val="24"/>
          <w:lang w:val="en-US"/>
        </w:rPr>
        <w:t xml:space="preserve">water temperature </w:t>
      </w:r>
      <w:r w:rsidR="00EA5BFB" w:rsidRPr="00BF7D33">
        <w:rPr>
          <w:rFonts w:ascii="Times New Roman" w:hAnsi="Times New Roman" w:cs="Times New Roman"/>
          <w:sz w:val="24"/>
          <w:szCs w:val="24"/>
          <w:lang w:val="en-US"/>
        </w:rPr>
        <w:t>needed for stimulating BAT</w:t>
      </w:r>
      <w:r w:rsidR="00AE4E9C">
        <w:rPr>
          <w:rFonts w:ascii="Times New Roman" w:hAnsi="Times New Roman" w:cs="Times New Roman"/>
          <w:sz w:val="24"/>
          <w:szCs w:val="24"/>
          <w:lang w:val="en-US"/>
        </w:rPr>
        <w:t xml:space="preserve"> </w:t>
      </w:r>
      <w:r w:rsidR="00AE4E9C">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{"citationItems":[{"id":"ITEM-1","itemData":{"DOI":"10.1210/jc.2019-00728","ISSN":"1945-7197","PMID":"31150063","abstract":"OBJECTIVE Cold exposure increases energy expenditure (EE) and could have a role in combating obesity. To understand this potential, we determined the capacity for cold-induced thermogenesis (CIT), the EE increase above the basal metabolic rate at the individualized coldest tolerable temperature before overt shivering. DESIGN During a 13-day inpatient protocol, we quantitated the EE of 12 lean men and 9 men with obesity at various randomly ordered ambient temperatures in a room calorimeter. Subjects underwent brown fat imaging after exposure to their coldest tolerable temperature. RESULTS CIT capacity was 300 ± 218 kcal/d (mean ± SD) or 17 ± 11% in lean men and 125 ± 146 kcal/d or 6 ± 7% in men with obesity (P = 0.01). The temperature below which EE increased, lower critical temperature (Tlc), was warmer in lean men than men with obesity (22.9 ± 1.2 vs 21.1 ± 1.7°C, P = 0.03), but both had similar skin temperature (Tskin) changes and coldest tolerable temperatures. Whereas lean subjects had higher brown fat activity, skeletal muscle activity increased synchronously with CIT beginning at the Tlc in both groups, indicating that muscle is recruited for CIT in parallel with brown fat, not sequentially after nonshivering thermogenesis is maximal. CONCLUSIONS Despite greater insulation from fat, men with obesity had a narrower range of tolerable cool temperatures available for increasing EE and less capacity for CIT than lean men, likely as a result of greater basal heat production and similar perception to Tskin cooling. Further study of the reduced CIT capacity in men with obesity may inform treatment opportunities for obesity.","author":[{"dropping-particle":"","family":"Brychta","given":"Robert J","non-dropping-particle":"","parse-names":false,"suffix":""},{"dropping-particle":"","family":"Huang","given":"Shan","non-dropping-particle":"","parse-names":false,"suffix":""},{"dropping-particle":"","family":"Wang","given":"Juan","non-dropping-particle":"","parse-names":false,"suffix":""},{"dropping-particle":"","family":"Leitner","given":"Brooks P","non-dropping-particle":"","parse-names":false,"suffix":""},{"dropping-particle":"","family":"Hattenbach","given":"Jacob D","non-dropping-particle":"","parse-names":false,"suffix":""},{"dropping-particle":"","family":"Bell","given":"Sarah L","non-dropping-particle":"","parse-names":false,"suffix":""},{"dropping-particle":"","family":"Fletcher","given":"Laura A","non-dropping-particle":"","parse-names":false,"suffix":""},{"dropping-particle":"","family":"Perron Wood","given":"Rachel","non-dropping-particle":"","parse-names":false,"suffix":""},{"dropping-particle":"","family":"Idelson","given":"Christopher R","non-dropping-particle":"","parse-names":false,"suffix":""},{"dropping-particle":"","family":"Duckworth","given":"Courtney J","non-dropping-particle":"","parse-names":false,"suffix":""},{"dropping-particle":"","family":"McGehee","given":"Suzanne","non-dropping-particle":"","parse-names":false,"suffix":""},{"dropping-particle":"","family":"Courville","given":"Amber B","non-dropping-particle":"","parse-names":false,"suffix":""},{"dropping-particle":"","family":"Bernstein","given":"Shanna B","non-dropping-particle":"","parse-names":false,"suffix":""},{"dropping-particle":"","family":"Reitman","given":"Marc L","non-dropping-particle":"","parse-names":false,"suffix":""},{"dropping-particle":"","family":"Cypess","given":"Aaron M","non-dropping-particle":"","parse-names":false,"suffix":""},{"dropping-particle":"","family":"Chen","given":"Kong Y","non-dropping-particle":"","parse-names":false,"suffix":""}],"container-title":"The Journal of clinical endocrinology and metabolism","id":"ITEM-1","issue":"10","issued":{"date-parts":[["2019","10","1"]]},"note":"Paper comentado en BAT journal club (organizado por el grupo de Colorado), junto con la leter del grupo de Cannon y Needergard y su respuesta.\n\nComentarios de Blondin:\n- El heat loss es directamente dependiente del body surface area. Este no es el caso para el hat production.\n- Ajustar el heat production (CIT en este caso( por RMR, o BSA, y no hacearlo con el heat loss lleva a conclusiones erroneras, como la que sacan ellos de que los obesos estan mas insulados.\n- La conclusion de que el CIT es menor en obesos tmb es discutible ya que es muy posible que el estimulo al que se les sometio de frio fuera menos desde un punto de vista realativo que al que se sometio a los lean (metafora de entrenar a misma carga extenra que supone diferentes % del VO2max).","page":"4865-4878","title":"Quantification of the Capacity for Cold-Induced Thermogenesis in Young Men With and Without Obesity.","type":"article-journal","volume":"104"},"uris":["http://www.mendeley.com/documents/?uuid=f0cfa25e-8234-427c-abab-f3efc3960571"]}],"mendeley":{"formattedCitation":"(21)","plainTextFormattedCitation":"(21)","previouslyFormattedCitation":"(21)"},"properties":{"noteIndex":0},"schema":"https://github.com/citation-style-language/schema/raw/master/csl-citation.json"}</w:instrText>
      </w:r>
      <w:r w:rsidR="00AE4E9C">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(21)</w:t>
      </w:r>
      <w:r w:rsidR="00AE4E9C">
        <w:rPr>
          <w:rFonts w:ascii="Times New Roman" w:hAnsi="Times New Roman" w:cs="Times New Roman"/>
          <w:sz w:val="24"/>
          <w:szCs w:val="24"/>
          <w:lang w:val="en-US"/>
        </w:rPr>
        <w:fldChar w:fldCharType="end"/>
      </w:r>
      <w:bookmarkEnd w:id="13"/>
      <w:r w:rsidRPr="00BF7D33">
        <w:rPr>
          <w:rFonts w:ascii="Times New Roman" w:hAnsi="Times New Roman" w:cs="Times New Roman"/>
          <w:sz w:val="24"/>
          <w:szCs w:val="24"/>
          <w:lang w:val="en-US"/>
        </w:rPr>
        <w:t xml:space="preserve">. </w:t>
      </w:r>
      <w:bookmarkEnd w:id="12"/>
      <w:bookmarkEnd w:id="14"/>
    </w:p>
    <w:p w14:paraId="719F7B9B" w14:textId="77880170" w:rsidR="005E2E64" w:rsidRDefault="00191690" w:rsidP="005E2E64">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Another relevant factor likely explaining the discrepancy between our data and many previous studies is the age of the participants. </w:t>
      </w:r>
      <w:r w:rsidR="005E2E64" w:rsidRPr="001417BE">
        <w:rPr>
          <w:rFonts w:ascii="Times New Roman" w:hAnsi="Times New Roman" w:cs="Times New Roman"/>
          <w:sz w:val="24"/>
          <w:szCs w:val="24"/>
          <w:lang w:val="en-US"/>
        </w:rPr>
        <w:t>In</w:t>
      </w:r>
      <w:r w:rsidR="005E2E64">
        <w:rPr>
          <w:rFonts w:ascii="Times New Roman" w:hAnsi="Times New Roman" w:cs="Times New Roman"/>
          <w:sz w:val="24"/>
          <w:szCs w:val="24"/>
          <w:lang w:val="en-US"/>
        </w:rPr>
        <w:t>deed, i</w:t>
      </w:r>
      <w:r w:rsidR="005E2E64" w:rsidRPr="001417BE">
        <w:rPr>
          <w:rFonts w:ascii="Times New Roman" w:hAnsi="Times New Roman" w:cs="Times New Roman"/>
          <w:sz w:val="24"/>
          <w:szCs w:val="24"/>
          <w:lang w:val="en-US"/>
        </w:rPr>
        <w:t>t might be</w:t>
      </w:r>
      <w:r w:rsidR="005E2E64">
        <w:rPr>
          <w:rFonts w:ascii="Times New Roman" w:hAnsi="Times New Roman" w:cs="Times New Roman"/>
          <w:sz w:val="24"/>
          <w:szCs w:val="24"/>
          <w:lang w:val="en-US"/>
        </w:rPr>
        <w:t xml:space="preserve"> </w:t>
      </w:r>
      <w:r w:rsidR="005E2E64" w:rsidRPr="001417BE">
        <w:rPr>
          <w:rFonts w:ascii="Times New Roman" w:hAnsi="Times New Roman" w:cs="Times New Roman"/>
          <w:sz w:val="24"/>
          <w:szCs w:val="24"/>
          <w:lang w:val="en-US"/>
        </w:rPr>
        <w:t>that the inverse association between BAT</w:t>
      </w:r>
      <w:r w:rsidR="005E2E64">
        <w:rPr>
          <w:rFonts w:ascii="Times New Roman" w:hAnsi="Times New Roman" w:cs="Times New Roman"/>
          <w:sz w:val="24"/>
          <w:szCs w:val="24"/>
          <w:lang w:val="en-US"/>
        </w:rPr>
        <w:t xml:space="preserve"> volume </w:t>
      </w:r>
      <w:r w:rsidR="005E2E64" w:rsidRPr="001417BE">
        <w:rPr>
          <w:rFonts w:ascii="Times New Roman" w:hAnsi="Times New Roman" w:cs="Times New Roman"/>
          <w:sz w:val="24"/>
          <w:szCs w:val="24"/>
          <w:lang w:val="en-US"/>
        </w:rPr>
        <w:t>and adiposity</w:t>
      </w:r>
      <w:r w:rsidR="005E2E64">
        <w:rPr>
          <w:rFonts w:ascii="Times New Roman" w:hAnsi="Times New Roman" w:cs="Times New Roman"/>
          <w:sz w:val="24"/>
          <w:szCs w:val="24"/>
          <w:lang w:val="en-US"/>
        </w:rPr>
        <w:t xml:space="preserve"> shown by others</w:t>
      </w:r>
      <w:r w:rsidR="005E2E64" w:rsidRPr="001417BE">
        <w:rPr>
          <w:rFonts w:ascii="Times New Roman" w:hAnsi="Times New Roman" w:cs="Times New Roman"/>
          <w:sz w:val="24"/>
          <w:szCs w:val="24"/>
          <w:lang w:val="en-US"/>
        </w:rPr>
        <w:t xml:space="preserve"> is</w:t>
      </w:r>
      <w:r w:rsidR="005E2E64">
        <w:rPr>
          <w:rFonts w:ascii="Times New Roman" w:hAnsi="Times New Roman" w:cs="Times New Roman"/>
          <w:sz w:val="24"/>
          <w:szCs w:val="24"/>
          <w:lang w:val="en-US"/>
        </w:rPr>
        <w:t>, at least</w:t>
      </w:r>
      <w:r w:rsidR="005E2E64" w:rsidRPr="001417BE">
        <w:rPr>
          <w:rFonts w:ascii="Times New Roman" w:hAnsi="Times New Roman" w:cs="Times New Roman"/>
          <w:sz w:val="24"/>
          <w:szCs w:val="24"/>
          <w:lang w:val="en-US"/>
        </w:rPr>
        <w:t xml:space="preserve"> </w:t>
      </w:r>
      <w:r w:rsidR="005E2E64">
        <w:rPr>
          <w:rFonts w:ascii="Times New Roman" w:hAnsi="Times New Roman" w:cs="Times New Roman"/>
          <w:sz w:val="24"/>
          <w:szCs w:val="24"/>
          <w:lang w:val="en-US"/>
        </w:rPr>
        <w:t xml:space="preserve">in part, explained </w:t>
      </w:r>
      <w:r w:rsidR="005E2E64" w:rsidRPr="001417BE">
        <w:rPr>
          <w:rFonts w:ascii="Times New Roman" w:hAnsi="Times New Roman" w:cs="Times New Roman"/>
          <w:sz w:val="24"/>
          <w:szCs w:val="24"/>
          <w:lang w:val="en-US"/>
        </w:rPr>
        <w:t xml:space="preserve">by </w:t>
      </w:r>
      <w:r w:rsidR="005E2E64">
        <w:rPr>
          <w:rFonts w:ascii="Times New Roman" w:hAnsi="Times New Roman" w:cs="Times New Roman"/>
          <w:sz w:val="24"/>
          <w:szCs w:val="24"/>
          <w:lang w:val="en-US"/>
        </w:rPr>
        <w:t xml:space="preserve">the </w:t>
      </w:r>
      <w:r w:rsidR="005E2E64" w:rsidRPr="001417BE">
        <w:rPr>
          <w:rFonts w:ascii="Times New Roman" w:hAnsi="Times New Roman" w:cs="Times New Roman"/>
          <w:sz w:val="24"/>
          <w:szCs w:val="24"/>
          <w:lang w:val="en-US"/>
        </w:rPr>
        <w:t>subject</w:t>
      </w:r>
      <w:r w:rsidR="005E2E64">
        <w:rPr>
          <w:rFonts w:ascii="Times New Roman" w:hAnsi="Times New Roman" w:cs="Times New Roman"/>
          <w:sz w:val="24"/>
          <w:szCs w:val="24"/>
          <w:lang w:val="en-US"/>
        </w:rPr>
        <w:t>s</w:t>
      </w:r>
      <w:r w:rsidR="005E2E64" w:rsidRPr="001417BE">
        <w:rPr>
          <w:rFonts w:ascii="Times New Roman" w:hAnsi="Times New Roman" w:cs="Times New Roman"/>
          <w:sz w:val="24"/>
          <w:szCs w:val="24"/>
          <w:lang w:val="en-US"/>
        </w:rPr>
        <w:t xml:space="preserve"> age. For </w:t>
      </w:r>
      <w:r w:rsidR="005E2E64" w:rsidRPr="001417BE">
        <w:rPr>
          <w:rFonts w:ascii="Times New Roman" w:hAnsi="Times New Roman" w:cs="Times New Roman"/>
          <w:sz w:val="24"/>
          <w:szCs w:val="24"/>
          <w:lang w:val="en-US"/>
        </w:rPr>
        <w:lastRenderedPageBreak/>
        <w:t xml:space="preserve">example, it has been repeatedly reported that aging reduces the volume and activity of BAT </w:t>
      </w:r>
      <w:r w:rsidR="005E2E64" w:rsidRPr="001417BE">
        <w:rPr>
          <w:rFonts w:ascii="Times New Roman" w:hAnsi="Times New Roman" w:cs="Times New Roman"/>
          <w:sz w:val="24"/>
          <w:szCs w:val="24"/>
          <w:lang w:val="en-US"/>
        </w:rPr>
        <w:fldChar w:fldCharType="begin" w:fldLock="1"/>
      </w:r>
      <w:r w:rsidR="00841F74">
        <w:rPr>
          <w:rFonts w:ascii="Times New Roman" w:hAnsi="Times New Roman" w:cs="Times New Roman"/>
          <w:sz w:val="24"/>
          <w:szCs w:val="24"/>
          <w:lang w:val="en-US"/>
        </w:rPr>
        <w:instrText>ADDIN CSL_CITATION {"citationItems":[{"id":"ITEM-1","itemData":{"DOI":"10.1007/s40520-016-0572-z","ISSN":"1720-8319","PMID":"27106900","author":[{"dropping-particle":"","family":"Rossato","given":"Marco","non-dropping-particle":"","parse-names":false,"suffix":""}],"container-title":"Aging clinical and experimental research","id":"ITEM-1","issue":"3","issued":{"date-parts":[["2016","6","22"]]},"page":"579-81","title":"Aging and brown adipose tissue activity decline in human: does the brain extinguish the fire?","type":"article-journal","volume":"28"},"uris":["http://www.mendeley.com/documents/?uuid=247fb6dd-2021-30c5-b9c8-7bdb93679c5f"]},{"id":"ITEM-2","itemData":{"DOI":"10.1056/NEJMoa0810780","ISSN":"1533-4406","PMID":"19357406","abstract":"BACKGROUND: Obesity results from an imbalance between energy intake and expenditure. In rodents and newborn humans, brown adipose tissue helps regulate energy expenditure by thermogenesis mediated by the expression of uncoupling protein 1 (UCP1), but brown adipose tissue has been considered to have no physiologic relevance in adult humans. METHODS: We analyzed 3640 consecutive (18)F-fluorodeoxyglucose ((18)F-FDG) positron-emission tomographic and computed tomographic (PET-CT) scans performed for various diagnostic reasons in 1972 patients for the presence of substantial depots of putative brown adipose tissue. Such depots were defined as collections of tissue that were more than 4 mm in diameter, had the density of adipose tissue according to CT, and had maximal standardized uptake values of (18)F-FDG of at least 2.0 g per milliliter, indicating high metabolic activity. Clinical indexes were recorded and compared with those of date-matched controls. Immunostaining for UCP1 was performed on biopsy specimens from the neck and supraclavicular regions in patients undergoing surgery. RESULTS: Substantial depots of brown adipose tissue were identified by PET-CT in a region extending from the anterior neck to the thorax. Tissue from this region had UCP1-immunopositive, multilocular adipocytes indicating brown adipose tissue. Positive scans were seen in 76 of 1013 women (7.5%) and 30 of 959 men (3.1%), corresponding to a female:male ratio greater than 2:1 (P&lt;0.001). Women also had a greater mass of brown adipose tissue and higher (18)F-FDG uptake activity. The probability of the detection of brown adipose tissue was inversely correlated with years of age (P&lt;0.001), outdoor temperature at the time of the scan (P=0.02), beta-blocker use (P&lt;0.001), and among older patients, body-mass index (P=0.007). CONCLUSIONS: Defined regions of functionally active brown adipose tissue are present in adult humans, are more frequent in women than in men, and may be quantified noninvasively with the use of (18)F-FDG PET-CT. Most important, the amount of brown adipose tissue is inversely correlated with body-mass index, especially in older people, suggesting a potential role of brown adipose tissue in adult human metabolism.","author":[{"dropping-particle":"","family":"Cypess","given":"Aaron M","non-dropping-particle":"","parse-names":false,"suffix":""},{"dropping-particle":"","family":"Lehman","given":"Sanaz","non-dropping-particle":"","parse-names":false,"suffix":""},{"dropping-particle":"","family":"Williams","given":"Gethin","non-dropping-particle":"","parse-names":false,"suffix":""},{"dropping-particle":"","family":"Tal","given":"Ilan","non-dropping-particle":"","parse-names":false,"suffix":""},{"dropping-particle":"","family":"Rodman","given":"Dean","non-dropping-particle":"","parse-names":false,"suffix":""},{"dropping-particle":"","family":"Goldfine","given":"Allison B","non-dropping-particle":"","parse-names":false,"suffix":""},{"dropping-particle":"","family":"Kuo","given":"Frank C","non-dropping-particle":"","parse-names":false,"suffix":""},{"dropping-particle":"","family":"Palmer","given":"Edwin L","non-dropping-particle":"","parse-names":false,"suffix":""},{"dropping-particle":"","family":"Tseng","given":"Yu-Hua","non-dropping-particle":"","parse-names":false,"suffix":""},{"dropping-particle":"","family":"Doria","given":"Alessandro","non-dropping-particle":"","parse-names":false,"suffix":""},{"dropping-particle":"","family":"Kolodny","given":"Gerald M","non-dropping-particle":"","parse-names":false,"suffix":""},{"dropping-particle":"","family":"Kahn","given":"C Ronald","non-dropping-particle":"","parse-names":false,"suffix":""}],"container-title":"The New England journal of medicine","id":"ITEM-2","issue":"15","issued":{"date-parts":[["2009","4","9"]]},"page":"1509-17","title":"Identification and importance of brown adipose tissue in adult humans.","type":"article-journal","volume":"360"},"uris":["http://www.mendeley.com/documents/?uuid=95dc2dea-35bb-4c11-81d0-05c659abe1ee"]},{"id":"ITEM-3","itemData":{"ISSN":"0021-8782","PMID":"5086212","author":[{"dropping-particle":"","family":"Heaton","given":"J M","non-dropping-particle":"","parse-names":false,"suffix":""}],"container-title":"Journal of anatomy","id":"ITEM-3","issue":"Pt 1","issued":{"date-parts":[["1972","5"]]},"page":"35-9","title":"The distribution of brown adipose tissue in the human.","type":"article-journal","volume":"112"},"uris":["http://www.mendeley.com/documents/?uuid=1e6d268b-65d6-3ec9-a1eb-da3e81406fa1"]},{"id":"ITEM-4","itemData":{"DOI":"10.1016/j.pcad.2018.07.002","ISSN":"1873-1740","PMID":"29981351","abstract":"Human brown adipose tissue (BAT) was re-discovered in 2009 by several independent groups, who showed that it is present and active in adults, as judged from the profound uptake of the glucose analogue radiotracer 18F-fluorodeoxyglucose in positron-emission tomography and computed tomography scan analysis after cold exposure. A potential clinical implication of activating BAT relates to its high metabolic activity and its potential role in stimulating energy expenditure (i.e. resting energy expenditure, meal-induced thermogenesis, and cold-induced thermogenesis), which makes it an attractive target to reduce adiposity. Moreover, due to its ability to oxidise glucose and lipids, BAT activation may also potentially exert beneficial metabolic and cardiovascular effects through reducing glucose and lipid levels, respectively. This review describes the potential role of human BAT in the prevention and treatment of obesity, metabolism, and cardiovascular disease focusing on its impact on energy expenditure and management of body fat accumulation as well as on glucose and lipid metabolism. This article also summarises the strategies that are currently being studied to activate human BAT.","author":[{"dropping-particle":"","family":"Ruiz","given":"Jonatan R.","non-dropping-particle":"","parse-names":false,"suffix":""},{"dropping-particle":"","family":"Martinez-Tellez","given":"Borja","non-dropping-particle":"","parse-names":false,"suffix":""},{"dropping-particle":"","family":"Sanchez-Delgado","given":"Guillermo","non-dropping-particle":"","parse-names":false,"suffix":""},{"dropping-particle":"","family":"Osuna-Prieto","given":"Francisco J.","non-dropping-particle":"","parse-names":false,"suffix":""},{"dropping-particle":"","family":"Rensen","given":"Patrick C N","non-dropping-particle":"","parse-names":false,"suffix":""},{"dropping-particle":"","family":"Boon","given":"Mariëtte R.","non-dropping-particle":"","parse-names":false,"suffix":""}],"container-title":"Progress in cardiovascular diseases","id":"ITEM-4","issue":"2","issued":{"date-parts":[["2018","7","4"]]},"page":"232-245","title":"Role of Human Brown Fat in Obesity, Metabolism and Cardiovascular Disease: Strategies to Turn Up the Heat.","type":"article-journal","volume":"61"},"uris":["http://www.mendeley.com/documents/?uuid=6526b5bb-4b7c-310a-84b2-eea7d95ab3a1"]},{"id":"ITEM-5","itemData":{"DOI":"10.1016/j.cmet.2010.03.008","ISSN":"1932-7420","PMID":"20374955","abstract":"The BAT organ is unique in that it has evolved to safely dissipate large amounts of chemical energy--a quality that might be harnessed to help humans deal with a dangerously hypercaloric environment and still remain in good health.","author":[{"dropping-particle":"","family":"Enerbäck","given":"Sven","non-dropping-particle":"","parse-names":false,"suffix":""}],"container-title":"Cell metabolism","id":"ITEM-5","issue":"4","issued":{"date-parts":[["2010","4","7"]]},"page":"248-52","publisher":"Elsevier Inc.","title":"Human brown adipose tissue.","type":"article-journal","volume":"11"},"uris":["http://www.mendeley.com/documents/?uuid=75994ac7-8381-4865-b2ee-6c13590c4693"]}],"mendeley":{"formattedCitation":"(6,10,37–39)","plainTextFormattedCitation":"(6,10,37–39)","previouslyFormattedCitation":"(6,10,37–39)"},"properties":{"noteIndex":0},"schema":"https://github.com/citation-style-language/schema/raw/master/csl-citation.json"}</w:instrText>
      </w:r>
      <w:r w:rsidR="005E2E64" w:rsidRPr="001417BE">
        <w:rPr>
          <w:rFonts w:ascii="Times New Roman" w:hAnsi="Times New Roman" w:cs="Times New Roman"/>
          <w:sz w:val="24"/>
          <w:szCs w:val="24"/>
          <w:lang w:val="en-US"/>
        </w:rPr>
        <w:fldChar w:fldCharType="separate"/>
      </w:r>
      <w:r w:rsidR="00CC0D78" w:rsidRPr="00CC0D78">
        <w:rPr>
          <w:rFonts w:ascii="Times New Roman" w:hAnsi="Times New Roman" w:cs="Times New Roman"/>
          <w:noProof/>
          <w:sz w:val="24"/>
          <w:szCs w:val="24"/>
          <w:lang w:val="en-US"/>
        </w:rPr>
        <w:t>(6,10,37–39)</w:t>
      </w:r>
      <w:r w:rsidR="005E2E64" w:rsidRPr="001417BE">
        <w:rPr>
          <w:rFonts w:ascii="Times New Roman" w:hAnsi="Times New Roman" w:cs="Times New Roman"/>
          <w:sz w:val="24"/>
          <w:szCs w:val="24"/>
          <w:lang w:val="en-US"/>
        </w:rPr>
        <w:fldChar w:fldCharType="end"/>
      </w:r>
      <w:r w:rsidR="005E2E64" w:rsidRPr="001417BE">
        <w:rPr>
          <w:rFonts w:ascii="Times New Roman" w:hAnsi="Times New Roman" w:cs="Times New Roman"/>
          <w:sz w:val="24"/>
          <w:szCs w:val="24"/>
          <w:lang w:val="en-US"/>
        </w:rPr>
        <w:t xml:space="preserve">, and aging is also commonly associated with a progressive increase in whole-body and central adiposity, as well as with the development of insulin resistance </w:t>
      </w:r>
      <w:r w:rsidR="005E2E64" w:rsidRPr="001417BE">
        <w:rPr>
          <w:rFonts w:ascii="Times New Roman" w:hAnsi="Times New Roman" w:cs="Times New Roman"/>
          <w:sz w:val="24"/>
          <w:szCs w:val="24"/>
          <w:lang w:val="en-US"/>
        </w:rPr>
        <w:fldChar w:fldCharType="begin" w:fldLock="1"/>
      </w:r>
      <w:r w:rsidR="00841F74">
        <w:rPr>
          <w:rFonts w:ascii="Times New Roman" w:hAnsi="Times New Roman" w:cs="Times New Roman"/>
          <w:sz w:val="24"/>
          <w:szCs w:val="24"/>
          <w:lang w:val="en-US"/>
        </w:rPr>
        <w:instrText>ADDIN CSL_CITATION {"citationItems":[{"id":"ITEM-1","itemData":{"DOI":"10.1002/oby.21573","ISSN":"1930-739X","PMID":"27569121","abstract":"OBJECTIVE To examine 25-year trends in weight gain, partitioned by time-related and aging-related changes, during early and middle adulthood. METHODS Coronary Artery Risk Development in Young Adults (CARDIA), a prospective, non-nationally representative cohort study conducted at four urban field centers that began in 1985 to 1986 with 5,109 Black (B) and White (W) men (M) and women (W) aged 18 to 30 years, has followed participants for 25 years (aged 43-55 years in 2010-2011). Time-related and aging-related components of weight change were estimated to construct longitudinal models of linear and nonlinear trends. RESULTS There were nonlinear trends in time-related weight gain in W, with larger weight gains early that attenuated at subsequent exams. Time-related trends were linear in M. There were nonlinear trends in aging-related weight gain in BM, BW, and WM, with the greatest weight gains at younger ages. Aging-related trends were linear in WW. Participants with overweight or obesity in early adulthood had greater attenuation of aging-related weight gain during middle adulthood. CONCLUSIONS These findings partially support recent surveys indicating slower increases in obesity prevalence in recent years. Findings further suggest that aging-related weight gain is greatest in the 20s and may begin attenuating as early as the mid-30s among some groups.","author":[{"dropping-particle":"","family":"Dutton","given":"Gareth R","non-dropping-particle":"","parse-names":false,"suffix":""},{"dropping-particle":"","family":"Kim","given":"Yongin","non-dropping-particle":"","parse-names":false,"suffix":""},{"dropping-particle":"","family":"Jacobs","given":"David R","non-dropping-particle":"","parse-names":false,"suffix":""},{"dropping-particle":"","family":"Li","given":"Xuelin","non-dropping-particle":"","parse-names":false,"suffix":""},{"dropping-particle":"","family":"Loria","given":"Catherine M","non-dropping-particle":"","parse-names":false,"suffix":""},{"dropping-particle":"","family":"Reis","given":"Jared P","non-dropping-particle":"","parse-names":false,"suffix":""},{"dropping-particle":"","family":"Carnethon","given":"Mercedes","non-dropping-particle":"","parse-names":false,"suffix":""},{"dropping-particle":"","family":"Durant","given":"Nefertiti H","non-dropping-particle":"","parse-names":false,"suffix":""},{"dropping-particle":"","family":"Gordon-Larsen","given":"Penny","non-dropping-particle":"","parse-names":false,"suffix":""},{"dropping-particle":"","family":"Shikany","given":"James M","non-dropping-particle":"","parse-names":false,"suffix":""},{"dropping-particle":"","family":"Sidney","given":"Stephen","non-dropping-particle":"","parse-names":false,"suffix":""},{"dropping-particle":"","family":"Lewis","given":"Cora E","non-dropping-particle":"","parse-names":false,"suffix":""}],"container-title":"Obesity (Silver Spring, Md.)","id":"ITEM-1","issue":"9","issued":{"date-parts":[["2016","9"]]},"page":"1962-8","title":"25-year weight gain in a racially balanced sample of U.S. adults: The CARDIA study.","type":"article-journal","volume":"24"},"uris":["http://www.mendeley.com/documents/?uuid=380924b1-10e6-356c-bfe0-5c6c447f9eb7"]},{"id":"ITEM-2","itemData":{"DOI":"10.1016/S2213-8587(18)30143-8","ISSN":"22138595","PMID":"29859910","author":[{"dropping-particle":"","family":"Lavie","given":"Carl J.","non-dropping-particle":"","parse-names":false,"suffix":""},{"dropping-particle":"","family":"Deedwania","given":"Prakash","non-dropping-particle":"","parse-names":false,"suffix":""},{"dropping-particle":"","family":"Ortega","given":"Francisco B.","non-dropping-particle":"","parse-names":false,"suffix":""}],"container-title":"The Lancet Diabetes and Endocrinology","id":"ITEM-2","issue":"18","issued":{"date-parts":[["2018"]]},"note":"Letter en relación a un artículo de Schilze et al. con el estudio NHS.\n\nDestaca los puntos principales de este (todo en mujeres):\n- MUNW presentó mayor riesgo de enferemdad cardiovascular que MHO.\n- MHO presentó mayor riesgo de CVD que MHNW.\n- El 84% de las mujeres inicialmente MHO se convirtieron a MUO durante el follow-up de 30 años. Mientras que el 68% de los inicialmente MHNW también adquieren el fenotipo unhealthy.\n\nEstos hallazgos son muy similares al previamente publicado estudio THIN. \n\nLa gran limitación: No tienen datos de PA, CRF y eventos de fallo cardiaco.","page":"10-11","publisher":"Elsevier Ltd","title":"Obesity is rarely healthy","type":"article-journal","volume":"8587"},"uris":["http://www.mendeley.com/documents/?uuid=18b5af59-0b3e-47ed-aeb6-b6a159bcf28d"]}],"mendeley":{"formattedCitation":"(40,41)","plainTextFormattedCitation":"(40,41)","previouslyFormattedCitation":"(40,41)"},"properties":{"noteIndex":0},"schema":"https://github.com/citation-style-language/schema/raw/master/csl-citation.json"}</w:instrText>
      </w:r>
      <w:r w:rsidR="005E2E64" w:rsidRPr="001417BE">
        <w:rPr>
          <w:rFonts w:ascii="Times New Roman" w:hAnsi="Times New Roman" w:cs="Times New Roman"/>
          <w:sz w:val="24"/>
          <w:szCs w:val="24"/>
          <w:lang w:val="en-US"/>
        </w:rPr>
        <w:fldChar w:fldCharType="separate"/>
      </w:r>
      <w:r w:rsidR="00CC0D78" w:rsidRPr="00CC0D78">
        <w:rPr>
          <w:rFonts w:ascii="Times New Roman" w:hAnsi="Times New Roman" w:cs="Times New Roman"/>
          <w:noProof/>
          <w:sz w:val="24"/>
          <w:szCs w:val="24"/>
          <w:lang w:val="en-US"/>
        </w:rPr>
        <w:t>(40,41)</w:t>
      </w:r>
      <w:r w:rsidR="005E2E64" w:rsidRPr="001417BE">
        <w:rPr>
          <w:rFonts w:ascii="Times New Roman" w:hAnsi="Times New Roman" w:cs="Times New Roman"/>
          <w:sz w:val="24"/>
          <w:szCs w:val="24"/>
          <w:lang w:val="en-US"/>
        </w:rPr>
        <w:fldChar w:fldCharType="end"/>
      </w:r>
      <w:r w:rsidR="005E2E64" w:rsidRPr="001417BE">
        <w:rPr>
          <w:rFonts w:ascii="Times New Roman" w:hAnsi="Times New Roman" w:cs="Times New Roman"/>
          <w:sz w:val="24"/>
          <w:szCs w:val="24"/>
          <w:lang w:val="en-US"/>
        </w:rPr>
        <w:t xml:space="preserve">. Therefore, the smaller BAT volume observed </w:t>
      </w:r>
      <w:r w:rsidR="00C232DF">
        <w:rPr>
          <w:rFonts w:ascii="Times New Roman" w:hAnsi="Times New Roman" w:cs="Times New Roman"/>
          <w:sz w:val="24"/>
          <w:szCs w:val="24"/>
          <w:lang w:val="en-US"/>
        </w:rPr>
        <w:t xml:space="preserve">by others </w:t>
      </w:r>
      <w:r w:rsidR="005E2E64" w:rsidRPr="001417BE">
        <w:rPr>
          <w:rFonts w:ascii="Times New Roman" w:hAnsi="Times New Roman" w:cs="Times New Roman"/>
          <w:sz w:val="24"/>
          <w:szCs w:val="24"/>
          <w:lang w:val="en-US"/>
        </w:rPr>
        <w:t xml:space="preserve">in obese individuals may actually be real </w:t>
      </w:r>
      <w:r w:rsidR="008B1B9B">
        <w:rPr>
          <w:rFonts w:ascii="Times New Roman" w:hAnsi="Times New Roman" w:cs="Times New Roman"/>
          <w:sz w:val="24"/>
          <w:szCs w:val="24"/>
          <w:lang w:val="en-US"/>
        </w:rPr>
        <w:t>(i.e. not explain</w:t>
      </w:r>
      <w:r w:rsidR="00E94843">
        <w:rPr>
          <w:rFonts w:ascii="Times New Roman" w:hAnsi="Times New Roman" w:cs="Times New Roman"/>
          <w:sz w:val="24"/>
          <w:szCs w:val="24"/>
          <w:lang w:val="en-US"/>
        </w:rPr>
        <w:t>ed</w:t>
      </w:r>
      <w:r w:rsidR="008B1B9B">
        <w:rPr>
          <w:rFonts w:ascii="Times New Roman" w:hAnsi="Times New Roman" w:cs="Times New Roman"/>
          <w:sz w:val="24"/>
          <w:szCs w:val="24"/>
          <w:lang w:val="en-US"/>
        </w:rPr>
        <w:t xml:space="preserve"> by biased measurements) </w:t>
      </w:r>
      <w:r w:rsidR="005E2E64" w:rsidRPr="001417BE">
        <w:rPr>
          <w:rFonts w:ascii="Times New Roman" w:hAnsi="Times New Roman" w:cs="Times New Roman"/>
          <w:sz w:val="24"/>
          <w:szCs w:val="24"/>
          <w:lang w:val="en-US"/>
        </w:rPr>
        <w:t xml:space="preserve">in middle-aged adults, but not in young adults. Age-related insulin resistance may also be accompanied by catecholamine resistance </w:t>
      </w:r>
      <w:r w:rsidR="005E2E64" w:rsidRPr="001417BE">
        <w:rPr>
          <w:rFonts w:ascii="Times New Roman" w:hAnsi="Times New Roman" w:cs="Times New Roman"/>
          <w:sz w:val="24"/>
          <w:szCs w:val="24"/>
          <w:lang w:val="en-US"/>
        </w:rPr>
        <w:fldChar w:fldCharType="begin" w:fldLock="1"/>
      </w:r>
      <w:r w:rsidR="00841F74">
        <w:rPr>
          <w:rFonts w:ascii="Times New Roman" w:hAnsi="Times New Roman" w:cs="Times New Roman"/>
          <w:sz w:val="24"/>
          <w:szCs w:val="24"/>
          <w:lang w:val="en-US"/>
        </w:rPr>
        <w:instrText>ADDIN CSL_CITATION {"citationItems":[{"id":"ITEM-1","itemData":{"DOI":"10.1038/ijosup.2012.21","ISSN":"2046-2166","PMID":"27152152","abstract":"Type 2 diabetes (T2D) is characterized by a general dysregulation of postprandial energy substrate partitioning. Although classically described in regard to glucose metabolism, it is now evident that metabolic inflexibility of plasma lipid fluxes is also present in T2D. The organ that is most importantly involved in the latter metabolic defect is the white adipose tissue (WAT). Both catecholamine-induced nonesterified fatty acid mobilization and insulin-stimulated storage of meal fatty acids are impaired in many WAT depots of insulin-resistant individuals. Novel molecular imaging techniques now demonstrate that these defects are linked to increased dietary fatty acid fluxes toward lean organs and myocardial dysfunction in humans. Recent findings also demonstrate functional abnormalities of brown adipose tissues in T2D, thus suggesting that a generalized adipose tissue dysregulation of energy storage and dissipation may be at play in the development of lean tissue energy overload and lipotoxicity.","author":[{"dropping-particle":"","family":"Grenier-Larouche","given":"T","non-dropping-particle":"","parse-names":false,"suffix":""},{"dropping-particle":"","family":"Labbé","given":"S M","non-dropping-particle":"","parse-names":false,"suffix":""},{"dropping-particle":"","family":"Noll","given":"C","non-dropping-particle":"","parse-names":false,"suffix":""},{"dropping-particle":"","family":"Richard","given":"D","non-dropping-particle":"","parse-names":false,"suffix":""},{"dropping-particle":"","family":"Carpentier","given":"A C","non-dropping-particle":"","parse-names":false,"suffix":""}],"container-title":"International journal of obesity supplements","id":"ITEM-1","issue":"Suppl 2","issued":{"date-parts":[["2012","12","11"]]},"page":"S37-42","title":"Metabolic inflexibility of white and brown adipose tissues in abnormal fatty acid partitioning of type 2 diabetes.","type":"article-journal","volume":"2"},"uris":["http://www.mendeley.com/documents/?uuid=d71832c9-9e3d-3acc-a09f-c686b29196db"]},{"id":"ITEM-2","itemData":{"DOI":"10.1172/JCI117271","ISSN":"0021-9738","PMID":"8200997","abstract":"Bearing in mind the importance of upper-body obesity for the insulin resistance (or metabolic) syndrome and the abnormalities in free fatty acid metabolism associated with this disorder, the regulation of lipolysis in isolated subcutaneous adipocytes was investigated in 13 72-yr old upper-body obese men with insulin resistance and glucose intolerance and in 10 healthy 72-yr-old men. There was a marked resistance to the lipolytic effect of noradrenaline in the metabolic syndrome due to defects at two different levels in the lipolytic cascade. First, an 80-fold decrease in sensitivity to the beta 2-selective agonist terbutaline (P &lt; 0.001) which could be ascribed to a 50% reduced number of beta 2-receptors (P &lt; 0.005) as determined with radioligand binding. The groups did not differ as regards dobutamine (beta 1) or clonidine (alpha-2) sensitivity, nor beta 1-receptor number. The mRNA levels for beta 1- and beta 2-receptors were similar in the two groups. Second, the maximum stimulated lipolytic rate was markedly reduced in the metabolic syndrome. This was true for isoprenaline (nonselective beta-agonist), forskolin (activating adenylyl cyclase), and dibutyryl cAMP (activating protein kinase). In regression analysis, the observed abnormalities in lipolysis regulation correlated in an independent way with the degree of glucose intolerance (r = -0.67) and beta 2-receptor number with insulin resistance (r = 0.67). In conclusion, the results of this study indicate the existence of lipolytic resistance to catecholamines in the adipose tissue of elderly men with the metabolic syndrome, which may be of importance for impaired insulin action and glucose intolerance. The resistance is located at a posttranscriptional level of beta 2-receptor expression and at the protein kinase-hormone sensitive lipase level.","author":[{"dropping-particle":"","family":"Reynisdottir","given":"S","non-dropping-particle":"","parse-names":false,"suffix":""},{"dropping-particle":"","family":"Ellerfeldt","given":"K","non-dropping-particle":"","parse-names":false,"suffix":""},{"dropping-particle":"","family":"Wahrenberg","given":"H","non-dropping-particle":"","parse-names":false,"suffix":""},{"dropping-particle":"","family":"Lithell","given":"H","non-dropping-particle":"","parse-names":false,"suffix":""},{"dropping-particle":"","family":"Arner","given":"P","non-dropping-particle":"","parse-names":false,"suffix":""}],"container-title":"The Journal of clinical investigation","id":"ITEM-2","issue":"6","issued":{"date-parts":[["1994","6"]]},"page":"2590-9","title":"Multiple lipolysis defects in the insulin resistance (metabolic) syndrome.","type":"article-journal","volume":"93"},"uris":["http://www.mendeley.com/documents/?uuid=c7de1296-00ae-393e-ac5e-047ac69d2628"]},{"id":"ITEM-3","itemData":{"ISSN":"0002-9513","PMID":"9950787","abstract":"We evaluated whole body and regional adipose tissue lipid kinetics and norepinephrine (NE) spillover during brief fasting in six lean [body mass index (BMI) 21 +/- 1 kg/m2] and six upper-body obese (UBO; BMI 36 +/- 1 kg/m2) women. At 14 h of fasting, abdominal adipose tissue glycerol and free fatty acid (FFA) release rates were lower (P = 0.07), but whole body glycerol and FFA rates of appearance (Ra) were greater (P &lt; 0.05) in obese than in lean subjects. At 22 h of fasting, glycerol and FFA Ra increased less in obese (19.8 +/- 7.0 and 87.1 +/- 30.3 micromol/min, respectively) than in lean (44.2 +/- 6.6 and 137.4 +/- 30.4 micromol/min, respectively; P &lt; 0.05) women. The percent increase in glycerol Ra correlated closely with the percent decline in plasma insulin in both groups (r2 = 0.85; P &lt; 0.05). Whole body NE spillover declined in lean (P &lt; 0.05) but not obese subjects with continued fasting, whereas regional adipose tissue NE spillover did not change in either group. We conclude that, compared with lean women, in UBO women 1) basal adipose tissue lipolysis is lower, but whole body lipid kinetics is higher because of their greater fat mass; 2) the increase in lipolysis during fasting is blunted because of an attenuated decline in circulating insulin; and 3) downregulation of whole body sympathetic nervous system activity is impaired during fasting.","author":[{"dropping-particle":"","family":"Horowitz","given":"J F","non-dropping-particle":"","parse-names":false,"suffix":""},{"dropping-particle":"","family":"Coppack","given":"S W","non-dropping-particle":"","parse-names":false,"suffix":""},{"dropping-particle":"","family":"Paramore","given":"D","non-dropping-particle":"","parse-names":false,"suffix":""},{"dropping-particle":"","family":"Cryer","given":"P E","non-dropping-particle":"","parse-names":false,"suffix":""},{"dropping-particle":"","family":"Zhao","given":"G","non-dropping-particle":"","parse-names":false,"suffix":""},{"dropping-particle":"","family":"Klein","given":"S","non-dropping-particle":"","parse-names":false,"suffix":""}],"container-title":"The American journal of physiology","id":"ITEM-3","issue":"2 Pt 1","issued":{"date-parts":[["1999","2"]]},"page":"E278-84","title":"Effect of short-term fasting on lipid kinetics in lean and obese women.","type":"article-journal","volume":"276"},"uris":["http://www.mendeley.com/documents/?uuid=7c0a002a-a3cf-3856-99cb-9e04498d4220"]},{"id":"ITEM-4","itemData":{"DOI":"10.1007/s00125-007-0866-y","ISSN":"0012-186X","PMID":"18060661","abstract":"AIMS/HYPOTHESIS Obesity is characterised by increased triacylglycerol storage in adipose tissue. There is in vitro evidence for a blunted beta-adrenergically mediated lipolytic response in abdominal subcutaneous adipose tissue (SAT) of obese individuals and evidence for this at the whole-body level in vivo. We hypothesised that the beta-adrenergically mediated effect on lipolysis in abdominal SAT is also impaired in vivo in obese humans. METHODS We investigated whole-body and abdominal SAT glycerol metabolism in vivo during 3 h and 6 h [2H5]glycerol infusions. Arterio-venous concentration differences were measured in 13 lean and ten obese men after an overnight fast and during intravenous infusion of the non-selective beta-adrenergic agonist isoprenaline [20 ng (kg fat free mass)(-1) min(-1)]. RESULTS Lean and obese participants showed comparable fasting glycerol uptake by SAT (9.7+/-3.4 vs 9.3+/-2.5% of total release, p=0.92). Furthermore, obese participants showed an increased whole-body beta-adrenergically mediated lipolytic response versus lean participants. However, their fasting lipolysis was blunted [glycerol rate of appearance: 7.3+/-0.6 vs 13.1+/-0.9 micromol (kg fat mass)(-1) min(-1), p&lt;0.01], as was the beta-adrenergically mediated lipolytic response per unit SAT [Delta total glycerol release: 140+/-71 vs 394+/-112 nmol (100 g tissue)(-1) min(-1), p&lt;0.05] compared with lean participants. Net triacylglycerol flux tended to increase in obese compared with lean participants during beta-adrenergic stimulation [Delta net triacylglycerol flux: 75+/-32 vs 16+/-11 nmol (100 g tissue)(-1) min(-1), p=0.06]. CONCLUSIONS/INTERPRETATION We demonstrated in vivo that beta-adrenergically mediated lipolytic response is impaired systematically and in abdominal SAT of obese versus lean men. This may be important in the development or maintenance of increased triacylglycerol stores and obesity.","author":[{"dropping-particle":"","family":"Jocken","given":"J W E","non-dropping-particle":"","parse-names":false,"suffix":""},{"dropping-particle":"","family":"Goossens","given":"G H","non-dropping-particle":"","parse-names":false,"suffix":""},{"dropping-particle":"","family":"Hees","given":"A M J","non-dropping-particle":"van","parse-names":false,"suffix":""},{"dropping-particle":"","family":"Frayn","given":"K N","non-dropping-particle":"","parse-names":false,"suffix":""},{"dropping-particle":"","family":"Baak","given":"M","non-dropping-particle":"van","parse-names":false,"suffix":""},{"dropping-particle":"","family":"Stegen","given":"J","non-dropping-particle":"","parse-names":false,"suffix":""},{"dropping-particle":"","family":"Pakbiers","given":"M T W","non-dropping-particle":"","parse-names":false,"suffix":""},{"dropping-particle":"","family":"Saris","given":"W H M","non-dropping-particle":"","parse-names":false,"suffix":""},{"dropping-particle":"","family":"Blaak","given":"E E","non-dropping-particle":"","parse-names":false,"suffix":""}],"container-title":"Diabetologia","id":"ITEM-4","issue":"2","issued":{"date-parts":[["2008","2"]]},"page":"320-7","title":"Effect of beta-adrenergic stimulation on whole-body and abdominal subcutaneous adipose tissue lipolysis in lean and obese men.","type":"article-journal","volume":"51"},"uris":["http://www.mendeley.com/documents/?uuid=7d0b897a-28a5-3d6b-93b2-21ce1e3a85fd"]}],"mendeley":{"formattedCitation":"(42–45)","plainTextFormattedCitation":"(42–45)","previouslyFormattedCitation":"(42–45)"},"properties":{"noteIndex":0},"schema":"https://github.com/citation-style-language/schema/raw/master/csl-citation.json"}</w:instrText>
      </w:r>
      <w:r w:rsidR="005E2E64" w:rsidRPr="001417BE">
        <w:rPr>
          <w:rFonts w:ascii="Times New Roman" w:hAnsi="Times New Roman" w:cs="Times New Roman"/>
          <w:sz w:val="24"/>
          <w:szCs w:val="24"/>
          <w:lang w:val="en-US"/>
        </w:rPr>
        <w:fldChar w:fldCharType="separate"/>
      </w:r>
      <w:r w:rsidR="00CC0D78" w:rsidRPr="00CC0D78">
        <w:rPr>
          <w:rFonts w:ascii="Times New Roman" w:hAnsi="Times New Roman" w:cs="Times New Roman"/>
          <w:noProof/>
          <w:sz w:val="24"/>
          <w:szCs w:val="24"/>
          <w:lang w:val="en-US"/>
        </w:rPr>
        <w:t>(42–45)</w:t>
      </w:r>
      <w:r w:rsidR="005E2E64" w:rsidRPr="001417BE">
        <w:rPr>
          <w:rFonts w:ascii="Times New Roman" w:hAnsi="Times New Roman" w:cs="Times New Roman"/>
          <w:sz w:val="24"/>
          <w:szCs w:val="24"/>
          <w:lang w:val="en-US"/>
        </w:rPr>
        <w:fldChar w:fldCharType="end"/>
      </w:r>
      <w:r w:rsidR="005E2E64">
        <w:rPr>
          <w:rFonts w:ascii="Times New Roman" w:hAnsi="Times New Roman" w:cs="Times New Roman"/>
          <w:sz w:val="24"/>
          <w:szCs w:val="24"/>
          <w:lang w:val="en-US"/>
        </w:rPr>
        <w:t>, and in fact, n</w:t>
      </w:r>
      <w:r w:rsidR="005E2E64" w:rsidRPr="008B556C">
        <w:rPr>
          <w:rFonts w:ascii="Times New Roman" w:hAnsi="Times New Roman" w:cs="Times New Roman"/>
          <w:sz w:val="24"/>
          <w:szCs w:val="24"/>
          <w:lang w:val="en-US"/>
        </w:rPr>
        <w:t xml:space="preserve">orepinephrine transporter availability in </w:t>
      </w:r>
      <w:r w:rsidR="00986EC4">
        <w:rPr>
          <w:rFonts w:ascii="Times New Roman" w:hAnsi="Times New Roman" w:cs="Times New Roman"/>
          <w:sz w:val="24"/>
          <w:szCs w:val="24"/>
          <w:lang w:val="en-US"/>
        </w:rPr>
        <w:t>BAT</w:t>
      </w:r>
      <w:r w:rsidR="005E2E64" w:rsidRPr="008B556C">
        <w:rPr>
          <w:rFonts w:ascii="Times New Roman" w:hAnsi="Times New Roman" w:cs="Times New Roman"/>
          <w:sz w:val="24"/>
          <w:szCs w:val="24"/>
          <w:lang w:val="en-US"/>
        </w:rPr>
        <w:t xml:space="preserve"> </w:t>
      </w:r>
      <w:r w:rsidR="005E2E64">
        <w:rPr>
          <w:rFonts w:ascii="Times New Roman" w:hAnsi="Times New Roman" w:cs="Times New Roman"/>
          <w:sz w:val="24"/>
          <w:szCs w:val="24"/>
          <w:lang w:val="en-US"/>
        </w:rPr>
        <w:t xml:space="preserve">was recently shown to be </w:t>
      </w:r>
      <w:r w:rsidR="005E2E64" w:rsidRPr="008B556C">
        <w:rPr>
          <w:rFonts w:ascii="Times New Roman" w:hAnsi="Times New Roman" w:cs="Times New Roman"/>
          <w:sz w:val="24"/>
          <w:szCs w:val="24"/>
          <w:lang w:val="en-US"/>
        </w:rPr>
        <w:t>reduced in obesity</w:t>
      </w:r>
      <w:r w:rsidR="005E2E64">
        <w:rPr>
          <w:rFonts w:ascii="Times New Roman" w:hAnsi="Times New Roman" w:cs="Times New Roman"/>
          <w:sz w:val="24"/>
          <w:szCs w:val="24"/>
          <w:lang w:val="en-US"/>
        </w:rPr>
        <w:t xml:space="preserve"> </w:t>
      </w:r>
      <w:r w:rsidR="005E2E64">
        <w:rPr>
          <w:rFonts w:ascii="Times New Roman" w:hAnsi="Times New Roman" w:cs="Times New Roman"/>
          <w:sz w:val="24"/>
          <w:szCs w:val="24"/>
          <w:lang w:val="en-US"/>
        </w:rPr>
        <w:fldChar w:fldCharType="begin" w:fldLock="1"/>
      </w:r>
      <w:r w:rsidR="00841F74">
        <w:rPr>
          <w:rFonts w:ascii="Times New Roman" w:hAnsi="Times New Roman" w:cs="Times New Roman"/>
          <w:sz w:val="24"/>
          <w:szCs w:val="24"/>
          <w:lang w:val="en-US"/>
        </w:rPr>
        <w:instrText>ADDIN CSL_CITATION {"citationItems":[{"id":"ITEM-1","itemData":{"DOI":"10.1038/s41366-019-0471-4","ISSN":"0307-0565","PMID":"31636373","abstract":"The energy-dissipating properties of brown adipose tissue (BAT) have been proposed as therapeutic targets for obesity and diabetes. Little is known about basal BAT activity. Capitalizing on the dense sympathetic innervation of BAT, we have previously shown that BAT can be detected in humans under resting room temperature (RT) conditions by using (S,S)-11C-O-methylreboxetine (MRB), a selective ligand for the norepinephrine transporter (NET). In this study, we determine whether MRB labeling of human BAT is altered by obesity. Fifteen healthy, nondiabetic Caucasian women (nine lean, age 25.6 ± 1.7, BMI 21.8 ± 1.3 kg/m2; six obese age 30.8 ± 8.8 BMI 37.9 ± 6.6 kg/m2) underwent PET-CT imaging of the neck/supraclavicular region using 11C-MRB under RT conditions. The distribution volume ratio (DVR) for 11C-MRB was estimated via multilinear reference tissue model 2 (MRTM2) referenced to the occipital cortex. Two women (one lean and one with obesity) had no detectable BAT. Of the women with detectable BAT, women with obesity had lower 11C-MRB DVR (0.80 ± 0.12 BAT DVR) compared to lean (1.15 ± 0.19 BAT DVR) (p = 0.004). Our findings are consistent with reports that NET is decreased in obesity and suggest that the sympathetic innervation of BAT is altered in obesity.","author":[{"dropping-particle":"","family":"Sanchez-Rangel","given":"Elizabeth","non-dropping-particle":"","parse-names":false,"suffix":""},{"dropping-particle":"","family":"Gallezot","given":"Jean-Dominique","non-dropping-particle":"","parse-names":false,"suffix":""},{"dropping-particle":"","family":"Yeckel","given":"Catherine W.","non-dropping-particle":"","parse-names":false,"suffix":""},{"dropping-particle":"","family":"Lam","given":"Wai","non-dropping-particle":"","parse-names":false,"suffix":""},{"dropping-particle":"","family":"Belfort-DeAguiar","given":"Renata","non-dropping-particle":"","parse-names":false,"suffix":""},{"dropping-particle":"","family":"Chen","given":"Ming-Kai","non-dropping-particle":"","parse-names":false,"suffix":""},{"dropping-particle":"","family":"Carson","given":"Richard E.","non-dropping-particle":"","parse-names":false,"suffix":""},{"dropping-particle":"","family":"Sherwin","given":"Robert","non-dropping-particle":"","parse-names":false,"suffix":""},{"dropping-particle":"","family":"Hwang","given":"Janice J.","non-dropping-particle":"","parse-names":false,"suffix":""}],"container-title":"International Journal of Obesity","id":"ITEM-1","issue":"4","issued":{"date-parts":[["2020","4","21"]]},"page":"964-967","publisher":"Nature Publishing Group","title":"Norepinephrine transporter availability in brown fat is reduced in obesity: a human PET study with [11C] MRB","type":"article-journal","volume":"44"},"uris":["http://www.mendeley.com/documents/?uuid=040f9e58-35a1-36be-9eec-764be9dae1bb"]}],"mendeley":{"formattedCitation":"(46)","plainTextFormattedCitation":"(46)","previouslyFormattedCitation":"(46)"},"properties":{"noteIndex":0},"schema":"https://github.com/citation-style-language/schema/raw/master/csl-citation.json"}</w:instrText>
      </w:r>
      <w:r w:rsidR="005E2E64">
        <w:rPr>
          <w:rFonts w:ascii="Times New Roman" w:hAnsi="Times New Roman" w:cs="Times New Roman"/>
          <w:sz w:val="24"/>
          <w:szCs w:val="24"/>
          <w:lang w:val="en-US"/>
        </w:rPr>
        <w:fldChar w:fldCharType="separate"/>
      </w:r>
      <w:r w:rsidR="00CC0D78" w:rsidRPr="00CC0D78">
        <w:rPr>
          <w:rFonts w:ascii="Times New Roman" w:hAnsi="Times New Roman" w:cs="Times New Roman"/>
          <w:noProof/>
          <w:sz w:val="24"/>
          <w:szCs w:val="24"/>
          <w:lang w:val="en-US"/>
        </w:rPr>
        <w:t>(46)</w:t>
      </w:r>
      <w:r w:rsidR="005E2E64">
        <w:rPr>
          <w:rFonts w:ascii="Times New Roman" w:hAnsi="Times New Roman" w:cs="Times New Roman"/>
          <w:sz w:val="24"/>
          <w:szCs w:val="24"/>
          <w:lang w:val="en-US"/>
        </w:rPr>
        <w:fldChar w:fldCharType="end"/>
      </w:r>
      <w:r w:rsidR="005E2E64" w:rsidRPr="001417BE">
        <w:rPr>
          <w:rFonts w:ascii="Times New Roman" w:hAnsi="Times New Roman" w:cs="Times New Roman"/>
          <w:sz w:val="24"/>
          <w:szCs w:val="24"/>
          <w:lang w:val="en-US"/>
        </w:rPr>
        <w:t>.</w:t>
      </w:r>
    </w:p>
    <w:p w14:paraId="5D07B53D" w14:textId="6CE71357" w:rsidR="0035637E" w:rsidRDefault="00D478AC" w:rsidP="0035637E">
      <w:pPr>
        <w:spacing w:line="480" w:lineRule="auto"/>
        <w:jc w:val="both"/>
        <w:rPr>
          <w:rFonts w:ascii="Times New Roman" w:hAnsi="Times New Roman" w:cs="Times New Roman"/>
          <w:sz w:val="24"/>
          <w:szCs w:val="24"/>
          <w:lang w:val="en-US"/>
        </w:rPr>
      </w:pPr>
      <w:bookmarkStart w:id="15" w:name="_Hlk65707153"/>
      <w:r>
        <w:rPr>
          <w:rFonts w:ascii="Times New Roman" w:hAnsi="Times New Roman" w:cs="Times New Roman"/>
          <w:sz w:val="24"/>
          <w:szCs w:val="24"/>
          <w:lang w:val="en-US"/>
        </w:rPr>
        <w:t xml:space="preserve">Besides refuting the inverse association between BAT volume and whole-body adiposity, we observed an intriguing positive association </w:t>
      </w:r>
      <w:r w:rsidR="003B539A">
        <w:rPr>
          <w:rFonts w:ascii="Times New Roman" w:hAnsi="Times New Roman" w:cs="Times New Roman"/>
          <w:sz w:val="24"/>
          <w:szCs w:val="24"/>
          <w:lang w:val="en-US"/>
        </w:rPr>
        <w:t xml:space="preserve">between BAT volume and whole-body and central adiposity </w:t>
      </w:r>
      <w:r>
        <w:rPr>
          <w:rFonts w:ascii="Times New Roman" w:hAnsi="Times New Roman" w:cs="Times New Roman"/>
          <w:sz w:val="24"/>
          <w:szCs w:val="24"/>
          <w:lang w:val="en-US"/>
        </w:rPr>
        <w:t xml:space="preserve">in </w:t>
      </w:r>
      <w:r w:rsidR="003B539A">
        <w:rPr>
          <w:rFonts w:ascii="Times New Roman" w:hAnsi="Times New Roman" w:cs="Times New Roman"/>
          <w:sz w:val="24"/>
          <w:szCs w:val="24"/>
          <w:lang w:val="en-US"/>
        </w:rPr>
        <w:t>men</w:t>
      </w:r>
      <w:r>
        <w:rPr>
          <w:rFonts w:ascii="Times New Roman" w:hAnsi="Times New Roman" w:cs="Times New Roman"/>
          <w:sz w:val="24"/>
          <w:szCs w:val="24"/>
          <w:lang w:val="en-US"/>
        </w:rPr>
        <w:t xml:space="preserve">, but not </w:t>
      </w:r>
      <w:r w:rsidR="003B539A">
        <w:rPr>
          <w:rFonts w:ascii="Times New Roman" w:hAnsi="Times New Roman" w:cs="Times New Roman"/>
          <w:sz w:val="24"/>
          <w:szCs w:val="24"/>
          <w:lang w:val="en-US"/>
        </w:rPr>
        <w:t>in women</w:t>
      </w:r>
      <w:r>
        <w:rPr>
          <w:rFonts w:ascii="Times New Roman" w:hAnsi="Times New Roman" w:cs="Times New Roman"/>
          <w:sz w:val="24"/>
          <w:szCs w:val="24"/>
          <w:lang w:val="en-US"/>
        </w:rPr>
        <w:t>.</w:t>
      </w:r>
      <w:r w:rsidR="0035637E">
        <w:rPr>
          <w:rFonts w:ascii="Times New Roman" w:hAnsi="Times New Roman" w:cs="Times New Roman"/>
          <w:sz w:val="24"/>
          <w:szCs w:val="24"/>
          <w:lang w:val="en-US"/>
        </w:rPr>
        <w:t xml:space="preserve"> </w:t>
      </w:r>
      <w:r w:rsidR="00E94843">
        <w:rPr>
          <w:rFonts w:ascii="Times New Roman" w:hAnsi="Times New Roman" w:cs="Times New Roman"/>
          <w:sz w:val="24"/>
          <w:szCs w:val="24"/>
          <w:lang w:val="en-US"/>
        </w:rPr>
        <w:t xml:space="preserve">This </w:t>
      </w:r>
      <w:r w:rsidR="0035637E">
        <w:rPr>
          <w:rFonts w:ascii="Times New Roman" w:hAnsi="Times New Roman" w:cs="Times New Roman"/>
          <w:sz w:val="24"/>
          <w:szCs w:val="24"/>
          <w:lang w:val="en-US"/>
        </w:rPr>
        <w:t xml:space="preserve">sexual dimorphism in the relation between BAT volume and </w:t>
      </w:r>
      <w:r w:rsidR="008D0DC2">
        <w:rPr>
          <w:rFonts w:ascii="Times New Roman" w:hAnsi="Times New Roman" w:cs="Times New Roman"/>
          <w:sz w:val="24"/>
          <w:szCs w:val="24"/>
          <w:lang w:val="en-US"/>
        </w:rPr>
        <w:t xml:space="preserve">whole-body </w:t>
      </w:r>
      <w:r w:rsidR="0035637E">
        <w:rPr>
          <w:rFonts w:ascii="Times New Roman" w:hAnsi="Times New Roman" w:cs="Times New Roman"/>
          <w:sz w:val="24"/>
          <w:szCs w:val="24"/>
          <w:lang w:val="en-US"/>
        </w:rPr>
        <w:t>adiposity has not been reported before. Unfortunately, we did not control the phase of the menstrual cycle in female participants, and therefore</w:t>
      </w:r>
      <w:r w:rsidR="008D0DC2">
        <w:rPr>
          <w:rFonts w:ascii="Times New Roman" w:hAnsi="Times New Roman" w:cs="Times New Roman"/>
          <w:sz w:val="24"/>
          <w:szCs w:val="24"/>
          <w:lang w:val="en-US"/>
        </w:rPr>
        <w:t>,</w:t>
      </w:r>
      <w:r w:rsidR="0035637E">
        <w:rPr>
          <w:rFonts w:ascii="Times New Roman" w:hAnsi="Times New Roman" w:cs="Times New Roman"/>
          <w:sz w:val="24"/>
          <w:szCs w:val="24"/>
          <w:lang w:val="en-US"/>
        </w:rPr>
        <w:t xml:space="preserve"> this might have bi</w:t>
      </w:r>
      <w:r w:rsidR="00DA4D2A">
        <w:rPr>
          <w:rFonts w:ascii="Times New Roman" w:hAnsi="Times New Roman" w:cs="Times New Roman"/>
          <w:sz w:val="24"/>
          <w:szCs w:val="24"/>
          <w:lang w:val="en-US"/>
        </w:rPr>
        <w:t>a</w:t>
      </w:r>
      <w:r w:rsidR="0035637E">
        <w:rPr>
          <w:rFonts w:ascii="Times New Roman" w:hAnsi="Times New Roman" w:cs="Times New Roman"/>
          <w:sz w:val="24"/>
          <w:szCs w:val="24"/>
          <w:lang w:val="en-US"/>
        </w:rPr>
        <w:t>s</w:t>
      </w:r>
      <w:r w:rsidR="00DA4D2A">
        <w:rPr>
          <w:rFonts w:ascii="Times New Roman" w:hAnsi="Times New Roman" w:cs="Times New Roman"/>
          <w:sz w:val="24"/>
          <w:szCs w:val="24"/>
          <w:lang w:val="en-US"/>
        </w:rPr>
        <w:t>ed</w:t>
      </w:r>
      <w:r w:rsidR="0035637E">
        <w:rPr>
          <w:rFonts w:ascii="Times New Roman" w:hAnsi="Times New Roman" w:cs="Times New Roman"/>
          <w:sz w:val="24"/>
          <w:szCs w:val="24"/>
          <w:lang w:val="en-US"/>
        </w:rPr>
        <w:t xml:space="preserve"> the results and prevent us from observing a </w:t>
      </w:r>
      <w:r w:rsidR="00DA4D2A">
        <w:rPr>
          <w:rFonts w:ascii="Times New Roman" w:hAnsi="Times New Roman" w:cs="Times New Roman"/>
          <w:sz w:val="24"/>
          <w:szCs w:val="24"/>
          <w:lang w:val="en-US"/>
        </w:rPr>
        <w:t xml:space="preserve">positive </w:t>
      </w:r>
      <w:r w:rsidR="0035637E">
        <w:rPr>
          <w:rFonts w:ascii="Times New Roman" w:hAnsi="Times New Roman" w:cs="Times New Roman"/>
          <w:sz w:val="24"/>
          <w:szCs w:val="24"/>
          <w:lang w:val="en-US"/>
        </w:rPr>
        <w:t>association</w:t>
      </w:r>
      <w:r w:rsidR="00DA4D2A">
        <w:rPr>
          <w:rFonts w:ascii="Times New Roman" w:hAnsi="Times New Roman" w:cs="Times New Roman"/>
          <w:sz w:val="24"/>
          <w:szCs w:val="24"/>
          <w:lang w:val="en-US"/>
        </w:rPr>
        <w:t xml:space="preserve"> in females. Future studies are needed to corroborate this sexual dimorphism in young individuals</w:t>
      </w:r>
      <w:bookmarkEnd w:id="15"/>
      <w:r w:rsidR="00DA4D2A">
        <w:rPr>
          <w:rFonts w:ascii="Times New Roman" w:hAnsi="Times New Roman" w:cs="Times New Roman"/>
          <w:sz w:val="24"/>
          <w:szCs w:val="24"/>
          <w:lang w:val="en-US"/>
        </w:rPr>
        <w:t>.</w:t>
      </w:r>
    </w:p>
    <w:p w14:paraId="222E8BDE" w14:textId="674C6172" w:rsidR="00DA4D2A" w:rsidRDefault="0035637E" w:rsidP="003303E2">
      <w:pPr>
        <w:spacing w:line="480" w:lineRule="auto"/>
        <w:jc w:val="both"/>
        <w:rPr>
          <w:rFonts w:ascii="Times New Roman" w:hAnsi="Times New Roman" w:cs="Times New Roman"/>
          <w:sz w:val="24"/>
          <w:szCs w:val="24"/>
          <w:lang w:val="en-US"/>
        </w:rPr>
      </w:pPr>
      <w:bookmarkStart w:id="16" w:name="_Hlk65707503"/>
      <w:r w:rsidRPr="001417BE">
        <w:rPr>
          <w:rFonts w:ascii="Times New Roman" w:hAnsi="Times New Roman" w:cs="Times New Roman"/>
          <w:sz w:val="24"/>
          <w:szCs w:val="24"/>
          <w:lang w:val="en-US"/>
        </w:rPr>
        <w:t>Other authors have</w:t>
      </w:r>
      <w:r w:rsidR="00DA4D2A">
        <w:rPr>
          <w:rFonts w:ascii="Times New Roman" w:hAnsi="Times New Roman" w:cs="Times New Roman"/>
          <w:sz w:val="24"/>
          <w:szCs w:val="24"/>
          <w:lang w:val="en-US"/>
        </w:rPr>
        <w:t xml:space="preserve"> previously</w:t>
      </w:r>
      <w:r w:rsidRPr="001417BE">
        <w:rPr>
          <w:rFonts w:ascii="Times New Roman" w:hAnsi="Times New Roman" w:cs="Times New Roman"/>
          <w:sz w:val="24"/>
          <w:szCs w:val="24"/>
          <w:lang w:val="en-US"/>
        </w:rPr>
        <w:t xml:space="preserve"> reported positive associations between BAT volume and </w:t>
      </w:r>
      <w:r w:rsidR="00986EC4">
        <w:rPr>
          <w:rFonts w:ascii="Times New Roman" w:hAnsi="Times New Roman" w:cs="Times New Roman"/>
          <w:sz w:val="24"/>
          <w:szCs w:val="24"/>
          <w:lang w:val="en-US"/>
        </w:rPr>
        <w:t xml:space="preserve">whole-body </w:t>
      </w:r>
      <w:r w:rsidRPr="001417BE">
        <w:rPr>
          <w:rFonts w:ascii="Times New Roman" w:hAnsi="Times New Roman" w:cs="Times New Roman"/>
          <w:sz w:val="24"/>
          <w:szCs w:val="24"/>
          <w:lang w:val="en-US"/>
        </w:rPr>
        <w:t xml:space="preserve">adiposity in small samples </w:t>
      </w:r>
      <w:r w:rsidR="00AE4E9C">
        <w:rPr>
          <w:rFonts w:ascii="Times New Roman" w:hAnsi="Times New Roman" w:cs="Times New Roman"/>
          <w:sz w:val="24"/>
          <w:szCs w:val="24"/>
          <w:lang w:val="en-US"/>
        </w:rPr>
        <w:t>(n</w:t>
      </w:r>
      <w:r w:rsidR="00CC0946">
        <w:rPr>
          <w:rFonts w:ascii="Times New Roman" w:hAnsi="Times New Roman" w:cs="Times New Roman"/>
          <w:sz w:val="24"/>
          <w:szCs w:val="24"/>
          <w:lang w:val="en-US"/>
        </w:rPr>
        <w:t>&lt;</w:t>
      </w:r>
      <w:r w:rsidR="00AE4E9C">
        <w:rPr>
          <w:rFonts w:ascii="Times New Roman" w:hAnsi="Times New Roman" w:cs="Times New Roman"/>
          <w:sz w:val="24"/>
          <w:szCs w:val="24"/>
          <w:lang w:val="en-US"/>
        </w:rPr>
        <w:t>25</w:t>
      </w:r>
      <w:r w:rsidR="00AE4E9C" w:rsidRPr="001C2DED">
        <w:rPr>
          <w:rFonts w:ascii="Times New Roman" w:hAnsi="Times New Roman" w:cs="Times New Roman"/>
          <w:sz w:val="24"/>
          <w:szCs w:val="24"/>
          <w:lang w:val="en-US"/>
        </w:rPr>
        <w:t xml:space="preserve">) </w:t>
      </w:r>
      <w:r w:rsidR="00CC0946" w:rsidRPr="001C2DED">
        <w:rPr>
          <w:rFonts w:ascii="Times New Roman" w:hAnsi="Times New Roman" w:cs="Times New Roman"/>
          <w:sz w:val="24"/>
          <w:szCs w:val="24"/>
          <w:lang w:val="en-US"/>
        </w:rPr>
        <w:fldChar w:fldCharType="begin" w:fldLock="1"/>
      </w:r>
      <w:r w:rsidR="00841F74">
        <w:rPr>
          <w:rFonts w:ascii="Times New Roman" w:hAnsi="Times New Roman" w:cs="Times New Roman"/>
          <w:sz w:val="24"/>
          <w:szCs w:val="24"/>
          <w:lang w:val="en-US"/>
        </w:rPr>
        <w:instrText>ADDIN CSL_CITATION {"citationItems":[{"id":"ITEM-1","itemData":{"DOI":"10.1210/jc.2018-00387","ISSN":"1945-7197","PMID":"29788444","abstract":"Context In healthy adults with detectable cold-induced brown adipose tissue activation (CIBA), the relationships between sympathetic nervous system (SNS) or thyroid activity during energy balance (EBL) with CIBA and body composition change are undetermined. Objective To investigate the relationships between CIBA and thermoneutral catecholamines and thyroid hormones measured during EBL and to determine if CIBA, catecholamines, or thyroid hormones predict body composition changes. Design, Setting, Participants, and Interventions Twelve healthy volunteers (seven male and five female) with positive CIBA [&gt;2 standardized uptake value (g/mL)] had 24-hour energy expenditure (24hEE) assessed during EBL via whole-room indirect calorimetry while residing on a clinical research unit. Positron emission tomography/computed tomography scans were performed after exposure to 16°C for 2 hours to quantify CIBA. Main Outcome Measures CIBA, 24hEE during EBL, and thermoneutrality with concomitant measurement of urinary catecholamines and plasma free T3 and free T4. Body composition at baseline and 6 months by dual-energy X-ray absorptiometry. Results Lower urinary norepinephrine and free T4 were associated with higher CIBA (r = -0.65, P = 0.03; and r = -0.75, P &lt; 0.01, respectively), but CIBA was not associated with 24hEE at thermoneutrality (P = 0.77). Lower CIBA (β = -3.5 kg/standardized uptake value; P &lt; 0.01) predicted fat mass gain, whereas higher urinary norepinephrine and free T4 predicted future fat mass gain at 6 months (β = 3.0 kg per twofold difference in norepinephrine, P = 0.03; and β = 1.2 kg per 0.1-ng/dL difference in free T4, P = 0.03, respectively). Conclusion Lower SNS and free thyroid measurements at baseline indicate a greater capacity for CIBA, which may be predictive against fat mass gain.","author":[{"dropping-particle":"","family":"Begaye","given":"Brittany","non-dropping-particle":"","parse-names":false,"suffix":""},{"dropping-particle":"","family":"Piaggi","given":"Paolo","non-dropping-particle":"","parse-names":false,"suffix":""},{"dropping-particle":"","family":"Thearle","given":"Marie S","non-dropping-particle":"","parse-names":false,"suffix":""},{"dropping-particle":"","family":"Haskie","given":"Kaitlyn","non-dropping-particle":"","parse-names":false,"suffix":""},{"dropping-particle":"","family":"Walter","given":"Mary","non-dropping-particle":"","parse-names":false,"suffix":""},{"dropping-particle":"","family":"Schlögl","given":"Mathias","non-dropping-particle":"","parse-names":false,"suffix":""},{"dropping-particle":"","family":"Bonfiglio","given":"Susan","non-dropping-particle":"","parse-names":false,"suffix":""},{"dropping-particle":"","family":"Krakoff","given":"Jonathan","non-dropping-particle":"","parse-names":false,"suffix":""},{"dropping-particle":"","family":"Vinales","given":"Karyne L","non-dropping-particle":"","parse-names":false,"suffix":""}],"container-title":"The Journal of clinical endocrinology and metabolism","id":"ITEM-1","issue":"7","issued":{"date-parts":[["2018"]]},"page":"2689-2697","title":"Norepinephrine and T4 Are Predictors of Fat Mass Gain in Humans With Cold-Induced Brown Adipose Tissue Activation.","type":"article-journal","volume":"103"},"uris":["http://www.mendeley.com/documents/?uuid=7c445b8f-c5c0-4618-89ea-1590a3d3df98"]},{"id":"ITEM-2","itemData":{"DOI":"10.2337/db14-0513","ISSN":"1939-327X","PMID":"24954193","abstract":"In rodents, brown adipose tissue (BAT) regulates cold- (CIT) and diet-induced thermogenesis (DIT). Whether BAT recruitment is reversible and how it impacts on energy metabolism has not been investigated in humans. We examined the effects of temperature acclimation on BAT, energy balance and substrate metabolism in a prospective crossover study of 4-month duration, consisting of 4 consecutive blocks of 1-month overnight temperature acclimation [24°C (month 1) → 19°C (month 2) → 24°C (month 3) → 27°C (month 4)] of five healthy men in a temperature-controlled research facility. Sequential monthly acclimation modulated BAT reversibly, boosting and suppressing its abundance and activity in mild cold and warm conditions (p&lt;0.05), respectively, independent of seasonal fluctuations (p&lt;0.01). BAT-acclimation did not alter CIT but was accompanied by DIT (p&lt;0.05) and post-prandial insulin sensitivity enhancement (p&lt;0.05), evident only after cold-acclimation. Circulating and adipose tissue, but not skeletal muscle, expression levels of leptin and adiponectin displayed reciprocal changes concordant with cold-acclimated insulin sensitization. These results suggest regulatory links between BAT thermal plasticity and glucose metabolism in humans, opening avenues to harnessing BAT for metabolic benefits.","author":[{"dropping-particle":"","family":"Lee","given":"Paul","non-dropping-particle":"","parse-names":false,"suffix":""},{"dropping-particle":"","family":"Smith","given":"Sheila","non-dropping-particle":"","parse-names":false,"suffix":""},{"dropping-particle":"","family":"Linderman","given":"Joyce","non-dropping-particle":"","parse-names":false,"suffix":""},{"dropping-particle":"","family":"Courville","given":"Amber B","non-dropping-particle":"","parse-names":false,"suffix":""},{"dropping-particle":"","family":"Brychta","given":"Robert J","non-dropping-particle":"","parse-names":false,"suffix":""},{"dropping-particle":"","family":"Dieckmann","given":"William","non-dropping-particle":"","parse-names":false,"suffix":""},{"dropping-particle":"","family":"Werner","given":"Charlotte D","non-dropping-particle":"","parse-names":false,"suffix":""},{"dropping-particle":"","family":"Chen","given":"Kong Y","non-dropping-particle":"","parse-names":false,"suffix":""},{"dropping-particle":"","family":"Celi","given":"Francesco S","non-dropping-particle":"","parse-names":false,"suffix":""}],"container-title":"Diabetes","id":"ITEM-2","issued":{"date-parts":[["2014","6","22"]]},"page":"1-59","title":"Temperature-acclimated brown adipose tissue modulates insulin sensitivity in humans.","type":"article-journal","volume":"177"},"uris":["http://www.mendeley.com/documents/?uuid=e918d00f-8f4a-40ee-8ba1-ce045fa15e6d"]},{"id":"ITEM-3","itemData":{"DOI":"10.1371/journal.pone.0156353","ISSN":"1932-6203","PMID":"27243823","author":[{"dropping-particle":"","family":"Singhal","given":"Vibha","non-dropping-particle":"","parse-names":false,"suffix":""},{"dropping-particle":"","family":"Maffazioli","given":"Giovana D.","non-dropping-particle":"","parse-names":false,"suffix":""},{"dropping-particle":"","family":"Ackerman","given":"Kate E.","non-dropping-particle":"","parse-names":false,"suffix":""},{"dropping-particle":"","family":"Lee","given":"Hang","non-dropping-particle":"","parse-names":false,"suffix":""},{"dropping-particle":"","family":"Elia","given":"Elisa F.","non-dropping-particle":"","parse-names":false,"suffix":""},{"dropping-particle":"","family":"Woolley","given":"Ryan","non-dropping-particle":"","parse-names":false,"suffix":""},{"dropping-particle":"","family":"Kolodny","given":"Gerald","non-dropping-particle":"","parse-names":false,"suffix":""},{"dropping-particle":"","family":"Cypess","given":"Aaron M.","non-dropping-particle":"","parse-names":false,"suffix":""},{"dropping-particle":"","family":"Misra","given":"Madhusmita","non-dropping-particle":"","parse-names":false,"suffix":""}],"container-title":"Plos One","id":"ITEM-3","issue":"5","issued":{"date-parts":[["2016"]]},"page":"e0156353","title":"Effect of Chronic Athletic Activity on Brown Fat in Young Women","type":"article-journal","volume":"11"},"uris":["http://www.mendeley.com/documents/?uuid=10faf6ef-d6ca-4a5f-8875-97d7295499d1"]}],"mendeley":{"formattedCitation":"(47–49)","plainTextFormattedCitation":"(47–49)","previouslyFormattedCitation":"(47–49)"},"properties":{"noteIndex":0},"schema":"https://github.com/citation-style-language/schema/raw/master/csl-citation.json"}</w:instrText>
      </w:r>
      <w:r w:rsidR="00CC0946" w:rsidRPr="001C2DED">
        <w:rPr>
          <w:rFonts w:ascii="Times New Roman" w:hAnsi="Times New Roman" w:cs="Times New Roman"/>
          <w:sz w:val="24"/>
          <w:szCs w:val="24"/>
          <w:lang w:val="en-US"/>
        </w:rPr>
        <w:fldChar w:fldCharType="separate"/>
      </w:r>
      <w:r w:rsidR="00CC0D78" w:rsidRPr="00CC0D78">
        <w:rPr>
          <w:rFonts w:ascii="Times New Roman" w:hAnsi="Times New Roman" w:cs="Times New Roman"/>
          <w:noProof/>
          <w:sz w:val="24"/>
          <w:szCs w:val="24"/>
          <w:lang w:val="en-US"/>
        </w:rPr>
        <w:t>(47–49)</w:t>
      </w:r>
      <w:r w:rsidR="00CC0946" w:rsidRPr="001C2DED">
        <w:rPr>
          <w:rFonts w:ascii="Times New Roman" w:hAnsi="Times New Roman" w:cs="Times New Roman"/>
          <w:sz w:val="24"/>
          <w:szCs w:val="24"/>
          <w:lang w:val="en-US"/>
        </w:rPr>
        <w:fldChar w:fldCharType="end"/>
      </w:r>
      <w:r w:rsidRPr="001417BE">
        <w:rPr>
          <w:rFonts w:ascii="Times New Roman" w:hAnsi="Times New Roman" w:cs="Times New Roman"/>
          <w:sz w:val="24"/>
          <w:szCs w:val="24"/>
          <w:lang w:val="en-US"/>
        </w:rPr>
        <w:t>, although no</w:t>
      </w:r>
      <w:r>
        <w:rPr>
          <w:rFonts w:ascii="Times New Roman" w:hAnsi="Times New Roman" w:cs="Times New Roman"/>
          <w:sz w:val="24"/>
          <w:szCs w:val="24"/>
          <w:lang w:val="en-US"/>
        </w:rPr>
        <w:t>t</w:t>
      </w:r>
      <w:r w:rsidRPr="001417BE">
        <w:rPr>
          <w:rFonts w:ascii="Times New Roman" w:hAnsi="Times New Roman" w:cs="Times New Roman"/>
          <w:sz w:val="24"/>
          <w:szCs w:val="24"/>
          <w:lang w:val="en-US"/>
        </w:rPr>
        <w:t xml:space="preserve"> using a pre-scan individualized cold</w:t>
      </w:r>
      <w:r w:rsidR="00DA4D2A">
        <w:rPr>
          <w:rFonts w:ascii="Times New Roman" w:hAnsi="Times New Roman" w:cs="Times New Roman"/>
          <w:sz w:val="24"/>
          <w:szCs w:val="24"/>
          <w:lang w:val="en-US"/>
        </w:rPr>
        <w:t xml:space="preserve"> </w:t>
      </w:r>
      <w:r w:rsidRPr="001417BE">
        <w:rPr>
          <w:rFonts w:ascii="Times New Roman" w:hAnsi="Times New Roman" w:cs="Times New Roman"/>
          <w:sz w:val="24"/>
          <w:szCs w:val="24"/>
          <w:lang w:val="en-US"/>
        </w:rPr>
        <w:t>exposure</w:t>
      </w:r>
      <w:r>
        <w:rPr>
          <w:rFonts w:ascii="Times New Roman" w:hAnsi="Times New Roman" w:cs="Times New Roman"/>
          <w:sz w:val="24"/>
          <w:szCs w:val="24"/>
          <w:lang w:val="en-US"/>
        </w:rPr>
        <w:t xml:space="preserve">. </w:t>
      </w:r>
      <w:r w:rsidR="00841F74">
        <w:rPr>
          <w:rFonts w:ascii="Times New Roman" w:hAnsi="Times New Roman" w:cs="Times New Roman"/>
          <w:sz w:val="24"/>
          <w:szCs w:val="24"/>
          <w:lang w:val="en-US"/>
        </w:rPr>
        <w:t xml:space="preserve">Other studies have also documented positive associations between UCP1 expression levels and whole-body adiposity </w:t>
      </w:r>
      <w:r w:rsidR="00841F74">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{"citationItems":[{"id":"ITEM-1","itemData":{"DOI":"10.1056/NEJMc091009","ISSN":"1533-4406","PMID":"19625723","author":[{"dropping-particle":"","family":"Timmons","given":"James A","non-dropping-particle":"","parse-names":false,"suffix":""},{"dropping-particle":"","family":"Pedersen","given":"Bente K","non-dropping-particle":"","parse-names":false,"suffix":""}],"container-title":"The New England journal of medicine","id":"ITEM-1","issue":"4","issued":{"date-parts":[["2009","7","23"]]},"note":"LETTERS EN RESPUESTA A LOS PAPERS DE NEJM.\n\n1) Timmons and Pedersen:\n- Advierten de que el beige diseminado no es visible en el PET-CT.\n- CITAN UN ESTUDIO SUYO EN EL QUE ENCUENTRAN UNA ASOCACIÓN DE LA EXPRESIÓN DE UCP1 EN WAT Y BMI!!! \n- Esa misma asoaciación positiva se encuentra con ANGP2.\n- Sin embargo, la expresión de CIDEA se asoció negativamente a BMI. \n- CIDEA: a) regulador negativo de lipólisis; b) asociado inversamente a RMR en humanos. \n- LA PRESENCIA DE DIABETES AFECTÓ NOTABLEMENTE A ESAS ASOCIACIONES. \n- MUY BUENAS FIGURAS DE TODO. \n\n2) Stefan et al.:\n- Muestran resultados de 3604 PET-CTs termoneutrales que corroboran lo que encontraron Cypess et al: Los PET+ son más jóvenes, tienen menor BMI y menor glucemia. Esta última sin embargo no se mantiene diferente al ajustar por las otras dos. \n\n3) Villarroya et al.:\n- En el mismo estudio donde encontraron expresión UCP1 en el buffalo hump, en un follow-up, también han encontrado expresión UCP1 en la zona supraclavicular de pacientes infectados con VIH. \n\n4) Jacene et al.:\n- Refiriendose a los estudios previos del USA-fat, discuten sobre la relación entre BAT y baja glucemia. \n- Se sugiere que la falta de señalización insulínica y menor expresión UCP1 inducen muerte del adipocito marron en vivo.\n- También arguementan que la menor insulación de los delgados es lo que podría provocar mayor BAT.\n\n5) Lee et al.:\n- Argumenta que la baja prevalencia mostrada por Cypesset al. podría deberse a la falta de fiabilidad scan-rescan.\n- Muesta como en un estudio previo pasaron de una prevalencia de 8.5% a 19.4% cuando se realizaban varios PET-CT.\n\n6) Sacks et al.:\n- Destaca que tanto los estudios de Van Marken Lichtenbelt como el de Cypess muestran captación de FDG en el corazon. Destaca la importancia de determinar si esta captación es miocárdica o grasa, dado que Heaton documentó histológicamente presencia de BAT en la grasa epicardica. \n\nRESPUESTAS DE LOS AUTORES:\n\n1) Van Marken Lichtenblet et al: \n- Encuentra interesante la sugerecnai de estudio de la capctación cardiaca. Destaca tres posibles razones: a) Captación correspondiente a la actividad contractil; b) Captación correspondiente a la actividad NST del músculo cardiaco; c) NST en grasa parda epicardica. \n- CITAN UN ESTUDIO PREVIO EN EL QUE DOCUMENTARON EXPRESIÓN UCP1 EN MUSCULO ESQUELÉTICO... POR LO QUE NO DESCARTAN SU PRESENCIA EN EL CARDIACO.\n- Expone otro estudio que muestra la heterogeneidad espacial y temporal de la captación de FDG por el corazón, dificultando su estudio.\n- CONTRAARGUMENTAN A TIMMONS Y PERDERSEN DICIENDO QUE LA OBSERVACIÓN DE mRNA de UCP1 no tiene porque corresponderse con actividad BAT, y que esto requiere estudio. \n\n2) Cypess et al.:\n- Reafirman que la asoaciación BAT-glucemia está confundidad por la edad y BMI. \n- DICEN HABER OBSERVADO TAMBIÉN PRESENCIA UCP1 EN GRASA SUBCUTÁNEA, AUNQUE NO LO HAN PUBLICADO.\n- DICEN ESTAR SORPRENDIDOS CON LAS DIRECCIONES CONTRARIAS DE UCP1 Y CIDEA CON BMI EN TIMMOS Y PEDERSEN PORQUE AMBOS SON MARCADORES BROWN.\n\n3) Enerback et al.:\n- Tras la sugerncia de Villarroya, hicieron dos cold-induced PET-CT a pacientes con SIDA, NO OBSERVANDO CAPTACIÓN EN LA ZONA SUPRACLAVICUALR.","page":"415-6; author reply 418-21","title":"The importance of brown adipose tissue.","type":"article-journal","volume":"361"},"uris":["http://www.mendeley.com/documents/?uuid=a1f91bd1-94ff-43e1-b6eb-341ba615ea83"]},{"id":"ITEM-2","itemData":{"DOI":"10.1210/jc.2009-0571","ISSN":"0021-972X","PMID":"19567523","abstract":"CONTEXT Uncoupling protein-1 (UCP-1) is the inner mitochondrial membrane protein that is a specific marker for and mediator of nonshivering thermogenesis in brown adipocytes. OBJECTIVE This study was performed to better understand the putative thermogenic function of human epicardial fat. DESIGN We measured the expression of UCP-1 and brown adipocyte differentiation transcription factors PR-domain-missing 16 (PRDM16) and peroxisome-proliferator-activated receptor gamma co-activator-1 alpha (PGC-1 alpha) in epicardial, substernal, and sc thoracic, abdominal, and leg fat. SETTING The study was conducted at a tertiary care hospital cardiac center. PATIENTS Forty-four patients had coronary artery bypass surgery, and six had heart valve replacement. INTERVENTIONS Fat samples were taken at open heart surgery. RESULTS UCP-1 expression was 5-fold higher in epicardial fat than substernal fat and barely detectable in sc fat. Epicardial fat UCP-1 expression decreased with age, increased with body mass index, was similar in women and men and patients on and not on statin therapy, and showed no relationship to epicardial fat volume or waist circumference. UCP-1 expression was similar in patients without and with severe coronary atherosclerosis and metabolic syndrome or type 2 diabetes. PRDM16 and PGC-1 alpha expression was 2-fold greater in epicardial than sc fat. Epicardial fat UCP-1, PRDM16, and PGC1-alpha mRNAs were similar in diabetics treated with thiazolidinediones compared to diabetics not treated with thiazolidinediones. CONCLUSION Because UCP-1 is expressed at high levels in epicardial fat as compared to other fat depots, the possibility should be considered that epicardial fat functions like brown fat to defend the myocardium and coronary vessels against hypothermia. This process could be blunted in the elderly.","author":[{"dropping-particle":"","family":"Sacks","given":"Harold S.","non-dropping-particle":"","parse-names":false,"suffix":""},{"dropping-particle":"","family":"Fain","given":"John N.","non-dropping-particle":"","parse-names":false,"suffix":""},{"dropping-particle":"","family":"Holman","given":"Ben","non-dropping-particle":"","parse-names":false,"suffix":""},{"dropping-particle":"","family":"Cheema","given":"Paramjeet","non-dropping-particle":"","parse-names":false,"suffix":""},{"dropping-particle":"","family":"Chary","given":"Aron","non-dropping-particle":"","parse-names":false,"suffix":""},{"dropping-particle":"","family":"Parks","given":"Frank","non-dropping-particle":"","parse-names":false,"suffix":""},{"dropping-particle":"","family":"Karas","given":"James","non-dropping-particle":"","parse-names":false,"suffix":""},{"dropping-particle":"","family":"Optican","given":"Robert","non-dropping-particle":"","parse-names":false,"suffix":""},{"dropping-particle":"","family":"Bahouth","given":"Suleiman W.","non-dropping-particle":"","parse-names":false,"suffix":""},{"dropping-particle":"","family":"Garrett","given":"Edward","non-dropping-particle":"","parse-names":false,"suffix":""},{"dropping-particle":"","family":"Wolf","given":"Rodney Y.","non-dropping-particle":"","parse-names":false,"suffix":""},{"dropping-particle":"","family":"Carter","given":"Russell A.","non-dropping-particle":"","parse-names":false,"suffix":""},{"dropping-particle":"","family":"Robbins","given":"Todd","non-dropping-particle":"","parse-names":false,"suffix":""},{"dropping-particle":"","family":"Wolford","given":"David","non-dropping-particle":"","parse-names":false,"suffix":""},{"dropping-particle":"","family":"Samaha","given":"Joseph","non-dropping-particle":"","parse-names":false,"suffix":""}],"container-title":"The Journal of Clinical Endocrinology &amp; Metabolism","id":"ITEM-2","issue":"9","issued":{"date-parts":[["2009","9"]]},"page":"3611-3615","title":"Uncoupling Protein-1 and Related Messenger Ribonucleic Acids in Human Epicardial and Other Adipose Tissues: Epicardial Fat Functioning as Brown Fat","type":"article-journal","volume":"94"},"uris":["http://www.mendeley.com/documents/?uuid=d3093197-261e-3cf6-b279-de32395e6b82"]}],"mendeley":{"formattedCitation":"(50,51)","plainTextFormattedCitation":"(50,51)","previouslyFormattedCitation":"(50,51)"},"properties":{"noteIndex":0},"schema":"https://github.com/citation-style-language/schema/raw/master/csl-citation.json"}</w:instrText>
      </w:r>
      <w:r w:rsidR="00841F74">
        <w:rPr>
          <w:rFonts w:ascii="Times New Roman" w:hAnsi="Times New Roman" w:cs="Times New Roman"/>
          <w:sz w:val="24"/>
          <w:szCs w:val="24"/>
          <w:lang w:val="en-US"/>
        </w:rPr>
        <w:fldChar w:fldCharType="separate"/>
      </w:r>
      <w:r w:rsidR="00841F74" w:rsidRPr="00841F74">
        <w:rPr>
          <w:rFonts w:ascii="Times New Roman" w:hAnsi="Times New Roman" w:cs="Times New Roman"/>
          <w:noProof/>
          <w:sz w:val="24"/>
          <w:szCs w:val="24"/>
          <w:lang w:val="en-US"/>
        </w:rPr>
        <w:t>(50,51)</w:t>
      </w:r>
      <w:r w:rsidR="00841F74">
        <w:rPr>
          <w:rFonts w:ascii="Times New Roman" w:hAnsi="Times New Roman" w:cs="Times New Roman"/>
          <w:sz w:val="24"/>
          <w:szCs w:val="24"/>
          <w:lang w:val="en-US"/>
        </w:rPr>
        <w:fldChar w:fldCharType="end"/>
      </w:r>
      <w:r w:rsidR="00841F74">
        <w:rPr>
          <w:rFonts w:ascii="Times New Roman" w:hAnsi="Times New Roman" w:cs="Times New Roman"/>
          <w:sz w:val="24"/>
          <w:szCs w:val="24"/>
          <w:lang w:val="en-US"/>
        </w:rPr>
        <w:t xml:space="preserve">. </w:t>
      </w:r>
      <w:bookmarkEnd w:id="16"/>
      <w:r>
        <w:rPr>
          <w:rFonts w:ascii="Times New Roman" w:hAnsi="Times New Roman" w:cs="Times New Roman"/>
          <w:sz w:val="24"/>
          <w:szCs w:val="24"/>
          <w:lang w:val="en-US"/>
        </w:rPr>
        <w:t>In our study</w:t>
      </w:r>
      <w:r w:rsidRPr="001417BE">
        <w:rPr>
          <w:rFonts w:ascii="Times New Roman" w:hAnsi="Times New Roman" w:cs="Times New Roman"/>
          <w:sz w:val="24"/>
          <w:szCs w:val="24"/>
          <w:lang w:val="en-US"/>
        </w:rPr>
        <w:t>, th</w:t>
      </w:r>
      <w:r>
        <w:rPr>
          <w:rFonts w:ascii="Times New Roman" w:hAnsi="Times New Roman" w:cs="Times New Roman"/>
          <w:sz w:val="24"/>
          <w:szCs w:val="24"/>
          <w:lang w:val="en-US"/>
        </w:rPr>
        <w:t xml:space="preserve">e </w:t>
      </w:r>
      <w:r w:rsidR="00A514FE">
        <w:rPr>
          <w:rFonts w:ascii="Times New Roman" w:hAnsi="Times New Roman" w:cs="Times New Roman"/>
          <w:sz w:val="24"/>
          <w:szCs w:val="24"/>
          <w:lang w:val="en-US"/>
        </w:rPr>
        <w:t xml:space="preserve">weak </w:t>
      </w:r>
      <w:r w:rsidRPr="001417BE">
        <w:rPr>
          <w:rFonts w:ascii="Times New Roman" w:hAnsi="Times New Roman" w:cs="Times New Roman"/>
          <w:sz w:val="24"/>
          <w:szCs w:val="24"/>
          <w:lang w:val="en-US"/>
        </w:rPr>
        <w:t xml:space="preserve">association </w:t>
      </w:r>
      <w:r>
        <w:rPr>
          <w:rFonts w:ascii="Times New Roman" w:hAnsi="Times New Roman" w:cs="Times New Roman"/>
          <w:sz w:val="24"/>
          <w:szCs w:val="24"/>
          <w:lang w:val="en-US"/>
        </w:rPr>
        <w:t xml:space="preserve">between BAT volume and </w:t>
      </w:r>
      <w:r w:rsidR="00986EC4">
        <w:rPr>
          <w:rFonts w:ascii="Times New Roman" w:hAnsi="Times New Roman" w:cs="Times New Roman"/>
          <w:sz w:val="24"/>
          <w:szCs w:val="24"/>
          <w:lang w:val="en-US"/>
        </w:rPr>
        <w:t>whole-</w:t>
      </w:r>
      <w:r>
        <w:rPr>
          <w:rFonts w:ascii="Times New Roman" w:hAnsi="Times New Roman" w:cs="Times New Roman"/>
          <w:sz w:val="24"/>
          <w:szCs w:val="24"/>
          <w:lang w:val="en-US"/>
        </w:rPr>
        <w:t xml:space="preserve">body adiposity </w:t>
      </w:r>
      <w:r w:rsidR="00CA7000">
        <w:rPr>
          <w:rFonts w:ascii="Times New Roman" w:hAnsi="Times New Roman" w:cs="Times New Roman"/>
          <w:sz w:val="24"/>
          <w:szCs w:val="24"/>
          <w:lang w:val="en-US"/>
        </w:rPr>
        <w:t xml:space="preserve">observed in men </w:t>
      </w:r>
      <w:r w:rsidRPr="001417BE">
        <w:rPr>
          <w:rFonts w:ascii="Times New Roman" w:hAnsi="Times New Roman" w:cs="Times New Roman"/>
          <w:sz w:val="24"/>
          <w:szCs w:val="24"/>
          <w:lang w:val="en-US"/>
        </w:rPr>
        <w:t xml:space="preserve">persisted after accounting for BAT mean radiodensity, suggesting that increases in BAT volume are not driven purely by lipid accumulation </w:t>
      </w:r>
      <w:r>
        <w:rPr>
          <w:rFonts w:ascii="Times New Roman" w:hAnsi="Times New Roman" w:cs="Times New Roman"/>
          <w:sz w:val="24"/>
          <w:szCs w:val="24"/>
          <w:lang w:val="en-US"/>
        </w:rPr>
        <w:t>(i.e.</w:t>
      </w:r>
      <w:r w:rsidRPr="001417BE">
        <w:rPr>
          <w:rFonts w:ascii="Times New Roman" w:hAnsi="Times New Roman" w:cs="Times New Roman"/>
          <w:sz w:val="24"/>
          <w:szCs w:val="24"/>
          <w:lang w:val="en-US"/>
        </w:rPr>
        <w:t xml:space="preserve"> brown adipocyte hypertrophy</w:t>
      </w:r>
      <w:r>
        <w:rPr>
          <w:rFonts w:ascii="Times New Roman" w:hAnsi="Times New Roman" w:cs="Times New Roman"/>
          <w:sz w:val="24"/>
          <w:szCs w:val="24"/>
          <w:lang w:val="en-US"/>
        </w:rPr>
        <w:t>)</w:t>
      </w:r>
      <w:r w:rsidRPr="001417BE">
        <w:rPr>
          <w:rFonts w:ascii="Times New Roman" w:hAnsi="Times New Roman" w:cs="Times New Roman"/>
          <w:sz w:val="24"/>
          <w:szCs w:val="24"/>
          <w:lang w:val="en-US"/>
        </w:rPr>
        <w:t xml:space="preserve">. Thus, </w:t>
      </w:r>
      <w:r>
        <w:rPr>
          <w:rFonts w:ascii="Times New Roman" w:hAnsi="Times New Roman" w:cs="Times New Roman"/>
          <w:sz w:val="24"/>
          <w:szCs w:val="24"/>
          <w:lang w:val="en-US"/>
        </w:rPr>
        <w:t xml:space="preserve">it </w:t>
      </w:r>
      <w:r w:rsidR="00DA4D2A">
        <w:rPr>
          <w:rFonts w:ascii="Times New Roman" w:hAnsi="Times New Roman" w:cs="Times New Roman"/>
          <w:sz w:val="24"/>
          <w:szCs w:val="24"/>
          <w:lang w:val="en-US"/>
        </w:rPr>
        <w:t>might be</w:t>
      </w:r>
      <w:r w:rsidRPr="001417BE">
        <w:rPr>
          <w:rFonts w:ascii="Times New Roman" w:hAnsi="Times New Roman" w:cs="Times New Roman"/>
          <w:sz w:val="24"/>
          <w:szCs w:val="24"/>
          <w:lang w:val="en-US"/>
        </w:rPr>
        <w:t xml:space="preserve"> </w:t>
      </w:r>
      <w:r>
        <w:rPr>
          <w:rFonts w:ascii="Times New Roman" w:hAnsi="Times New Roman" w:cs="Times New Roman"/>
          <w:sz w:val="24"/>
          <w:szCs w:val="24"/>
          <w:lang w:val="en-US"/>
        </w:rPr>
        <w:t>that</w:t>
      </w:r>
      <w:r w:rsidR="004D5E41">
        <w:rPr>
          <w:rFonts w:ascii="Times New Roman" w:hAnsi="Times New Roman" w:cs="Times New Roman"/>
          <w:sz w:val="24"/>
          <w:szCs w:val="24"/>
          <w:lang w:val="en-US"/>
        </w:rPr>
        <w:t>, at least in young men,</w:t>
      </w:r>
      <w:r>
        <w:rPr>
          <w:rFonts w:ascii="Times New Roman" w:hAnsi="Times New Roman" w:cs="Times New Roman"/>
          <w:sz w:val="24"/>
          <w:szCs w:val="24"/>
          <w:lang w:val="en-US"/>
        </w:rPr>
        <w:t xml:space="preserve"> </w:t>
      </w:r>
      <w:r w:rsidRPr="001417BE">
        <w:rPr>
          <w:rFonts w:ascii="Times New Roman" w:hAnsi="Times New Roman" w:cs="Times New Roman"/>
          <w:sz w:val="24"/>
          <w:szCs w:val="24"/>
          <w:lang w:val="en-US"/>
        </w:rPr>
        <w:t>both BAT hypertrophy (i.e., increased brown adipocytes size driven by increased fat content) and hyperplasia (i.e., the recruitment of new brown adipocytes) occur in parallel with increases in body fat</w:t>
      </w:r>
      <w:r w:rsidR="00DA4D2A">
        <w:rPr>
          <w:rFonts w:ascii="Times New Roman" w:hAnsi="Times New Roman" w:cs="Times New Roman"/>
          <w:sz w:val="24"/>
          <w:szCs w:val="24"/>
          <w:lang w:val="en-US"/>
        </w:rPr>
        <w:t xml:space="preserve">. </w:t>
      </w:r>
      <w:r w:rsidR="004D5E41">
        <w:rPr>
          <w:rFonts w:ascii="Times New Roman" w:hAnsi="Times New Roman" w:cs="Times New Roman"/>
          <w:sz w:val="24"/>
          <w:szCs w:val="24"/>
          <w:lang w:val="en-US"/>
        </w:rPr>
        <w:t xml:space="preserve">This is very speculative at this point and need further testing. However, it </w:t>
      </w:r>
      <w:r w:rsidR="00DA4D2A">
        <w:rPr>
          <w:rFonts w:ascii="Times New Roman" w:hAnsi="Times New Roman" w:cs="Times New Roman"/>
          <w:sz w:val="24"/>
          <w:szCs w:val="24"/>
          <w:lang w:val="en-US"/>
        </w:rPr>
        <w:t xml:space="preserve">would </w:t>
      </w:r>
      <w:r w:rsidR="003303E2">
        <w:rPr>
          <w:rFonts w:ascii="Times New Roman" w:hAnsi="Times New Roman" w:cs="Times New Roman"/>
          <w:sz w:val="24"/>
          <w:szCs w:val="24"/>
          <w:lang w:val="en-US"/>
        </w:rPr>
        <w:t xml:space="preserve">be in agreement </w:t>
      </w:r>
      <w:r w:rsidR="00D05641" w:rsidRPr="001417BE">
        <w:rPr>
          <w:rFonts w:ascii="Times New Roman" w:hAnsi="Times New Roman" w:cs="Times New Roman"/>
          <w:sz w:val="24"/>
          <w:szCs w:val="24"/>
          <w:lang w:val="en-US"/>
        </w:rPr>
        <w:t>with murine studies</w:t>
      </w:r>
      <w:r w:rsidR="00DA4D2A">
        <w:rPr>
          <w:rFonts w:ascii="Times New Roman" w:hAnsi="Times New Roman" w:cs="Times New Roman"/>
          <w:sz w:val="24"/>
          <w:szCs w:val="24"/>
          <w:lang w:val="en-US"/>
        </w:rPr>
        <w:t xml:space="preserve"> conducted at room temperature</w:t>
      </w:r>
      <w:r w:rsidR="00D05641" w:rsidRPr="001417BE">
        <w:rPr>
          <w:rFonts w:ascii="Times New Roman" w:hAnsi="Times New Roman" w:cs="Times New Roman"/>
          <w:sz w:val="24"/>
          <w:szCs w:val="24"/>
          <w:lang w:val="en-US"/>
        </w:rPr>
        <w:t xml:space="preserve"> </w:t>
      </w:r>
      <w:r w:rsidR="00D05641" w:rsidRPr="001417BE">
        <w:rPr>
          <w:rFonts w:ascii="Times New Roman" w:eastAsia="Times New Roman" w:hAnsi="Times New Roman" w:cs="Times New Roman"/>
          <w:sz w:val="24"/>
          <w:szCs w:val="20"/>
          <w:lang w:val="en-US" w:eastAsia="es-ES"/>
        </w:rPr>
        <w:fldChar w:fldCharType="begin" w:fldLock="1"/>
      </w:r>
      <w:r w:rsidR="00CC0D78">
        <w:rPr>
          <w:rFonts w:ascii="Times New Roman" w:eastAsia="Times New Roman" w:hAnsi="Times New Roman" w:cs="Times New Roman"/>
          <w:sz w:val="24"/>
          <w:szCs w:val="20"/>
          <w:lang w:val="en-US" w:eastAsia="es-ES"/>
        </w:rPr>
        <w:instrText>ADDIN CSL_CITATION {"citationItems":[{"id":"ITEM-1","itemData":{"DOI":"10.1016/J.CMET.2008.12.014","ISSN":"1550-4131","abstract":"As original studies of UCP1-ablated mice failed to demonstrate an obesogenic effect, alternative mechanisms for adaptive adrenergic thermogenesis have been sought. However, we demonstrate here that in C57Bl6 mice exempt from thermal stress (i.e., kept at thermoneutrality), UCP1 ablation in itself induced obesity, even in mice fed control diet, and vastly augmented diet-induced obesity (high-fat diet); i.e., the mice exhibited increased metabolic efficiency. In wild-type mice, high-fat diet increased norepinephrine-induced thermogenesis; i.e., diet-induced thermogenesis was observed, but no such effect was observed in UCP1-ablated mice, demonstrating that diet-induced thermogenesis fully emanates from UCP1 activity. We conclude that ambient temperature is qualitatively determinative for the outcome of metabolic studies, that no other protein and no other mechanism can substitute for UCP1 in mediating diet-induced adrenergic thermogenesis, and that UCP1 activity can be determinative for obesity development in mice and possibly in humans.","author":[{"dropping-particle":"","family":"Feldmann","given":"Helena M.","non-dropping-particle":"","parse-names":false,"suffix":""},{"dropping-particle":"","family":"Golozoubova","given":"Valeria","non-dropping-particle":"","parse-names":false,"suffix":""},{"dropping-particle":"","family":"Cannon","given":"Barbara","non-dropping-particle":"","parse-names":false,"suffix":""},{"dropping-particle":"","family":"Nedergaard","given":"Jan","non-dropping-particle":"","parse-names":false,"suffix":""}],"container-title":"Cell Metabolism","id":"ITEM-1","issue":"2","issued":{"date-parts":[["2009","2","4"]]},"page":"203-209","publisher":"Cell Press","title":"UCP1 Ablation Induces Obesity and Abolishes Diet-Induced Thermogenesis in Mice Exempt from Thermal Stress by Living at Thermoneutrality","type":"article-journal","volume":"9"},"uris":["http://www.mendeley.com/documents/?uuid=b4f25a45-e008-3cf0-a832-09f2ab22a8f9"]},{"id":"ITEM-2","itemData":{"DOI":"10.1152/ajpcell.1983.244.3.C142","ISSN":"0363-6143","PMID":"6299108","abstract":"Brown adipose tissue has earlier been suggested as an important site of the diet-induced thermogenesis that results from cafeteria feeding in rats. The aim of the present communication has been to see if any defined component of this diet can mimic the effects of the diet on the trophic response of brown fat and if these effects are mediated by the sympathetic nervous system. Rats fed a lipid emulsion did not show hypertrophy of brown adipose tissue. Rats fed a glucose solution, whether voluntarily or by force feeding, showed a clear trophic response of brown fat, as seen by the morphology of the tissue and its increased wet weight, increased protein content, increased total and specific cytochrome c oxidase activity, and increased mitochondrial guanosine diphosphate binding. Chemical sympathectomy of young rats by guanethidine prior to glucose feeding impaired the glucose-induced effects on brown fat. beta-Adrenergic blockade in adult rats also tended to depress the glucose effect. Consequently we conclude that chronic glucose ingestion can mimic cafeteria feeding with respect to the trophic response of brown fat and that an intact sympathetic nervous system is required for the mediation of the glucose effect to the brown adipose tissue.","author":[{"dropping-particle":"","family":"Sundin","given":"U.","non-dropping-particle":"","parse-names":false,"suffix":""},{"dropping-particle":"","family":"Nechad","given":"M.","non-dropping-particle":"","parse-names":false,"suffix":""}],"container-title":"American Journal of Physiology-Cell Physiology","id":"ITEM-2","issue":"3","issued":{"date-parts":[["1983","3"]]},"page":"C142-C149","title":"Trophic response of rat brown fat by glucose feeding: involvement of sympathetic nervous system","type":"article-journal","volume":"244"},"uris":["http://www.mendeley.com/documents/?uuid=37104afb-596d-3e28-9dad-db550e690d2e"]},{"id":"ITEM-3","itemData":{"DOI":"10.1093/jn/117.12.2147","ISSN":"0022-3166","PMID":"3320290","abstract":"The effects on energy balance and brown adipose tissue thermogenesis of feeding high fat diets of differing fatty acid composition have been investigated in lean and genetically obese (ob/ob) mice. Groups of mice were fed either a low fat diet or a high fat diet based on corn oil or beef tallow for 2 wk. Energy intake and body weight gain were higher in both lean and obese animals fed the high fat diets than in respective mice fed the low fat diets. Carcass energy gain was greater for the obese than for the lean consuming each of the diets. Both lean and obese mice had a higher energy gain when fed the beef tallow diet than when fed the corn oil, despite isoenergetic intakes of the two diets. The thermogenic activity of brown adipose tissue, assessed from measurements of cytochrome oxidase activity and mitochondrial guanosine 5'-diphosphate (GDP) binding, were greater in both lean and obese mice fed the corn oil diet than in those fed the low fat diet. However, GDP binding and cytochrome oxidase activities in lean or obese mice fed the beef tallow diet were not different from those of mice of the same genotype fed the low fat diet. These results indicate that in both lean and obese (ob/ob) mice energy deposition and the stimulation of brown adipose tissue thermogenesis during the voluntary hyperphagia induced by feeding high fat diets are influenced by the fatty acid composition of the diet. A diet rich in polyunsaturated fatty acids appears to result in preferential stimulation of the thermogenic activity of brown adipose tissue, particularly in the ob/ob mouse.","author":[{"dropping-particle":"","family":"Mercer","given":"Stewart W.","non-dropping-particle":"","parse-names":false,"suffix":""},{"dropping-particle":"","family":"Trayhurn","given":"Paul","non-dropping-particle":"","parse-names":false,"suffix":""}],"container-title":"The Journal of Nutrition","id":"ITEM-3","issue":"12","issued":{"date-parts":[["1987","12","1"]]},"page":"2147-2153","title":"Effect of High Fat Diets on Energy Balance and Thermogenesis in Brown Adipose Tissue of Lean and Genetically Obese ob/ob Mice","type":"article-journal","volume":"117"},"uris":["http://www.mendeley.com/documents/?uuid=8bfc5d4d-c508-3db0-91aa-f39535ccbd4f"]}],"mendeley":{"formattedCitation":"(12–14)","plainTextFormattedCitation":"(12–14)","previouslyFormattedCitation":"(12–14)"},"properties":{"noteIndex":0},"schema":"https://github.com/citation-style-language/schema/raw/master/csl-citation.json"}</w:instrText>
      </w:r>
      <w:r w:rsidR="00D05641" w:rsidRPr="001417BE">
        <w:rPr>
          <w:rFonts w:ascii="Times New Roman" w:eastAsia="Times New Roman" w:hAnsi="Times New Roman" w:cs="Times New Roman"/>
          <w:sz w:val="24"/>
          <w:szCs w:val="20"/>
          <w:lang w:val="en-US" w:eastAsia="es-ES"/>
        </w:rPr>
        <w:fldChar w:fldCharType="separate"/>
      </w:r>
      <w:r w:rsidR="00E8498D" w:rsidRPr="00E8498D">
        <w:rPr>
          <w:rFonts w:ascii="Times New Roman" w:eastAsia="Times New Roman" w:hAnsi="Times New Roman" w:cs="Times New Roman"/>
          <w:noProof/>
          <w:sz w:val="24"/>
          <w:szCs w:val="20"/>
          <w:lang w:val="en-US" w:eastAsia="es-ES"/>
        </w:rPr>
        <w:t>(12–14)</w:t>
      </w:r>
      <w:r w:rsidR="00D05641" w:rsidRPr="001417BE">
        <w:rPr>
          <w:rFonts w:ascii="Times New Roman" w:eastAsia="Times New Roman" w:hAnsi="Times New Roman" w:cs="Times New Roman"/>
          <w:sz w:val="24"/>
          <w:szCs w:val="20"/>
          <w:lang w:val="en-US" w:eastAsia="es-ES"/>
        </w:rPr>
        <w:fldChar w:fldCharType="end"/>
      </w:r>
      <w:r w:rsidR="00D05641" w:rsidRPr="001417BE">
        <w:rPr>
          <w:rFonts w:ascii="Times New Roman" w:hAnsi="Times New Roman" w:cs="Times New Roman"/>
          <w:sz w:val="24"/>
          <w:szCs w:val="24"/>
          <w:lang w:val="en-US"/>
        </w:rPr>
        <w:t xml:space="preserve">. Nonetheless, even if </w:t>
      </w:r>
      <w:r w:rsidR="00D05641" w:rsidRPr="001417BE">
        <w:rPr>
          <w:rFonts w:ascii="Times New Roman" w:hAnsi="Times New Roman" w:cs="Times New Roman"/>
          <w:sz w:val="24"/>
          <w:szCs w:val="24"/>
          <w:lang w:val="en-US"/>
        </w:rPr>
        <w:lastRenderedPageBreak/>
        <w:t xml:space="preserve">it is assumed that </w:t>
      </w:r>
      <w:r w:rsidR="003303E2">
        <w:rPr>
          <w:rFonts w:ascii="Times New Roman" w:hAnsi="Times New Roman" w:cs="Times New Roman"/>
          <w:sz w:val="24"/>
          <w:szCs w:val="24"/>
          <w:lang w:val="en-US"/>
        </w:rPr>
        <w:t>positive energy balance</w:t>
      </w:r>
      <w:r w:rsidR="00D05641" w:rsidRPr="001417BE">
        <w:rPr>
          <w:rFonts w:ascii="Times New Roman" w:hAnsi="Times New Roman" w:cs="Times New Roman"/>
          <w:sz w:val="24"/>
          <w:szCs w:val="24"/>
          <w:lang w:val="en-US"/>
        </w:rPr>
        <w:t xml:space="preserve"> induces BAT hypertrophy and hyperplasia in humans</w:t>
      </w:r>
      <w:r w:rsidR="00D05641" w:rsidRPr="00F42694">
        <w:rPr>
          <w:rFonts w:ascii="Times New Roman" w:hAnsi="Times New Roman" w:cs="Times New Roman"/>
          <w:sz w:val="24"/>
          <w:szCs w:val="24"/>
          <w:lang w:val="en-US"/>
        </w:rPr>
        <w:t>, its importance remains to be determined.</w:t>
      </w:r>
      <w:r w:rsidR="00D05641" w:rsidRPr="006B47B9">
        <w:rPr>
          <w:rFonts w:ascii="Times New Roman" w:hAnsi="Times New Roman" w:cs="Times New Roman"/>
          <w:sz w:val="24"/>
          <w:szCs w:val="24"/>
          <w:lang w:val="en-US"/>
        </w:rPr>
        <w:t xml:space="preserve"> </w:t>
      </w:r>
      <w:r w:rsidR="003303E2" w:rsidRPr="006B47B9">
        <w:rPr>
          <w:rFonts w:ascii="Times New Roman" w:hAnsi="Times New Roman" w:cs="Times New Roman"/>
          <w:sz w:val="24"/>
          <w:szCs w:val="24"/>
          <w:lang w:val="en-US"/>
        </w:rPr>
        <w:t xml:space="preserve">A failure in </w:t>
      </w:r>
      <w:r w:rsidR="00DA4D2A">
        <w:rPr>
          <w:rFonts w:ascii="Times New Roman" w:hAnsi="Times New Roman" w:cs="Times New Roman"/>
          <w:sz w:val="24"/>
          <w:szCs w:val="24"/>
          <w:lang w:val="en-US"/>
        </w:rPr>
        <w:t>white adipose tissue</w:t>
      </w:r>
      <w:r w:rsidR="003303E2" w:rsidRPr="001417BE">
        <w:rPr>
          <w:rFonts w:ascii="Times New Roman" w:hAnsi="Times New Roman" w:cs="Times New Roman"/>
          <w:sz w:val="24"/>
          <w:szCs w:val="24"/>
          <w:lang w:val="en-US"/>
        </w:rPr>
        <w:t xml:space="preserve"> expansion seems to be the critical factor in determining </w:t>
      </w:r>
      <w:r w:rsidR="004D5E41">
        <w:rPr>
          <w:rFonts w:ascii="Times New Roman" w:hAnsi="Times New Roman" w:cs="Times New Roman"/>
          <w:sz w:val="24"/>
          <w:szCs w:val="24"/>
          <w:lang w:val="en-US"/>
        </w:rPr>
        <w:t>white adipocytes function and</w:t>
      </w:r>
      <w:r w:rsidR="00CC0946">
        <w:rPr>
          <w:rFonts w:ascii="Times New Roman" w:hAnsi="Times New Roman" w:cs="Times New Roman"/>
          <w:sz w:val="24"/>
          <w:szCs w:val="24"/>
          <w:lang w:val="en-US"/>
        </w:rPr>
        <w:t xml:space="preserve">, consequently, </w:t>
      </w:r>
      <w:r w:rsidR="003303E2" w:rsidRPr="001417BE">
        <w:rPr>
          <w:rFonts w:ascii="Times New Roman" w:hAnsi="Times New Roman" w:cs="Times New Roman"/>
          <w:sz w:val="24"/>
          <w:szCs w:val="24"/>
          <w:lang w:val="en-US"/>
        </w:rPr>
        <w:t xml:space="preserve">when lipotoxicity occurs in other organs </w:t>
      </w:r>
      <w:r w:rsidR="003303E2" w:rsidRPr="001417BE">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{"citationItems":[{"id":"ITEM-1","itemData":{"DOI":"10.1007/978-3-319-48382-5_7","ISSN":"0065-2598","PMID":"28585199","abstract":"The adipose tissue organ is organised as distinct anatomical depots located all along the body axis and it is constituted of three different types of adipocytes : white, beige and brown which are integrated with vascular, immune, neural and extracellular stroma cells. These distinct adipocytes serve different specialised functions. The main function of white adipocytes is to ensure healthy storage of excess nutrients/energy and its rapid mobilisation to supply the demand of energy imposed by physiological cues in other organs, whereas brown and beige adipocytes are designed for heat production through uncoupling lipid oxidation from energy production. The concert action of the three type of adipocytes/tissues has been reported to ensure an optimal metabolic status in rodents. However, when one or multiple of these adipose depots become dysfunctional as a consequence of sustained lipid/nutrient overload, then insulin resistance and associated metabolic complications ensue. These metabolic alterations negatively affects the adipose tissue functionality and compromises global metabolic homeostasis. Optimising white adipose tissue expandability and its functional metabolic flexibility and/or promoting brown/beige mediated thermogenic activity counteracts obesity and its associated lipotoxic metabolic effects. The development of these therapeutic approaches requires a deep understanding of adipose tissue in all broad aspects. In this chapter we will discuss the characteristics of the different adipose tissue depots with respect to origins and precursors recruitment, plasticity, cellular composition and expandability capacity as well as molecular and metabolic signatures in both physiological and pathophysiological conditions.","author":[{"dropping-particle":"","family":"Carobbio","given":"Stefania","non-dropping-particle":"","parse-names":false,"suffix":""},{"dropping-particle":"","family":"Pellegrinelli","given":"Vanessa","non-dropping-particle":"","parse-names":false,"suffix":""},{"dropping-particle":"","family":"Vidal-Puig","given":"Antonio","non-dropping-particle":"","parse-names":false,"suffix":""}],"container-title":"Advances in experimental medicine and biology","id":"ITEM-1","issued":{"date-parts":[["2017"]]},"page":"161-196","title":"Adipose Tissue Function and Expandability as Determinants of Lipotoxicity and the Metabolic Syndrome","type":"chapter","volume":"960"},"uris":["http://www.mendeley.com/documents/?uuid=5fffe40e-ed90-333c-934b-8535ba6e5971"]}],"mendeley":{"formattedCitation":"(52)","plainTextFormattedCitation":"(52)","previouslyFormattedCitation":"(52)"},"properties":{"noteIndex":0},"schema":"https://github.com/citation-style-language/schema/raw/master/csl-citation.json"}</w:instrText>
      </w:r>
      <w:r w:rsidR="003303E2" w:rsidRPr="001417BE">
        <w:rPr>
          <w:rFonts w:ascii="Times New Roman" w:hAnsi="Times New Roman" w:cs="Times New Roman"/>
          <w:sz w:val="24"/>
          <w:szCs w:val="24"/>
          <w:lang w:val="en-US"/>
        </w:rPr>
        <w:fldChar w:fldCharType="separate"/>
      </w:r>
      <w:r w:rsidR="00841F74" w:rsidRPr="00841F74">
        <w:rPr>
          <w:rFonts w:ascii="Times New Roman" w:hAnsi="Times New Roman" w:cs="Times New Roman"/>
          <w:noProof/>
          <w:sz w:val="24"/>
          <w:szCs w:val="24"/>
          <w:lang w:val="en-US"/>
        </w:rPr>
        <w:t>(52)</w:t>
      </w:r>
      <w:r w:rsidR="003303E2" w:rsidRPr="001417BE">
        <w:rPr>
          <w:rFonts w:ascii="Times New Roman" w:hAnsi="Times New Roman" w:cs="Times New Roman"/>
          <w:sz w:val="24"/>
          <w:szCs w:val="24"/>
          <w:lang w:val="en-US"/>
        </w:rPr>
        <w:fldChar w:fldCharType="end"/>
      </w:r>
      <w:r w:rsidR="003303E2" w:rsidRPr="001417BE">
        <w:rPr>
          <w:rFonts w:ascii="Times New Roman" w:hAnsi="Times New Roman" w:cs="Times New Roman"/>
          <w:sz w:val="24"/>
          <w:szCs w:val="24"/>
          <w:lang w:val="en-US"/>
        </w:rPr>
        <w:t xml:space="preserve">. </w:t>
      </w:r>
      <w:r w:rsidR="00DA4D2A">
        <w:rPr>
          <w:rFonts w:ascii="Times New Roman" w:hAnsi="Times New Roman" w:cs="Times New Roman"/>
          <w:sz w:val="24"/>
          <w:szCs w:val="24"/>
          <w:lang w:val="en-US"/>
        </w:rPr>
        <w:t>Similarly</w:t>
      </w:r>
      <w:r w:rsidR="003303E2">
        <w:rPr>
          <w:rFonts w:ascii="Times New Roman" w:hAnsi="Times New Roman" w:cs="Times New Roman"/>
          <w:sz w:val="24"/>
          <w:szCs w:val="24"/>
          <w:lang w:val="en-US"/>
        </w:rPr>
        <w:t xml:space="preserve">, different grades of BAT </w:t>
      </w:r>
      <w:r w:rsidR="003303E2" w:rsidRPr="001417BE">
        <w:rPr>
          <w:rFonts w:ascii="Times New Roman" w:hAnsi="Times New Roman" w:cs="Times New Roman"/>
          <w:sz w:val="24"/>
          <w:szCs w:val="24"/>
          <w:lang w:val="en-US"/>
        </w:rPr>
        <w:t>hypertrophy and hyperplasia</w:t>
      </w:r>
      <w:r w:rsidR="003303E2">
        <w:rPr>
          <w:rFonts w:ascii="Times New Roman" w:hAnsi="Times New Roman" w:cs="Times New Roman"/>
          <w:sz w:val="24"/>
          <w:szCs w:val="24"/>
          <w:lang w:val="en-US"/>
        </w:rPr>
        <w:t xml:space="preserve"> in response to positive energy balance might determine </w:t>
      </w:r>
      <w:r w:rsidR="004D5E41">
        <w:rPr>
          <w:rFonts w:ascii="Times New Roman" w:hAnsi="Times New Roman" w:cs="Times New Roman"/>
          <w:sz w:val="24"/>
          <w:szCs w:val="24"/>
          <w:lang w:val="en-US"/>
        </w:rPr>
        <w:t>brown adipocytes’ function, and i</w:t>
      </w:r>
      <w:r w:rsidR="003303E2">
        <w:rPr>
          <w:rFonts w:ascii="Times New Roman" w:hAnsi="Times New Roman" w:cs="Times New Roman"/>
          <w:sz w:val="24"/>
          <w:szCs w:val="24"/>
          <w:lang w:val="en-US"/>
        </w:rPr>
        <w:t>t is tempting to speculate that those individuals presenting high</w:t>
      </w:r>
      <w:r w:rsidR="004D5E41">
        <w:rPr>
          <w:rFonts w:ascii="Times New Roman" w:hAnsi="Times New Roman" w:cs="Times New Roman"/>
          <w:sz w:val="24"/>
          <w:szCs w:val="24"/>
          <w:lang w:val="en-US"/>
        </w:rPr>
        <w:t>er</w:t>
      </w:r>
      <w:r w:rsidR="003303E2">
        <w:rPr>
          <w:rFonts w:ascii="Times New Roman" w:hAnsi="Times New Roman" w:cs="Times New Roman"/>
          <w:sz w:val="24"/>
          <w:szCs w:val="24"/>
          <w:lang w:val="en-US"/>
        </w:rPr>
        <w:t xml:space="preserve"> BAT adipogenesis capacity would better preserve BAT thermogenic function</w:t>
      </w:r>
      <w:r w:rsidR="00CA7000">
        <w:rPr>
          <w:rFonts w:ascii="Times New Roman" w:hAnsi="Times New Roman" w:cs="Times New Roman"/>
          <w:sz w:val="24"/>
          <w:szCs w:val="24"/>
          <w:lang w:val="en-US"/>
        </w:rPr>
        <w:t xml:space="preserve"> in response to overfeeding</w:t>
      </w:r>
      <w:r w:rsidR="00DA4D2A">
        <w:rPr>
          <w:rFonts w:ascii="Times New Roman" w:hAnsi="Times New Roman" w:cs="Times New Roman"/>
          <w:sz w:val="24"/>
          <w:szCs w:val="24"/>
          <w:lang w:val="en-US"/>
        </w:rPr>
        <w:t>.</w:t>
      </w:r>
    </w:p>
    <w:p w14:paraId="3B3790EC" w14:textId="5548D396" w:rsidR="00191690" w:rsidRDefault="00DA4D2A" w:rsidP="00191690">
      <w:pPr>
        <w:spacing w:line="480" w:lineRule="auto"/>
        <w:jc w:val="both"/>
        <w:rPr>
          <w:rFonts w:ascii="Times New Roman" w:hAnsi="Times New Roman" w:cs="Times New Roman"/>
          <w:sz w:val="24"/>
          <w:szCs w:val="24"/>
          <w:lang w:val="en-US"/>
        </w:rPr>
      </w:pPr>
      <w:r w:rsidRPr="00D05641">
        <w:rPr>
          <w:rFonts w:ascii="Times New Roman" w:hAnsi="Times New Roman" w:cs="Times New Roman"/>
          <w:sz w:val="24"/>
          <w:szCs w:val="24"/>
          <w:lang w:val="en-US"/>
        </w:rPr>
        <w:t xml:space="preserve">Nonetheless, it should be noted that having similar or even higher BAT volume does not necessarily implicate that fatter individuals present similar or higher BAT thermogenic capacity. Indeed, </w:t>
      </w:r>
      <w:r w:rsidR="00AC2374">
        <w:rPr>
          <w:rFonts w:ascii="Times New Roman" w:hAnsi="Times New Roman" w:cs="Times New Roman"/>
          <w:sz w:val="24"/>
          <w:szCs w:val="24"/>
          <w:lang w:val="en-US"/>
        </w:rPr>
        <w:t xml:space="preserve">the opposite is suggested by the </w:t>
      </w:r>
      <w:r w:rsidRPr="00D05641">
        <w:rPr>
          <w:rFonts w:ascii="Times New Roman" w:hAnsi="Times New Roman" w:cs="Times New Roman"/>
          <w:sz w:val="24"/>
          <w:szCs w:val="24"/>
          <w:lang w:val="en-US"/>
        </w:rPr>
        <w:t>observed inverse association between BAT mean radiodensity (a</w:t>
      </w:r>
      <w:r>
        <w:rPr>
          <w:rFonts w:ascii="Times New Roman" w:hAnsi="Times New Roman" w:cs="Times New Roman"/>
          <w:sz w:val="24"/>
          <w:szCs w:val="24"/>
          <w:lang w:val="en-US"/>
        </w:rPr>
        <w:t xml:space="preserve"> </w:t>
      </w:r>
      <w:r w:rsidRPr="00D05641">
        <w:rPr>
          <w:rFonts w:ascii="Times New Roman" w:hAnsi="Times New Roman" w:cs="Times New Roman"/>
          <w:sz w:val="24"/>
          <w:szCs w:val="24"/>
          <w:lang w:val="en-US"/>
        </w:rPr>
        <w:t>proxy of fat content</w:t>
      </w:r>
      <w:r>
        <w:rPr>
          <w:rFonts w:ascii="Times New Roman" w:hAnsi="Times New Roman" w:cs="Times New Roman"/>
          <w:sz w:val="24"/>
          <w:szCs w:val="24"/>
          <w:lang w:val="en-US"/>
        </w:rPr>
        <w:t xml:space="preserve"> </w:t>
      </w:r>
      <w:r w:rsidRPr="001417BE">
        <w:rPr>
          <w:rFonts w:ascii="Times New Roman" w:hAnsi="Times New Roman" w:cs="Times New Roman"/>
          <w:sz w:val="24"/>
          <w:szCs w:val="24"/>
          <w:lang w:val="en-US"/>
        </w:rPr>
        <w:t>[the lower the radiodensity the higher the fat content]</w:t>
      </w:r>
      <w:r>
        <w:rPr>
          <w:rFonts w:ascii="Times New Roman" w:hAnsi="Times New Roman" w:cs="Times New Roman"/>
          <w:sz w:val="24"/>
          <w:szCs w:val="24"/>
          <w:lang w:val="en-US"/>
        </w:rPr>
        <w:t xml:space="preserve">, which </w:t>
      </w:r>
      <w:r w:rsidRPr="00D05641">
        <w:rPr>
          <w:rFonts w:ascii="Times New Roman" w:hAnsi="Times New Roman" w:cs="Times New Roman"/>
          <w:sz w:val="24"/>
          <w:szCs w:val="24"/>
          <w:lang w:val="en-US"/>
        </w:rPr>
        <w:t>has been show</w:t>
      </w:r>
      <w:r w:rsidR="005F124F">
        <w:rPr>
          <w:rFonts w:ascii="Times New Roman" w:hAnsi="Times New Roman" w:cs="Times New Roman"/>
          <w:sz w:val="24"/>
          <w:szCs w:val="24"/>
          <w:lang w:val="en-US"/>
        </w:rPr>
        <w:t>n</w:t>
      </w:r>
      <w:r w:rsidRPr="00D05641">
        <w:rPr>
          <w:rFonts w:ascii="Times New Roman" w:hAnsi="Times New Roman" w:cs="Times New Roman"/>
          <w:sz w:val="24"/>
          <w:szCs w:val="24"/>
          <w:lang w:val="en-US"/>
        </w:rPr>
        <w:t xml:space="preserve"> to be related to impaired BAT thermogenesis </w:t>
      </w:r>
      <w:r w:rsidRPr="00D05641">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{"citationItems":[{"id":"ITEM-1","itemData":{"DOI":"10.1210/jc.2016-2698","ISBN":"1945-7197","ISSN":"19457197","PMID":"28368474","abstract":"Context: Metabolic imaging studying brown adipose tissue (BAT) physiology has increased, in which computed tomography (CT) is commonly used as an anatomical reference for metabolic positron emission tomography (PET) imaging. However, the capacity of CT to provide metabolic information has been underexploited.\nObjective: To evaluate whether CT radiodensity of BAT could noninvasively estimate underlying tissue morphology, regarding amount of stored triglycerides. Furthermore, could the alteration in tissue characteristics due to cold stimulus, as a marker for active BAT, be detected with radiodensity? Can BAT be differentiated from white adipose tissue (WAT) solely using CT-based measurements?\nDesign, Setting, and Participants: A cross-sectional study evaluating 66 healthy human subjects with CT, PET, and 1H-magnetic resonance spectroscopy (1H-MRS).\nMain Outcome Measures: BAT radiodensity was measured with CT. BAT-stored triglyceride content was measured with 1H-MRS. Arterial blood volume in BAT, as a marker of tissue vascularity, was measured with [15O]H2O, along with glucose or fatty acid uptake using [18F]2-fluoro-2-deoxy-D-glucose or 14(R,S)-[18F]fluoro-6-thia-heptadecanoic acid PET imaging, respectively.\nResults: BAT radiodensity was found to be correlating with tissue-retained blood and triglyceride content. Cold stimulus induced an increase in BAT radiodensity. Active BAT depots had higher radiodensity than both nonactive BAT and WAT. BAT radiodensity associated with systemic metabolic health parameters.\nConclusion: BAT radiodensity can be used as a marker of underlying tissue morphology. Active BAT can be identified using CT, exploiting tissue composition information. Moreover, BAT radiodensity provides an insight into whole-body systemic metabolic health.","author":[{"dropping-particle":"","family":"Din","given":"Mueez U.","non-dropping-particle":"","parse-names":false,"suffix":""},{"dropping-particle":"","family":"Raiko","given":"Juho","non-dropping-particle":"","parse-names":false,"suffix":""},{"dropping-particle":"","family":"Saari","given":"Teemu","non-dropping-particle":"","parse-names":false,"suffix":""},{"dropping-particle":"","family":"Saunavaara","given":"Virva","non-dropping-particle":"","parse-names":false,"suffix":""},{"dropping-particle":"","family":"Kudomi","given":"Nobu","non-dropping-particle":"","parse-names":false,"suffix":""},{"dropping-particle":"","family":"Solin","given":"Olof","non-dropping-particle":"","parse-names":false,"suffix":""},{"dropping-particle":"","family":"Parkkola","given":"Riitta","non-dropping-particle":"","parse-names":false,"suffix":""},{"dropping-particle":"","family":"Nuutila","given":"Pirjo","non-dropping-particle":"","parse-names":false,"suffix":""},{"dropping-particle":"","family":"Virtanen","given":"Kirsi A.","non-dropping-particle":"","parse-names":false,"suffix":""}],"container-title":"Journal of Clinical Endocrinology and Metabolism","id":"ITEM-1","issue":"7","issued":{"date-parts":[["2017"]]},"page":"2258-2267","title":"Human brown fat radiodensity indicates underlying tissue composition and systemic metabolic health","type":"article-journal","volume":"102"},"uris":["http://www.mendeley.com/documents/?uuid=89b82f0d-fcf6-4aa2-943e-3746c547138e"]}],"mendeley":{"formattedCitation":"(25)","plainTextFormattedCitation":"(25)","previouslyFormattedCitation":"(25)"},"properties":{"noteIndex":0},"schema":"https://github.com/citation-style-language/schema/raw/master/csl-citation.json"}</w:instrText>
      </w:r>
      <w:r w:rsidRPr="00D05641">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(25)</w:t>
      </w:r>
      <w:r w:rsidRPr="00D05641">
        <w:rPr>
          <w:rFonts w:ascii="Times New Roman" w:hAnsi="Times New Roman" w:cs="Times New Roman"/>
          <w:sz w:val="24"/>
          <w:szCs w:val="24"/>
          <w:lang w:val="en-US"/>
        </w:rPr>
        <w:fldChar w:fldCharType="end"/>
      </w:r>
      <w:r w:rsidRPr="00D05641">
        <w:rPr>
          <w:rFonts w:ascii="Times New Roman" w:hAnsi="Times New Roman" w:cs="Times New Roman"/>
          <w:sz w:val="24"/>
          <w:szCs w:val="24"/>
          <w:lang w:val="en-US"/>
        </w:rPr>
        <w:t xml:space="preserve">) and </w:t>
      </w:r>
      <w:r w:rsidR="00714DFE">
        <w:rPr>
          <w:rFonts w:ascii="Times New Roman" w:hAnsi="Times New Roman" w:cs="Times New Roman"/>
          <w:sz w:val="24"/>
          <w:szCs w:val="24"/>
          <w:lang w:val="en-US"/>
        </w:rPr>
        <w:t>whole-</w:t>
      </w:r>
      <w:r w:rsidRPr="00D05641">
        <w:rPr>
          <w:rFonts w:ascii="Times New Roman" w:hAnsi="Times New Roman" w:cs="Times New Roman"/>
          <w:sz w:val="24"/>
          <w:szCs w:val="24"/>
          <w:lang w:val="en-US"/>
        </w:rPr>
        <w:t xml:space="preserve">body adiposity. Moreover, we observed a negative association between BAT SUVmean and whole-body adiposity in women. Despite </w:t>
      </w:r>
      <w:r w:rsidRPr="00D05641">
        <w:rPr>
          <w:rFonts w:ascii="Times New Roman" w:hAnsi="Times New Roman" w:cs="Times New Roman"/>
          <w:sz w:val="24"/>
          <w:szCs w:val="24"/>
          <w:vertAlign w:val="superscript"/>
          <w:lang w:val="en-US"/>
        </w:rPr>
        <w:t>18</w:t>
      </w:r>
      <w:r w:rsidRPr="00D05641">
        <w:rPr>
          <w:rFonts w:ascii="Times New Roman" w:hAnsi="Times New Roman" w:cs="Times New Roman"/>
          <w:sz w:val="24"/>
          <w:szCs w:val="24"/>
          <w:lang w:val="en-US"/>
        </w:rPr>
        <w:t xml:space="preserve">F-FDG presents important limitations for assessing BAT </w:t>
      </w:r>
      <w:r w:rsidR="00CC0946">
        <w:rPr>
          <w:rFonts w:ascii="Times New Roman" w:hAnsi="Times New Roman" w:cs="Times New Roman"/>
          <w:sz w:val="24"/>
          <w:szCs w:val="24"/>
          <w:lang w:val="en-US"/>
        </w:rPr>
        <w:t xml:space="preserve">thermogenic </w:t>
      </w:r>
      <w:r w:rsidRPr="00D05641">
        <w:rPr>
          <w:rFonts w:ascii="Times New Roman" w:hAnsi="Times New Roman" w:cs="Times New Roman"/>
          <w:sz w:val="24"/>
          <w:szCs w:val="24"/>
          <w:lang w:val="en-US"/>
        </w:rPr>
        <w:t xml:space="preserve">activity </w:t>
      </w:r>
      <w:r w:rsidR="00795402">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{"citationItems":[{"id":"ITEM-1","itemData":{"DOI":"10.1097/MOL.0000000000000296","ISSN":"0957-9672","PMID":"27023630","abstract":"PURPOSE OF REVIEW Brown adipose tissue (BAT) is an emerging target to combat cardiometabolic disorders as it can take up substantial amounts of glucose and lipids from the circulation for heat production. This review focuses on new concepts in BAT physiology and discusses the need for new techniques to determine BAT activity in humans. RECENT FINDINGS Mouse studies showed that BAT activation selectively increases oxidation of lipids over glucose, by recruiting fatty acids from intracellular triglycerides. To replenish these intracellular lipid stores, brown adipocytes take up both glucose and triglyceride-derived fatty acids, resulting in attenuation of dyslipidaemia, insulin resistance and atherosclerosis. Clinical studies identified the involvement of the β3-adrenergic receptor in BAT activation and demonstrated that human BAT activation also selectively increases lipid oxidation. Notably, insulin resistance during ageing or weight gain reduces the capacity of BAT to internalize glucose, without reducing fatty acid uptake or oxidative metabolism. SUMMARY Preclinical studies established BAT as an important target to combat cardiometabolic disorders and elucidated underlying mechanisms whereas clinical studies identified therapeutic handles. Development of novel lipid-based PET-CT tracers and identification of translational biomarkers of BAT activity are required as alternatives to [F]fluorodeoxyglucose PET-CT to accelerate clinical development of BAT-activating therapeutic strategies.","author":[{"dropping-particle":"","family":"Schilperoort","given":"Maaike","non-dropping-particle":"","parse-names":false,"suffix":""},{"dropping-particle":"","family":"Hoeke","given":"Geerte","non-dropping-particle":"","parse-names":false,"suffix":""},{"dropping-particle":"","family":"Kooijman","given":"Sander","non-dropping-particle":"","parse-names":false,"suffix":""},{"dropping-particle":"","family":"Rensen","given":"Patrick C.N.","non-dropping-particle":"","parse-names":false,"suffix":""}],"container-title":"Current Opinion in Lipidology","id":"ITEM-1","issue":"3","issued":{"date-parts":[["2016","6"]]},"page":"242-248","title":"Relevance of lipid metabolism for brown fat visualization and quantification","type":"article-journal","volume":"27"},"uris":["http://www.mendeley.com/documents/?uuid=6fb2647f-6c62-3e9d-ac4e-09167c983591"]},{"id":"ITEM-2","itemData":{"DOI":"10.1016/j.pcad.2018.07.002","ISSN":"1873-1740","PMID":"29981351","abstract":"Human brown adipose tissue (BAT) was re-discovered in 2009 by several independent groups, who showed that it is present and active in adults, as judged from the profound uptake of the glucose analogue radiotracer 18F-fluorodeoxyglucose in positron-emission tomography and computed tomography scan analysis after cold exposure. A potential clinical implication of activating BAT relates to its high metabolic activity and its potential role in stimulating energy expenditure (i.e. resting energy expenditure, meal-induced thermogenesis, and cold-induced thermogenesis), which makes it an attractive target to reduce adiposity. Moreover, due to its ability to oxidise glucose and lipids, BAT activation may also potentially exert beneficial metabolic and cardiovascular effects through reducing glucose and lipid levels, respectively. This review describes the potential role of human BAT in the prevention and treatment of obesity, metabolism, and cardiovascular disease focusing on its impact on energy expenditure and management of body fat accumulation as well as on glucose and lipid metabolism. This article also summarises the strategies that are currently being studied to activate human BAT.","author":[{"dropping-particle":"","family":"Ruiz","given":"Jonatan R.","non-dropping-particle":"","parse-names":false,"suffix":""},{"dropping-particle":"","family":"Martinez-Tellez","given":"Borja","non-dropping-particle":"","parse-names":false,"suffix":""},{"dropping-particle":"","family":"Sanchez-Delgado","given":"Guillermo","non-dropping-particle":"","parse-names":false,"suffix":""},{"dropping-particle":"","family":"Osuna-Prieto","given":"Francisco J.","non-dropping-particle":"","parse-names":false,"suffix":""},{"dropping-particle":"","family":"Rensen","given":"Patrick C N","non-dropping-particle":"","parse-names":false,"suffix":""},{"dropping-particle":"","family":"Boon","given":"Mariëtte R.","non-dropping-particle":"","parse-names":false,"suffix":""}],"container-title":"Progress in cardiovascular diseases","id":"ITEM-2","issue":"2","issued":{"date-parts":[["2018","7","4"]]},"page":"232-245","title":"Role of Human Brown Fat in Obesity, Metabolism and Cardiovascular Disease: Strategies to Turn Up the Heat.","type":"article-journal","volume":"61"},"uris":["http://www.mendeley.com/documents/?uuid=6526b5bb-4b7c-310a-84b2-eea7d95ab3a1"]}],"mendeley":{"formattedCitation":"(10,31)","plainTextFormattedCitation":"(10,31)","previouslyFormattedCitation":"(10,31)"},"properties":{"noteIndex":0},"schema":"https://github.com/citation-style-language/schema/raw/master/csl-citation.json"}</w:instrText>
      </w:r>
      <w:r w:rsidR="00795402">
        <w:rPr>
          <w:rFonts w:ascii="Times New Roman" w:hAnsi="Times New Roman" w:cs="Times New Roman"/>
          <w:sz w:val="24"/>
          <w:szCs w:val="24"/>
          <w:lang w:val="en-US"/>
        </w:rPr>
        <w:fldChar w:fldCharType="separate"/>
      </w:r>
      <w:r w:rsidR="001B72D2" w:rsidRPr="001B72D2">
        <w:rPr>
          <w:rFonts w:ascii="Times New Roman" w:hAnsi="Times New Roman" w:cs="Times New Roman"/>
          <w:noProof/>
          <w:sz w:val="24"/>
          <w:szCs w:val="24"/>
          <w:lang w:val="en-US"/>
        </w:rPr>
        <w:t>(10,31)</w:t>
      </w:r>
      <w:r w:rsidR="00795402">
        <w:rPr>
          <w:rFonts w:ascii="Times New Roman" w:hAnsi="Times New Roman" w:cs="Times New Roman"/>
          <w:sz w:val="24"/>
          <w:szCs w:val="24"/>
          <w:lang w:val="en-US"/>
        </w:rPr>
        <w:fldChar w:fldCharType="end"/>
      </w:r>
      <w:r w:rsidRPr="00D05641">
        <w:rPr>
          <w:rFonts w:ascii="Times New Roman" w:hAnsi="Times New Roman" w:cs="Times New Roman"/>
          <w:sz w:val="24"/>
          <w:szCs w:val="24"/>
          <w:lang w:val="en-US"/>
        </w:rPr>
        <w:t xml:space="preserve">, this might indicate that fatter women have indeed lower BAT thermogenic capacity. In </w:t>
      </w:r>
      <w:r>
        <w:rPr>
          <w:rFonts w:ascii="Times New Roman" w:hAnsi="Times New Roman" w:cs="Times New Roman"/>
          <w:sz w:val="24"/>
          <w:szCs w:val="24"/>
          <w:lang w:val="en-US"/>
        </w:rPr>
        <w:t>line</w:t>
      </w:r>
      <w:r w:rsidRPr="00D05641">
        <w:rPr>
          <w:rFonts w:ascii="Times New Roman" w:hAnsi="Times New Roman" w:cs="Times New Roman"/>
          <w:sz w:val="24"/>
          <w:szCs w:val="24"/>
          <w:lang w:val="en-US"/>
        </w:rPr>
        <w:t xml:space="preserve"> with that, Jespersen et al. </w:t>
      </w:r>
      <w:r w:rsidRPr="00D05641">
        <w:rPr>
          <w:rFonts w:ascii="Times New Roman" w:hAnsi="Times New Roman" w:cs="Times New Roman"/>
          <w:sz w:val="24"/>
          <w:szCs w:val="24"/>
          <w:lang w:val="en-US"/>
        </w:rPr>
        <w:fldChar w:fldCharType="begin" w:fldLock="1"/>
      </w:r>
      <w:r w:rsidR="001B72D2">
        <w:rPr>
          <w:rFonts w:ascii="Times New Roman" w:hAnsi="Times New Roman" w:cs="Times New Roman"/>
          <w:sz w:val="24"/>
          <w:szCs w:val="24"/>
          <w:lang w:val="en-US"/>
        </w:rPr>
        <w:instrText>ADDIN CSL_CITATION {"citationItems":[{"id":"ITEM-1","itemData":{"author":[{"dropping-particle":"","family":"Jespersen","given":"Naja Z","non-dropping-particle":"","parse-names":false,"suffix":""},{"dropping-particle":"","family":"Andersen","given":"Maja W","non-dropping-particle":"","parse-names":false,"suffix":""},{"dropping-particle":"","family":"Jensen","given":"Verena H","non-dropping-particle":"","parse-names":false,"suffix":""},{"dropping-particle":"","family":"Stærkær","given":"Thit W","non-dropping-particle":"","parse-names":false,"suffix":""},{"dropping-particle":"","family":"Severinsen","given":"Mai C K","non-dropping-particle":"","parse-names":false,"suffix":""},{"dropping-particle":"","family":"Mandrup","given":"Susanne","non-dropping-particle":"","parse-names":false,"suffix":""},{"dropping-particle":"","family":"Pedersen","given":"Bente K","non-dropping-particle":"","parse-names":false,"suffix":""},{"dropping-particle":"","family":"Nielsen","given":"Søren","non-dropping-particle":"","parse-names":false,"suffix":""},{"dropping-particle":"","family":"Scheele","given":"Camilla","non-dropping-particle":"","parse-names":false,"suffix":""}],"container-title":"Bioarxives","id":"ITEM-1","issued":{"date-parts":[["2020"]]},"title":"Thermogenic genes are blunted whereas brown adipose tissue identity is preserved in human obesity-PREPRINT","type":"article-journal"},"uris":["http://www.mendeley.com/documents/?uuid=9bcaa6c9-f954-48b0-9ae8-b42acd3a9c64"]}],"mendeley":{"formattedCitation":"(53)","plainTextFormattedCitation":"(53)","previouslyFormattedCitation":"(53)"},"properties":{"noteIndex":0},"schema":"https://github.com/citation-style-language/schema/raw/master/csl-citation.json"}</w:instrText>
      </w:r>
      <w:r w:rsidRPr="00D05641">
        <w:rPr>
          <w:rFonts w:ascii="Times New Roman" w:hAnsi="Times New Roman" w:cs="Times New Roman"/>
          <w:sz w:val="24"/>
          <w:szCs w:val="24"/>
          <w:lang w:val="en-US"/>
        </w:rPr>
        <w:fldChar w:fldCharType="separate"/>
      </w:r>
      <w:r w:rsidR="00841F74" w:rsidRPr="00841F74">
        <w:rPr>
          <w:rFonts w:ascii="Times New Roman" w:hAnsi="Times New Roman" w:cs="Times New Roman"/>
          <w:noProof/>
          <w:sz w:val="24"/>
          <w:szCs w:val="24"/>
          <w:lang w:val="en-US"/>
        </w:rPr>
        <w:t>(53)</w:t>
      </w:r>
      <w:r w:rsidRPr="00D05641">
        <w:rPr>
          <w:rFonts w:ascii="Times New Roman" w:hAnsi="Times New Roman" w:cs="Times New Roman"/>
          <w:sz w:val="24"/>
          <w:szCs w:val="24"/>
          <w:lang w:val="en-US"/>
        </w:rPr>
        <w:fldChar w:fldCharType="end"/>
      </w:r>
      <w:r w:rsidRPr="00D05641">
        <w:rPr>
          <w:rFonts w:ascii="Times New Roman" w:hAnsi="Times New Roman" w:cs="Times New Roman"/>
          <w:sz w:val="24"/>
          <w:szCs w:val="24"/>
          <w:lang w:val="en-US"/>
        </w:rPr>
        <w:t xml:space="preserve"> have recently showed that BAT from individuals </w:t>
      </w:r>
      <w:r w:rsidR="005F124F">
        <w:rPr>
          <w:rFonts w:ascii="Times New Roman" w:hAnsi="Times New Roman" w:cs="Times New Roman"/>
          <w:sz w:val="24"/>
          <w:szCs w:val="24"/>
          <w:lang w:val="en-US"/>
        </w:rPr>
        <w:t xml:space="preserve">with obesity </w:t>
      </w:r>
      <w:r w:rsidRPr="00D05641">
        <w:rPr>
          <w:rFonts w:ascii="Times New Roman" w:hAnsi="Times New Roman" w:cs="Times New Roman"/>
          <w:sz w:val="24"/>
          <w:szCs w:val="24"/>
          <w:lang w:val="en-US"/>
        </w:rPr>
        <w:t>has lower UCP1 expression and many</w:t>
      </w:r>
      <w:r w:rsidR="00714DFE">
        <w:rPr>
          <w:rFonts w:ascii="Times New Roman" w:hAnsi="Times New Roman" w:cs="Times New Roman"/>
          <w:sz w:val="24"/>
          <w:szCs w:val="24"/>
          <w:lang w:val="en-US"/>
        </w:rPr>
        <w:t xml:space="preserve"> other</w:t>
      </w:r>
      <w:r w:rsidRPr="00D05641">
        <w:rPr>
          <w:rFonts w:ascii="Times New Roman" w:hAnsi="Times New Roman" w:cs="Times New Roman"/>
          <w:sz w:val="24"/>
          <w:szCs w:val="24"/>
          <w:lang w:val="en-US"/>
        </w:rPr>
        <w:t xml:space="preserve"> genes involved in cellular respiratory pathways </w:t>
      </w:r>
      <w:r w:rsidR="005F124F">
        <w:rPr>
          <w:rFonts w:ascii="Times New Roman" w:hAnsi="Times New Roman" w:cs="Times New Roman"/>
          <w:sz w:val="24"/>
          <w:szCs w:val="24"/>
          <w:lang w:val="en-US"/>
        </w:rPr>
        <w:t xml:space="preserve">are </w:t>
      </w:r>
      <w:r w:rsidRPr="00D05641">
        <w:rPr>
          <w:rFonts w:ascii="Times New Roman" w:hAnsi="Times New Roman" w:cs="Times New Roman"/>
          <w:sz w:val="24"/>
          <w:szCs w:val="24"/>
          <w:lang w:val="en-US"/>
        </w:rPr>
        <w:t>downregulated.</w:t>
      </w:r>
      <w:r>
        <w:rPr>
          <w:rFonts w:ascii="Times New Roman" w:hAnsi="Times New Roman" w:cs="Times New Roman"/>
          <w:sz w:val="24"/>
          <w:szCs w:val="24"/>
          <w:lang w:val="en-US"/>
        </w:rPr>
        <w:t xml:space="preserve"> In summary, the lack of association, or even the positive relationship</w:t>
      </w:r>
      <w:r w:rsidR="00CA7000">
        <w:rPr>
          <w:rFonts w:ascii="Times New Roman" w:hAnsi="Times New Roman" w:cs="Times New Roman"/>
          <w:sz w:val="24"/>
          <w:szCs w:val="24"/>
          <w:lang w:val="en-US"/>
        </w:rPr>
        <w:t>,</w:t>
      </w:r>
      <w:r>
        <w:rPr>
          <w:rFonts w:ascii="Times New Roman" w:hAnsi="Times New Roman" w:cs="Times New Roman"/>
          <w:sz w:val="24"/>
          <w:szCs w:val="24"/>
          <w:lang w:val="en-US"/>
        </w:rPr>
        <w:t xml:space="preserve"> between BAT volume and whole-body adiposity </w:t>
      </w:r>
      <w:r w:rsidR="00AC2374">
        <w:rPr>
          <w:rFonts w:ascii="Times New Roman" w:hAnsi="Times New Roman" w:cs="Times New Roman"/>
          <w:sz w:val="24"/>
          <w:szCs w:val="24"/>
          <w:lang w:val="en-US"/>
        </w:rPr>
        <w:t xml:space="preserve">observed in our study </w:t>
      </w:r>
      <w:r>
        <w:rPr>
          <w:rFonts w:ascii="Times New Roman" w:hAnsi="Times New Roman" w:cs="Times New Roman"/>
          <w:sz w:val="24"/>
          <w:szCs w:val="24"/>
          <w:lang w:val="en-US"/>
        </w:rPr>
        <w:t xml:space="preserve">is not </w:t>
      </w:r>
      <w:r w:rsidR="00CA7000">
        <w:rPr>
          <w:rFonts w:ascii="Times New Roman" w:hAnsi="Times New Roman" w:cs="Times New Roman"/>
          <w:sz w:val="24"/>
          <w:szCs w:val="24"/>
          <w:lang w:val="en-US"/>
        </w:rPr>
        <w:t xml:space="preserve">necessarily </w:t>
      </w:r>
      <w:r>
        <w:rPr>
          <w:rFonts w:ascii="Times New Roman" w:hAnsi="Times New Roman" w:cs="Times New Roman"/>
          <w:sz w:val="24"/>
          <w:szCs w:val="24"/>
          <w:lang w:val="en-US"/>
        </w:rPr>
        <w:t>conflicting with those studies reporting an impaired BAT thermogenic capacity in obese individuals.</w:t>
      </w:r>
    </w:p>
    <w:p w14:paraId="0A269814" w14:textId="437898E6" w:rsidR="00DB42E8" w:rsidRDefault="00AE00AC" w:rsidP="006163F0">
      <w:pPr>
        <w:spacing w:line="480" w:lineRule="auto"/>
        <w:jc w:val="both"/>
        <w:rPr>
          <w:rFonts w:ascii="Times New Roman" w:hAnsi="Times New Roman" w:cs="Times New Roman"/>
          <w:sz w:val="24"/>
          <w:szCs w:val="24"/>
          <w:lang w:val="en-US"/>
        </w:rPr>
      </w:pPr>
      <w:r w:rsidRPr="001417BE">
        <w:rPr>
          <w:rFonts w:ascii="Times New Roman" w:hAnsi="Times New Roman" w:cs="Times New Roman"/>
          <w:sz w:val="24"/>
          <w:szCs w:val="24"/>
          <w:lang w:val="en-US"/>
        </w:rPr>
        <w:t xml:space="preserve">The </w:t>
      </w:r>
      <w:r w:rsidR="00DE4B7A" w:rsidRPr="001417BE">
        <w:rPr>
          <w:rFonts w:ascii="Times New Roman" w:hAnsi="Times New Roman" w:cs="Times New Roman"/>
          <w:sz w:val="24"/>
          <w:szCs w:val="24"/>
          <w:lang w:val="en-US"/>
        </w:rPr>
        <w:t xml:space="preserve">present </w:t>
      </w:r>
      <w:r w:rsidRPr="001417BE">
        <w:rPr>
          <w:rFonts w:ascii="Times New Roman" w:hAnsi="Times New Roman" w:cs="Times New Roman"/>
          <w:sz w:val="24"/>
          <w:szCs w:val="24"/>
          <w:lang w:val="en-US"/>
        </w:rPr>
        <w:t xml:space="preserve">results should be considered with </w:t>
      </w:r>
      <w:r w:rsidR="00DE4B7A" w:rsidRPr="001417BE">
        <w:rPr>
          <w:rFonts w:ascii="Times New Roman" w:hAnsi="Times New Roman" w:cs="Times New Roman"/>
          <w:sz w:val="24"/>
          <w:szCs w:val="24"/>
          <w:lang w:val="en-US"/>
        </w:rPr>
        <w:t xml:space="preserve">some </w:t>
      </w:r>
      <w:r w:rsidRPr="001417BE">
        <w:rPr>
          <w:rFonts w:ascii="Times New Roman" w:hAnsi="Times New Roman" w:cs="Times New Roman"/>
          <w:sz w:val="24"/>
          <w:szCs w:val="24"/>
          <w:lang w:val="en-US"/>
        </w:rPr>
        <w:t>caution. First, the cross-sectional design</w:t>
      </w:r>
      <w:r w:rsidR="00DE4B7A" w:rsidRPr="001417BE">
        <w:rPr>
          <w:rFonts w:ascii="Times New Roman" w:hAnsi="Times New Roman" w:cs="Times New Roman"/>
          <w:sz w:val="24"/>
          <w:szCs w:val="24"/>
          <w:lang w:val="en-US"/>
        </w:rPr>
        <w:t xml:space="preserve"> of this study</w:t>
      </w:r>
      <w:r w:rsidRPr="001417BE">
        <w:rPr>
          <w:rFonts w:ascii="Times New Roman" w:hAnsi="Times New Roman" w:cs="Times New Roman"/>
          <w:sz w:val="24"/>
          <w:szCs w:val="24"/>
          <w:lang w:val="en-US"/>
        </w:rPr>
        <w:t xml:space="preserve"> precludes</w:t>
      </w:r>
      <w:r w:rsidR="00041578" w:rsidRPr="001417BE">
        <w:rPr>
          <w:rFonts w:ascii="Times New Roman" w:hAnsi="Times New Roman" w:cs="Times New Roman"/>
          <w:sz w:val="24"/>
          <w:szCs w:val="24"/>
          <w:lang w:val="en-US"/>
        </w:rPr>
        <w:t xml:space="preserve"> </w:t>
      </w:r>
      <w:r w:rsidR="00DE4B7A" w:rsidRPr="001417BE">
        <w:rPr>
          <w:rFonts w:ascii="Times New Roman" w:hAnsi="Times New Roman" w:cs="Times New Roman"/>
          <w:sz w:val="24"/>
          <w:szCs w:val="24"/>
          <w:lang w:val="en-US"/>
        </w:rPr>
        <w:t xml:space="preserve">the </w:t>
      </w:r>
      <w:r w:rsidR="001417BE" w:rsidRPr="001417BE">
        <w:rPr>
          <w:rFonts w:ascii="Times New Roman" w:hAnsi="Times New Roman" w:cs="Times New Roman"/>
          <w:sz w:val="24"/>
          <w:szCs w:val="24"/>
          <w:lang w:val="en-US"/>
        </w:rPr>
        <w:t>establishment</w:t>
      </w:r>
      <w:r w:rsidR="00DE4B7A" w:rsidRPr="001417BE">
        <w:rPr>
          <w:rFonts w:ascii="Times New Roman" w:hAnsi="Times New Roman" w:cs="Times New Roman"/>
          <w:sz w:val="24"/>
          <w:szCs w:val="24"/>
          <w:lang w:val="en-US"/>
        </w:rPr>
        <w:t xml:space="preserve"> of any </w:t>
      </w:r>
      <w:r w:rsidRPr="001417BE">
        <w:rPr>
          <w:rFonts w:ascii="Times New Roman" w:hAnsi="Times New Roman" w:cs="Times New Roman"/>
          <w:sz w:val="24"/>
          <w:szCs w:val="24"/>
          <w:lang w:val="en-US"/>
        </w:rPr>
        <w:t xml:space="preserve">causal </w:t>
      </w:r>
      <w:r w:rsidRPr="00513717">
        <w:rPr>
          <w:rFonts w:ascii="Times New Roman" w:hAnsi="Times New Roman" w:cs="Times New Roman"/>
          <w:sz w:val="24"/>
          <w:szCs w:val="24"/>
          <w:lang w:val="en-US"/>
        </w:rPr>
        <w:t>relation</w:t>
      </w:r>
      <w:r w:rsidR="00B55BA5" w:rsidRPr="00513717">
        <w:rPr>
          <w:rFonts w:ascii="Times New Roman" w:hAnsi="Times New Roman" w:cs="Times New Roman"/>
          <w:sz w:val="24"/>
          <w:szCs w:val="24"/>
          <w:lang w:val="en-US"/>
        </w:rPr>
        <w:t>ship</w:t>
      </w:r>
      <w:r w:rsidR="00DA518C" w:rsidRPr="00513717">
        <w:rPr>
          <w:rFonts w:ascii="Times New Roman" w:hAnsi="Times New Roman" w:cs="Times New Roman"/>
          <w:sz w:val="24"/>
          <w:szCs w:val="24"/>
          <w:lang w:val="en-US"/>
        </w:rPr>
        <w:t xml:space="preserve">. </w:t>
      </w:r>
      <w:r w:rsidR="00CC0946" w:rsidRPr="001417BE">
        <w:rPr>
          <w:rFonts w:ascii="Times New Roman" w:hAnsi="Times New Roman" w:cs="Times New Roman"/>
          <w:sz w:val="24"/>
          <w:szCs w:val="24"/>
          <w:lang w:val="en-US"/>
        </w:rPr>
        <w:t>Second</w:t>
      </w:r>
      <w:r w:rsidR="00513717" w:rsidRPr="00513717">
        <w:rPr>
          <w:rFonts w:ascii="Times New Roman" w:hAnsi="Times New Roman" w:cs="Times New Roman"/>
          <w:sz w:val="24"/>
          <w:szCs w:val="24"/>
          <w:lang w:val="en-US"/>
        </w:rPr>
        <w:t>,</w:t>
      </w:r>
      <w:r w:rsidR="00513717">
        <w:rPr>
          <w:rFonts w:ascii="Times New Roman" w:hAnsi="Times New Roman" w:cs="Times New Roman"/>
          <w:sz w:val="24"/>
          <w:szCs w:val="24"/>
          <w:lang w:val="en-US"/>
        </w:rPr>
        <w:t xml:space="preserve"> </w:t>
      </w:r>
      <w:r w:rsidR="00513717" w:rsidRPr="00513717">
        <w:rPr>
          <w:rFonts w:ascii="Times New Roman" w:hAnsi="Times New Roman" w:cs="Times New Roman"/>
          <w:sz w:val="24"/>
          <w:szCs w:val="24"/>
          <w:lang w:val="en-US"/>
        </w:rPr>
        <w:t xml:space="preserve">although </w:t>
      </w:r>
      <w:r w:rsidR="00DA518C" w:rsidRPr="00513717">
        <w:rPr>
          <w:rFonts w:ascii="Times New Roman" w:hAnsi="Times New Roman" w:cs="Times New Roman"/>
          <w:sz w:val="24"/>
          <w:szCs w:val="24"/>
          <w:lang w:val="en-US"/>
        </w:rPr>
        <w:t>being significant</w:t>
      </w:r>
      <w:r w:rsidR="008C270C" w:rsidRPr="00513717">
        <w:rPr>
          <w:rFonts w:ascii="Times New Roman" w:hAnsi="Times New Roman" w:cs="Times New Roman"/>
          <w:sz w:val="24"/>
          <w:szCs w:val="24"/>
          <w:lang w:val="en-US"/>
        </w:rPr>
        <w:t>,</w:t>
      </w:r>
      <w:r w:rsidR="00DA518C" w:rsidRPr="00513717">
        <w:rPr>
          <w:rFonts w:ascii="Times New Roman" w:hAnsi="Times New Roman" w:cs="Times New Roman"/>
          <w:sz w:val="24"/>
          <w:szCs w:val="24"/>
          <w:lang w:val="en-US"/>
        </w:rPr>
        <w:t xml:space="preserve"> </w:t>
      </w:r>
      <w:r w:rsidR="00AC2374">
        <w:rPr>
          <w:rFonts w:ascii="Times New Roman" w:hAnsi="Times New Roman" w:cs="Times New Roman"/>
          <w:sz w:val="24"/>
          <w:szCs w:val="24"/>
          <w:lang w:val="en-US"/>
        </w:rPr>
        <w:t>many</w:t>
      </w:r>
      <w:r w:rsidR="00DA518C" w:rsidRPr="00513717">
        <w:rPr>
          <w:rFonts w:ascii="Times New Roman" w:hAnsi="Times New Roman" w:cs="Times New Roman"/>
          <w:sz w:val="24"/>
          <w:szCs w:val="24"/>
          <w:lang w:val="en-US"/>
        </w:rPr>
        <w:t xml:space="preserve"> of the detected associations </w:t>
      </w:r>
      <w:r w:rsidR="00513717" w:rsidRPr="00513717">
        <w:rPr>
          <w:rFonts w:ascii="Times New Roman" w:hAnsi="Times New Roman" w:cs="Times New Roman"/>
          <w:sz w:val="24"/>
          <w:szCs w:val="24"/>
          <w:lang w:val="en-US"/>
        </w:rPr>
        <w:t xml:space="preserve">had </w:t>
      </w:r>
      <w:r w:rsidR="00AC2374">
        <w:rPr>
          <w:rFonts w:ascii="Times New Roman" w:hAnsi="Times New Roman" w:cs="Times New Roman"/>
          <w:sz w:val="24"/>
          <w:szCs w:val="24"/>
          <w:lang w:val="en-US"/>
        </w:rPr>
        <w:t xml:space="preserve">relatively </w:t>
      </w:r>
      <w:r w:rsidR="00DA518C" w:rsidRPr="00513717">
        <w:rPr>
          <w:rFonts w:ascii="Times New Roman" w:hAnsi="Times New Roman" w:cs="Times New Roman"/>
          <w:sz w:val="24"/>
          <w:szCs w:val="24"/>
          <w:lang w:val="en-US"/>
        </w:rPr>
        <w:t>low R</w:t>
      </w:r>
      <w:r w:rsidR="00DA518C" w:rsidRPr="00513717">
        <w:rPr>
          <w:rFonts w:ascii="Times New Roman" w:hAnsi="Times New Roman" w:cs="Times New Roman"/>
          <w:sz w:val="24"/>
          <w:szCs w:val="24"/>
          <w:vertAlign w:val="superscript"/>
          <w:lang w:val="en-US"/>
        </w:rPr>
        <w:t>2</w:t>
      </w:r>
      <w:r w:rsidR="00513717" w:rsidRPr="00513717">
        <w:rPr>
          <w:rFonts w:ascii="Times New Roman" w:hAnsi="Times New Roman" w:cs="Times New Roman"/>
          <w:sz w:val="24"/>
          <w:szCs w:val="24"/>
          <w:lang w:val="en-US"/>
        </w:rPr>
        <w:t xml:space="preserve"> values</w:t>
      </w:r>
      <w:r w:rsidR="00DE4B7A" w:rsidRPr="00513717">
        <w:rPr>
          <w:rFonts w:ascii="Times New Roman" w:hAnsi="Times New Roman" w:cs="Times New Roman"/>
          <w:sz w:val="24"/>
          <w:szCs w:val="24"/>
          <w:lang w:val="en-US"/>
        </w:rPr>
        <w:t xml:space="preserve">, </w:t>
      </w:r>
      <w:r w:rsidR="00DE4B7A" w:rsidRPr="001417BE">
        <w:rPr>
          <w:rFonts w:ascii="Times New Roman" w:hAnsi="Times New Roman" w:cs="Times New Roman"/>
          <w:sz w:val="24"/>
          <w:szCs w:val="24"/>
          <w:lang w:val="en-US"/>
        </w:rPr>
        <w:t xml:space="preserve">suggesting </w:t>
      </w:r>
      <w:r w:rsidR="00DA518C" w:rsidRPr="001417BE">
        <w:rPr>
          <w:rFonts w:ascii="Times New Roman" w:hAnsi="Times New Roman" w:cs="Times New Roman"/>
          <w:sz w:val="24"/>
          <w:szCs w:val="24"/>
          <w:lang w:val="en-US"/>
        </w:rPr>
        <w:t xml:space="preserve">the need </w:t>
      </w:r>
      <w:r w:rsidR="00041578" w:rsidRPr="001417BE">
        <w:rPr>
          <w:rFonts w:ascii="Times New Roman" w:hAnsi="Times New Roman" w:cs="Times New Roman"/>
          <w:sz w:val="24"/>
          <w:szCs w:val="24"/>
          <w:lang w:val="en-US"/>
        </w:rPr>
        <w:t xml:space="preserve">to </w:t>
      </w:r>
      <w:r w:rsidR="00DA518C" w:rsidRPr="001417BE">
        <w:rPr>
          <w:rFonts w:ascii="Times New Roman" w:hAnsi="Times New Roman" w:cs="Times New Roman"/>
          <w:sz w:val="24"/>
          <w:szCs w:val="24"/>
          <w:lang w:val="en-US"/>
        </w:rPr>
        <w:t>confirm these results</w:t>
      </w:r>
      <w:r w:rsidRPr="001417BE">
        <w:rPr>
          <w:rFonts w:ascii="Times New Roman" w:hAnsi="Times New Roman" w:cs="Times New Roman"/>
          <w:sz w:val="24"/>
          <w:szCs w:val="24"/>
          <w:lang w:val="en-US"/>
        </w:rPr>
        <w:t xml:space="preserve">. </w:t>
      </w:r>
      <w:r w:rsidR="00CC0946">
        <w:rPr>
          <w:rFonts w:ascii="Times New Roman" w:hAnsi="Times New Roman" w:cs="Times New Roman"/>
          <w:sz w:val="24"/>
          <w:szCs w:val="24"/>
          <w:lang w:val="en-US"/>
        </w:rPr>
        <w:t>Further</w:t>
      </w:r>
      <w:r w:rsidR="00AC2374">
        <w:rPr>
          <w:rFonts w:ascii="Times New Roman" w:hAnsi="Times New Roman" w:cs="Times New Roman"/>
          <w:sz w:val="24"/>
          <w:szCs w:val="24"/>
          <w:lang w:val="en-US"/>
        </w:rPr>
        <w:t xml:space="preserve">, as mentioned before, we did not control the menstrual cycle of </w:t>
      </w:r>
      <w:r w:rsidR="00AC2374">
        <w:rPr>
          <w:rFonts w:ascii="Times New Roman" w:hAnsi="Times New Roman" w:cs="Times New Roman"/>
          <w:sz w:val="24"/>
          <w:szCs w:val="24"/>
          <w:lang w:val="en-US"/>
        </w:rPr>
        <w:lastRenderedPageBreak/>
        <w:t xml:space="preserve">female participants, which might have biased their BAT assessment. </w:t>
      </w:r>
      <w:r w:rsidR="00BF7D33">
        <w:rPr>
          <w:rFonts w:ascii="Times New Roman" w:hAnsi="Times New Roman" w:cs="Times New Roman"/>
          <w:sz w:val="24"/>
          <w:szCs w:val="24"/>
          <w:lang w:val="en-US"/>
        </w:rPr>
        <w:t xml:space="preserve">Moreover, despite the need for individualizing the cold exposure before the PET-CT is widely recognized and shivering threshold is the most commonly used method, individualizing criteria other than shivering threshold might be more adequate. </w:t>
      </w:r>
      <w:r w:rsidRPr="001417BE">
        <w:rPr>
          <w:rFonts w:ascii="Times New Roman" w:hAnsi="Times New Roman" w:cs="Times New Roman"/>
          <w:sz w:val="24"/>
          <w:szCs w:val="24"/>
          <w:lang w:val="en-US"/>
        </w:rPr>
        <w:t xml:space="preserve">Finally, although the </w:t>
      </w:r>
      <w:r w:rsidRPr="001417BE">
        <w:rPr>
          <w:rFonts w:ascii="Times New Roman" w:hAnsi="Times New Roman" w:cs="Times New Roman"/>
          <w:sz w:val="24"/>
          <w:szCs w:val="24"/>
          <w:vertAlign w:val="superscript"/>
          <w:lang w:val="en-US"/>
        </w:rPr>
        <w:t>18</w:t>
      </w:r>
      <w:r w:rsidRPr="001417BE">
        <w:rPr>
          <w:rFonts w:ascii="Times New Roman" w:hAnsi="Times New Roman" w:cs="Times New Roman"/>
          <w:sz w:val="24"/>
          <w:szCs w:val="24"/>
          <w:lang w:val="en-US"/>
        </w:rPr>
        <w:t>F-FDG PET-CT is now</w:t>
      </w:r>
      <w:r w:rsidR="00DE4B7A" w:rsidRPr="001417BE">
        <w:rPr>
          <w:rFonts w:ascii="Times New Roman" w:hAnsi="Times New Roman" w:cs="Times New Roman"/>
          <w:sz w:val="24"/>
          <w:szCs w:val="24"/>
          <w:lang w:val="en-US"/>
        </w:rPr>
        <w:t xml:space="preserve"> </w:t>
      </w:r>
      <w:r w:rsidR="00442220">
        <w:rPr>
          <w:rFonts w:ascii="Times New Roman" w:hAnsi="Times New Roman" w:cs="Times New Roman"/>
          <w:sz w:val="24"/>
          <w:szCs w:val="24"/>
          <w:lang w:val="en-US"/>
        </w:rPr>
        <w:t xml:space="preserve">considered </w:t>
      </w:r>
      <w:r w:rsidRPr="001417BE">
        <w:rPr>
          <w:rFonts w:ascii="Times New Roman" w:hAnsi="Times New Roman" w:cs="Times New Roman"/>
          <w:sz w:val="24"/>
          <w:szCs w:val="24"/>
          <w:lang w:val="en-US"/>
        </w:rPr>
        <w:t xml:space="preserve">the gold standard </w:t>
      </w:r>
      <w:r w:rsidR="00DE4B7A" w:rsidRPr="001417BE">
        <w:rPr>
          <w:rFonts w:ascii="Times New Roman" w:hAnsi="Times New Roman" w:cs="Times New Roman"/>
          <w:sz w:val="24"/>
          <w:szCs w:val="24"/>
          <w:lang w:val="en-US"/>
        </w:rPr>
        <w:t>for assessing</w:t>
      </w:r>
      <w:r w:rsidRPr="001417BE">
        <w:rPr>
          <w:rFonts w:ascii="Times New Roman" w:hAnsi="Times New Roman" w:cs="Times New Roman"/>
          <w:sz w:val="24"/>
          <w:szCs w:val="24"/>
          <w:lang w:val="en-US"/>
        </w:rPr>
        <w:t xml:space="preserve"> BAT volume </w:t>
      </w:r>
      <w:r w:rsidRPr="001417BE">
        <w:rPr>
          <w:rFonts w:ascii="Times New Roman" w:hAnsi="Times New Roman" w:cs="Times New Roman"/>
          <w:i/>
          <w:sz w:val="24"/>
          <w:szCs w:val="24"/>
          <w:lang w:val="en-US"/>
        </w:rPr>
        <w:t>in vivo</w:t>
      </w:r>
      <w:r w:rsidRPr="001417BE">
        <w:rPr>
          <w:rFonts w:ascii="Times New Roman" w:hAnsi="Times New Roman" w:cs="Times New Roman"/>
          <w:sz w:val="24"/>
          <w:szCs w:val="24"/>
          <w:lang w:val="en-US"/>
        </w:rPr>
        <w:t xml:space="preserve">, </w:t>
      </w:r>
      <w:r w:rsidR="00DE4B7A" w:rsidRPr="001417BE">
        <w:rPr>
          <w:rFonts w:ascii="Times New Roman" w:hAnsi="Times New Roman" w:cs="Times New Roman"/>
          <w:sz w:val="24"/>
          <w:szCs w:val="24"/>
          <w:lang w:val="en-US"/>
        </w:rPr>
        <w:t xml:space="preserve">it </w:t>
      </w:r>
      <w:r w:rsidR="00B55BA5" w:rsidRPr="001417BE">
        <w:rPr>
          <w:rFonts w:ascii="Times New Roman" w:hAnsi="Times New Roman" w:cs="Times New Roman"/>
          <w:sz w:val="24"/>
          <w:szCs w:val="24"/>
          <w:lang w:val="en-US"/>
        </w:rPr>
        <w:t xml:space="preserve">has </w:t>
      </w:r>
      <w:r w:rsidR="00DE4B7A" w:rsidRPr="001417BE">
        <w:rPr>
          <w:rFonts w:ascii="Times New Roman" w:hAnsi="Times New Roman" w:cs="Times New Roman"/>
          <w:sz w:val="24"/>
          <w:szCs w:val="24"/>
          <w:lang w:val="en-US"/>
        </w:rPr>
        <w:t>some limitations. For example, i</w:t>
      </w:r>
      <w:r w:rsidR="00FA46E7" w:rsidRPr="001417BE">
        <w:rPr>
          <w:rFonts w:ascii="Times New Roman" w:hAnsi="Times New Roman" w:cs="Times New Roman"/>
          <w:sz w:val="24"/>
          <w:szCs w:val="24"/>
          <w:lang w:val="en-US"/>
        </w:rPr>
        <w:t>t does not allow the observation of small brown fat depo</w:t>
      </w:r>
      <w:r w:rsidR="00DE4B7A" w:rsidRPr="001417BE">
        <w:rPr>
          <w:rFonts w:ascii="Times New Roman" w:hAnsi="Times New Roman" w:cs="Times New Roman"/>
          <w:sz w:val="24"/>
          <w:szCs w:val="24"/>
          <w:lang w:val="en-US"/>
        </w:rPr>
        <w:t>si</w:t>
      </w:r>
      <w:r w:rsidR="00FA46E7" w:rsidRPr="001417BE">
        <w:rPr>
          <w:rFonts w:ascii="Times New Roman" w:hAnsi="Times New Roman" w:cs="Times New Roman"/>
          <w:sz w:val="24"/>
          <w:szCs w:val="24"/>
          <w:lang w:val="en-US"/>
        </w:rPr>
        <w:t>ts within</w:t>
      </w:r>
      <w:r w:rsidR="00DE4B7A" w:rsidRPr="001417BE">
        <w:rPr>
          <w:rFonts w:ascii="Times New Roman" w:hAnsi="Times New Roman" w:cs="Times New Roman"/>
          <w:sz w:val="24"/>
          <w:szCs w:val="24"/>
          <w:lang w:val="en-US"/>
        </w:rPr>
        <w:t xml:space="preserve"> the </w:t>
      </w:r>
      <w:r w:rsidR="00AC2374">
        <w:rPr>
          <w:rFonts w:ascii="Times New Roman" w:hAnsi="Times New Roman" w:cs="Times New Roman"/>
          <w:sz w:val="24"/>
          <w:szCs w:val="24"/>
          <w:lang w:val="en-US"/>
        </w:rPr>
        <w:t>white adipose tissue</w:t>
      </w:r>
      <w:r w:rsidR="00DE4B7A" w:rsidRPr="001417BE">
        <w:rPr>
          <w:rFonts w:ascii="Times New Roman" w:hAnsi="Times New Roman" w:cs="Times New Roman"/>
          <w:sz w:val="24"/>
          <w:szCs w:val="24"/>
          <w:lang w:val="en-US"/>
        </w:rPr>
        <w:t>.</w:t>
      </w:r>
      <w:r w:rsidR="00DA518C" w:rsidRPr="001417BE">
        <w:rPr>
          <w:rFonts w:ascii="Times New Roman" w:hAnsi="Times New Roman" w:cs="Times New Roman"/>
          <w:sz w:val="24"/>
          <w:szCs w:val="24"/>
          <w:lang w:val="en-US"/>
        </w:rPr>
        <w:t xml:space="preserve"> </w:t>
      </w:r>
      <w:r w:rsidR="00DE4B7A" w:rsidRPr="001417BE">
        <w:rPr>
          <w:rFonts w:ascii="Times New Roman" w:hAnsi="Times New Roman" w:cs="Times New Roman"/>
          <w:sz w:val="24"/>
          <w:szCs w:val="24"/>
          <w:lang w:val="en-US"/>
        </w:rPr>
        <w:t>C</w:t>
      </w:r>
      <w:r w:rsidRPr="001417BE">
        <w:rPr>
          <w:rFonts w:ascii="Times New Roman" w:hAnsi="Times New Roman" w:cs="Times New Roman"/>
          <w:sz w:val="24"/>
          <w:szCs w:val="24"/>
          <w:lang w:val="en-US"/>
        </w:rPr>
        <w:t xml:space="preserve">onsequently, this study </w:t>
      </w:r>
      <w:r w:rsidR="00DE4B7A" w:rsidRPr="001417BE">
        <w:rPr>
          <w:rFonts w:ascii="Times New Roman" w:hAnsi="Times New Roman" w:cs="Times New Roman"/>
          <w:sz w:val="24"/>
          <w:szCs w:val="24"/>
          <w:lang w:val="en-US"/>
        </w:rPr>
        <w:t>should be</w:t>
      </w:r>
      <w:r w:rsidRPr="001417BE">
        <w:rPr>
          <w:rFonts w:ascii="Times New Roman" w:hAnsi="Times New Roman" w:cs="Times New Roman"/>
          <w:sz w:val="24"/>
          <w:szCs w:val="24"/>
          <w:lang w:val="en-US"/>
        </w:rPr>
        <w:t xml:space="preserve"> replicated </w:t>
      </w:r>
      <w:r w:rsidR="00DE4B7A" w:rsidRPr="001417BE">
        <w:rPr>
          <w:rFonts w:ascii="Times New Roman" w:hAnsi="Times New Roman" w:cs="Times New Roman"/>
          <w:sz w:val="24"/>
          <w:szCs w:val="24"/>
          <w:lang w:val="en-US"/>
        </w:rPr>
        <w:t>if</w:t>
      </w:r>
      <w:r w:rsidRPr="001417BE">
        <w:rPr>
          <w:rFonts w:ascii="Times New Roman" w:hAnsi="Times New Roman" w:cs="Times New Roman"/>
          <w:sz w:val="24"/>
          <w:szCs w:val="24"/>
          <w:lang w:val="en-US"/>
        </w:rPr>
        <w:t xml:space="preserve"> a new technology for BAT </w:t>
      </w:r>
      <w:r w:rsidR="00442220">
        <w:rPr>
          <w:rFonts w:ascii="Times New Roman" w:hAnsi="Times New Roman" w:cs="Times New Roman"/>
          <w:sz w:val="24"/>
          <w:szCs w:val="24"/>
          <w:lang w:val="en-US"/>
        </w:rPr>
        <w:t xml:space="preserve">volume </w:t>
      </w:r>
      <w:r w:rsidRPr="001417BE">
        <w:rPr>
          <w:rFonts w:ascii="Times New Roman" w:hAnsi="Times New Roman" w:cs="Times New Roman"/>
          <w:sz w:val="24"/>
          <w:szCs w:val="24"/>
          <w:lang w:val="en-US"/>
        </w:rPr>
        <w:t xml:space="preserve">assessment </w:t>
      </w:r>
      <w:r w:rsidRPr="001417BE">
        <w:rPr>
          <w:rFonts w:ascii="Times New Roman" w:hAnsi="Times New Roman" w:cs="Times New Roman"/>
          <w:i/>
          <w:sz w:val="24"/>
          <w:szCs w:val="24"/>
          <w:lang w:val="en-US"/>
        </w:rPr>
        <w:t>in vivo</w:t>
      </w:r>
      <w:r w:rsidRPr="001417BE">
        <w:rPr>
          <w:rFonts w:ascii="Times New Roman" w:hAnsi="Times New Roman" w:cs="Times New Roman"/>
          <w:sz w:val="24"/>
          <w:szCs w:val="24"/>
          <w:lang w:val="en-US"/>
        </w:rPr>
        <w:t xml:space="preserve"> </w:t>
      </w:r>
      <w:r w:rsidR="00DE4B7A" w:rsidRPr="001417BE">
        <w:rPr>
          <w:rFonts w:ascii="Times New Roman" w:hAnsi="Times New Roman" w:cs="Times New Roman"/>
          <w:sz w:val="24"/>
          <w:szCs w:val="24"/>
          <w:lang w:val="en-US"/>
        </w:rPr>
        <w:t>becomes available</w:t>
      </w:r>
      <w:r w:rsidRPr="001417BE">
        <w:rPr>
          <w:rFonts w:ascii="Times New Roman" w:hAnsi="Times New Roman" w:cs="Times New Roman"/>
          <w:sz w:val="24"/>
          <w:szCs w:val="24"/>
          <w:lang w:val="en-US"/>
        </w:rPr>
        <w:t>.</w:t>
      </w:r>
    </w:p>
    <w:p w14:paraId="2C9917A0" w14:textId="7BF4799D" w:rsidR="00CC0946" w:rsidRDefault="00DB42E8" w:rsidP="000D4E3C">
      <w:pPr>
        <w:spacing w:line="480" w:lineRule="auto"/>
        <w:jc w:val="both"/>
        <w:rPr>
          <w:rFonts w:ascii="Times New Roman" w:hAnsi="Times New Roman" w:cs="Times New Roman"/>
          <w:b/>
          <w:sz w:val="24"/>
          <w:szCs w:val="24"/>
          <w:lang w:val="en-US"/>
        </w:rPr>
      </w:pPr>
      <w:r w:rsidRPr="001417BE">
        <w:rPr>
          <w:rFonts w:ascii="Times New Roman" w:hAnsi="Times New Roman" w:cs="Times New Roman"/>
          <w:sz w:val="24"/>
          <w:szCs w:val="24"/>
          <w:lang w:val="en-US"/>
        </w:rPr>
        <w:t>In summary</w:t>
      </w:r>
      <w:r w:rsidR="00FA46E7" w:rsidRPr="001417BE">
        <w:rPr>
          <w:rFonts w:ascii="Times New Roman" w:hAnsi="Times New Roman" w:cs="Times New Roman"/>
          <w:sz w:val="24"/>
          <w:szCs w:val="24"/>
          <w:lang w:val="en-US"/>
        </w:rPr>
        <w:t xml:space="preserve">, </w:t>
      </w:r>
      <w:r w:rsidR="00DE4B7A" w:rsidRPr="001417BE">
        <w:rPr>
          <w:rFonts w:ascii="Times New Roman" w:hAnsi="Times New Roman" w:cs="Times New Roman"/>
          <w:sz w:val="24"/>
          <w:szCs w:val="24"/>
          <w:lang w:val="en-US"/>
        </w:rPr>
        <w:t>the present work shows</w:t>
      </w:r>
      <w:r w:rsidR="00FA46E7" w:rsidRPr="001417BE">
        <w:rPr>
          <w:rFonts w:ascii="Times New Roman" w:hAnsi="Times New Roman" w:cs="Times New Roman"/>
          <w:sz w:val="24"/>
          <w:szCs w:val="24"/>
          <w:lang w:val="en-US"/>
        </w:rPr>
        <w:t xml:space="preserve"> that BAT volume</w:t>
      </w:r>
      <w:r w:rsidR="00AC2374">
        <w:rPr>
          <w:rFonts w:ascii="Times New Roman" w:hAnsi="Times New Roman" w:cs="Times New Roman"/>
          <w:sz w:val="24"/>
          <w:szCs w:val="24"/>
          <w:lang w:val="en-US"/>
        </w:rPr>
        <w:t xml:space="preserve"> and fat content</w:t>
      </w:r>
      <w:r w:rsidR="00FA46E7" w:rsidRPr="001417BE">
        <w:rPr>
          <w:rFonts w:ascii="Times New Roman" w:hAnsi="Times New Roman" w:cs="Times New Roman"/>
          <w:sz w:val="24"/>
          <w:szCs w:val="24"/>
          <w:lang w:val="en-US"/>
        </w:rPr>
        <w:t xml:space="preserve">, but not </w:t>
      </w:r>
      <w:r w:rsidR="00D75C57" w:rsidRPr="001417BE">
        <w:rPr>
          <w:rFonts w:ascii="Times New Roman" w:hAnsi="Times New Roman" w:cs="Times New Roman"/>
          <w:sz w:val="24"/>
          <w:szCs w:val="24"/>
          <w:lang w:val="en-US"/>
        </w:rPr>
        <w:t xml:space="preserve">its </w:t>
      </w:r>
      <w:r w:rsidR="000947F8" w:rsidRPr="001417BE">
        <w:rPr>
          <w:rFonts w:ascii="Times New Roman" w:hAnsi="Times New Roman" w:cs="Times New Roman"/>
          <w:sz w:val="24"/>
          <w:szCs w:val="24"/>
          <w:lang w:val="en-US"/>
        </w:rPr>
        <w:t xml:space="preserve">glucose uptake </w:t>
      </w:r>
      <w:r w:rsidR="000947F8" w:rsidRPr="00782D3B">
        <w:rPr>
          <w:rFonts w:ascii="Times New Roman" w:hAnsi="Times New Roman" w:cs="Times New Roman"/>
          <w:sz w:val="24"/>
          <w:szCs w:val="24"/>
          <w:lang w:val="en-US"/>
        </w:rPr>
        <w:t>capacity</w:t>
      </w:r>
      <w:r w:rsidR="00D75C57" w:rsidRPr="00782D3B">
        <w:rPr>
          <w:rFonts w:ascii="Times New Roman" w:hAnsi="Times New Roman" w:cs="Times New Roman"/>
          <w:sz w:val="24"/>
          <w:szCs w:val="24"/>
          <w:lang w:val="en-US"/>
        </w:rPr>
        <w:t xml:space="preserve"> (</w:t>
      </w:r>
      <w:r w:rsidR="00782D3B" w:rsidRPr="00782D3B">
        <w:rPr>
          <w:rFonts w:ascii="Times New Roman" w:hAnsi="Times New Roman" w:cs="Times New Roman"/>
          <w:sz w:val="24"/>
          <w:szCs w:val="24"/>
          <w:lang w:val="en-US"/>
        </w:rPr>
        <w:t xml:space="preserve">i.e., </w:t>
      </w:r>
      <w:r w:rsidR="00FA46E7" w:rsidRPr="00782D3B">
        <w:rPr>
          <w:rFonts w:ascii="Times New Roman" w:hAnsi="Times New Roman" w:cs="Times New Roman"/>
          <w:sz w:val="24"/>
          <w:szCs w:val="24"/>
          <w:lang w:val="en-US"/>
        </w:rPr>
        <w:t xml:space="preserve">SUVmean </w:t>
      </w:r>
      <w:r w:rsidR="00D75C57" w:rsidRPr="00782D3B">
        <w:rPr>
          <w:rFonts w:ascii="Times New Roman" w:hAnsi="Times New Roman" w:cs="Times New Roman"/>
          <w:sz w:val="24"/>
          <w:szCs w:val="24"/>
          <w:lang w:val="en-US"/>
        </w:rPr>
        <w:t>and</w:t>
      </w:r>
      <w:r w:rsidR="00FA46E7" w:rsidRPr="00782D3B">
        <w:rPr>
          <w:rFonts w:ascii="Times New Roman" w:hAnsi="Times New Roman" w:cs="Times New Roman"/>
          <w:sz w:val="24"/>
          <w:szCs w:val="24"/>
          <w:lang w:val="en-US"/>
        </w:rPr>
        <w:t xml:space="preserve"> SUVpeak</w:t>
      </w:r>
      <w:r w:rsidR="00D75C57" w:rsidRPr="00782D3B">
        <w:rPr>
          <w:rFonts w:ascii="Times New Roman" w:hAnsi="Times New Roman" w:cs="Times New Roman"/>
          <w:sz w:val="24"/>
          <w:szCs w:val="24"/>
          <w:lang w:val="en-US"/>
        </w:rPr>
        <w:t>)</w:t>
      </w:r>
      <w:r w:rsidR="001417BE" w:rsidRPr="00782D3B">
        <w:rPr>
          <w:rFonts w:ascii="Times New Roman" w:hAnsi="Times New Roman" w:cs="Times New Roman"/>
          <w:sz w:val="24"/>
          <w:szCs w:val="24"/>
          <w:lang w:val="en-US"/>
        </w:rPr>
        <w:t xml:space="preserve"> - as determined by </w:t>
      </w:r>
      <w:r w:rsidR="001417BE" w:rsidRPr="00782D3B">
        <w:rPr>
          <w:rFonts w:ascii="Times New Roman" w:hAnsi="Times New Roman" w:cs="Times New Roman"/>
          <w:sz w:val="24"/>
          <w:szCs w:val="24"/>
          <w:vertAlign w:val="superscript"/>
          <w:lang w:val="en-US"/>
        </w:rPr>
        <w:t>18</w:t>
      </w:r>
      <w:r w:rsidR="001417BE" w:rsidRPr="00782D3B">
        <w:rPr>
          <w:rFonts w:ascii="Times New Roman" w:hAnsi="Times New Roman" w:cs="Times New Roman"/>
          <w:sz w:val="24"/>
          <w:szCs w:val="24"/>
          <w:lang w:val="en-US"/>
        </w:rPr>
        <w:t>F-FDG PET-CT scanning following</w:t>
      </w:r>
      <w:r w:rsidR="00DE4B7A" w:rsidRPr="00782D3B">
        <w:rPr>
          <w:rFonts w:ascii="Times New Roman" w:hAnsi="Times New Roman" w:cs="Times New Roman"/>
          <w:sz w:val="24"/>
          <w:szCs w:val="24"/>
          <w:lang w:val="en-US"/>
        </w:rPr>
        <w:t xml:space="preserve"> an individualized cold-</w:t>
      </w:r>
      <w:r w:rsidR="001667EB" w:rsidRPr="00782D3B">
        <w:rPr>
          <w:rFonts w:ascii="Times New Roman" w:hAnsi="Times New Roman" w:cs="Times New Roman"/>
          <w:sz w:val="24"/>
          <w:szCs w:val="24"/>
          <w:lang w:val="en-US"/>
        </w:rPr>
        <w:t>exposure</w:t>
      </w:r>
      <w:r w:rsidR="001417BE" w:rsidRPr="00782D3B">
        <w:rPr>
          <w:rFonts w:ascii="Times New Roman" w:hAnsi="Times New Roman" w:cs="Times New Roman"/>
          <w:sz w:val="24"/>
          <w:szCs w:val="24"/>
          <w:lang w:val="en-US"/>
        </w:rPr>
        <w:t xml:space="preserve"> -</w:t>
      </w:r>
      <w:r w:rsidR="00DE4B7A" w:rsidRPr="00782D3B">
        <w:rPr>
          <w:rFonts w:ascii="Times New Roman" w:hAnsi="Times New Roman" w:cs="Times New Roman"/>
          <w:sz w:val="24"/>
          <w:szCs w:val="24"/>
          <w:lang w:val="en-US"/>
        </w:rPr>
        <w:t xml:space="preserve"> </w:t>
      </w:r>
      <w:r w:rsidR="009E280E">
        <w:rPr>
          <w:rFonts w:ascii="Times New Roman" w:hAnsi="Times New Roman" w:cs="Times New Roman"/>
          <w:sz w:val="24"/>
          <w:szCs w:val="24"/>
          <w:lang w:val="en-US"/>
        </w:rPr>
        <w:t>are</w:t>
      </w:r>
      <w:r w:rsidR="00DE4B7A" w:rsidRPr="00782D3B">
        <w:rPr>
          <w:rFonts w:ascii="Times New Roman" w:hAnsi="Times New Roman" w:cs="Times New Roman"/>
          <w:sz w:val="24"/>
          <w:szCs w:val="24"/>
          <w:lang w:val="en-US"/>
        </w:rPr>
        <w:t xml:space="preserve"> positively associated with</w:t>
      </w:r>
      <w:r w:rsidR="00FA46E7" w:rsidRPr="00782D3B">
        <w:rPr>
          <w:rFonts w:ascii="Times New Roman" w:hAnsi="Times New Roman" w:cs="Times New Roman"/>
          <w:sz w:val="24"/>
          <w:szCs w:val="24"/>
          <w:lang w:val="en-US"/>
        </w:rPr>
        <w:t xml:space="preserve"> whole-body adiposity </w:t>
      </w:r>
      <w:r w:rsidR="00D75C57" w:rsidRPr="00782D3B">
        <w:rPr>
          <w:rFonts w:ascii="Times New Roman" w:hAnsi="Times New Roman" w:cs="Times New Roman"/>
          <w:sz w:val="24"/>
          <w:szCs w:val="24"/>
          <w:lang w:val="en-US"/>
        </w:rPr>
        <w:t xml:space="preserve">in </w:t>
      </w:r>
      <w:r w:rsidR="00DE4B7A" w:rsidRPr="00782D3B">
        <w:rPr>
          <w:rFonts w:ascii="Times New Roman" w:hAnsi="Times New Roman" w:cs="Times New Roman"/>
          <w:sz w:val="24"/>
          <w:szCs w:val="24"/>
          <w:lang w:val="en-US"/>
        </w:rPr>
        <w:t xml:space="preserve">young </w:t>
      </w:r>
      <w:r w:rsidR="00AC2374">
        <w:rPr>
          <w:rFonts w:ascii="Times New Roman" w:hAnsi="Times New Roman" w:cs="Times New Roman"/>
          <w:sz w:val="24"/>
          <w:szCs w:val="24"/>
          <w:lang w:val="en-US"/>
        </w:rPr>
        <w:t>men</w:t>
      </w:r>
      <w:r w:rsidR="001417BE" w:rsidRPr="00782D3B">
        <w:rPr>
          <w:rFonts w:ascii="Times New Roman" w:hAnsi="Times New Roman" w:cs="Times New Roman"/>
          <w:sz w:val="24"/>
          <w:szCs w:val="24"/>
          <w:lang w:val="en-US"/>
        </w:rPr>
        <w:t>,</w:t>
      </w:r>
      <w:r w:rsidR="00AC2374">
        <w:rPr>
          <w:rFonts w:ascii="Times New Roman" w:hAnsi="Times New Roman" w:cs="Times New Roman"/>
          <w:sz w:val="24"/>
          <w:szCs w:val="24"/>
          <w:lang w:val="en-US"/>
        </w:rPr>
        <w:t xml:space="preserve"> but </w:t>
      </w:r>
      <w:r w:rsidR="009E280E">
        <w:rPr>
          <w:rFonts w:ascii="Times New Roman" w:hAnsi="Times New Roman" w:cs="Times New Roman"/>
          <w:sz w:val="24"/>
          <w:szCs w:val="24"/>
          <w:lang w:val="en-US"/>
        </w:rPr>
        <w:t xml:space="preserve">are </w:t>
      </w:r>
      <w:r w:rsidR="00AC2374">
        <w:rPr>
          <w:rFonts w:ascii="Times New Roman" w:hAnsi="Times New Roman" w:cs="Times New Roman"/>
          <w:sz w:val="24"/>
          <w:szCs w:val="24"/>
          <w:lang w:val="en-US"/>
        </w:rPr>
        <w:t>not associated in young women.</w:t>
      </w:r>
      <w:r w:rsidR="00BF7D33">
        <w:rPr>
          <w:rFonts w:ascii="Times New Roman" w:hAnsi="Times New Roman" w:cs="Times New Roman"/>
          <w:sz w:val="24"/>
          <w:szCs w:val="24"/>
          <w:lang w:val="en-US"/>
        </w:rPr>
        <w:t xml:space="preserve"> </w:t>
      </w:r>
      <w:r w:rsidR="000947F8" w:rsidRPr="001417BE">
        <w:rPr>
          <w:rFonts w:ascii="Times New Roman" w:hAnsi="Times New Roman" w:cs="Times New Roman"/>
          <w:sz w:val="24"/>
          <w:szCs w:val="24"/>
          <w:lang w:val="en-US"/>
        </w:rPr>
        <w:t>T</w:t>
      </w:r>
      <w:r w:rsidR="00FA46E7" w:rsidRPr="001417BE">
        <w:rPr>
          <w:rFonts w:ascii="Times New Roman" w:hAnsi="Times New Roman" w:cs="Times New Roman"/>
          <w:sz w:val="24"/>
          <w:szCs w:val="24"/>
          <w:lang w:val="en-US"/>
        </w:rPr>
        <w:t>hese results</w:t>
      </w:r>
      <w:r w:rsidR="00BF7D33">
        <w:rPr>
          <w:rFonts w:ascii="Times New Roman" w:hAnsi="Times New Roman" w:cs="Times New Roman"/>
          <w:sz w:val="24"/>
          <w:szCs w:val="24"/>
          <w:lang w:val="en-US"/>
        </w:rPr>
        <w:t xml:space="preserve"> </w:t>
      </w:r>
      <w:r w:rsidR="00FA46E7" w:rsidRPr="001417BE">
        <w:rPr>
          <w:rFonts w:ascii="Times New Roman" w:hAnsi="Times New Roman" w:cs="Times New Roman"/>
          <w:sz w:val="24"/>
          <w:szCs w:val="24"/>
          <w:lang w:val="en-US"/>
        </w:rPr>
        <w:t xml:space="preserve">suggest that the </w:t>
      </w:r>
      <w:r w:rsidR="00D75C57" w:rsidRPr="001417BE">
        <w:rPr>
          <w:rFonts w:ascii="Times New Roman" w:hAnsi="Times New Roman" w:cs="Times New Roman"/>
          <w:sz w:val="24"/>
          <w:szCs w:val="24"/>
          <w:lang w:val="en-US"/>
        </w:rPr>
        <w:t xml:space="preserve">widely </w:t>
      </w:r>
      <w:r w:rsidR="00DE4B7A" w:rsidRPr="001417BE">
        <w:rPr>
          <w:rFonts w:ascii="Times New Roman" w:hAnsi="Times New Roman" w:cs="Times New Roman"/>
          <w:sz w:val="24"/>
          <w:szCs w:val="24"/>
          <w:lang w:val="en-US"/>
        </w:rPr>
        <w:t>held belief</w:t>
      </w:r>
      <w:r w:rsidR="00D75C57" w:rsidRPr="001417BE">
        <w:rPr>
          <w:rFonts w:ascii="Times New Roman" w:hAnsi="Times New Roman" w:cs="Times New Roman"/>
          <w:sz w:val="24"/>
          <w:szCs w:val="24"/>
          <w:lang w:val="en-US"/>
        </w:rPr>
        <w:t xml:space="preserve"> that BAT</w:t>
      </w:r>
      <w:r w:rsidR="00FE6E00" w:rsidRPr="001417BE">
        <w:rPr>
          <w:rFonts w:ascii="Times New Roman" w:hAnsi="Times New Roman" w:cs="Times New Roman"/>
          <w:sz w:val="24"/>
          <w:szCs w:val="24"/>
          <w:lang w:val="en-US"/>
        </w:rPr>
        <w:t xml:space="preserve"> volume</w:t>
      </w:r>
      <w:r w:rsidR="00D75C57" w:rsidRPr="001417BE">
        <w:rPr>
          <w:rFonts w:ascii="Times New Roman" w:hAnsi="Times New Roman" w:cs="Times New Roman"/>
          <w:sz w:val="24"/>
          <w:szCs w:val="24"/>
          <w:lang w:val="en-US"/>
        </w:rPr>
        <w:t xml:space="preserve"> is reduce</w:t>
      </w:r>
      <w:r w:rsidR="00FE6E00" w:rsidRPr="001417BE">
        <w:rPr>
          <w:rFonts w:ascii="Times New Roman" w:hAnsi="Times New Roman" w:cs="Times New Roman"/>
          <w:sz w:val="24"/>
          <w:szCs w:val="24"/>
          <w:lang w:val="en-US"/>
        </w:rPr>
        <w:t>d</w:t>
      </w:r>
      <w:r w:rsidR="00D75C57" w:rsidRPr="001417BE">
        <w:rPr>
          <w:rFonts w:ascii="Times New Roman" w:hAnsi="Times New Roman" w:cs="Times New Roman"/>
          <w:sz w:val="24"/>
          <w:szCs w:val="24"/>
          <w:lang w:val="en-US"/>
        </w:rPr>
        <w:t xml:space="preserve"> in obes</w:t>
      </w:r>
      <w:r w:rsidR="00CA5B0F" w:rsidRPr="001417BE">
        <w:rPr>
          <w:rFonts w:ascii="Times New Roman" w:hAnsi="Times New Roman" w:cs="Times New Roman"/>
          <w:sz w:val="24"/>
          <w:szCs w:val="24"/>
          <w:lang w:val="en-US"/>
        </w:rPr>
        <w:t>e individuals</w:t>
      </w:r>
      <w:r w:rsidR="00D066F4" w:rsidRPr="001417BE">
        <w:rPr>
          <w:rFonts w:ascii="Times New Roman" w:hAnsi="Times New Roman" w:cs="Times New Roman"/>
          <w:sz w:val="24"/>
          <w:szCs w:val="24"/>
          <w:lang w:val="en-US"/>
        </w:rPr>
        <w:t xml:space="preserve"> </w:t>
      </w:r>
      <w:r w:rsidR="00DE4B7A" w:rsidRPr="001417BE">
        <w:rPr>
          <w:rFonts w:ascii="Times New Roman" w:hAnsi="Times New Roman" w:cs="Times New Roman"/>
          <w:sz w:val="24"/>
          <w:szCs w:val="24"/>
          <w:lang w:val="en-US"/>
        </w:rPr>
        <w:t>could be wrong -</w:t>
      </w:r>
      <w:r w:rsidR="00D75C57" w:rsidRPr="001417BE">
        <w:rPr>
          <w:rFonts w:ascii="Times New Roman" w:hAnsi="Times New Roman" w:cs="Times New Roman"/>
          <w:sz w:val="24"/>
          <w:szCs w:val="24"/>
          <w:lang w:val="en-US"/>
        </w:rPr>
        <w:t xml:space="preserve"> at least in young </w:t>
      </w:r>
      <w:r w:rsidR="00DE4B7A" w:rsidRPr="001417BE">
        <w:rPr>
          <w:rFonts w:ascii="Times New Roman" w:hAnsi="Times New Roman" w:cs="Times New Roman"/>
          <w:sz w:val="24"/>
          <w:szCs w:val="24"/>
          <w:lang w:val="en-US"/>
        </w:rPr>
        <w:t>persons</w:t>
      </w:r>
      <w:r w:rsidR="00D75C57" w:rsidRPr="001417BE">
        <w:rPr>
          <w:rFonts w:ascii="Times New Roman" w:hAnsi="Times New Roman" w:cs="Times New Roman"/>
          <w:sz w:val="24"/>
          <w:szCs w:val="24"/>
          <w:lang w:val="en-US"/>
        </w:rPr>
        <w:t xml:space="preserve">. </w:t>
      </w:r>
      <w:r w:rsidR="00BF7D33">
        <w:rPr>
          <w:rFonts w:ascii="Times New Roman" w:hAnsi="Times New Roman" w:cs="Times New Roman"/>
          <w:sz w:val="24"/>
          <w:szCs w:val="24"/>
          <w:lang w:val="en-US"/>
        </w:rPr>
        <w:t>Moreover, t</w:t>
      </w:r>
      <w:r w:rsidR="00D75C57" w:rsidRPr="001417BE">
        <w:rPr>
          <w:rFonts w:ascii="Times New Roman" w:hAnsi="Times New Roman" w:cs="Times New Roman"/>
          <w:sz w:val="24"/>
          <w:szCs w:val="24"/>
          <w:lang w:val="en-US"/>
        </w:rPr>
        <w:t xml:space="preserve">hese findings </w:t>
      </w:r>
      <w:r w:rsidR="00DE4B7A" w:rsidRPr="001417BE">
        <w:rPr>
          <w:rFonts w:ascii="Times New Roman" w:hAnsi="Times New Roman" w:cs="Times New Roman"/>
          <w:sz w:val="24"/>
          <w:szCs w:val="24"/>
          <w:lang w:val="en-US"/>
        </w:rPr>
        <w:t>suggest</w:t>
      </w:r>
      <w:r w:rsidR="00D75C57" w:rsidRPr="001417BE">
        <w:rPr>
          <w:rFonts w:ascii="Times New Roman" w:hAnsi="Times New Roman" w:cs="Times New Roman"/>
          <w:sz w:val="24"/>
          <w:szCs w:val="24"/>
          <w:lang w:val="en-US"/>
        </w:rPr>
        <w:t xml:space="preserve"> </w:t>
      </w:r>
      <w:r w:rsidR="00BF7D33">
        <w:rPr>
          <w:rFonts w:ascii="Times New Roman" w:hAnsi="Times New Roman" w:cs="Times New Roman"/>
          <w:sz w:val="24"/>
          <w:szCs w:val="24"/>
          <w:lang w:val="en-US"/>
        </w:rPr>
        <w:t xml:space="preserve">that </w:t>
      </w:r>
      <w:r w:rsidR="00D75C57" w:rsidRPr="001417BE">
        <w:rPr>
          <w:rFonts w:ascii="Times New Roman" w:hAnsi="Times New Roman" w:cs="Times New Roman"/>
          <w:sz w:val="24"/>
          <w:szCs w:val="24"/>
          <w:lang w:val="en-US"/>
        </w:rPr>
        <w:t xml:space="preserve">BAT expandability </w:t>
      </w:r>
      <w:r w:rsidR="00BF7D33">
        <w:rPr>
          <w:rFonts w:ascii="Times New Roman" w:hAnsi="Times New Roman" w:cs="Times New Roman"/>
          <w:sz w:val="24"/>
          <w:szCs w:val="24"/>
          <w:lang w:val="en-US"/>
        </w:rPr>
        <w:t>might take place in parallel to fat mass increase in young men.</w:t>
      </w:r>
      <w:r w:rsidR="00CC0946">
        <w:rPr>
          <w:rFonts w:ascii="Times New Roman" w:hAnsi="Times New Roman" w:cs="Times New Roman"/>
          <w:b/>
          <w:sz w:val="24"/>
          <w:szCs w:val="24"/>
          <w:lang w:val="en-US"/>
        </w:rPr>
        <w:br w:type="page"/>
      </w:r>
    </w:p>
    <w:p w14:paraId="0D3A979B" w14:textId="5D8C0348" w:rsidR="00861434" w:rsidRDefault="00861434" w:rsidP="00861434">
      <w:pPr>
        <w:widowControl w:val="0"/>
        <w:autoSpaceDE w:val="0"/>
        <w:autoSpaceDN w:val="0"/>
        <w:adjustRightInd w:val="0"/>
        <w:spacing w:line="480" w:lineRule="auto"/>
        <w:rPr>
          <w:rFonts w:ascii="Times New Roman" w:hAnsi="Times New Roman" w:cs="Times New Roman"/>
          <w:b/>
          <w:sz w:val="24"/>
          <w:szCs w:val="24"/>
          <w:lang w:val="en-US"/>
        </w:rPr>
      </w:pPr>
      <w:r w:rsidRPr="001417BE">
        <w:rPr>
          <w:rFonts w:ascii="Times New Roman" w:hAnsi="Times New Roman" w:cs="Times New Roman"/>
          <w:b/>
          <w:sz w:val="24"/>
          <w:szCs w:val="24"/>
          <w:lang w:val="en-US"/>
        </w:rPr>
        <w:lastRenderedPageBreak/>
        <w:t>ACKNOWLEDGMENTS</w:t>
      </w:r>
    </w:p>
    <w:p w14:paraId="3861DA1C" w14:textId="5AB2171B" w:rsidR="0031613E" w:rsidRDefault="0031613E" w:rsidP="0031613E">
      <w:pPr>
        <w:spacing w:after="0" w:line="480" w:lineRule="auto"/>
        <w:jc w:val="both"/>
        <w:rPr>
          <w:rFonts w:ascii="Times New Roman" w:eastAsia="Times New Roman" w:hAnsi="Times New Roman" w:cs="Times New Roman"/>
          <w:sz w:val="24"/>
          <w:szCs w:val="24"/>
          <w:lang w:val="en-US" w:eastAsia="es-ES"/>
        </w:rPr>
      </w:pPr>
      <w:r w:rsidRPr="0031613E">
        <w:rPr>
          <w:rFonts w:ascii="Times New Roman" w:hAnsi="Times New Roman" w:cs="Times New Roman"/>
          <w:b/>
          <w:bCs/>
          <w:sz w:val="24"/>
          <w:szCs w:val="24"/>
          <w:lang w:val="en-US"/>
        </w:rPr>
        <w:t>Author Contributions</w:t>
      </w:r>
      <w:r>
        <w:rPr>
          <w:rFonts w:ascii="Times New Roman" w:hAnsi="Times New Roman" w:cs="Times New Roman"/>
          <w:b/>
          <w:bCs/>
          <w:sz w:val="24"/>
          <w:szCs w:val="24"/>
          <w:lang w:val="en-US"/>
        </w:rPr>
        <w:t xml:space="preserve">: </w:t>
      </w:r>
      <w:r w:rsidRPr="001417BE">
        <w:rPr>
          <w:rFonts w:ascii="Times New Roman" w:eastAsia="Times New Roman" w:hAnsi="Times New Roman" w:cs="Times New Roman"/>
          <w:sz w:val="24"/>
          <w:szCs w:val="24"/>
          <w:lang w:val="en-US" w:eastAsia="es-ES"/>
        </w:rPr>
        <w:t>GSD, BMT, AG and JRR</w:t>
      </w:r>
      <w:r w:rsidRPr="001417BE">
        <w:rPr>
          <w:rFonts w:ascii="Times New Roman" w:hAnsi="Times New Roman" w:cs="Times New Roman"/>
          <w:sz w:val="24"/>
          <w:szCs w:val="24"/>
          <w:lang w:val="en-US"/>
        </w:rPr>
        <w:t xml:space="preserve"> designed the study; </w:t>
      </w:r>
      <w:r w:rsidRPr="001417BE">
        <w:rPr>
          <w:rFonts w:ascii="Times New Roman" w:eastAsia="Times New Roman" w:hAnsi="Times New Roman" w:cs="Times New Roman"/>
          <w:sz w:val="24"/>
          <w:szCs w:val="24"/>
          <w:lang w:val="en-US" w:eastAsia="es-ES"/>
        </w:rPr>
        <w:t>GSD, BMT, FMA, JMLE and JRR conducted the experiments; GSD</w:t>
      </w:r>
      <w:r w:rsidR="005F124F">
        <w:rPr>
          <w:rFonts w:ascii="Times New Roman" w:eastAsia="Times New Roman" w:hAnsi="Times New Roman" w:cs="Times New Roman"/>
          <w:sz w:val="24"/>
          <w:szCs w:val="24"/>
          <w:lang w:val="en-US" w:eastAsia="es-ES"/>
        </w:rPr>
        <w:t>, BMT, FMA</w:t>
      </w:r>
      <w:r w:rsidRPr="001417BE">
        <w:rPr>
          <w:rFonts w:ascii="Times New Roman" w:eastAsia="Times New Roman" w:hAnsi="Times New Roman" w:cs="Times New Roman"/>
          <w:sz w:val="24"/>
          <w:szCs w:val="24"/>
          <w:lang w:val="en-US" w:eastAsia="es-ES"/>
        </w:rPr>
        <w:t xml:space="preserve"> and SV analyzed the data; GSD drafted the manuscript; GSD and JRR </w:t>
      </w:r>
      <w:r>
        <w:rPr>
          <w:rFonts w:ascii="Times New Roman" w:eastAsia="Times New Roman" w:hAnsi="Times New Roman" w:cs="Times New Roman"/>
          <w:sz w:val="24"/>
          <w:szCs w:val="24"/>
          <w:lang w:val="en-US" w:eastAsia="es-ES"/>
        </w:rPr>
        <w:t>are</w:t>
      </w:r>
      <w:r w:rsidRPr="001417BE">
        <w:rPr>
          <w:rFonts w:ascii="Times New Roman" w:eastAsia="Times New Roman" w:hAnsi="Times New Roman" w:cs="Times New Roman"/>
          <w:sz w:val="24"/>
          <w:szCs w:val="24"/>
          <w:lang w:val="en-US" w:eastAsia="es-ES"/>
        </w:rPr>
        <w:t xml:space="preserve"> primarily responsible for the manuscript's final content; GSD, BMT, FMA, </w:t>
      </w:r>
      <w:r>
        <w:rPr>
          <w:rFonts w:ascii="Times New Roman" w:eastAsia="Times New Roman" w:hAnsi="Times New Roman" w:cs="Times New Roman"/>
          <w:sz w:val="24"/>
          <w:szCs w:val="24"/>
          <w:lang w:val="en-US" w:eastAsia="es-ES"/>
        </w:rPr>
        <w:t xml:space="preserve">SV, </w:t>
      </w:r>
      <w:r w:rsidRPr="001417BE">
        <w:rPr>
          <w:rFonts w:ascii="Times New Roman" w:eastAsia="Times New Roman" w:hAnsi="Times New Roman" w:cs="Times New Roman"/>
          <w:sz w:val="24"/>
          <w:szCs w:val="24"/>
          <w:lang w:val="en-US" w:eastAsia="es-ES"/>
        </w:rPr>
        <w:t>AVP, AG, JMLE, and JRR discussed the results and approved the final version of the manuscript.</w:t>
      </w:r>
    </w:p>
    <w:p w14:paraId="06B39EDF" w14:textId="0BB5D923" w:rsidR="0031613E" w:rsidRDefault="0031613E" w:rsidP="0031613E">
      <w:pPr>
        <w:spacing w:after="0" w:line="480" w:lineRule="auto"/>
        <w:jc w:val="both"/>
        <w:rPr>
          <w:rFonts w:ascii="Times New Roman" w:hAnsi="Times New Roman" w:cs="Times New Roman"/>
          <w:sz w:val="24"/>
          <w:szCs w:val="24"/>
          <w:lang w:val="en-US"/>
        </w:rPr>
      </w:pPr>
      <w:r w:rsidRPr="0031613E">
        <w:rPr>
          <w:rFonts w:ascii="Times New Roman" w:hAnsi="Times New Roman" w:cs="Times New Roman"/>
          <w:b/>
          <w:bCs/>
          <w:sz w:val="24"/>
          <w:szCs w:val="24"/>
          <w:lang w:val="en-US"/>
        </w:rPr>
        <w:t>Guarantor Statement</w:t>
      </w:r>
      <w:r>
        <w:rPr>
          <w:rFonts w:ascii="Times New Roman" w:hAnsi="Times New Roman" w:cs="Times New Roman"/>
          <w:sz w:val="24"/>
          <w:szCs w:val="24"/>
          <w:lang w:val="en-US"/>
        </w:rPr>
        <w:t xml:space="preserve">: </w:t>
      </w:r>
      <w:r w:rsidR="00BB47E0">
        <w:rPr>
          <w:rFonts w:ascii="Times New Roman" w:hAnsi="Times New Roman" w:cs="Times New Roman"/>
          <w:sz w:val="24"/>
          <w:szCs w:val="24"/>
          <w:lang w:val="en-US"/>
        </w:rPr>
        <w:t xml:space="preserve">GSD and </w:t>
      </w:r>
      <w:r>
        <w:rPr>
          <w:rFonts w:ascii="Times New Roman" w:hAnsi="Times New Roman" w:cs="Times New Roman"/>
          <w:sz w:val="24"/>
          <w:szCs w:val="24"/>
          <w:lang w:val="en-US"/>
        </w:rPr>
        <w:t>JRR</w:t>
      </w:r>
      <w:r w:rsidRPr="0031613E">
        <w:rPr>
          <w:rFonts w:ascii="Times New Roman" w:hAnsi="Times New Roman" w:cs="Times New Roman"/>
          <w:sz w:val="24"/>
          <w:szCs w:val="24"/>
          <w:lang w:val="en-US"/>
        </w:rPr>
        <w:t xml:space="preserve"> </w:t>
      </w:r>
      <w:r w:rsidR="00BB47E0">
        <w:rPr>
          <w:rFonts w:ascii="Times New Roman" w:hAnsi="Times New Roman" w:cs="Times New Roman"/>
          <w:sz w:val="24"/>
          <w:szCs w:val="24"/>
          <w:lang w:val="en-US"/>
        </w:rPr>
        <w:t xml:space="preserve">are </w:t>
      </w:r>
      <w:r w:rsidRPr="0031613E">
        <w:rPr>
          <w:rFonts w:ascii="Times New Roman" w:hAnsi="Times New Roman" w:cs="Times New Roman"/>
          <w:sz w:val="24"/>
          <w:szCs w:val="24"/>
          <w:lang w:val="en-US"/>
        </w:rPr>
        <w:t>the guarantor</w:t>
      </w:r>
      <w:r w:rsidR="00BB47E0">
        <w:rPr>
          <w:rFonts w:ascii="Times New Roman" w:hAnsi="Times New Roman" w:cs="Times New Roman"/>
          <w:sz w:val="24"/>
          <w:szCs w:val="24"/>
          <w:lang w:val="en-US"/>
        </w:rPr>
        <w:t>s</w:t>
      </w:r>
      <w:r w:rsidRPr="0031613E">
        <w:rPr>
          <w:rFonts w:ascii="Times New Roman" w:hAnsi="Times New Roman" w:cs="Times New Roman"/>
          <w:sz w:val="24"/>
          <w:szCs w:val="24"/>
          <w:lang w:val="en-US"/>
        </w:rPr>
        <w:t xml:space="preserve"> of this work and, as such, had full access to all the data in the study and takes responsibility for the integrity of the data and the accuracy of the data analysis.</w:t>
      </w:r>
    </w:p>
    <w:p w14:paraId="4498B02E" w14:textId="6402FC96" w:rsidR="0031613E" w:rsidRDefault="0031613E" w:rsidP="0031613E">
      <w:pPr>
        <w:spacing w:line="480" w:lineRule="auto"/>
        <w:jc w:val="both"/>
        <w:rPr>
          <w:rFonts w:ascii="Times New Roman" w:hAnsi="Times New Roman" w:cs="Times New Roman"/>
          <w:b/>
          <w:sz w:val="24"/>
          <w:szCs w:val="24"/>
          <w:lang w:val="en-US"/>
        </w:rPr>
      </w:pPr>
      <w:r w:rsidRPr="0031613E">
        <w:rPr>
          <w:rFonts w:ascii="Times New Roman" w:hAnsi="Times New Roman" w:cs="Times New Roman"/>
          <w:b/>
          <w:bCs/>
          <w:sz w:val="24"/>
          <w:szCs w:val="24"/>
          <w:lang w:val="en-US"/>
        </w:rPr>
        <w:t>Conflict of Interest statement</w:t>
      </w:r>
      <w:r>
        <w:rPr>
          <w:rFonts w:ascii="Times New Roman" w:hAnsi="Times New Roman" w:cs="Times New Roman"/>
          <w:sz w:val="24"/>
          <w:szCs w:val="24"/>
          <w:lang w:val="en-US"/>
        </w:rPr>
        <w:t>:</w:t>
      </w:r>
      <w:r w:rsidRPr="0031613E">
        <w:rPr>
          <w:rFonts w:ascii="Times New Roman" w:eastAsia="Times New Roman" w:hAnsi="Times New Roman" w:cs="Times New Roman"/>
          <w:sz w:val="24"/>
          <w:szCs w:val="24"/>
          <w:lang w:val="en-US" w:eastAsia="es-ES"/>
        </w:rPr>
        <w:t xml:space="preserve"> </w:t>
      </w:r>
      <w:r w:rsidRPr="00EC1CF9">
        <w:rPr>
          <w:rFonts w:ascii="Times New Roman" w:eastAsia="Times New Roman" w:hAnsi="Times New Roman" w:cs="Times New Roman"/>
          <w:sz w:val="24"/>
          <w:szCs w:val="24"/>
          <w:lang w:val="en-US" w:eastAsia="es-ES"/>
        </w:rPr>
        <w:t xml:space="preserve">The authors declare no </w:t>
      </w:r>
      <w:r>
        <w:rPr>
          <w:rFonts w:ascii="Times New Roman" w:eastAsia="Times New Roman" w:hAnsi="Times New Roman" w:cs="Times New Roman"/>
          <w:sz w:val="24"/>
          <w:szCs w:val="24"/>
          <w:lang w:val="en-US" w:eastAsia="es-ES"/>
        </w:rPr>
        <w:t>conflict of interest.</w:t>
      </w:r>
    </w:p>
    <w:p w14:paraId="222EC929" w14:textId="65EA1195" w:rsidR="0031613E" w:rsidRDefault="0031613E" w:rsidP="0031613E">
      <w:pPr>
        <w:widowControl w:val="0"/>
        <w:autoSpaceDE w:val="0"/>
        <w:autoSpaceDN w:val="0"/>
        <w:adjustRightInd w:val="0"/>
        <w:spacing w:line="480" w:lineRule="auto"/>
        <w:rPr>
          <w:rFonts w:ascii="Times New Roman" w:eastAsia="Times New Roman" w:hAnsi="Times New Roman" w:cs="Times New Roman"/>
          <w:sz w:val="24"/>
          <w:szCs w:val="24"/>
          <w:lang w:val="en-US" w:eastAsia="es-ES"/>
        </w:rPr>
      </w:pPr>
      <w:r>
        <w:rPr>
          <w:rFonts w:ascii="Times New Roman" w:hAnsi="Times New Roman" w:cs="Times New Roman"/>
          <w:b/>
          <w:bCs/>
          <w:sz w:val="24"/>
          <w:szCs w:val="24"/>
          <w:lang w:val="en-US"/>
        </w:rPr>
        <w:t xml:space="preserve">Funding: </w:t>
      </w:r>
      <w:r w:rsidRPr="001417BE">
        <w:rPr>
          <w:rFonts w:ascii="Times New Roman" w:eastAsia="Times New Roman" w:hAnsi="Times New Roman" w:cs="Times New Roman"/>
          <w:sz w:val="24"/>
          <w:szCs w:val="24"/>
          <w:lang w:val="en-US" w:eastAsia="es-ES"/>
        </w:rPr>
        <w:t xml:space="preserve">This study was supported by the Spanish Ministry of Economy and Competitiveness via the </w:t>
      </w:r>
      <w:r w:rsidRPr="001417BE">
        <w:rPr>
          <w:rFonts w:ascii="Times New Roman" w:eastAsia="Times New Roman" w:hAnsi="Times New Roman" w:cs="Times New Roman"/>
          <w:i/>
          <w:iCs/>
          <w:sz w:val="24"/>
          <w:szCs w:val="24"/>
          <w:lang w:val="en-US" w:eastAsia="es-ES"/>
        </w:rPr>
        <w:t>Fondo de Investigación Sanitaria del Instituto de Salud Carlos III</w:t>
      </w:r>
      <w:r w:rsidRPr="001417BE">
        <w:rPr>
          <w:rFonts w:ascii="Times New Roman" w:eastAsia="Times New Roman" w:hAnsi="Times New Roman" w:cs="Times New Roman"/>
          <w:sz w:val="24"/>
          <w:szCs w:val="24"/>
          <w:lang w:val="en-US" w:eastAsia="es-ES"/>
        </w:rPr>
        <w:t xml:space="preserve"> (PI13/01393), </w:t>
      </w:r>
      <w:r w:rsidRPr="001417BE">
        <w:rPr>
          <w:rFonts w:ascii="Times New Roman" w:eastAsia="Times New Roman" w:hAnsi="Times New Roman" w:cs="Times New Roman"/>
          <w:i/>
          <w:iCs/>
          <w:sz w:val="24"/>
          <w:szCs w:val="24"/>
          <w:lang w:val="en-US" w:eastAsia="es-ES"/>
        </w:rPr>
        <w:t>Retos de la Sociedad</w:t>
      </w:r>
      <w:r w:rsidRPr="001417BE">
        <w:rPr>
          <w:rFonts w:ascii="Times New Roman" w:eastAsia="Times New Roman" w:hAnsi="Times New Roman" w:cs="Times New Roman"/>
          <w:sz w:val="24"/>
          <w:szCs w:val="24"/>
          <w:lang w:val="en-US" w:eastAsia="es-ES"/>
        </w:rPr>
        <w:t xml:space="preserve"> (DEP2016-79512-R) and </w:t>
      </w:r>
      <w:r w:rsidRPr="001417BE">
        <w:rPr>
          <w:rFonts w:ascii="Times New Roman" w:eastAsia="Times New Roman" w:hAnsi="Times New Roman" w:cs="Times New Roman"/>
          <w:i/>
          <w:iCs/>
          <w:sz w:val="24"/>
          <w:szCs w:val="24"/>
          <w:lang w:val="en-US" w:eastAsia="es-ES"/>
        </w:rPr>
        <w:t>European Regional Development Funds</w:t>
      </w:r>
      <w:r w:rsidRPr="001417BE">
        <w:rPr>
          <w:rFonts w:ascii="Times New Roman" w:eastAsia="Times New Roman" w:hAnsi="Times New Roman" w:cs="Times New Roman"/>
          <w:sz w:val="24"/>
          <w:szCs w:val="24"/>
          <w:lang w:val="en-US" w:eastAsia="es-ES"/>
        </w:rPr>
        <w:t xml:space="preserve"> (ERDF), the Spanish Ministry of Education (FPU13/04365), the </w:t>
      </w:r>
      <w:r w:rsidRPr="001417BE">
        <w:rPr>
          <w:rFonts w:ascii="Times New Roman" w:eastAsia="Times New Roman" w:hAnsi="Times New Roman" w:cs="Times New Roman"/>
          <w:i/>
          <w:iCs/>
          <w:sz w:val="24"/>
          <w:szCs w:val="24"/>
          <w:lang w:val="en-US" w:eastAsia="es-ES"/>
        </w:rPr>
        <w:t xml:space="preserve">Fundación Iberoamericana de Nutrición </w:t>
      </w:r>
      <w:r w:rsidRPr="001417BE">
        <w:rPr>
          <w:rFonts w:ascii="Times New Roman" w:eastAsia="Times New Roman" w:hAnsi="Times New Roman" w:cs="Times New Roman"/>
          <w:sz w:val="24"/>
          <w:szCs w:val="24"/>
          <w:lang w:val="en-US" w:eastAsia="es-ES"/>
        </w:rPr>
        <w:t xml:space="preserve">(FINUT), the </w:t>
      </w:r>
      <w:r w:rsidRPr="001417BE">
        <w:rPr>
          <w:rFonts w:ascii="Times New Roman" w:eastAsia="Times New Roman" w:hAnsi="Times New Roman" w:cs="Times New Roman"/>
          <w:i/>
          <w:iCs/>
          <w:sz w:val="24"/>
          <w:szCs w:val="24"/>
          <w:lang w:val="en-US" w:eastAsia="es-ES"/>
        </w:rPr>
        <w:t>Redes Temáticas de Investigación Cooperativa</w:t>
      </w:r>
      <w:r w:rsidRPr="001417BE">
        <w:rPr>
          <w:rFonts w:ascii="Times New Roman" w:eastAsia="Times New Roman" w:hAnsi="Times New Roman" w:cs="Times New Roman"/>
          <w:sz w:val="24"/>
          <w:szCs w:val="24"/>
          <w:lang w:val="en-US" w:eastAsia="es-ES"/>
        </w:rPr>
        <w:t xml:space="preserve"> RETIC (Red SAMID RD16/0022), the AstraZeneca HealthCare Foundation, the University of Granada </w:t>
      </w:r>
      <w:r w:rsidRPr="001417BE">
        <w:rPr>
          <w:rFonts w:ascii="Times New Roman" w:eastAsia="Times New Roman" w:hAnsi="Times New Roman" w:cs="Times New Roman"/>
          <w:i/>
          <w:iCs/>
          <w:sz w:val="24"/>
          <w:szCs w:val="24"/>
          <w:lang w:val="en-US" w:eastAsia="es-ES"/>
        </w:rPr>
        <w:t>Plan Propio de Investigación 2016</w:t>
      </w:r>
      <w:r w:rsidRPr="001417BE">
        <w:rPr>
          <w:rFonts w:ascii="Times New Roman" w:eastAsia="Times New Roman" w:hAnsi="Times New Roman" w:cs="Times New Roman"/>
          <w:sz w:val="24"/>
          <w:szCs w:val="24"/>
          <w:lang w:val="en-US" w:eastAsia="es-ES"/>
        </w:rPr>
        <w:t xml:space="preserve"> -Excellence actions: Unit of Excellence on Exercise and Health (UCEES) - and </w:t>
      </w:r>
      <w:r w:rsidRPr="001417BE">
        <w:rPr>
          <w:rFonts w:ascii="Times New Roman" w:eastAsia="Times New Roman" w:hAnsi="Times New Roman" w:cs="Times New Roman"/>
          <w:i/>
          <w:iCs/>
          <w:sz w:val="24"/>
          <w:szCs w:val="24"/>
          <w:lang w:val="en-US" w:eastAsia="es-ES"/>
        </w:rPr>
        <w:t>Plan Propio de Investigación 2018 - Programa Contratos-Puente</w:t>
      </w:r>
      <w:r w:rsidRPr="001417BE">
        <w:rPr>
          <w:rFonts w:ascii="Times New Roman" w:eastAsia="Times New Roman" w:hAnsi="Times New Roman" w:cs="Times New Roman"/>
          <w:sz w:val="24"/>
          <w:szCs w:val="24"/>
          <w:lang w:val="en-US" w:eastAsia="es-ES"/>
        </w:rPr>
        <w:t>, and the </w:t>
      </w:r>
      <w:r w:rsidRPr="001417BE">
        <w:rPr>
          <w:rFonts w:ascii="Times New Roman" w:eastAsia="Times New Roman" w:hAnsi="Times New Roman" w:cs="Times New Roman"/>
          <w:i/>
          <w:iCs/>
          <w:sz w:val="24"/>
          <w:szCs w:val="24"/>
          <w:lang w:val="en-US" w:eastAsia="es-ES"/>
        </w:rPr>
        <w:t>Junta de Andalucía</w:t>
      </w:r>
      <w:r w:rsidRPr="001417BE">
        <w:rPr>
          <w:rFonts w:ascii="Times New Roman" w:eastAsia="Times New Roman" w:hAnsi="Times New Roman" w:cs="Times New Roman"/>
          <w:sz w:val="24"/>
          <w:szCs w:val="24"/>
          <w:lang w:val="en-US" w:eastAsia="es-ES"/>
        </w:rPr>
        <w:t xml:space="preserve">, </w:t>
      </w:r>
      <w:r w:rsidRPr="001417BE">
        <w:rPr>
          <w:rFonts w:ascii="Times New Roman" w:eastAsia="Times New Roman" w:hAnsi="Times New Roman" w:cs="Times New Roman"/>
          <w:i/>
          <w:iCs/>
          <w:sz w:val="24"/>
          <w:szCs w:val="24"/>
          <w:lang w:val="en-US" w:eastAsia="es-ES"/>
        </w:rPr>
        <w:t xml:space="preserve">Consejería de Conocimiento, Investigación y Universidades </w:t>
      </w:r>
      <w:r w:rsidRPr="001417BE">
        <w:rPr>
          <w:rFonts w:ascii="Times New Roman" w:eastAsia="Times New Roman" w:hAnsi="Times New Roman" w:cs="Times New Roman"/>
          <w:iCs/>
          <w:sz w:val="24"/>
          <w:szCs w:val="24"/>
          <w:lang w:val="en-US" w:eastAsia="es-ES"/>
        </w:rPr>
        <w:t xml:space="preserve">(ERDF; ref. </w:t>
      </w:r>
      <w:r w:rsidRPr="001417BE">
        <w:rPr>
          <w:rFonts w:ascii="Times New Roman" w:eastAsia="Times New Roman" w:hAnsi="Times New Roman" w:cs="Times New Roman"/>
          <w:sz w:val="24"/>
          <w:szCs w:val="24"/>
          <w:lang w:val="en-US" w:eastAsia="es-ES"/>
        </w:rPr>
        <w:t>SOMM17/6107/UGR)</w:t>
      </w:r>
      <w:r>
        <w:rPr>
          <w:rFonts w:ascii="Times New Roman" w:eastAsia="Times New Roman" w:hAnsi="Times New Roman" w:cs="Times New Roman"/>
          <w:sz w:val="24"/>
          <w:szCs w:val="24"/>
          <w:lang w:val="en-US" w:eastAsia="es-ES"/>
        </w:rPr>
        <w:t xml:space="preserve">, </w:t>
      </w:r>
      <w:r w:rsidRPr="00802C93">
        <w:rPr>
          <w:rFonts w:ascii="Times New Roman" w:eastAsia="Times New Roman" w:hAnsi="Times New Roman" w:cs="Times New Roman"/>
          <w:sz w:val="24"/>
          <w:szCs w:val="24"/>
          <w:lang w:val="en-US" w:eastAsia="es-ES"/>
        </w:rPr>
        <w:t>by the Fundación Alfonso Martín Escudero</w:t>
      </w:r>
      <w:r w:rsidRPr="001417BE">
        <w:rPr>
          <w:rFonts w:ascii="Times New Roman" w:eastAsia="Times New Roman" w:hAnsi="Times New Roman" w:cs="Times New Roman"/>
          <w:sz w:val="24"/>
          <w:szCs w:val="24"/>
          <w:lang w:val="en-US" w:eastAsia="es-ES"/>
        </w:rPr>
        <w:t>.</w:t>
      </w:r>
    </w:p>
    <w:p w14:paraId="372442B0" w14:textId="70867FF6" w:rsidR="000D4E3C" w:rsidRDefault="0031613E" w:rsidP="00A66C59">
      <w:pPr>
        <w:widowControl w:val="0"/>
        <w:autoSpaceDE w:val="0"/>
        <w:autoSpaceDN w:val="0"/>
        <w:adjustRightInd w:val="0"/>
        <w:spacing w:line="480" w:lineRule="auto"/>
        <w:rPr>
          <w:rFonts w:ascii="Times New Roman" w:hAnsi="Times New Roman" w:cs="Times New Roman"/>
          <w:b/>
          <w:sz w:val="24"/>
          <w:szCs w:val="24"/>
          <w:lang w:val="en-US"/>
        </w:rPr>
      </w:pPr>
      <w:r w:rsidRPr="00306C6E">
        <w:rPr>
          <w:rFonts w:ascii="Times New Roman" w:hAnsi="Times New Roman" w:cs="Times New Roman"/>
          <w:b/>
          <w:bCs/>
          <w:sz w:val="24"/>
          <w:szCs w:val="24"/>
          <w:lang w:val="en-US"/>
        </w:rPr>
        <w:t>Prior Presentation information</w:t>
      </w:r>
      <w:r w:rsidRPr="00306C6E">
        <w:rPr>
          <w:rFonts w:ascii="Times New Roman" w:hAnsi="Times New Roman" w:cs="Times New Roman"/>
          <w:sz w:val="24"/>
          <w:szCs w:val="24"/>
          <w:lang w:val="en-US"/>
        </w:rPr>
        <w:t xml:space="preserve">: </w:t>
      </w:r>
      <w:r w:rsidR="00861434" w:rsidRPr="00306C6E">
        <w:rPr>
          <w:rFonts w:ascii="Times New Roman" w:hAnsi="Times New Roman" w:cs="Times New Roman"/>
          <w:sz w:val="24"/>
          <w:szCs w:val="24"/>
          <w:lang w:val="en-US"/>
        </w:rPr>
        <w:t>This study was performed as part of a PhD thesis conducted within the Biomedicine Doctoral Studies Program of the University of Granada, Spain.</w:t>
      </w:r>
      <w:r w:rsidR="00A66C59" w:rsidRPr="00306C6E">
        <w:rPr>
          <w:rFonts w:ascii="Times New Roman" w:hAnsi="Times New Roman" w:cs="Times New Roman"/>
          <w:sz w:val="24"/>
          <w:szCs w:val="24"/>
          <w:lang w:val="en-US"/>
        </w:rPr>
        <w:t xml:space="preserve"> These data were also presented in the CPH BAT 2019 conference, hosted in the Royal Danish Academy of Sciences and Letters, Copenhagen, Denmark, on June 4</w:t>
      </w:r>
      <w:r w:rsidR="00A66C59" w:rsidRPr="00306C6E">
        <w:rPr>
          <w:rFonts w:ascii="Times New Roman" w:hAnsi="Times New Roman" w:cs="Times New Roman"/>
          <w:sz w:val="24"/>
          <w:szCs w:val="24"/>
          <w:vertAlign w:val="superscript"/>
          <w:lang w:val="en-US"/>
        </w:rPr>
        <w:t>th</w:t>
      </w:r>
      <w:r w:rsidR="00A66C59" w:rsidRPr="00306C6E">
        <w:rPr>
          <w:rFonts w:ascii="Times New Roman" w:hAnsi="Times New Roman" w:cs="Times New Roman"/>
          <w:sz w:val="24"/>
          <w:szCs w:val="24"/>
          <w:lang w:val="en-US"/>
        </w:rPr>
        <w:t>, 2019.</w:t>
      </w:r>
      <w:r w:rsidR="000D4E3C">
        <w:rPr>
          <w:rFonts w:ascii="Times New Roman" w:hAnsi="Times New Roman" w:cs="Times New Roman"/>
          <w:b/>
          <w:sz w:val="24"/>
          <w:szCs w:val="24"/>
          <w:lang w:val="en-US"/>
        </w:rPr>
        <w:br w:type="page"/>
      </w:r>
    </w:p>
    <w:p w14:paraId="0D5FD2A9" w14:textId="24C87018" w:rsidR="00955725" w:rsidRPr="001417BE" w:rsidRDefault="00D33E67" w:rsidP="00955725">
      <w:pPr>
        <w:spacing w:line="480" w:lineRule="auto"/>
        <w:jc w:val="both"/>
        <w:rPr>
          <w:rFonts w:ascii="Times New Roman" w:hAnsi="Times New Roman" w:cs="Times New Roman"/>
          <w:b/>
          <w:sz w:val="24"/>
          <w:szCs w:val="24"/>
          <w:lang w:val="en-US"/>
        </w:rPr>
      </w:pPr>
      <w:r w:rsidRPr="001C2DED">
        <w:rPr>
          <w:rFonts w:ascii="Times New Roman" w:hAnsi="Times New Roman" w:cs="Times New Roman"/>
          <w:b/>
          <w:sz w:val="24"/>
          <w:szCs w:val="24"/>
          <w:lang w:val="en-US"/>
        </w:rPr>
        <w:lastRenderedPageBreak/>
        <w:t>REFERENCES</w:t>
      </w:r>
    </w:p>
    <w:p w14:paraId="4A3FCF52" w14:textId="53983CD7" w:rsidR="001B72D2" w:rsidRPr="0041655C" w:rsidRDefault="007F62F0"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1417BE">
        <w:rPr>
          <w:rFonts w:ascii="Times New Roman" w:hAnsi="Times New Roman" w:cs="Times New Roman"/>
          <w:sz w:val="24"/>
          <w:szCs w:val="24"/>
          <w:lang w:val="en-US"/>
        </w:rPr>
        <w:fldChar w:fldCharType="begin" w:fldLock="1"/>
      </w:r>
      <w:r w:rsidR="00D33E67" w:rsidRPr="001417BE">
        <w:rPr>
          <w:rFonts w:ascii="Times New Roman" w:hAnsi="Times New Roman" w:cs="Times New Roman"/>
          <w:sz w:val="24"/>
          <w:szCs w:val="24"/>
          <w:lang w:val="en-US"/>
        </w:rPr>
        <w:instrText xml:space="preserve">ADDIN Mendeley Bibliography CSL_BIBLIOGRAPHY </w:instrText>
      </w:r>
      <w:r w:rsidRPr="001417BE">
        <w:rPr>
          <w:rFonts w:ascii="Times New Roman" w:hAnsi="Times New Roman" w:cs="Times New Roman"/>
          <w:sz w:val="24"/>
          <w:szCs w:val="24"/>
          <w:lang w:val="en-US"/>
        </w:rPr>
        <w:fldChar w:fldCharType="separate"/>
      </w:r>
      <w:r w:rsidR="001B72D2" w:rsidRPr="0041655C">
        <w:rPr>
          <w:rFonts w:ascii="Times New Roman" w:hAnsi="Times New Roman" w:cs="Times New Roman"/>
          <w:noProof/>
          <w:sz w:val="24"/>
          <w:szCs w:val="24"/>
          <w:lang w:val="en-US"/>
        </w:rPr>
        <w:t xml:space="preserve">1. </w:t>
      </w:r>
      <w:r w:rsidR="001B72D2" w:rsidRPr="0041655C">
        <w:rPr>
          <w:rFonts w:ascii="Times New Roman" w:hAnsi="Times New Roman" w:cs="Times New Roman"/>
          <w:noProof/>
          <w:sz w:val="24"/>
          <w:szCs w:val="24"/>
          <w:lang w:val="en-US"/>
        </w:rPr>
        <w:tab/>
        <w:t xml:space="preserve">Cannon B, Nedergaard J. Brown adipose tissue: function and physiological significance. Physiol Rev. 2004;84(1):277–359. </w:t>
      </w:r>
    </w:p>
    <w:p w14:paraId="0D016637"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2. </w:t>
      </w:r>
      <w:r w:rsidRPr="0041655C">
        <w:rPr>
          <w:rFonts w:ascii="Times New Roman" w:hAnsi="Times New Roman" w:cs="Times New Roman"/>
          <w:noProof/>
          <w:sz w:val="24"/>
          <w:szCs w:val="24"/>
          <w:lang w:val="en-US"/>
        </w:rPr>
        <w:tab/>
        <w:t xml:space="preserve">Foster DO, Frydman ML. Tissue distribution of cold-induced thermogenesis in conscious warm- or cold-acclimated rats reevaluated from changes in tissue blood flow: the dominant role of brown adipose tissue in the replacement of shivering by nonshivering thermogenesis. Can J Physiol Pharmacol. 1979;57(3):257–70. </w:t>
      </w:r>
    </w:p>
    <w:p w14:paraId="09BB1544"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3. </w:t>
      </w:r>
      <w:r w:rsidRPr="0041655C">
        <w:rPr>
          <w:rFonts w:ascii="Times New Roman" w:hAnsi="Times New Roman" w:cs="Times New Roman"/>
          <w:noProof/>
          <w:sz w:val="24"/>
          <w:szCs w:val="24"/>
          <w:lang w:val="en-US"/>
        </w:rPr>
        <w:tab/>
        <w:t xml:space="preserve">Heldmaier G, Buchberger A. Sources of heat during nonshivering thermogenesis in Djungarian hamsters: a dominant role of brown adipose tissue during cold adaptation. J Comp Physiol B. 1985;156(2):237–45. </w:t>
      </w:r>
    </w:p>
    <w:p w14:paraId="692B778A"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4. </w:t>
      </w:r>
      <w:r w:rsidRPr="0041655C">
        <w:rPr>
          <w:rFonts w:ascii="Times New Roman" w:hAnsi="Times New Roman" w:cs="Times New Roman"/>
          <w:noProof/>
          <w:sz w:val="24"/>
          <w:szCs w:val="24"/>
          <w:lang w:val="en-US"/>
        </w:rPr>
        <w:tab/>
        <w:t xml:space="preserve">Nedergaard J, Bengtsson T, Cannon B. Unexpected evidence for active brown adipose tissue in adult humans. Am J Physiol Endocrinol Metab. 2007;293(2):E444-52. </w:t>
      </w:r>
    </w:p>
    <w:p w14:paraId="4395DEEC"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5. </w:t>
      </w:r>
      <w:r w:rsidRPr="0041655C">
        <w:rPr>
          <w:rFonts w:ascii="Times New Roman" w:hAnsi="Times New Roman" w:cs="Times New Roman"/>
          <w:noProof/>
          <w:sz w:val="24"/>
          <w:szCs w:val="24"/>
          <w:lang w:val="en-US"/>
        </w:rPr>
        <w:tab/>
        <w:t xml:space="preserve">van Marken Lichtenbelt WD, Vanhommerig JW, Smulders NM, Drossaerts JM a FL, Kemerink GJ, Bouvy ND, Schrauwen P, Teule GJJ. Cold-activated brown adipose tissue in healthy men. N Engl J Med. 2009;360(15):1500–8. </w:t>
      </w:r>
    </w:p>
    <w:p w14:paraId="6795CBE3"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6. </w:t>
      </w:r>
      <w:r w:rsidRPr="0041655C">
        <w:rPr>
          <w:rFonts w:ascii="Times New Roman" w:hAnsi="Times New Roman" w:cs="Times New Roman"/>
          <w:noProof/>
          <w:sz w:val="24"/>
          <w:szCs w:val="24"/>
          <w:lang w:val="en-US"/>
        </w:rPr>
        <w:tab/>
        <w:t xml:space="preserve">Cypess AM, Lehman S, Williams G, Tal I, Rodman D, Goldfine AB, Kuo FC, Palmer EL, Tseng Y-H, Doria A, Kolodny GM, Kahn CR. Identification and importance of brown adipose tissue in adult humans. N Engl J Med. 2009;360(15):1509–17. </w:t>
      </w:r>
    </w:p>
    <w:p w14:paraId="78BBC098"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7. </w:t>
      </w:r>
      <w:r w:rsidRPr="0041655C">
        <w:rPr>
          <w:rFonts w:ascii="Times New Roman" w:hAnsi="Times New Roman" w:cs="Times New Roman"/>
          <w:noProof/>
          <w:sz w:val="24"/>
          <w:szCs w:val="24"/>
          <w:lang w:val="en-US"/>
        </w:rPr>
        <w:tab/>
        <w:t xml:space="preserve">Virtanen KA, Lidell ME, Orava J, Heglind M, Westergren R, Niemi T, Taittonen M, Laine J, Savisto N, Enerbäck S, Nuutila P. Functional brown adipose tissue in healthy adults. N Engl J Med. 2009;360(15):1518–25. </w:t>
      </w:r>
    </w:p>
    <w:p w14:paraId="55D86E18"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8. </w:t>
      </w:r>
      <w:r w:rsidRPr="0041655C">
        <w:rPr>
          <w:rFonts w:ascii="Times New Roman" w:hAnsi="Times New Roman" w:cs="Times New Roman"/>
          <w:noProof/>
          <w:sz w:val="24"/>
          <w:szCs w:val="24"/>
          <w:lang w:val="en-US"/>
        </w:rPr>
        <w:tab/>
        <w:t xml:space="preserve">Saito M, Okamatsu-Ogura Y, Matsushita M, Watanabe K, Yoneshiro T, Nio-Kobayashi J, Iwanaga T, Miyagawa M, Kameya T, Nakada K, Kawai Y, Tsujisaki M. High incidence of metabolically active brown adipose tissue in healthy adult humans: effects </w:t>
      </w:r>
      <w:r w:rsidRPr="0041655C">
        <w:rPr>
          <w:rFonts w:ascii="Times New Roman" w:hAnsi="Times New Roman" w:cs="Times New Roman"/>
          <w:noProof/>
          <w:sz w:val="24"/>
          <w:szCs w:val="24"/>
          <w:lang w:val="en-US"/>
        </w:rPr>
        <w:lastRenderedPageBreak/>
        <w:t xml:space="preserve">of cold exposure and adiposity. Diabetes. 2009;58(7):1526–31. </w:t>
      </w:r>
    </w:p>
    <w:p w14:paraId="6B0477B1" w14:textId="77777777" w:rsidR="001B72D2" w:rsidRPr="001B72D2"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rPr>
      </w:pPr>
      <w:r w:rsidRPr="0041655C">
        <w:rPr>
          <w:rFonts w:ascii="Times New Roman" w:hAnsi="Times New Roman" w:cs="Times New Roman"/>
          <w:noProof/>
          <w:sz w:val="24"/>
          <w:szCs w:val="24"/>
          <w:lang w:val="en-US"/>
        </w:rPr>
        <w:t xml:space="preserve">9. </w:t>
      </w:r>
      <w:r w:rsidRPr="0041655C">
        <w:rPr>
          <w:rFonts w:ascii="Times New Roman" w:hAnsi="Times New Roman" w:cs="Times New Roman"/>
          <w:noProof/>
          <w:sz w:val="24"/>
          <w:szCs w:val="24"/>
          <w:lang w:val="en-US"/>
        </w:rPr>
        <w:tab/>
        <w:t xml:space="preserve">Zingaretti MC, Crosta F, Vitali A, Guerrieri M, Frontini A, Cannon B, Nedergaard J, Cinti S. The presence of UCP1 demonstrates that metabolically active adipose tissue in the neck of adult humans truly represents brown adipose tissue. </w:t>
      </w:r>
      <w:r w:rsidRPr="001B72D2">
        <w:rPr>
          <w:rFonts w:ascii="Times New Roman" w:hAnsi="Times New Roman" w:cs="Times New Roman"/>
          <w:noProof/>
          <w:sz w:val="24"/>
          <w:szCs w:val="24"/>
        </w:rPr>
        <w:t xml:space="preserve">FASEB J. 2009;23(9):3113–20. </w:t>
      </w:r>
    </w:p>
    <w:p w14:paraId="2570AD80"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1B72D2">
        <w:rPr>
          <w:rFonts w:ascii="Times New Roman" w:hAnsi="Times New Roman" w:cs="Times New Roman"/>
          <w:noProof/>
          <w:sz w:val="24"/>
          <w:szCs w:val="24"/>
        </w:rPr>
        <w:t xml:space="preserve">10. </w:t>
      </w:r>
      <w:r w:rsidRPr="001B72D2">
        <w:rPr>
          <w:rFonts w:ascii="Times New Roman" w:hAnsi="Times New Roman" w:cs="Times New Roman"/>
          <w:noProof/>
          <w:sz w:val="24"/>
          <w:szCs w:val="24"/>
        </w:rPr>
        <w:tab/>
        <w:t xml:space="preserve">Ruiz JR, Martinez-Tellez B, Sanchez-Delgado G, Osuna-Prieto FJ, Rensen PCN, Boon MR. </w:t>
      </w:r>
      <w:r w:rsidRPr="0041655C">
        <w:rPr>
          <w:rFonts w:ascii="Times New Roman" w:hAnsi="Times New Roman" w:cs="Times New Roman"/>
          <w:noProof/>
          <w:sz w:val="24"/>
          <w:szCs w:val="24"/>
          <w:lang w:val="en-US"/>
        </w:rPr>
        <w:t xml:space="preserve">Role of Human Brown Fat in Obesity, Metabolism and Cardiovascular Disease: Strategies to Turn Up the Heat. Prog Cardiovasc Dis. 2018;61(2):232–45. </w:t>
      </w:r>
    </w:p>
    <w:p w14:paraId="6EBCC610"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11. </w:t>
      </w:r>
      <w:r w:rsidRPr="0041655C">
        <w:rPr>
          <w:rFonts w:ascii="Times New Roman" w:hAnsi="Times New Roman" w:cs="Times New Roman"/>
          <w:noProof/>
          <w:sz w:val="24"/>
          <w:szCs w:val="24"/>
          <w:lang w:val="en-US"/>
        </w:rPr>
        <w:tab/>
        <w:t xml:space="preserve">Rothwell NJ, Stock MJ. A role for brown adipose tissue in diet-induced thermogenesis. Nature. 1979;281(5726):31–5. </w:t>
      </w:r>
    </w:p>
    <w:p w14:paraId="5B07475A"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12. </w:t>
      </w:r>
      <w:r w:rsidRPr="0041655C">
        <w:rPr>
          <w:rFonts w:ascii="Times New Roman" w:hAnsi="Times New Roman" w:cs="Times New Roman"/>
          <w:noProof/>
          <w:sz w:val="24"/>
          <w:szCs w:val="24"/>
          <w:lang w:val="en-US"/>
        </w:rPr>
        <w:tab/>
        <w:t xml:space="preserve">Feldmann HM, Golozoubova V, Cannon B, Nedergaard J. UCP1 Ablation Induces Obesity and Abolishes Diet-Induced Thermogenesis in Mice Exempt from Thermal Stress by Living at Thermoneutrality. Cell Metab. 2009;9(2):203–9. </w:t>
      </w:r>
    </w:p>
    <w:p w14:paraId="41492522"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13. </w:t>
      </w:r>
      <w:r w:rsidRPr="0041655C">
        <w:rPr>
          <w:rFonts w:ascii="Times New Roman" w:hAnsi="Times New Roman" w:cs="Times New Roman"/>
          <w:noProof/>
          <w:sz w:val="24"/>
          <w:szCs w:val="24"/>
          <w:lang w:val="en-US"/>
        </w:rPr>
        <w:tab/>
        <w:t xml:space="preserve">Sundin U, Nechad M. Trophic response of rat brown fat by glucose feeding: involvement of sympathetic nervous system. Am J Physiol Physiol. 1983;244(3):C142–9. </w:t>
      </w:r>
    </w:p>
    <w:p w14:paraId="2E22503C"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14. </w:t>
      </w:r>
      <w:r w:rsidRPr="0041655C">
        <w:rPr>
          <w:rFonts w:ascii="Times New Roman" w:hAnsi="Times New Roman" w:cs="Times New Roman"/>
          <w:noProof/>
          <w:sz w:val="24"/>
          <w:szCs w:val="24"/>
          <w:lang w:val="en-US"/>
        </w:rPr>
        <w:tab/>
        <w:t xml:space="preserve">Mercer SW, Trayhurn P. Effect of High Fat Diets on Energy Balance and Thermogenesis in Brown Adipose Tissue of Lean and Genetically Obese ob/ob Mice. J Nutr. 1987;117(12):2147–53. </w:t>
      </w:r>
    </w:p>
    <w:p w14:paraId="756CE130"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15. </w:t>
      </w:r>
      <w:r w:rsidRPr="0041655C">
        <w:rPr>
          <w:rFonts w:ascii="Times New Roman" w:hAnsi="Times New Roman" w:cs="Times New Roman"/>
          <w:noProof/>
          <w:sz w:val="24"/>
          <w:szCs w:val="24"/>
          <w:lang w:val="en-US"/>
        </w:rPr>
        <w:tab/>
        <w:t xml:space="preserve">de Jong JMA, Sun W, Pires ND, Frontini A, Balaz M, Jespersen NZ, Feizi A, Petrovic K, Fischer AW, Bokhari MH, Niemi T, Nuutila P, Cinti S, Nielsen S, Scheele C, Virtanen K, Cannon B, Nedergaard J, Wolfrum C, et al. Human brown adipose tissue is phenocopied by classical brown adipose tissue in physiologically humanized mice. Nat Metab. 2019;1(8):830–43. </w:t>
      </w:r>
    </w:p>
    <w:p w14:paraId="6D07F502"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lastRenderedPageBreak/>
        <w:t xml:space="preserve">16. </w:t>
      </w:r>
      <w:r w:rsidRPr="0041655C">
        <w:rPr>
          <w:rFonts w:ascii="Times New Roman" w:hAnsi="Times New Roman" w:cs="Times New Roman"/>
          <w:noProof/>
          <w:sz w:val="24"/>
          <w:szCs w:val="24"/>
          <w:lang w:val="en-US"/>
        </w:rPr>
        <w:tab/>
        <w:t xml:space="preserve">Keijer J, Li M, Speakman JR. To best mimic human thermal conditions, mice should be housed slightly below thermoneutrality. Mol Metab. 2019;26:4. </w:t>
      </w:r>
    </w:p>
    <w:p w14:paraId="654F3041"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17. </w:t>
      </w:r>
      <w:r w:rsidRPr="0041655C">
        <w:rPr>
          <w:rFonts w:ascii="Times New Roman" w:hAnsi="Times New Roman" w:cs="Times New Roman"/>
          <w:noProof/>
          <w:sz w:val="24"/>
          <w:szCs w:val="24"/>
          <w:lang w:val="en-US"/>
        </w:rPr>
        <w:tab/>
        <w:t xml:space="preserve">Klepeis NE, Nelson WC, Ott WR, Robinson JP, Tsang AM, Switzer P, Behar J V, Hern SC, Engelmann WH. The National Human Activity Pattern Survey (NHAPS): a resource for assessing exposure to environmental pollutants. J Expo Anal Environ Epidemiol. 11(3):231–52. </w:t>
      </w:r>
    </w:p>
    <w:p w14:paraId="29FB286C"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18. </w:t>
      </w:r>
      <w:r w:rsidRPr="0041655C">
        <w:rPr>
          <w:rFonts w:ascii="Times New Roman" w:hAnsi="Times New Roman" w:cs="Times New Roman"/>
          <w:noProof/>
          <w:sz w:val="24"/>
          <w:szCs w:val="24"/>
          <w:lang w:val="en-US"/>
        </w:rPr>
        <w:tab/>
        <w:t xml:space="preserve">Carpentier AC, Blondin DP, Virtanen KA, Richard D, Haman F, Turcotte ÉE. Brown Adipose Tissue Energy Metabolism in Humans. Front Endocrinol (Lausanne). 2018;9(August):1–21. </w:t>
      </w:r>
    </w:p>
    <w:p w14:paraId="234A85E9"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19. </w:t>
      </w:r>
      <w:r w:rsidRPr="0041655C">
        <w:rPr>
          <w:rFonts w:ascii="Times New Roman" w:hAnsi="Times New Roman" w:cs="Times New Roman"/>
          <w:noProof/>
          <w:sz w:val="24"/>
          <w:szCs w:val="24"/>
          <w:lang w:val="en-US"/>
        </w:rPr>
        <w:tab/>
        <w:t xml:space="preserve">Chen KY, Cypess AM, Laughlin MR, Haft CR, Hu HH, Bredella MA, Enerbäck S, Kinahan PE, Lichtenbelt W van M, Lin FI, Sunderland JJ, Virtanen KA, Wahl RL. Brown Adipose Reporting Criteria in Imaging STudies (BARCIST 1.0): Recommendations for Standardized FDG-PET/CT Experiments in Humans. Cell Metab. 2016;24(2):210–22. </w:t>
      </w:r>
    </w:p>
    <w:p w14:paraId="7D000AD7"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20. </w:t>
      </w:r>
      <w:r w:rsidRPr="0041655C">
        <w:rPr>
          <w:rFonts w:ascii="Times New Roman" w:hAnsi="Times New Roman" w:cs="Times New Roman"/>
          <w:noProof/>
          <w:sz w:val="24"/>
          <w:szCs w:val="24"/>
          <w:lang w:val="en-US"/>
        </w:rPr>
        <w:tab/>
        <w:t xml:space="preserve">van der Lans A a JJ, Wierts R, Vosselman MJ, Schrauwen P, Brans B, van Marken Lichtenbelt WD. Cold-activated brown adipose tissue in human adults: methodological issues. Am J Physiol Regul Integr Comp Physiol. 2014;307(2):R103-13. </w:t>
      </w:r>
    </w:p>
    <w:p w14:paraId="05ACDA16"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21. </w:t>
      </w:r>
      <w:r w:rsidRPr="0041655C">
        <w:rPr>
          <w:rFonts w:ascii="Times New Roman" w:hAnsi="Times New Roman" w:cs="Times New Roman"/>
          <w:noProof/>
          <w:sz w:val="24"/>
          <w:szCs w:val="24"/>
          <w:lang w:val="en-US"/>
        </w:rPr>
        <w:tab/>
        <w:t xml:space="preserve">Brychta RJ, Huang S, Wang J, Leitner BP, Hattenbach JD, Bell SL, Fletcher LA, Perron Wood R, Idelson CR, Duckworth CJ, McGehee S, Courville AB, Bernstein SB, Reitman ML, Cypess AM, Chen KY. Quantification of the Capacity for Cold-Induced Thermogenesis in Young Men With and Without Obesity. J Clin Endocrinol Metab. 2019;104(10):4865–78. </w:t>
      </w:r>
    </w:p>
    <w:p w14:paraId="53373AC2"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22. </w:t>
      </w:r>
      <w:r w:rsidRPr="0041655C">
        <w:rPr>
          <w:rFonts w:ascii="Times New Roman" w:hAnsi="Times New Roman" w:cs="Times New Roman"/>
          <w:noProof/>
          <w:sz w:val="24"/>
          <w:szCs w:val="24"/>
          <w:lang w:val="en-US"/>
        </w:rPr>
        <w:tab/>
        <w:t xml:space="preserve">Fischer AW, Cannon B, Nedergaard J. No insulating effect of obesity, neither in mice nor in humans. Am J Physiol Endocrinol Metab. 2019;317(5):E952–3. </w:t>
      </w:r>
    </w:p>
    <w:p w14:paraId="08D60A3C"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lastRenderedPageBreak/>
        <w:t xml:space="preserve">23. </w:t>
      </w:r>
      <w:r w:rsidRPr="0041655C">
        <w:rPr>
          <w:rFonts w:ascii="Times New Roman" w:hAnsi="Times New Roman" w:cs="Times New Roman"/>
          <w:noProof/>
          <w:sz w:val="24"/>
          <w:szCs w:val="24"/>
          <w:lang w:val="en-US"/>
        </w:rPr>
        <w:tab/>
        <w:t xml:space="preserve">Leitner BP, Huang S, Brychta RJ, Duckworth CJ, Baskin AS, McGehee S, Tal I, Dieckmann W, Gupta G, Kolodny GM, Pacak K, Herscovitch P, Cypess AM, Chen KY. Mapping of human brown adipose tissue in lean and obese young men. Proc Natl Acad Sci U S A. 2017;6–11. </w:t>
      </w:r>
    </w:p>
    <w:p w14:paraId="1653468A"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24. </w:t>
      </w:r>
      <w:r w:rsidRPr="0041655C">
        <w:rPr>
          <w:rFonts w:ascii="Times New Roman" w:hAnsi="Times New Roman" w:cs="Times New Roman"/>
          <w:noProof/>
          <w:sz w:val="24"/>
          <w:szCs w:val="24"/>
          <w:lang w:val="en-US"/>
        </w:rPr>
        <w:tab/>
        <w:t xml:space="preserve">Blondin DP, Labbé SM, Noll C, Kunach M, Phoenix S, Guérin B, Turcotte ÉE, Haman F, Richard D, Carpentier AC. Selective impairment of glucose but not fatty acid or oxidative metabolism in brown adipose tissue of subjects with type 2 diabetes. Diabetes. 2015;64(7):2388–97. </w:t>
      </w:r>
    </w:p>
    <w:p w14:paraId="13C5CC17" w14:textId="77777777" w:rsidR="001B72D2" w:rsidRPr="001B72D2"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rPr>
      </w:pPr>
      <w:r w:rsidRPr="0041655C">
        <w:rPr>
          <w:rFonts w:ascii="Times New Roman" w:hAnsi="Times New Roman" w:cs="Times New Roman"/>
          <w:noProof/>
          <w:sz w:val="24"/>
          <w:szCs w:val="24"/>
          <w:lang w:val="en-US"/>
        </w:rPr>
        <w:t xml:space="preserve">25. </w:t>
      </w:r>
      <w:r w:rsidRPr="0041655C">
        <w:rPr>
          <w:rFonts w:ascii="Times New Roman" w:hAnsi="Times New Roman" w:cs="Times New Roman"/>
          <w:noProof/>
          <w:sz w:val="24"/>
          <w:szCs w:val="24"/>
          <w:lang w:val="en-US"/>
        </w:rPr>
        <w:tab/>
        <w:t xml:space="preserve">Din MU, Raiko J, Saari T, Saunavaara V, Kudomi N, Solin O, Parkkola R, Nuutila P, Virtanen KA. Human brown fat radiodensity indicates underlying tissue composition and systemic metabolic health. </w:t>
      </w:r>
      <w:r w:rsidRPr="001B72D2">
        <w:rPr>
          <w:rFonts w:ascii="Times New Roman" w:hAnsi="Times New Roman" w:cs="Times New Roman"/>
          <w:noProof/>
          <w:sz w:val="24"/>
          <w:szCs w:val="24"/>
        </w:rPr>
        <w:t xml:space="preserve">J Clin Endocrinol Metab. 2017;102(7):2258–67. </w:t>
      </w:r>
    </w:p>
    <w:p w14:paraId="26334B6D"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1B72D2">
        <w:rPr>
          <w:rFonts w:ascii="Times New Roman" w:hAnsi="Times New Roman" w:cs="Times New Roman"/>
          <w:noProof/>
          <w:sz w:val="24"/>
          <w:szCs w:val="24"/>
        </w:rPr>
        <w:t xml:space="preserve">26. </w:t>
      </w:r>
      <w:r w:rsidRPr="001B72D2">
        <w:rPr>
          <w:rFonts w:ascii="Times New Roman" w:hAnsi="Times New Roman" w:cs="Times New Roman"/>
          <w:noProof/>
          <w:sz w:val="24"/>
          <w:szCs w:val="24"/>
        </w:rPr>
        <w:tab/>
        <w:t xml:space="preserve">Sanchez-Delgado G, Martinez-Tellez B, Olza J, Aguilera CM, Labayen I, Ortega FB, Chillon P, Fernandez-Reguera C, Alcantara JMA, Martinez-Avila WD, Muñoz-Hernandez V, Acosta FM, Prados-Ruiz J, Amaro-Gahete FJ, Hidalgo-Garcia L, Rodriguez L, Ruiz YA-K, Ramirez-Navarro A, Muros-de Fuentes MA, et al. </w:t>
      </w:r>
      <w:r w:rsidRPr="0041655C">
        <w:rPr>
          <w:rFonts w:ascii="Times New Roman" w:hAnsi="Times New Roman" w:cs="Times New Roman"/>
          <w:noProof/>
          <w:sz w:val="24"/>
          <w:szCs w:val="24"/>
          <w:lang w:val="en-US"/>
        </w:rPr>
        <w:t xml:space="preserve">Activating brown adipose tissue through exercise (ACTIBATE) in young adults: Rationale, design and methodology. Contemp Clin Trials. 2015;45(Pt B):416–25. </w:t>
      </w:r>
    </w:p>
    <w:p w14:paraId="18E14980" w14:textId="77777777" w:rsidR="001B72D2" w:rsidRPr="001B72D2"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rPr>
      </w:pPr>
      <w:r w:rsidRPr="0041655C">
        <w:rPr>
          <w:rFonts w:ascii="Times New Roman" w:hAnsi="Times New Roman" w:cs="Times New Roman"/>
          <w:noProof/>
          <w:sz w:val="24"/>
          <w:szCs w:val="24"/>
          <w:lang w:val="en-US"/>
        </w:rPr>
        <w:t xml:space="preserve">27. </w:t>
      </w:r>
      <w:r w:rsidRPr="0041655C">
        <w:rPr>
          <w:rFonts w:ascii="Times New Roman" w:hAnsi="Times New Roman" w:cs="Times New Roman"/>
          <w:noProof/>
          <w:sz w:val="24"/>
          <w:szCs w:val="24"/>
          <w:lang w:val="en-US"/>
        </w:rPr>
        <w:tab/>
        <w:t xml:space="preserve">DuBois D, DuBois E. A formula to estimate the approximate surface area if height and weight be known. </w:t>
      </w:r>
      <w:r w:rsidRPr="001B72D2">
        <w:rPr>
          <w:rFonts w:ascii="Times New Roman" w:hAnsi="Times New Roman" w:cs="Times New Roman"/>
          <w:noProof/>
          <w:sz w:val="24"/>
          <w:szCs w:val="24"/>
        </w:rPr>
        <w:t xml:space="preserve">Arch Intern Medicine. Arch Intern Med. 1916;17:863–71. </w:t>
      </w:r>
    </w:p>
    <w:p w14:paraId="15CD701F"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1B72D2">
        <w:rPr>
          <w:rFonts w:ascii="Times New Roman" w:hAnsi="Times New Roman" w:cs="Times New Roman"/>
          <w:noProof/>
          <w:sz w:val="24"/>
          <w:szCs w:val="24"/>
        </w:rPr>
        <w:t xml:space="preserve">28. </w:t>
      </w:r>
      <w:r w:rsidRPr="001B72D2">
        <w:rPr>
          <w:rFonts w:ascii="Times New Roman" w:hAnsi="Times New Roman" w:cs="Times New Roman"/>
          <w:noProof/>
          <w:sz w:val="24"/>
          <w:szCs w:val="24"/>
        </w:rPr>
        <w:tab/>
        <w:t xml:space="preserve">Martinez-Tellez B, Sanchez-Delgado G, Garcia-Rivero Y, Alcantara JMA, Martinez-Avila WD, Muñoz-Hernandez M V., Olza J, Boon MR, Rensen PCN, Llamas-Elvira JM, Ruiz JR. </w:t>
      </w:r>
      <w:r w:rsidRPr="0041655C">
        <w:rPr>
          <w:rFonts w:ascii="Times New Roman" w:hAnsi="Times New Roman" w:cs="Times New Roman"/>
          <w:noProof/>
          <w:sz w:val="24"/>
          <w:szCs w:val="24"/>
          <w:lang w:val="en-US"/>
        </w:rPr>
        <w:t xml:space="preserve">A new personalized cooling protocol to activate brown adipose tissue in young adults. Front Physiol. 2017;8(NOV):1–10. </w:t>
      </w:r>
    </w:p>
    <w:p w14:paraId="055306B8"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29. </w:t>
      </w:r>
      <w:r w:rsidRPr="0041655C">
        <w:rPr>
          <w:rFonts w:ascii="Times New Roman" w:hAnsi="Times New Roman" w:cs="Times New Roman"/>
          <w:noProof/>
          <w:sz w:val="24"/>
          <w:szCs w:val="24"/>
          <w:lang w:val="en-US"/>
        </w:rPr>
        <w:tab/>
        <w:t xml:space="preserve">Schindelin J, Arganda-Carreras I, Frise E, Kaynig V, Longair M, Pietzsch T, Preibisch S, </w:t>
      </w:r>
      <w:r w:rsidRPr="0041655C">
        <w:rPr>
          <w:rFonts w:ascii="Times New Roman" w:hAnsi="Times New Roman" w:cs="Times New Roman"/>
          <w:noProof/>
          <w:sz w:val="24"/>
          <w:szCs w:val="24"/>
          <w:lang w:val="en-US"/>
        </w:rPr>
        <w:lastRenderedPageBreak/>
        <w:t xml:space="preserve">Rueden C, Saalfeld S, Schmid B, Tinevez J-Y, White DJ, Hartenstein V, Eliceiri K, Tomancak P, Cardona A. Fiji: an open-source platform for biological-image analysis. Nat Methods. 2012;9(7):676–82. </w:t>
      </w:r>
    </w:p>
    <w:p w14:paraId="5D356FD3"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30. </w:t>
      </w:r>
      <w:r w:rsidRPr="0041655C">
        <w:rPr>
          <w:rFonts w:ascii="Times New Roman" w:hAnsi="Times New Roman" w:cs="Times New Roman"/>
          <w:noProof/>
          <w:sz w:val="24"/>
          <w:szCs w:val="24"/>
          <w:lang w:val="en-US"/>
        </w:rPr>
        <w:tab/>
        <w:t xml:space="preserve">Matthews DR, Hosker JP, Rudenski AS, Naylor BA, Treacher DF, Turner RC. Homeostasis model assessment: insulin resistance and beta-cell function from fasting plasma glucose and insulin concentrations in man. Diabetologia. 1985;28(7):412–9. </w:t>
      </w:r>
    </w:p>
    <w:p w14:paraId="660FC738"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31. </w:t>
      </w:r>
      <w:r w:rsidRPr="0041655C">
        <w:rPr>
          <w:rFonts w:ascii="Times New Roman" w:hAnsi="Times New Roman" w:cs="Times New Roman"/>
          <w:noProof/>
          <w:sz w:val="24"/>
          <w:szCs w:val="24"/>
          <w:lang w:val="en-US"/>
        </w:rPr>
        <w:tab/>
        <w:t xml:space="preserve">Schilperoort M, Hoeke G, Kooijman S, Rensen PCN. Relevance of lipid metabolism for brown fat visualization and quantification. Curr Opin Lipidol. 2016;27(3):242–8. </w:t>
      </w:r>
    </w:p>
    <w:p w14:paraId="065A99D2"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32. </w:t>
      </w:r>
      <w:r w:rsidRPr="0041655C">
        <w:rPr>
          <w:rFonts w:ascii="Times New Roman" w:hAnsi="Times New Roman" w:cs="Times New Roman"/>
          <w:noProof/>
          <w:sz w:val="24"/>
          <w:szCs w:val="24"/>
          <w:lang w:val="en-US"/>
        </w:rPr>
        <w:tab/>
        <w:t xml:space="preserve">Chondronikola M, Volpi E, Børsheim E, Porter C, Annamalai P, Enerbäck S, Lidell ME, Saraf MK, Labbe SM, Hurren NM, Yfanti C, Chao T, Andersen CR, Cesani F, Hawkins H, Sidossis LS. Brown adipose tissue improves whole-body glucose homeostasis and insulin sensitivity in humans. Diabetes. 2014;63(12):4089–99. </w:t>
      </w:r>
    </w:p>
    <w:p w14:paraId="5CCBC509"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33. </w:t>
      </w:r>
      <w:r w:rsidRPr="0041655C">
        <w:rPr>
          <w:rFonts w:ascii="Times New Roman" w:hAnsi="Times New Roman" w:cs="Times New Roman"/>
          <w:noProof/>
          <w:sz w:val="24"/>
          <w:szCs w:val="24"/>
          <w:lang w:val="en-US"/>
        </w:rPr>
        <w:tab/>
        <w:t xml:space="preserve">Yoneshiro T, Matsushita M, Nakae S, Kameya T, Sugie H, Tanaka S, Saito M. Brown adipose tissue is involved in the seasonal variation of cold-induced thermogenesis in humans. Am J Physiol Regul Integr Comp Physiol. 2016;310(10):R999–1009. </w:t>
      </w:r>
    </w:p>
    <w:p w14:paraId="1052C982"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34. </w:t>
      </w:r>
      <w:r w:rsidRPr="0041655C">
        <w:rPr>
          <w:rFonts w:ascii="Times New Roman" w:hAnsi="Times New Roman" w:cs="Times New Roman"/>
          <w:noProof/>
          <w:sz w:val="24"/>
          <w:szCs w:val="24"/>
          <w:lang w:val="en-US"/>
        </w:rPr>
        <w:tab/>
        <w:t xml:space="preserve">Au-Yong ITH, Thorn N, Ganatra R, Perkins AC, Symonds ME. Brown adipose tissue and seasonal variation in humans. Diabetes. 2009;58(11):2583–7. </w:t>
      </w:r>
    </w:p>
    <w:p w14:paraId="53092E88"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35. </w:t>
      </w:r>
      <w:r w:rsidRPr="0041655C">
        <w:rPr>
          <w:rFonts w:ascii="Times New Roman" w:hAnsi="Times New Roman" w:cs="Times New Roman"/>
          <w:noProof/>
          <w:sz w:val="24"/>
          <w:szCs w:val="24"/>
          <w:lang w:val="en-US"/>
        </w:rPr>
        <w:tab/>
        <w:t xml:space="preserve">Fraum TJ, Crandall JP, Ludwig DR, Chen S, Fowler KJ, Laforest RA, Salter A, Dehdashti F, An H, Wahl RL. Repeatability of Quantitative Brown Adipose Tissue Imaging Metrics on Positron Emission Tomography with 18F-Fluorodeoxyglucose in Humans. Cell Metab. 2019;30(1):212-224.e4. </w:t>
      </w:r>
    </w:p>
    <w:p w14:paraId="224AFAFD"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36. </w:t>
      </w:r>
      <w:r w:rsidRPr="0041655C">
        <w:rPr>
          <w:rFonts w:ascii="Times New Roman" w:hAnsi="Times New Roman" w:cs="Times New Roman"/>
          <w:noProof/>
          <w:sz w:val="24"/>
          <w:szCs w:val="24"/>
          <w:lang w:val="en-US"/>
        </w:rPr>
        <w:tab/>
        <w:t xml:space="preserve">Martinez-Tellez B, Nahon KJ, Sanchez-Delgado G, Abreu-Vieira G, Llamas-Elvira JM, van Velden FHP, Pereira Arias-Bouda LM, Rensen PCN, Boon MR, Ruiz JR. The impact of using BARCIST 1.0 criteria on quantification of BAT volume and activity in </w:t>
      </w:r>
      <w:r w:rsidRPr="0041655C">
        <w:rPr>
          <w:rFonts w:ascii="Times New Roman" w:hAnsi="Times New Roman" w:cs="Times New Roman"/>
          <w:noProof/>
          <w:sz w:val="24"/>
          <w:szCs w:val="24"/>
          <w:lang w:val="en-US"/>
        </w:rPr>
        <w:lastRenderedPageBreak/>
        <w:t xml:space="preserve">three independent cohorts of adults. Sci Rep. 2018;8(1):8567. </w:t>
      </w:r>
    </w:p>
    <w:p w14:paraId="318B7EBF"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37. </w:t>
      </w:r>
      <w:r w:rsidRPr="0041655C">
        <w:rPr>
          <w:rFonts w:ascii="Times New Roman" w:hAnsi="Times New Roman" w:cs="Times New Roman"/>
          <w:noProof/>
          <w:sz w:val="24"/>
          <w:szCs w:val="24"/>
          <w:lang w:val="en-US"/>
        </w:rPr>
        <w:tab/>
        <w:t xml:space="preserve">Rossato M. Aging and brown adipose tissue activity decline in human: does the brain extinguish the fire? Aging Clin Exp Res. 2016;28(3):579–81. </w:t>
      </w:r>
    </w:p>
    <w:p w14:paraId="4F8A4020"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38. </w:t>
      </w:r>
      <w:r w:rsidRPr="0041655C">
        <w:rPr>
          <w:rFonts w:ascii="Times New Roman" w:hAnsi="Times New Roman" w:cs="Times New Roman"/>
          <w:noProof/>
          <w:sz w:val="24"/>
          <w:szCs w:val="24"/>
          <w:lang w:val="en-US"/>
        </w:rPr>
        <w:tab/>
        <w:t xml:space="preserve">Heaton JM. The distribution of brown adipose tissue in the human. J Anat. 1972;112(Pt 1):35–9. </w:t>
      </w:r>
    </w:p>
    <w:p w14:paraId="05CAE432"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39. </w:t>
      </w:r>
      <w:r w:rsidRPr="0041655C">
        <w:rPr>
          <w:rFonts w:ascii="Times New Roman" w:hAnsi="Times New Roman" w:cs="Times New Roman"/>
          <w:noProof/>
          <w:sz w:val="24"/>
          <w:szCs w:val="24"/>
          <w:lang w:val="en-US"/>
        </w:rPr>
        <w:tab/>
        <w:t xml:space="preserve">Enerbäck S. Human brown adipose tissue. Cell Metab. 2010;11(4):248–52. </w:t>
      </w:r>
    </w:p>
    <w:p w14:paraId="53A0FA1A"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40. </w:t>
      </w:r>
      <w:r w:rsidRPr="0041655C">
        <w:rPr>
          <w:rFonts w:ascii="Times New Roman" w:hAnsi="Times New Roman" w:cs="Times New Roman"/>
          <w:noProof/>
          <w:sz w:val="24"/>
          <w:szCs w:val="24"/>
          <w:lang w:val="en-US"/>
        </w:rPr>
        <w:tab/>
        <w:t xml:space="preserve">Dutton GR, Kim Y, Jacobs DR, Li X, Loria CM, Reis JP, Carnethon M, Durant NH, Gordon-Larsen P, Shikany JM, Sidney S, Lewis CE. 25-year weight gain in a racially balanced sample of U.S. adults: The CARDIA study. Obesity (Silver Spring). 2016;24(9):1962–8. </w:t>
      </w:r>
    </w:p>
    <w:p w14:paraId="61A78A2A"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fr-CA"/>
        </w:rPr>
      </w:pPr>
      <w:r w:rsidRPr="0041655C">
        <w:rPr>
          <w:rFonts w:ascii="Times New Roman" w:hAnsi="Times New Roman" w:cs="Times New Roman"/>
          <w:noProof/>
          <w:sz w:val="24"/>
          <w:szCs w:val="24"/>
          <w:lang w:val="en-US"/>
        </w:rPr>
        <w:t xml:space="preserve">41. </w:t>
      </w:r>
      <w:r w:rsidRPr="0041655C">
        <w:rPr>
          <w:rFonts w:ascii="Times New Roman" w:hAnsi="Times New Roman" w:cs="Times New Roman"/>
          <w:noProof/>
          <w:sz w:val="24"/>
          <w:szCs w:val="24"/>
          <w:lang w:val="en-US"/>
        </w:rPr>
        <w:tab/>
        <w:t xml:space="preserve">Lavie CJ, Deedwania P, Ortega FB. Obesity is rarely healthy. </w:t>
      </w:r>
      <w:r w:rsidRPr="0041655C">
        <w:rPr>
          <w:rFonts w:ascii="Times New Roman" w:hAnsi="Times New Roman" w:cs="Times New Roman"/>
          <w:noProof/>
          <w:sz w:val="24"/>
          <w:szCs w:val="24"/>
          <w:lang w:val="fr-CA"/>
        </w:rPr>
        <w:t xml:space="preserve">Lancet Diabetes Endocrinol. 2018;8587(18):10–1. </w:t>
      </w:r>
    </w:p>
    <w:p w14:paraId="736C5B79"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fr-CA"/>
        </w:rPr>
        <w:t xml:space="preserve">42. </w:t>
      </w:r>
      <w:r w:rsidRPr="0041655C">
        <w:rPr>
          <w:rFonts w:ascii="Times New Roman" w:hAnsi="Times New Roman" w:cs="Times New Roman"/>
          <w:noProof/>
          <w:sz w:val="24"/>
          <w:szCs w:val="24"/>
          <w:lang w:val="fr-CA"/>
        </w:rPr>
        <w:tab/>
        <w:t xml:space="preserve">Grenier-Larouche T, Labbé SM, Noll C, Richard D, Carpentier AC. </w:t>
      </w:r>
      <w:r w:rsidRPr="0041655C">
        <w:rPr>
          <w:rFonts w:ascii="Times New Roman" w:hAnsi="Times New Roman" w:cs="Times New Roman"/>
          <w:noProof/>
          <w:sz w:val="24"/>
          <w:szCs w:val="24"/>
          <w:lang w:val="en-US"/>
        </w:rPr>
        <w:t xml:space="preserve">Metabolic inflexibility of white and brown adipose tissues in abnormal fatty acid partitioning of type 2 diabetes. Int J Obes Suppl. 2012;2(Suppl 2):S37-42. </w:t>
      </w:r>
    </w:p>
    <w:p w14:paraId="1EFE3894"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43. </w:t>
      </w:r>
      <w:r w:rsidRPr="0041655C">
        <w:rPr>
          <w:rFonts w:ascii="Times New Roman" w:hAnsi="Times New Roman" w:cs="Times New Roman"/>
          <w:noProof/>
          <w:sz w:val="24"/>
          <w:szCs w:val="24"/>
          <w:lang w:val="en-US"/>
        </w:rPr>
        <w:tab/>
        <w:t xml:space="preserve">Reynisdottir S, Ellerfeldt K, Wahrenberg H, Lithell H, Arner P. Multiple lipolysis defects in the insulin resistance (metabolic) syndrome. J Clin Invest. 1994;93(6):2590–9. </w:t>
      </w:r>
    </w:p>
    <w:p w14:paraId="19CD56EA"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44. </w:t>
      </w:r>
      <w:r w:rsidRPr="0041655C">
        <w:rPr>
          <w:rFonts w:ascii="Times New Roman" w:hAnsi="Times New Roman" w:cs="Times New Roman"/>
          <w:noProof/>
          <w:sz w:val="24"/>
          <w:szCs w:val="24"/>
          <w:lang w:val="en-US"/>
        </w:rPr>
        <w:tab/>
        <w:t xml:space="preserve">Horowitz JF, Coppack SW, Paramore D, Cryer PE, Zhao G, Klein S. Effect of short-term fasting on lipid kinetics in lean and obese women. Am J Physiol. 1999;276(2 Pt 1):E278-84. </w:t>
      </w:r>
    </w:p>
    <w:p w14:paraId="758C1DFB"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45. </w:t>
      </w:r>
      <w:r w:rsidRPr="0041655C">
        <w:rPr>
          <w:rFonts w:ascii="Times New Roman" w:hAnsi="Times New Roman" w:cs="Times New Roman"/>
          <w:noProof/>
          <w:sz w:val="24"/>
          <w:szCs w:val="24"/>
          <w:lang w:val="en-US"/>
        </w:rPr>
        <w:tab/>
        <w:t xml:space="preserve">Jocken JWE, Goossens GH, van Hees AMJ, Frayn KN, van Baak M, Stegen J, Pakbiers MTW, Saris WHM, Blaak EE. Effect of beta-adrenergic stimulation on whole-body and abdominal subcutaneous adipose tissue lipolysis in lean and obese men. Diabetologia. </w:t>
      </w:r>
      <w:r w:rsidRPr="0041655C">
        <w:rPr>
          <w:rFonts w:ascii="Times New Roman" w:hAnsi="Times New Roman" w:cs="Times New Roman"/>
          <w:noProof/>
          <w:sz w:val="24"/>
          <w:szCs w:val="24"/>
          <w:lang w:val="en-US"/>
        </w:rPr>
        <w:lastRenderedPageBreak/>
        <w:t xml:space="preserve">2008;51(2):320–7. </w:t>
      </w:r>
    </w:p>
    <w:p w14:paraId="1B671142"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46. </w:t>
      </w:r>
      <w:r w:rsidRPr="0041655C">
        <w:rPr>
          <w:rFonts w:ascii="Times New Roman" w:hAnsi="Times New Roman" w:cs="Times New Roman"/>
          <w:noProof/>
          <w:sz w:val="24"/>
          <w:szCs w:val="24"/>
          <w:lang w:val="en-US"/>
        </w:rPr>
        <w:tab/>
        <w:t xml:space="preserve">Sanchez-Rangel E, Gallezot J-D, Yeckel CW, Lam W, Belfort-DeAguiar R, Chen M-K, Carson RE, Sherwin R, Hwang JJ. Norepinephrine transporter availability in brown fat is reduced in obesity: a human PET study with [11C] MRB. Int J Obes. 2020;44(4):964–7. </w:t>
      </w:r>
    </w:p>
    <w:p w14:paraId="5C0DDA2E"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47. </w:t>
      </w:r>
      <w:r w:rsidRPr="0041655C">
        <w:rPr>
          <w:rFonts w:ascii="Times New Roman" w:hAnsi="Times New Roman" w:cs="Times New Roman"/>
          <w:noProof/>
          <w:sz w:val="24"/>
          <w:szCs w:val="24"/>
          <w:lang w:val="en-US"/>
        </w:rPr>
        <w:tab/>
        <w:t xml:space="preserve">Begaye B, Piaggi P, Thearle MS, Haskie K, Walter M, Schlögl M, Bonfiglio S, Krakoff J, Vinales KL. Norepinephrine and T4 Are Predictors of Fat Mass Gain in Humans With Cold-Induced Brown Adipose Tissue Activation. J Clin Endocrinol Metab. 2018;103(7):2689–97. </w:t>
      </w:r>
    </w:p>
    <w:p w14:paraId="1A780250"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48. </w:t>
      </w:r>
      <w:r w:rsidRPr="0041655C">
        <w:rPr>
          <w:rFonts w:ascii="Times New Roman" w:hAnsi="Times New Roman" w:cs="Times New Roman"/>
          <w:noProof/>
          <w:sz w:val="24"/>
          <w:szCs w:val="24"/>
          <w:lang w:val="en-US"/>
        </w:rPr>
        <w:tab/>
        <w:t xml:space="preserve">Lee P, Smith S, Linderman J, Courville AB, Brychta RJ, Dieckmann W, Werner CD, Chen KY, Celi FS. Temperature-acclimated brown adipose tissue modulates insulin sensitivity in humans. Diabetes. 2014;177:1–59. </w:t>
      </w:r>
    </w:p>
    <w:p w14:paraId="08FD643F"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49. </w:t>
      </w:r>
      <w:r w:rsidRPr="0041655C">
        <w:rPr>
          <w:rFonts w:ascii="Times New Roman" w:hAnsi="Times New Roman" w:cs="Times New Roman"/>
          <w:noProof/>
          <w:sz w:val="24"/>
          <w:szCs w:val="24"/>
          <w:lang w:val="en-US"/>
        </w:rPr>
        <w:tab/>
        <w:t xml:space="preserve">Singhal V, Maffazioli GD, Ackerman KE, Lee H, Elia EF, Woolley R, Kolodny G, Cypess AM, Misra M. Effect of Chronic Athletic Activity on Brown Fat in Young Women. PLoS One. 2016;11(5):e0156353. </w:t>
      </w:r>
    </w:p>
    <w:p w14:paraId="7BFB8CAA"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50. </w:t>
      </w:r>
      <w:r w:rsidRPr="0041655C">
        <w:rPr>
          <w:rFonts w:ascii="Times New Roman" w:hAnsi="Times New Roman" w:cs="Times New Roman"/>
          <w:noProof/>
          <w:sz w:val="24"/>
          <w:szCs w:val="24"/>
          <w:lang w:val="en-US"/>
        </w:rPr>
        <w:tab/>
        <w:t xml:space="preserve">Timmons JA, Pedersen BK. The importance of brown adipose tissue. N Engl J Med. 2009;361(4):415–6; author reply 418-21. </w:t>
      </w:r>
    </w:p>
    <w:p w14:paraId="7C505668"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51. </w:t>
      </w:r>
      <w:r w:rsidRPr="0041655C">
        <w:rPr>
          <w:rFonts w:ascii="Times New Roman" w:hAnsi="Times New Roman" w:cs="Times New Roman"/>
          <w:noProof/>
          <w:sz w:val="24"/>
          <w:szCs w:val="24"/>
          <w:lang w:val="en-US"/>
        </w:rPr>
        <w:tab/>
        <w:t xml:space="preserve">Sacks HS, Fain JN, Holman B, Cheema P, Chary A, Parks F, Karas J, Optican R, Bahouth SW, Garrett E, Wolf RY, Carter RA, Robbins T, Wolford D, Samaha J. Uncoupling Protein-1 and Related Messenger Ribonucleic Acids in Human Epicardial and Other Adipose Tissues: Epicardial Fat Functioning as Brown Fat. J Clin Endocrinol Metab. 2009;94(9):3611–5. </w:t>
      </w:r>
    </w:p>
    <w:p w14:paraId="310FCF57" w14:textId="77777777" w:rsidR="001B72D2" w:rsidRPr="0041655C" w:rsidRDefault="001B72D2" w:rsidP="001B72D2">
      <w:pPr>
        <w:widowControl w:val="0"/>
        <w:autoSpaceDE w:val="0"/>
        <w:autoSpaceDN w:val="0"/>
        <w:adjustRightInd w:val="0"/>
        <w:spacing w:line="480" w:lineRule="auto"/>
        <w:ind w:left="640" w:hanging="640"/>
        <w:rPr>
          <w:rFonts w:ascii="Times New Roman" w:hAnsi="Times New Roman" w:cs="Times New Roman"/>
          <w:noProof/>
          <w:sz w:val="24"/>
          <w:szCs w:val="24"/>
          <w:lang w:val="en-US"/>
        </w:rPr>
      </w:pPr>
      <w:r w:rsidRPr="0041655C">
        <w:rPr>
          <w:rFonts w:ascii="Times New Roman" w:hAnsi="Times New Roman" w:cs="Times New Roman"/>
          <w:noProof/>
          <w:sz w:val="24"/>
          <w:szCs w:val="24"/>
          <w:lang w:val="en-US"/>
        </w:rPr>
        <w:t xml:space="preserve">52. </w:t>
      </w:r>
      <w:r w:rsidRPr="0041655C">
        <w:rPr>
          <w:rFonts w:ascii="Times New Roman" w:hAnsi="Times New Roman" w:cs="Times New Roman"/>
          <w:noProof/>
          <w:sz w:val="24"/>
          <w:szCs w:val="24"/>
          <w:lang w:val="en-US"/>
        </w:rPr>
        <w:tab/>
        <w:t xml:space="preserve">Carobbio S, Pellegrinelli V, Vidal-Puig A. Adipose Tissue Function and Expandability as Determinants of Lipotoxicity and the Metabolic Syndrome. In: Advances in experimental medicine and biology. 2017. p. 161–96. </w:t>
      </w:r>
    </w:p>
    <w:p w14:paraId="46920450" w14:textId="77777777" w:rsidR="001B72D2" w:rsidRPr="001B72D2" w:rsidRDefault="001B72D2" w:rsidP="001B72D2">
      <w:pPr>
        <w:widowControl w:val="0"/>
        <w:autoSpaceDE w:val="0"/>
        <w:autoSpaceDN w:val="0"/>
        <w:adjustRightInd w:val="0"/>
        <w:spacing w:line="480" w:lineRule="auto"/>
        <w:ind w:left="640" w:hanging="640"/>
        <w:rPr>
          <w:rFonts w:ascii="Times New Roman" w:hAnsi="Times New Roman" w:cs="Times New Roman"/>
          <w:noProof/>
          <w:sz w:val="24"/>
        </w:rPr>
      </w:pPr>
      <w:r w:rsidRPr="0041655C">
        <w:rPr>
          <w:rFonts w:ascii="Times New Roman" w:hAnsi="Times New Roman" w:cs="Times New Roman"/>
          <w:noProof/>
          <w:sz w:val="24"/>
          <w:szCs w:val="24"/>
          <w:lang w:val="en-US"/>
        </w:rPr>
        <w:lastRenderedPageBreak/>
        <w:t xml:space="preserve">53. </w:t>
      </w:r>
      <w:r w:rsidRPr="0041655C">
        <w:rPr>
          <w:rFonts w:ascii="Times New Roman" w:hAnsi="Times New Roman" w:cs="Times New Roman"/>
          <w:noProof/>
          <w:sz w:val="24"/>
          <w:szCs w:val="24"/>
          <w:lang w:val="en-US"/>
        </w:rPr>
        <w:tab/>
        <w:t xml:space="preserve">Jespersen NZ, Andersen MW, Jensen VH, Stærkær TW, Severinsen MCK, Mandrup S, Pedersen BK, Nielsen S, Scheele C. Thermogenic genes are blunted whereas brown adipose tissue identity is preserved in human obesity-PREPRINT. </w:t>
      </w:r>
      <w:r w:rsidRPr="001B72D2">
        <w:rPr>
          <w:rFonts w:ascii="Times New Roman" w:hAnsi="Times New Roman" w:cs="Times New Roman"/>
          <w:noProof/>
          <w:sz w:val="24"/>
          <w:szCs w:val="24"/>
        </w:rPr>
        <w:t xml:space="preserve">Bioarxives. 2020; </w:t>
      </w:r>
    </w:p>
    <w:p w14:paraId="613088AC" w14:textId="058A9C8C" w:rsidR="000D4E3C" w:rsidRDefault="007F62F0" w:rsidP="00764E2C">
      <w:pPr>
        <w:widowControl w:val="0"/>
        <w:autoSpaceDE w:val="0"/>
        <w:autoSpaceDN w:val="0"/>
        <w:adjustRightInd w:val="0"/>
        <w:spacing w:line="480" w:lineRule="auto"/>
        <w:ind w:left="640" w:hanging="640"/>
        <w:rPr>
          <w:rFonts w:ascii="Times New Roman" w:hAnsi="Times New Roman" w:cs="Times New Roman"/>
          <w:sz w:val="24"/>
          <w:szCs w:val="24"/>
          <w:lang w:val="en-US"/>
        </w:rPr>
      </w:pPr>
      <w:r w:rsidRPr="001417BE">
        <w:rPr>
          <w:rFonts w:ascii="Times New Roman" w:hAnsi="Times New Roman" w:cs="Times New Roman"/>
          <w:sz w:val="24"/>
          <w:szCs w:val="24"/>
          <w:lang w:val="en-US"/>
        </w:rPr>
        <w:fldChar w:fldCharType="end"/>
      </w:r>
      <w:r w:rsidR="000D4E3C">
        <w:rPr>
          <w:rFonts w:ascii="Times New Roman" w:hAnsi="Times New Roman" w:cs="Times New Roman"/>
          <w:sz w:val="24"/>
          <w:szCs w:val="24"/>
          <w:lang w:val="en-US"/>
        </w:rPr>
        <w:br w:type="page"/>
      </w:r>
    </w:p>
    <w:p w14:paraId="20E8661C" w14:textId="65291C12" w:rsidR="00802C93" w:rsidRDefault="00802C93" w:rsidP="00802C93">
      <w:pPr>
        <w:suppressLineNumbers/>
        <w:spacing w:line="480" w:lineRule="auto"/>
        <w:jc w:val="both"/>
        <w:rPr>
          <w:rFonts w:ascii="Times New Roman" w:eastAsia="Times New Roman" w:hAnsi="Times New Roman" w:cs="Times New Roman"/>
          <w:b/>
          <w:bCs/>
          <w:sz w:val="24"/>
          <w:szCs w:val="24"/>
          <w:lang w:val="en-US" w:eastAsia="es-ES"/>
        </w:rPr>
      </w:pPr>
      <w:r w:rsidRPr="00802C93">
        <w:rPr>
          <w:rFonts w:ascii="Times New Roman" w:eastAsia="Times New Roman" w:hAnsi="Times New Roman" w:cs="Times New Roman"/>
          <w:b/>
          <w:bCs/>
          <w:sz w:val="24"/>
          <w:szCs w:val="24"/>
          <w:lang w:val="en-US" w:eastAsia="es-ES"/>
        </w:rPr>
        <w:lastRenderedPageBreak/>
        <w:t>TABLES</w:t>
      </w:r>
    </w:p>
    <w:p w14:paraId="5DC63877" w14:textId="77777777" w:rsidR="00802C93" w:rsidRPr="001417BE" w:rsidRDefault="00802C93" w:rsidP="00802C93">
      <w:pPr>
        <w:spacing w:line="240" w:lineRule="auto"/>
        <w:contextualSpacing/>
        <w:rPr>
          <w:rFonts w:ascii="Times New Roman" w:hAnsi="Times New Roman" w:cs="Times New Roman"/>
          <w:sz w:val="24"/>
          <w:szCs w:val="24"/>
          <w:lang w:val="en-US"/>
        </w:rPr>
      </w:pPr>
      <w:r w:rsidRPr="001417BE">
        <w:rPr>
          <w:rFonts w:ascii="Times New Roman" w:hAnsi="Times New Roman" w:cs="Times New Roman"/>
          <w:b/>
          <w:sz w:val="24"/>
          <w:szCs w:val="24"/>
          <w:lang w:val="en-US"/>
        </w:rPr>
        <w:t xml:space="preserve">Table </w:t>
      </w:r>
      <w:r>
        <w:rPr>
          <w:rFonts w:ascii="Times New Roman" w:hAnsi="Times New Roman" w:cs="Times New Roman"/>
          <w:b/>
          <w:sz w:val="24"/>
          <w:szCs w:val="24"/>
          <w:lang w:val="en-US"/>
        </w:rPr>
        <w:t>1</w:t>
      </w:r>
      <w:r w:rsidRPr="001417BE">
        <w:rPr>
          <w:rFonts w:ascii="Times New Roman" w:hAnsi="Times New Roman" w:cs="Times New Roman"/>
          <w:b/>
          <w:sz w:val="24"/>
          <w:szCs w:val="24"/>
          <w:lang w:val="en-US"/>
        </w:rPr>
        <w:t xml:space="preserve">. </w:t>
      </w:r>
      <w:r w:rsidRPr="001417BE">
        <w:rPr>
          <w:rFonts w:ascii="Times New Roman" w:hAnsi="Times New Roman" w:cs="Times New Roman"/>
          <w:sz w:val="24"/>
          <w:szCs w:val="24"/>
          <w:lang w:val="en-US"/>
        </w:rPr>
        <w:t>Characteristics of the study subjects.</w:t>
      </w:r>
    </w:p>
    <w:tbl>
      <w:tblPr>
        <w:tblW w:w="9966" w:type="dxa"/>
        <w:tblInd w:w="-360" w:type="dxa"/>
        <w:tblBorders>
          <w:top w:val="single" w:sz="4" w:space="0" w:color="auto"/>
          <w:bottom w:val="single" w:sz="4" w:space="0" w:color="auto"/>
        </w:tblBorders>
        <w:tblLook w:val="04A0" w:firstRow="1" w:lastRow="0" w:firstColumn="1" w:lastColumn="0" w:noHBand="0" w:noVBand="1"/>
      </w:tblPr>
      <w:tblGrid>
        <w:gridCol w:w="3330"/>
        <w:gridCol w:w="876"/>
        <w:gridCol w:w="1036"/>
        <w:gridCol w:w="878"/>
        <w:gridCol w:w="1041"/>
        <w:gridCol w:w="876"/>
        <w:gridCol w:w="1036"/>
        <w:gridCol w:w="893"/>
      </w:tblGrid>
      <w:tr w:rsidR="0045296A" w:rsidRPr="00CB385A" w14:paraId="44E43AC8" w14:textId="77777777" w:rsidTr="006D5746">
        <w:trPr>
          <w:trHeight w:val="319"/>
        </w:trPr>
        <w:tc>
          <w:tcPr>
            <w:tcW w:w="3330" w:type="dxa"/>
            <w:tcBorders>
              <w:top w:val="single" w:sz="4" w:space="0" w:color="auto"/>
              <w:bottom w:val="nil"/>
            </w:tcBorders>
            <w:shd w:val="clear" w:color="auto" w:fill="auto"/>
            <w:noWrap/>
            <w:vAlign w:val="bottom"/>
            <w:hideMark/>
          </w:tcPr>
          <w:p w14:paraId="491AECD7" w14:textId="77777777" w:rsidR="0045296A" w:rsidRPr="00CB385A" w:rsidRDefault="0045296A" w:rsidP="006D5746">
            <w:pPr>
              <w:spacing w:after="0" w:line="240" w:lineRule="auto"/>
              <w:rPr>
                <w:rFonts w:ascii="Times New Roman" w:eastAsia="Times New Roman" w:hAnsi="Times New Roman" w:cs="Times New Roman"/>
                <w:sz w:val="24"/>
                <w:szCs w:val="24"/>
                <w:lang w:val="en-US"/>
              </w:rPr>
            </w:pPr>
            <w:bookmarkStart w:id="17" w:name="_Hlk65599426"/>
          </w:p>
        </w:tc>
        <w:tc>
          <w:tcPr>
            <w:tcW w:w="1912" w:type="dxa"/>
            <w:gridSpan w:val="2"/>
            <w:tcBorders>
              <w:top w:val="single" w:sz="4" w:space="0" w:color="auto"/>
              <w:bottom w:val="nil"/>
            </w:tcBorders>
            <w:shd w:val="clear" w:color="auto" w:fill="auto"/>
            <w:hideMark/>
          </w:tcPr>
          <w:p w14:paraId="28FCBE36" w14:textId="77777777" w:rsidR="0045296A" w:rsidRPr="00CB385A" w:rsidRDefault="0045296A" w:rsidP="006D5746">
            <w:pPr>
              <w:spacing w:after="0" w:line="240" w:lineRule="auto"/>
              <w:jc w:val="center"/>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ALL (126)</w:t>
            </w:r>
          </w:p>
        </w:tc>
        <w:tc>
          <w:tcPr>
            <w:tcW w:w="1919" w:type="dxa"/>
            <w:gridSpan w:val="2"/>
            <w:tcBorders>
              <w:top w:val="single" w:sz="4" w:space="0" w:color="auto"/>
              <w:bottom w:val="nil"/>
            </w:tcBorders>
            <w:shd w:val="clear" w:color="auto" w:fill="auto"/>
            <w:hideMark/>
          </w:tcPr>
          <w:p w14:paraId="0319E9C0" w14:textId="77777777" w:rsidR="0045296A" w:rsidRPr="00CB385A" w:rsidRDefault="0045296A" w:rsidP="006D5746">
            <w:pPr>
              <w:spacing w:after="0" w:line="240" w:lineRule="auto"/>
              <w:jc w:val="center"/>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MEN (42)</w:t>
            </w:r>
          </w:p>
        </w:tc>
        <w:tc>
          <w:tcPr>
            <w:tcW w:w="1912" w:type="dxa"/>
            <w:gridSpan w:val="2"/>
            <w:tcBorders>
              <w:top w:val="single" w:sz="4" w:space="0" w:color="auto"/>
              <w:bottom w:val="nil"/>
            </w:tcBorders>
            <w:shd w:val="clear" w:color="auto" w:fill="auto"/>
            <w:hideMark/>
          </w:tcPr>
          <w:p w14:paraId="14290CD8" w14:textId="77777777" w:rsidR="0045296A" w:rsidRPr="00CB385A" w:rsidRDefault="0045296A" w:rsidP="006D5746">
            <w:pPr>
              <w:spacing w:after="0" w:line="240" w:lineRule="auto"/>
              <w:jc w:val="center"/>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WOMEN (84)</w:t>
            </w:r>
          </w:p>
        </w:tc>
        <w:tc>
          <w:tcPr>
            <w:tcW w:w="893" w:type="dxa"/>
            <w:tcBorders>
              <w:top w:val="single" w:sz="4" w:space="0" w:color="auto"/>
              <w:bottom w:val="nil"/>
            </w:tcBorders>
            <w:shd w:val="clear" w:color="auto" w:fill="auto"/>
            <w:noWrap/>
            <w:vAlign w:val="bottom"/>
            <w:hideMark/>
          </w:tcPr>
          <w:p w14:paraId="05DE86C1" w14:textId="77777777" w:rsidR="0045296A" w:rsidRPr="00CB385A" w:rsidRDefault="0045296A" w:rsidP="006D5746">
            <w:pPr>
              <w:spacing w:after="0" w:line="240" w:lineRule="auto"/>
              <w:jc w:val="center"/>
              <w:rPr>
                <w:rFonts w:ascii="Times New Roman" w:eastAsia="Times New Roman" w:hAnsi="Times New Roman" w:cs="Times New Roman"/>
                <w:color w:val="000000"/>
                <w:sz w:val="24"/>
                <w:szCs w:val="24"/>
                <w:lang w:val="en-US"/>
              </w:rPr>
            </w:pPr>
          </w:p>
        </w:tc>
      </w:tr>
      <w:tr w:rsidR="0045296A" w:rsidRPr="00CB385A" w14:paraId="2F87A05B" w14:textId="77777777" w:rsidTr="006D5746">
        <w:trPr>
          <w:trHeight w:val="315"/>
        </w:trPr>
        <w:tc>
          <w:tcPr>
            <w:tcW w:w="3330" w:type="dxa"/>
            <w:tcBorders>
              <w:top w:val="nil"/>
              <w:bottom w:val="single" w:sz="4" w:space="0" w:color="auto"/>
            </w:tcBorders>
            <w:shd w:val="clear" w:color="auto" w:fill="auto"/>
            <w:noWrap/>
            <w:vAlign w:val="bottom"/>
            <w:hideMark/>
          </w:tcPr>
          <w:p w14:paraId="02AFEBFE" w14:textId="77777777" w:rsidR="0045296A" w:rsidRPr="00CB385A" w:rsidRDefault="0045296A" w:rsidP="006D5746">
            <w:pPr>
              <w:spacing w:after="0" w:line="240" w:lineRule="auto"/>
              <w:rPr>
                <w:rFonts w:ascii="Times New Roman" w:eastAsia="Times New Roman" w:hAnsi="Times New Roman" w:cs="Times New Roman"/>
                <w:sz w:val="24"/>
                <w:szCs w:val="24"/>
                <w:lang w:val="en-US"/>
              </w:rPr>
            </w:pPr>
          </w:p>
        </w:tc>
        <w:tc>
          <w:tcPr>
            <w:tcW w:w="876" w:type="dxa"/>
            <w:tcBorders>
              <w:top w:val="nil"/>
              <w:bottom w:val="single" w:sz="4" w:space="0" w:color="auto"/>
            </w:tcBorders>
            <w:shd w:val="clear" w:color="auto" w:fill="auto"/>
            <w:vAlign w:val="bottom"/>
            <w:hideMark/>
          </w:tcPr>
          <w:p w14:paraId="31FD20E1" w14:textId="7777777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Mean</w:t>
            </w:r>
          </w:p>
        </w:tc>
        <w:tc>
          <w:tcPr>
            <w:tcW w:w="1036" w:type="dxa"/>
            <w:tcBorders>
              <w:top w:val="nil"/>
              <w:bottom w:val="single" w:sz="4" w:space="0" w:color="auto"/>
            </w:tcBorders>
            <w:shd w:val="clear" w:color="auto" w:fill="auto"/>
            <w:vAlign w:val="bottom"/>
            <w:hideMark/>
          </w:tcPr>
          <w:p w14:paraId="56E314A8"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(SD)</w:t>
            </w:r>
          </w:p>
        </w:tc>
        <w:tc>
          <w:tcPr>
            <w:tcW w:w="878" w:type="dxa"/>
            <w:tcBorders>
              <w:top w:val="nil"/>
              <w:bottom w:val="single" w:sz="4" w:space="0" w:color="auto"/>
            </w:tcBorders>
            <w:shd w:val="clear" w:color="auto" w:fill="auto"/>
            <w:vAlign w:val="bottom"/>
            <w:hideMark/>
          </w:tcPr>
          <w:p w14:paraId="609C555C" w14:textId="7777777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Mean</w:t>
            </w:r>
          </w:p>
        </w:tc>
        <w:tc>
          <w:tcPr>
            <w:tcW w:w="1041" w:type="dxa"/>
            <w:tcBorders>
              <w:top w:val="nil"/>
              <w:bottom w:val="single" w:sz="4" w:space="0" w:color="auto"/>
            </w:tcBorders>
            <w:shd w:val="clear" w:color="auto" w:fill="auto"/>
            <w:vAlign w:val="bottom"/>
            <w:hideMark/>
          </w:tcPr>
          <w:p w14:paraId="68838C93"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(SD)</w:t>
            </w:r>
          </w:p>
        </w:tc>
        <w:tc>
          <w:tcPr>
            <w:tcW w:w="876" w:type="dxa"/>
            <w:tcBorders>
              <w:top w:val="nil"/>
              <w:bottom w:val="single" w:sz="4" w:space="0" w:color="auto"/>
            </w:tcBorders>
            <w:shd w:val="clear" w:color="auto" w:fill="auto"/>
            <w:vAlign w:val="bottom"/>
            <w:hideMark/>
          </w:tcPr>
          <w:p w14:paraId="19B4E1A9" w14:textId="7777777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Mean</w:t>
            </w:r>
          </w:p>
        </w:tc>
        <w:tc>
          <w:tcPr>
            <w:tcW w:w="1036" w:type="dxa"/>
            <w:tcBorders>
              <w:top w:val="nil"/>
              <w:bottom w:val="single" w:sz="4" w:space="0" w:color="auto"/>
            </w:tcBorders>
            <w:shd w:val="clear" w:color="auto" w:fill="auto"/>
            <w:vAlign w:val="bottom"/>
            <w:hideMark/>
          </w:tcPr>
          <w:p w14:paraId="4B41C658"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(SD)</w:t>
            </w:r>
          </w:p>
        </w:tc>
        <w:tc>
          <w:tcPr>
            <w:tcW w:w="893" w:type="dxa"/>
            <w:tcBorders>
              <w:top w:val="nil"/>
              <w:bottom w:val="single" w:sz="4" w:space="0" w:color="auto"/>
            </w:tcBorders>
            <w:shd w:val="clear" w:color="auto" w:fill="auto"/>
            <w:vAlign w:val="bottom"/>
            <w:hideMark/>
          </w:tcPr>
          <w:p w14:paraId="3562EF6B" w14:textId="77777777" w:rsidR="0045296A" w:rsidRPr="00CB385A" w:rsidRDefault="0045296A" w:rsidP="006D5746">
            <w:pPr>
              <w:spacing w:after="0" w:line="240" w:lineRule="auto"/>
              <w:jc w:val="center"/>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P</w:t>
            </w:r>
          </w:p>
        </w:tc>
      </w:tr>
      <w:tr w:rsidR="0045296A" w:rsidRPr="00CB385A" w14:paraId="158704E1" w14:textId="77777777" w:rsidTr="006D5746">
        <w:trPr>
          <w:trHeight w:val="288"/>
        </w:trPr>
        <w:tc>
          <w:tcPr>
            <w:tcW w:w="3330" w:type="dxa"/>
            <w:tcBorders>
              <w:top w:val="single" w:sz="4" w:space="0" w:color="auto"/>
            </w:tcBorders>
            <w:shd w:val="clear" w:color="auto" w:fill="auto"/>
            <w:hideMark/>
          </w:tcPr>
          <w:p w14:paraId="011F9DA7"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Age (years)</w:t>
            </w:r>
          </w:p>
        </w:tc>
        <w:tc>
          <w:tcPr>
            <w:tcW w:w="876" w:type="dxa"/>
            <w:tcBorders>
              <w:top w:val="single" w:sz="4" w:space="0" w:color="auto"/>
            </w:tcBorders>
            <w:shd w:val="clear" w:color="auto" w:fill="auto"/>
            <w:noWrap/>
            <w:vAlign w:val="center"/>
            <w:hideMark/>
          </w:tcPr>
          <w:p w14:paraId="34EFB3EF" w14:textId="22C0D9CC"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21.9</w:t>
            </w:r>
          </w:p>
        </w:tc>
        <w:tc>
          <w:tcPr>
            <w:tcW w:w="1036" w:type="dxa"/>
            <w:tcBorders>
              <w:top w:val="single" w:sz="4" w:space="0" w:color="auto"/>
            </w:tcBorders>
            <w:shd w:val="clear" w:color="auto" w:fill="auto"/>
            <w:noWrap/>
            <w:vAlign w:val="center"/>
            <w:hideMark/>
          </w:tcPr>
          <w:p w14:paraId="6AD6AE5E" w14:textId="340BBD3F"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w:t>
            </w:r>
            <w:r w:rsidR="005E0E01">
              <w:rPr>
                <w:rFonts w:ascii="Times New Roman" w:eastAsia="Times New Roman" w:hAnsi="Times New Roman" w:cs="Times New Roman"/>
                <w:color w:val="000000"/>
                <w:sz w:val="24"/>
                <w:szCs w:val="24"/>
                <w:lang w:val="en-US"/>
              </w:rPr>
              <w:t>2</w:t>
            </w:r>
            <w:r w:rsidRPr="00CB385A">
              <w:rPr>
                <w:rFonts w:ascii="Times New Roman" w:eastAsia="Times New Roman" w:hAnsi="Times New Roman" w:cs="Times New Roman"/>
                <w:color w:val="000000"/>
                <w:sz w:val="24"/>
                <w:szCs w:val="24"/>
                <w:lang w:val="en-US"/>
              </w:rPr>
              <w:t>)</w:t>
            </w:r>
          </w:p>
        </w:tc>
        <w:tc>
          <w:tcPr>
            <w:tcW w:w="878" w:type="dxa"/>
            <w:tcBorders>
              <w:top w:val="single" w:sz="4" w:space="0" w:color="auto"/>
            </w:tcBorders>
            <w:shd w:val="clear" w:color="auto" w:fill="auto"/>
            <w:noWrap/>
            <w:vAlign w:val="center"/>
            <w:hideMark/>
          </w:tcPr>
          <w:p w14:paraId="48EC299F" w14:textId="4167E20B"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22.3</w:t>
            </w:r>
          </w:p>
        </w:tc>
        <w:tc>
          <w:tcPr>
            <w:tcW w:w="1041" w:type="dxa"/>
            <w:tcBorders>
              <w:top w:val="single" w:sz="4" w:space="0" w:color="auto"/>
            </w:tcBorders>
            <w:shd w:val="clear" w:color="auto" w:fill="auto"/>
            <w:noWrap/>
            <w:vAlign w:val="center"/>
            <w:hideMark/>
          </w:tcPr>
          <w:p w14:paraId="27059659" w14:textId="63925E61"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w:t>
            </w:r>
            <w:r w:rsidR="005E0E01">
              <w:rPr>
                <w:rFonts w:ascii="Times New Roman" w:eastAsia="Times New Roman" w:hAnsi="Times New Roman" w:cs="Times New Roman"/>
                <w:color w:val="000000"/>
                <w:sz w:val="24"/>
                <w:szCs w:val="24"/>
                <w:lang w:val="en-US"/>
              </w:rPr>
              <w:t>2</w:t>
            </w:r>
            <w:r w:rsidRPr="00CB385A">
              <w:rPr>
                <w:rFonts w:ascii="Times New Roman" w:eastAsia="Times New Roman" w:hAnsi="Times New Roman" w:cs="Times New Roman"/>
                <w:color w:val="000000"/>
                <w:sz w:val="24"/>
                <w:szCs w:val="24"/>
                <w:lang w:val="en-US"/>
              </w:rPr>
              <w:t>)</w:t>
            </w:r>
          </w:p>
        </w:tc>
        <w:tc>
          <w:tcPr>
            <w:tcW w:w="876" w:type="dxa"/>
            <w:tcBorders>
              <w:top w:val="single" w:sz="4" w:space="0" w:color="auto"/>
            </w:tcBorders>
            <w:shd w:val="clear" w:color="auto" w:fill="auto"/>
            <w:noWrap/>
            <w:vAlign w:val="center"/>
            <w:hideMark/>
          </w:tcPr>
          <w:p w14:paraId="1C65A927" w14:textId="6581D0F5"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21.</w:t>
            </w:r>
            <w:r w:rsidR="005E0E01">
              <w:rPr>
                <w:rFonts w:ascii="Times New Roman" w:eastAsia="Times New Roman" w:hAnsi="Times New Roman" w:cs="Times New Roman"/>
                <w:color w:val="000000"/>
                <w:sz w:val="24"/>
                <w:szCs w:val="24"/>
                <w:lang w:val="en-US"/>
              </w:rPr>
              <w:t>8</w:t>
            </w:r>
          </w:p>
        </w:tc>
        <w:tc>
          <w:tcPr>
            <w:tcW w:w="1036" w:type="dxa"/>
            <w:tcBorders>
              <w:top w:val="single" w:sz="4" w:space="0" w:color="auto"/>
            </w:tcBorders>
            <w:shd w:val="clear" w:color="auto" w:fill="auto"/>
            <w:noWrap/>
            <w:vAlign w:val="center"/>
            <w:hideMark/>
          </w:tcPr>
          <w:p w14:paraId="03170853" w14:textId="403A334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(2.1)</w:t>
            </w:r>
          </w:p>
        </w:tc>
        <w:tc>
          <w:tcPr>
            <w:tcW w:w="893" w:type="dxa"/>
            <w:tcBorders>
              <w:top w:val="single" w:sz="4" w:space="0" w:color="auto"/>
            </w:tcBorders>
            <w:shd w:val="clear" w:color="auto" w:fill="auto"/>
            <w:noWrap/>
            <w:vAlign w:val="center"/>
            <w:hideMark/>
          </w:tcPr>
          <w:p w14:paraId="25A712C0" w14:textId="77777777" w:rsidR="0045296A" w:rsidRPr="00CB385A" w:rsidRDefault="0045296A" w:rsidP="006D5746">
            <w:pPr>
              <w:spacing w:after="0" w:line="240" w:lineRule="auto"/>
              <w:jc w:val="center"/>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0.156</w:t>
            </w:r>
          </w:p>
        </w:tc>
      </w:tr>
      <w:tr w:rsidR="0045296A" w:rsidRPr="00CB385A" w14:paraId="46E38AE0" w14:textId="77777777" w:rsidTr="006D5746">
        <w:trPr>
          <w:trHeight w:val="288"/>
        </w:trPr>
        <w:tc>
          <w:tcPr>
            <w:tcW w:w="3330" w:type="dxa"/>
            <w:shd w:val="clear" w:color="auto" w:fill="auto"/>
            <w:hideMark/>
          </w:tcPr>
          <w:p w14:paraId="77D2EDE6"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Body mass index (kg/m</w:t>
            </w:r>
            <w:r w:rsidRPr="00CB385A">
              <w:rPr>
                <w:rFonts w:ascii="Times New Roman" w:eastAsia="Times New Roman" w:hAnsi="Times New Roman" w:cs="Times New Roman"/>
                <w:color w:val="000000"/>
                <w:sz w:val="24"/>
                <w:szCs w:val="24"/>
                <w:vertAlign w:val="superscript"/>
                <w:lang w:val="en-US"/>
              </w:rPr>
              <w:t>2</w:t>
            </w:r>
            <w:r w:rsidRPr="00CB385A">
              <w:rPr>
                <w:rFonts w:ascii="Times New Roman" w:eastAsia="Times New Roman" w:hAnsi="Times New Roman" w:cs="Times New Roman"/>
                <w:color w:val="000000"/>
                <w:sz w:val="24"/>
                <w:szCs w:val="24"/>
                <w:lang w:val="en-US"/>
              </w:rPr>
              <w:t>)</w:t>
            </w:r>
          </w:p>
        </w:tc>
        <w:tc>
          <w:tcPr>
            <w:tcW w:w="876" w:type="dxa"/>
            <w:shd w:val="clear" w:color="auto" w:fill="auto"/>
            <w:noWrap/>
            <w:vAlign w:val="center"/>
            <w:hideMark/>
          </w:tcPr>
          <w:p w14:paraId="71FD794D" w14:textId="13CDF054"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24.9</w:t>
            </w:r>
          </w:p>
        </w:tc>
        <w:tc>
          <w:tcPr>
            <w:tcW w:w="1036" w:type="dxa"/>
            <w:shd w:val="clear" w:color="auto" w:fill="auto"/>
            <w:noWrap/>
            <w:vAlign w:val="center"/>
            <w:hideMark/>
          </w:tcPr>
          <w:p w14:paraId="24237CC7" w14:textId="188EFBD1"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(4.</w:t>
            </w:r>
            <w:r w:rsidR="005E0E01">
              <w:rPr>
                <w:rFonts w:ascii="Times New Roman" w:eastAsia="Times New Roman" w:hAnsi="Times New Roman" w:cs="Times New Roman"/>
                <w:color w:val="000000"/>
                <w:sz w:val="24"/>
                <w:szCs w:val="24"/>
                <w:lang w:val="en-US"/>
              </w:rPr>
              <w:t>7</w:t>
            </w:r>
            <w:r w:rsidRPr="00CB385A">
              <w:rPr>
                <w:rFonts w:ascii="Times New Roman" w:eastAsia="Times New Roman" w:hAnsi="Times New Roman" w:cs="Times New Roman"/>
                <w:color w:val="000000"/>
                <w:sz w:val="24"/>
                <w:szCs w:val="24"/>
                <w:lang w:val="en-US"/>
              </w:rPr>
              <w:t>)</w:t>
            </w:r>
          </w:p>
        </w:tc>
        <w:tc>
          <w:tcPr>
            <w:tcW w:w="878" w:type="dxa"/>
            <w:shd w:val="clear" w:color="auto" w:fill="auto"/>
            <w:noWrap/>
            <w:vAlign w:val="center"/>
            <w:hideMark/>
          </w:tcPr>
          <w:p w14:paraId="0076B73D" w14:textId="2258635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27.</w:t>
            </w:r>
            <w:r w:rsidR="005E0E01">
              <w:rPr>
                <w:rFonts w:ascii="Times New Roman" w:eastAsia="Times New Roman" w:hAnsi="Times New Roman" w:cs="Times New Roman"/>
                <w:color w:val="000000"/>
                <w:sz w:val="24"/>
                <w:szCs w:val="24"/>
                <w:lang w:val="en-US"/>
              </w:rPr>
              <w:t>3</w:t>
            </w:r>
          </w:p>
        </w:tc>
        <w:tc>
          <w:tcPr>
            <w:tcW w:w="1041" w:type="dxa"/>
            <w:shd w:val="clear" w:color="auto" w:fill="auto"/>
            <w:noWrap/>
            <w:vAlign w:val="center"/>
            <w:hideMark/>
          </w:tcPr>
          <w:p w14:paraId="65604393" w14:textId="753F52F0"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(5.</w:t>
            </w:r>
            <w:r w:rsidR="005E0E01">
              <w:rPr>
                <w:rFonts w:ascii="Times New Roman" w:eastAsia="Times New Roman" w:hAnsi="Times New Roman" w:cs="Times New Roman"/>
                <w:color w:val="000000"/>
                <w:sz w:val="24"/>
                <w:szCs w:val="24"/>
                <w:lang w:val="en-US"/>
              </w:rPr>
              <w:t>5</w:t>
            </w:r>
          </w:p>
        </w:tc>
        <w:tc>
          <w:tcPr>
            <w:tcW w:w="876" w:type="dxa"/>
            <w:shd w:val="clear" w:color="auto" w:fill="auto"/>
            <w:noWrap/>
            <w:vAlign w:val="center"/>
            <w:hideMark/>
          </w:tcPr>
          <w:p w14:paraId="390D42E2" w14:textId="195DBE9F"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23.7</w:t>
            </w:r>
          </w:p>
        </w:tc>
        <w:tc>
          <w:tcPr>
            <w:tcW w:w="1036" w:type="dxa"/>
            <w:shd w:val="clear" w:color="auto" w:fill="auto"/>
            <w:noWrap/>
            <w:vAlign w:val="center"/>
            <w:hideMark/>
          </w:tcPr>
          <w:p w14:paraId="4CCBAD4B" w14:textId="3C668FEF"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(3.7)</w:t>
            </w:r>
          </w:p>
        </w:tc>
        <w:tc>
          <w:tcPr>
            <w:tcW w:w="893" w:type="dxa"/>
            <w:shd w:val="clear" w:color="auto" w:fill="auto"/>
            <w:noWrap/>
            <w:vAlign w:val="center"/>
            <w:hideMark/>
          </w:tcPr>
          <w:p w14:paraId="3CC4043E" w14:textId="77777777" w:rsidR="0045296A" w:rsidRPr="00CB385A" w:rsidRDefault="0045296A" w:rsidP="006D5746">
            <w:pPr>
              <w:spacing w:after="0" w:line="240" w:lineRule="auto"/>
              <w:jc w:val="center"/>
              <w:rPr>
                <w:rFonts w:ascii="Times New Roman" w:eastAsia="Times New Roman" w:hAnsi="Times New Roman" w:cs="Times New Roman"/>
                <w:b/>
                <w:bCs/>
                <w:color w:val="000000"/>
                <w:sz w:val="24"/>
                <w:szCs w:val="24"/>
                <w:lang w:val="en-US"/>
              </w:rPr>
            </w:pPr>
            <w:r w:rsidRPr="00CB385A">
              <w:rPr>
                <w:rFonts w:ascii="Times New Roman" w:eastAsia="Times New Roman" w:hAnsi="Times New Roman" w:cs="Times New Roman"/>
                <w:b/>
                <w:bCs/>
                <w:color w:val="000000"/>
                <w:sz w:val="24"/>
                <w:szCs w:val="24"/>
                <w:lang w:val="en-US"/>
              </w:rPr>
              <w:t>&lt;0.001</w:t>
            </w:r>
          </w:p>
        </w:tc>
      </w:tr>
      <w:tr w:rsidR="0045296A" w:rsidRPr="00CB385A" w14:paraId="3DEA2C83" w14:textId="77777777" w:rsidTr="006D5746">
        <w:trPr>
          <w:trHeight w:val="288"/>
        </w:trPr>
        <w:tc>
          <w:tcPr>
            <w:tcW w:w="3330" w:type="dxa"/>
            <w:shd w:val="clear" w:color="auto" w:fill="auto"/>
          </w:tcPr>
          <w:p w14:paraId="225390BD" w14:textId="77777777" w:rsidR="0045296A" w:rsidRPr="0001716E" w:rsidRDefault="0045296A" w:rsidP="006D5746">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en-US"/>
              </w:rPr>
              <w:t>Waist circumference (cm)</w:t>
            </w:r>
          </w:p>
        </w:tc>
        <w:tc>
          <w:tcPr>
            <w:tcW w:w="876" w:type="dxa"/>
            <w:shd w:val="clear" w:color="auto" w:fill="auto"/>
            <w:noWrap/>
            <w:vAlign w:val="center"/>
          </w:tcPr>
          <w:p w14:paraId="7AE46292" w14:textId="5E87ED1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80.</w:t>
            </w:r>
            <w:r w:rsidR="005E0E01">
              <w:rPr>
                <w:rFonts w:ascii="Times New Roman" w:eastAsia="Times New Roman" w:hAnsi="Times New Roman" w:cs="Times New Roman"/>
                <w:color w:val="000000"/>
                <w:sz w:val="24"/>
                <w:szCs w:val="24"/>
                <w:lang w:val="en-US"/>
              </w:rPr>
              <w:t>8</w:t>
            </w:r>
          </w:p>
        </w:tc>
        <w:tc>
          <w:tcPr>
            <w:tcW w:w="1036" w:type="dxa"/>
            <w:shd w:val="clear" w:color="auto" w:fill="auto"/>
            <w:noWrap/>
            <w:vAlign w:val="center"/>
          </w:tcPr>
          <w:p w14:paraId="26A678EC" w14:textId="1F9F71C9"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(14.2)</w:t>
            </w:r>
          </w:p>
        </w:tc>
        <w:tc>
          <w:tcPr>
            <w:tcW w:w="878" w:type="dxa"/>
            <w:shd w:val="clear" w:color="auto" w:fill="auto"/>
            <w:noWrap/>
            <w:vAlign w:val="center"/>
          </w:tcPr>
          <w:p w14:paraId="5B79AF34" w14:textId="65A3E7A4"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90.</w:t>
            </w:r>
            <w:r w:rsidR="005E0E01">
              <w:rPr>
                <w:rFonts w:ascii="Times New Roman" w:eastAsia="Times New Roman" w:hAnsi="Times New Roman" w:cs="Times New Roman"/>
                <w:color w:val="000000"/>
                <w:sz w:val="24"/>
                <w:szCs w:val="24"/>
                <w:lang w:val="en-US"/>
              </w:rPr>
              <w:t>6</w:t>
            </w:r>
          </w:p>
        </w:tc>
        <w:tc>
          <w:tcPr>
            <w:tcW w:w="1041" w:type="dxa"/>
            <w:shd w:val="clear" w:color="auto" w:fill="auto"/>
            <w:noWrap/>
            <w:vAlign w:val="center"/>
          </w:tcPr>
          <w:p w14:paraId="664343F1" w14:textId="5BFA6082"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(15.4)</w:t>
            </w:r>
          </w:p>
        </w:tc>
        <w:tc>
          <w:tcPr>
            <w:tcW w:w="876" w:type="dxa"/>
            <w:shd w:val="clear" w:color="auto" w:fill="auto"/>
            <w:noWrap/>
            <w:vAlign w:val="center"/>
          </w:tcPr>
          <w:p w14:paraId="3D925D87" w14:textId="2F554494"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75.8</w:t>
            </w:r>
          </w:p>
        </w:tc>
        <w:tc>
          <w:tcPr>
            <w:tcW w:w="1036" w:type="dxa"/>
            <w:shd w:val="clear" w:color="auto" w:fill="auto"/>
            <w:noWrap/>
            <w:vAlign w:val="center"/>
          </w:tcPr>
          <w:p w14:paraId="331AC9E1" w14:textId="7534A413"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(10.5)</w:t>
            </w:r>
          </w:p>
        </w:tc>
        <w:tc>
          <w:tcPr>
            <w:tcW w:w="893" w:type="dxa"/>
            <w:shd w:val="clear" w:color="auto" w:fill="auto"/>
            <w:noWrap/>
            <w:vAlign w:val="center"/>
          </w:tcPr>
          <w:p w14:paraId="25BF7B4E" w14:textId="77777777" w:rsidR="0045296A" w:rsidRPr="0001716E" w:rsidRDefault="0045296A" w:rsidP="006D5746">
            <w:pPr>
              <w:spacing w:after="0" w:line="240" w:lineRule="auto"/>
              <w:jc w:val="center"/>
              <w:rPr>
                <w:rFonts w:ascii="Times New Roman" w:eastAsia="Times New Roman" w:hAnsi="Times New Roman" w:cs="Times New Roman"/>
                <w:b/>
                <w:bCs/>
                <w:color w:val="000000"/>
                <w:sz w:val="24"/>
                <w:szCs w:val="24"/>
              </w:rPr>
            </w:pPr>
            <w:r w:rsidRPr="00CB385A">
              <w:rPr>
                <w:rFonts w:ascii="Times New Roman" w:eastAsia="Times New Roman" w:hAnsi="Times New Roman" w:cs="Times New Roman"/>
                <w:b/>
                <w:bCs/>
                <w:color w:val="000000"/>
                <w:sz w:val="24"/>
                <w:szCs w:val="24"/>
                <w:lang w:val="en-US"/>
              </w:rPr>
              <w:t>&lt;0.001</w:t>
            </w:r>
          </w:p>
        </w:tc>
      </w:tr>
      <w:tr w:rsidR="0045296A" w:rsidRPr="00CB385A" w14:paraId="2E504B95" w14:textId="77777777" w:rsidTr="006D5746">
        <w:trPr>
          <w:trHeight w:val="288"/>
        </w:trPr>
        <w:tc>
          <w:tcPr>
            <w:tcW w:w="3330" w:type="dxa"/>
            <w:shd w:val="clear" w:color="auto" w:fill="auto"/>
            <w:hideMark/>
          </w:tcPr>
          <w:p w14:paraId="5BBA7AE0"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Lean mass (Kg)</w:t>
            </w:r>
          </w:p>
        </w:tc>
        <w:tc>
          <w:tcPr>
            <w:tcW w:w="876" w:type="dxa"/>
            <w:shd w:val="clear" w:color="auto" w:fill="auto"/>
            <w:noWrap/>
            <w:vAlign w:val="center"/>
            <w:hideMark/>
          </w:tcPr>
          <w:p w14:paraId="1C08C2B0" w14:textId="7F876396"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41.6</w:t>
            </w:r>
          </w:p>
        </w:tc>
        <w:tc>
          <w:tcPr>
            <w:tcW w:w="1036" w:type="dxa"/>
            <w:shd w:val="clear" w:color="auto" w:fill="auto"/>
            <w:noWrap/>
            <w:vAlign w:val="center"/>
            <w:hideMark/>
          </w:tcPr>
          <w:p w14:paraId="17218F37" w14:textId="080466E9"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(9.8)</w:t>
            </w:r>
          </w:p>
        </w:tc>
        <w:tc>
          <w:tcPr>
            <w:tcW w:w="878" w:type="dxa"/>
            <w:shd w:val="clear" w:color="auto" w:fill="auto"/>
            <w:noWrap/>
            <w:vAlign w:val="center"/>
            <w:hideMark/>
          </w:tcPr>
          <w:p w14:paraId="7D7FEA13" w14:textId="2BEC9E09"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52.9</w:t>
            </w:r>
          </w:p>
        </w:tc>
        <w:tc>
          <w:tcPr>
            <w:tcW w:w="1041" w:type="dxa"/>
            <w:shd w:val="clear" w:color="auto" w:fill="auto"/>
            <w:noWrap/>
            <w:vAlign w:val="center"/>
            <w:hideMark/>
          </w:tcPr>
          <w:p w14:paraId="2F43C47A" w14:textId="2F778B40"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(6.9)</w:t>
            </w:r>
          </w:p>
        </w:tc>
        <w:tc>
          <w:tcPr>
            <w:tcW w:w="876" w:type="dxa"/>
            <w:shd w:val="clear" w:color="auto" w:fill="auto"/>
            <w:noWrap/>
            <w:vAlign w:val="center"/>
            <w:hideMark/>
          </w:tcPr>
          <w:p w14:paraId="55D5539C" w14:textId="1599C8FF"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3</w:t>
            </w:r>
            <w:r w:rsidR="005E0E01">
              <w:rPr>
                <w:rFonts w:ascii="Times New Roman" w:eastAsia="Times New Roman" w:hAnsi="Times New Roman" w:cs="Times New Roman"/>
                <w:color w:val="000000"/>
                <w:sz w:val="24"/>
                <w:szCs w:val="24"/>
                <w:lang w:val="en-US"/>
              </w:rPr>
              <w:t>6.0</w:t>
            </w:r>
          </w:p>
        </w:tc>
        <w:tc>
          <w:tcPr>
            <w:tcW w:w="1036" w:type="dxa"/>
            <w:shd w:val="clear" w:color="auto" w:fill="auto"/>
            <w:noWrap/>
            <w:vAlign w:val="center"/>
            <w:hideMark/>
          </w:tcPr>
          <w:p w14:paraId="73F578F6" w14:textId="06D6EF5F"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w:t>
            </w:r>
            <w:r w:rsidR="005E0E01">
              <w:rPr>
                <w:rFonts w:ascii="Times New Roman" w:eastAsia="Times New Roman" w:hAnsi="Times New Roman" w:cs="Times New Roman"/>
                <w:color w:val="000000"/>
                <w:sz w:val="24"/>
                <w:szCs w:val="24"/>
                <w:lang w:val="en-US"/>
              </w:rPr>
              <w:t>5.0</w:t>
            </w:r>
            <w:r w:rsidRPr="00CB385A">
              <w:rPr>
                <w:rFonts w:ascii="Times New Roman" w:eastAsia="Times New Roman" w:hAnsi="Times New Roman" w:cs="Times New Roman"/>
                <w:color w:val="000000"/>
                <w:sz w:val="24"/>
                <w:szCs w:val="24"/>
                <w:lang w:val="en-US"/>
              </w:rPr>
              <w:t>)</w:t>
            </w:r>
          </w:p>
        </w:tc>
        <w:tc>
          <w:tcPr>
            <w:tcW w:w="893" w:type="dxa"/>
            <w:shd w:val="clear" w:color="auto" w:fill="auto"/>
            <w:noWrap/>
            <w:hideMark/>
          </w:tcPr>
          <w:p w14:paraId="2B2E67C9" w14:textId="77777777" w:rsidR="0045296A" w:rsidRPr="00CB385A" w:rsidRDefault="0045296A" w:rsidP="006D5746">
            <w:pPr>
              <w:spacing w:after="0" w:line="240" w:lineRule="auto"/>
              <w:jc w:val="center"/>
              <w:rPr>
                <w:rFonts w:ascii="Times New Roman" w:eastAsia="Times New Roman" w:hAnsi="Times New Roman" w:cs="Times New Roman"/>
                <w:b/>
                <w:bCs/>
                <w:color w:val="000000"/>
                <w:sz w:val="24"/>
                <w:szCs w:val="24"/>
                <w:lang w:val="en-US"/>
              </w:rPr>
            </w:pPr>
            <w:r w:rsidRPr="00CB385A">
              <w:rPr>
                <w:rFonts w:ascii="Times New Roman" w:eastAsia="Times New Roman" w:hAnsi="Times New Roman" w:cs="Times New Roman"/>
                <w:b/>
                <w:bCs/>
                <w:color w:val="000000"/>
                <w:sz w:val="24"/>
                <w:szCs w:val="24"/>
                <w:lang w:val="en-US"/>
              </w:rPr>
              <w:t>&lt;0.001</w:t>
            </w:r>
          </w:p>
        </w:tc>
      </w:tr>
      <w:tr w:rsidR="0045296A" w:rsidRPr="00CB385A" w14:paraId="59E1D460" w14:textId="77777777" w:rsidTr="006D5746">
        <w:trPr>
          <w:trHeight w:val="288"/>
        </w:trPr>
        <w:tc>
          <w:tcPr>
            <w:tcW w:w="3330" w:type="dxa"/>
            <w:shd w:val="clear" w:color="auto" w:fill="auto"/>
            <w:hideMark/>
          </w:tcPr>
          <w:p w14:paraId="59706A7E"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Lean mass index (kg/m</w:t>
            </w:r>
            <w:r w:rsidRPr="00CB385A">
              <w:rPr>
                <w:rFonts w:ascii="Times New Roman" w:eastAsia="Times New Roman" w:hAnsi="Times New Roman" w:cs="Times New Roman"/>
                <w:color w:val="000000"/>
                <w:sz w:val="24"/>
                <w:szCs w:val="24"/>
                <w:vertAlign w:val="superscript"/>
                <w:lang w:val="en-US"/>
              </w:rPr>
              <w:t>2</w:t>
            </w:r>
            <w:r w:rsidRPr="00CB385A">
              <w:rPr>
                <w:rFonts w:ascii="Times New Roman" w:eastAsia="Times New Roman" w:hAnsi="Times New Roman" w:cs="Times New Roman"/>
                <w:color w:val="000000"/>
                <w:sz w:val="24"/>
                <w:szCs w:val="24"/>
                <w:lang w:val="en-US"/>
              </w:rPr>
              <w:t>)</w:t>
            </w:r>
          </w:p>
        </w:tc>
        <w:tc>
          <w:tcPr>
            <w:tcW w:w="876" w:type="dxa"/>
            <w:shd w:val="clear" w:color="auto" w:fill="auto"/>
            <w:noWrap/>
            <w:vAlign w:val="center"/>
            <w:hideMark/>
          </w:tcPr>
          <w:p w14:paraId="48B25C08" w14:textId="47C0ADD6"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14.6</w:t>
            </w:r>
          </w:p>
        </w:tc>
        <w:tc>
          <w:tcPr>
            <w:tcW w:w="1036" w:type="dxa"/>
            <w:shd w:val="clear" w:color="auto" w:fill="auto"/>
            <w:noWrap/>
            <w:vAlign w:val="center"/>
            <w:hideMark/>
          </w:tcPr>
          <w:p w14:paraId="7D818D32" w14:textId="45D9C45B"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(2.5)</w:t>
            </w:r>
          </w:p>
        </w:tc>
        <w:tc>
          <w:tcPr>
            <w:tcW w:w="878" w:type="dxa"/>
            <w:shd w:val="clear" w:color="auto" w:fill="auto"/>
            <w:noWrap/>
            <w:vAlign w:val="center"/>
            <w:hideMark/>
          </w:tcPr>
          <w:p w14:paraId="6E12C5C0" w14:textId="4E4EBA30"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17.2</w:t>
            </w:r>
          </w:p>
        </w:tc>
        <w:tc>
          <w:tcPr>
            <w:tcW w:w="1041" w:type="dxa"/>
            <w:shd w:val="clear" w:color="auto" w:fill="auto"/>
            <w:noWrap/>
            <w:vAlign w:val="center"/>
            <w:hideMark/>
          </w:tcPr>
          <w:p w14:paraId="61394A10" w14:textId="3D49A931"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(2.0)</w:t>
            </w:r>
          </w:p>
        </w:tc>
        <w:tc>
          <w:tcPr>
            <w:tcW w:w="876" w:type="dxa"/>
            <w:shd w:val="clear" w:color="auto" w:fill="auto"/>
            <w:noWrap/>
            <w:vAlign w:val="center"/>
            <w:hideMark/>
          </w:tcPr>
          <w:p w14:paraId="6DDB36A1" w14:textId="59FB0A55"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13.3</w:t>
            </w:r>
          </w:p>
        </w:tc>
        <w:tc>
          <w:tcPr>
            <w:tcW w:w="1036" w:type="dxa"/>
            <w:shd w:val="clear" w:color="auto" w:fill="auto"/>
            <w:noWrap/>
            <w:vAlign w:val="center"/>
            <w:hideMark/>
          </w:tcPr>
          <w:p w14:paraId="0DCBB122" w14:textId="0D67963B"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(1.</w:t>
            </w:r>
            <w:r w:rsidR="005E0E01">
              <w:rPr>
                <w:rFonts w:ascii="Times New Roman" w:eastAsia="Times New Roman" w:hAnsi="Times New Roman" w:cs="Times New Roman"/>
                <w:color w:val="000000"/>
                <w:sz w:val="24"/>
                <w:szCs w:val="24"/>
                <w:lang w:val="en-US"/>
              </w:rPr>
              <w:t>4</w:t>
            </w:r>
            <w:r w:rsidRPr="00CB385A">
              <w:rPr>
                <w:rFonts w:ascii="Times New Roman" w:eastAsia="Times New Roman" w:hAnsi="Times New Roman" w:cs="Times New Roman"/>
                <w:color w:val="000000"/>
                <w:sz w:val="24"/>
                <w:szCs w:val="24"/>
                <w:lang w:val="en-US"/>
              </w:rPr>
              <w:t>)</w:t>
            </w:r>
          </w:p>
        </w:tc>
        <w:tc>
          <w:tcPr>
            <w:tcW w:w="893" w:type="dxa"/>
            <w:shd w:val="clear" w:color="auto" w:fill="auto"/>
            <w:noWrap/>
            <w:hideMark/>
          </w:tcPr>
          <w:p w14:paraId="5A571587" w14:textId="77777777" w:rsidR="0045296A" w:rsidRPr="00CB385A" w:rsidRDefault="0045296A" w:rsidP="006D5746">
            <w:pPr>
              <w:spacing w:after="0" w:line="240" w:lineRule="auto"/>
              <w:jc w:val="center"/>
              <w:rPr>
                <w:rFonts w:ascii="Times New Roman" w:eastAsia="Times New Roman" w:hAnsi="Times New Roman" w:cs="Times New Roman"/>
                <w:b/>
                <w:bCs/>
                <w:color w:val="000000"/>
                <w:sz w:val="24"/>
                <w:szCs w:val="24"/>
                <w:lang w:val="en-US"/>
              </w:rPr>
            </w:pPr>
            <w:r w:rsidRPr="00CB385A">
              <w:rPr>
                <w:rFonts w:ascii="Times New Roman" w:eastAsia="Times New Roman" w:hAnsi="Times New Roman" w:cs="Times New Roman"/>
                <w:b/>
                <w:bCs/>
                <w:color w:val="000000"/>
                <w:sz w:val="24"/>
                <w:szCs w:val="24"/>
                <w:lang w:val="en-US"/>
              </w:rPr>
              <w:t>&lt;0.001</w:t>
            </w:r>
          </w:p>
        </w:tc>
      </w:tr>
      <w:tr w:rsidR="0045296A" w:rsidRPr="00CB385A" w14:paraId="5AA71651" w14:textId="77777777" w:rsidTr="006D5746">
        <w:trPr>
          <w:trHeight w:val="288"/>
        </w:trPr>
        <w:tc>
          <w:tcPr>
            <w:tcW w:w="3330" w:type="dxa"/>
            <w:shd w:val="clear" w:color="auto" w:fill="auto"/>
            <w:hideMark/>
          </w:tcPr>
          <w:p w14:paraId="479D5C23"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Fat mass (Kg)</w:t>
            </w:r>
          </w:p>
        </w:tc>
        <w:tc>
          <w:tcPr>
            <w:tcW w:w="876" w:type="dxa"/>
            <w:shd w:val="clear" w:color="auto" w:fill="auto"/>
            <w:noWrap/>
            <w:vAlign w:val="center"/>
            <w:hideMark/>
          </w:tcPr>
          <w:p w14:paraId="7AE48ED1" w14:textId="7E6C4FEE"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25.</w:t>
            </w:r>
            <w:r w:rsidR="005E0E01">
              <w:rPr>
                <w:rFonts w:ascii="Times New Roman" w:eastAsia="Times New Roman" w:hAnsi="Times New Roman" w:cs="Times New Roman"/>
                <w:color w:val="000000"/>
                <w:sz w:val="24"/>
                <w:szCs w:val="24"/>
                <w:lang w:val="en-US"/>
              </w:rPr>
              <w:t>1</w:t>
            </w:r>
          </w:p>
        </w:tc>
        <w:tc>
          <w:tcPr>
            <w:tcW w:w="1036" w:type="dxa"/>
            <w:shd w:val="clear" w:color="auto" w:fill="auto"/>
            <w:noWrap/>
            <w:vAlign w:val="center"/>
            <w:hideMark/>
          </w:tcPr>
          <w:p w14:paraId="2D47DB8B" w14:textId="495B83AE"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(8.9)</w:t>
            </w:r>
          </w:p>
        </w:tc>
        <w:tc>
          <w:tcPr>
            <w:tcW w:w="878" w:type="dxa"/>
            <w:shd w:val="clear" w:color="auto" w:fill="auto"/>
            <w:noWrap/>
            <w:vAlign w:val="center"/>
            <w:hideMark/>
          </w:tcPr>
          <w:p w14:paraId="38BE2176" w14:textId="56D78FE3"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26.1</w:t>
            </w:r>
          </w:p>
        </w:tc>
        <w:tc>
          <w:tcPr>
            <w:tcW w:w="1041" w:type="dxa"/>
            <w:shd w:val="clear" w:color="auto" w:fill="auto"/>
            <w:noWrap/>
            <w:vAlign w:val="center"/>
            <w:hideMark/>
          </w:tcPr>
          <w:p w14:paraId="71168E05" w14:textId="635D77E4"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(11.</w:t>
            </w:r>
            <w:r w:rsidR="005E0E01">
              <w:rPr>
                <w:rFonts w:ascii="Times New Roman" w:eastAsia="Times New Roman" w:hAnsi="Times New Roman" w:cs="Times New Roman"/>
                <w:color w:val="000000"/>
                <w:sz w:val="24"/>
                <w:szCs w:val="24"/>
                <w:lang w:val="en-US"/>
              </w:rPr>
              <w:t>2</w:t>
            </w:r>
            <w:r w:rsidRPr="00CB385A">
              <w:rPr>
                <w:rFonts w:ascii="Times New Roman" w:eastAsia="Times New Roman" w:hAnsi="Times New Roman" w:cs="Times New Roman"/>
                <w:color w:val="000000"/>
                <w:sz w:val="24"/>
                <w:szCs w:val="24"/>
                <w:lang w:val="en-US"/>
              </w:rPr>
              <w:t>)</w:t>
            </w:r>
          </w:p>
        </w:tc>
        <w:tc>
          <w:tcPr>
            <w:tcW w:w="876" w:type="dxa"/>
            <w:shd w:val="clear" w:color="auto" w:fill="auto"/>
            <w:noWrap/>
            <w:vAlign w:val="center"/>
            <w:hideMark/>
          </w:tcPr>
          <w:p w14:paraId="09535413" w14:textId="0C45E9B4"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24.</w:t>
            </w:r>
            <w:r w:rsidR="005E0E01">
              <w:rPr>
                <w:rFonts w:ascii="Times New Roman" w:eastAsia="Times New Roman" w:hAnsi="Times New Roman" w:cs="Times New Roman"/>
                <w:color w:val="000000"/>
                <w:sz w:val="24"/>
                <w:szCs w:val="24"/>
                <w:lang w:val="en-US"/>
              </w:rPr>
              <w:t>6</w:t>
            </w:r>
          </w:p>
        </w:tc>
        <w:tc>
          <w:tcPr>
            <w:tcW w:w="1036" w:type="dxa"/>
            <w:shd w:val="clear" w:color="auto" w:fill="auto"/>
            <w:noWrap/>
            <w:vAlign w:val="center"/>
            <w:hideMark/>
          </w:tcPr>
          <w:p w14:paraId="5CCD12ED" w14:textId="71235FBA"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(7.6)</w:t>
            </w:r>
          </w:p>
        </w:tc>
        <w:tc>
          <w:tcPr>
            <w:tcW w:w="893" w:type="dxa"/>
            <w:shd w:val="clear" w:color="auto" w:fill="auto"/>
            <w:noWrap/>
            <w:vAlign w:val="center"/>
            <w:hideMark/>
          </w:tcPr>
          <w:p w14:paraId="425BE683" w14:textId="77777777" w:rsidR="0045296A" w:rsidRPr="00CB385A" w:rsidRDefault="0045296A" w:rsidP="006D5746">
            <w:pPr>
              <w:spacing w:after="0" w:line="240" w:lineRule="auto"/>
              <w:jc w:val="center"/>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0.420</w:t>
            </w:r>
          </w:p>
        </w:tc>
      </w:tr>
      <w:tr w:rsidR="0045296A" w:rsidRPr="00CB385A" w14:paraId="524755ED" w14:textId="77777777" w:rsidTr="006D5746">
        <w:trPr>
          <w:trHeight w:val="288"/>
        </w:trPr>
        <w:tc>
          <w:tcPr>
            <w:tcW w:w="3330" w:type="dxa"/>
            <w:shd w:val="clear" w:color="auto" w:fill="auto"/>
            <w:hideMark/>
          </w:tcPr>
          <w:p w14:paraId="570FFC63"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Fat mass index (kg/m</w:t>
            </w:r>
            <w:r w:rsidRPr="00CB385A">
              <w:rPr>
                <w:rFonts w:ascii="Times New Roman" w:eastAsia="Times New Roman" w:hAnsi="Times New Roman" w:cs="Times New Roman"/>
                <w:color w:val="000000"/>
                <w:sz w:val="24"/>
                <w:szCs w:val="24"/>
                <w:vertAlign w:val="superscript"/>
                <w:lang w:val="en-US"/>
              </w:rPr>
              <w:t>2</w:t>
            </w:r>
            <w:r w:rsidRPr="00CB385A">
              <w:rPr>
                <w:rFonts w:ascii="Times New Roman" w:eastAsia="Times New Roman" w:hAnsi="Times New Roman" w:cs="Times New Roman"/>
                <w:color w:val="000000"/>
                <w:sz w:val="24"/>
                <w:szCs w:val="24"/>
                <w:lang w:val="en-US"/>
              </w:rPr>
              <w:t>)</w:t>
            </w:r>
          </w:p>
        </w:tc>
        <w:tc>
          <w:tcPr>
            <w:tcW w:w="876" w:type="dxa"/>
            <w:shd w:val="clear" w:color="auto" w:fill="auto"/>
            <w:noWrap/>
            <w:vAlign w:val="center"/>
            <w:hideMark/>
          </w:tcPr>
          <w:p w14:paraId="1B524F70" w14:textId="0EC841DD"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8.9</w:t>
            </w:r>
          </w:p>
        </w:tc>
        <w:tc>
          <w:tcPr>
            <w:tcW w:w="1036" w:type="dxa"/>
            <w:shd w:val="clear" w:color="auto" w:fill="auto"/>
            <w:noWrap/>
            <w:vAlign w:val="center"/>
            <w:hideMark/>
          </w:tcPr>
          <w:p w14:paraId="3FBE3DA0"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(3.01)</w:t>
            </w:r>
          </w:p>
        </w:tc>
        <w:tc>
          <w:tcPr>
            <w:tcW w:w="878" w:type="dxa"/>
            <w:shd w:val="clear" w:color="auto" w:fill="auto"/>
            <w:noWrap/>
            <w:vAlign w:val="center"/>
            <w:hideMark/>
          </w:tcPr>
          <w:p w14:paraId="004EF6F9" w14:textId="570C6B12"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8.5</w:t>
            </w:r>
          </w:p>
        </w:tc>
        <w:tc>
          <w:tcPr>
            <w:tcW w:w="1041" w:type="dxa"/>
            <w:shd w:val="clear" w:color="auto" w:fill="auto"/>
            <w:noWrap/>
            <w:vAlign w:val="center"/>
            <w:hideMark/>
          </w:tcPr>
          <w:p w14:paraId="70656BBF" w14:textId="518ADB50"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(3.6)</w:t>
            </w:r>
          </w:p>
        </w:tc>
        <w:tc>
          <w:tcPr>
            <w:tcW w:w="876" w:type="dxa"/>
            <w:shd w:val="clear" w:color="auto" w:fill="auto"/>
            <w:noWrap/>
            <w:vAlign w:val="center"/>
            <w:hideMark/>
          </w:tcPr>
          <w:p w14:paraId="7DE36E8D" w14:textId="675F63F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9.</w:t>
            </w:r>
            <w:r w:rsidR="005E0E01">
              <w:rPr>
                <w:rFonts w:ascii="Times New Roman" w:eastAsia="Times New Roman" w:hAnsi="Times New Roman" w:cs="Times New Roman"/>
                <w:color w:val="000000"/>
                <w:sz w:val="24"/>
                <w:szCs w:val="24"/>
                <w:lang w:val="en-US"/>
              </w:rPr>
              <w:t>1</w:t>
            </w:r>
          </w:p>
        </w:tc>
        <w:tc>
          <w:tcPr>
            <w:tcW w:w="1036" w:type="dxa"/>
            <w:shd w:val="clear" w:color="auto" w:fill="auto"/>
            <w:noWrap/>
            <w:vAlign w:val="center"/>
            <w:hideMark/>
          </w:tcPr>
          <w:p w14:paraId="191522AB" w14:textId="751C4B64"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(2.6)</w:t>
            </w:r>
          </w:p>
        </w:tc>
        <w:tc>
          <w:tcPr>
            <w:tcW w:w="893" w:type="dxa"/>
            <w:shd w:val="clear" w:color="auto" w:fill="auto"/>
            <w:noWrap/>
            <w:vAlign w:val="center"/>
            <w:hideMark/>
          </w:tcPr>
          <w:p w14:paraId="5ADFAEF2" w14:textId="77777777" w:rsidR="0045296A" w:rsidRPr="00CB385A" w:rsidRDefault="0045296A" w:rsidP="006D5746">
            <w:pPr>
              <w:spacing w:after="0" w:line="240" w:lineRule="auto"/>
              <w:jc w:val="center"/>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0.355</w:t>
            </w:r>
          </w:p>
        </w:tc>
      </w:tr>
      <w:tr w:rsidR="0045296A" w:rsidRPr="00CB385A" w14:paraId="279DFBB4" w14:textId="77777777" w:rsidTr="006D5746">
        <w:trPr>
          <w:trHeight w:val="288"/>
        </w:trPr>
        <w:tc>
          <w:tcPr>
            <w:tcW w:w="3330" w:type="dxa"/>
            <w:shd w:val="clear" w:color="auto" w:fill="auto"/>
            <w:hideMark/>
          </w:tcPr>
          <w:p w14:paraId="15B8410A"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Fat mass (%)</w:t>
            </w:r>
          </w:p>
        </w:tc>
        <w:tc>
          <w:tcPr>
            <w:tcW w:w="876" w:type="dxa"/>
            <w:shd w:val="clear" w:color="auto" w:fill="auto"/>
            <w:noWrap/>
            <w:vAlign w:val="center"/>
            <w:hideMark/>
          </w:tcPr>
          <w:p w14:paraId="58A3CB3D" w14:textId="127477AB"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35.1</w:t>
            </w:r>
          </w:p>
        </w:tc>
        <w:tc>
          <w:tcPr>
            <w:tcW w:w="1036" w:type="dxa"/>
            <w:shd w:val="clear" w:color="auto" w:fill="auto"/>
            <w:noWrap/>
            <w:vAlign w:val="center"/>
            <w:hideMark/>
          </w:tcPr>
          <w:p w14:paraId="1EB8BC41" w14:textId="191FA4B4"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(7.5)</w:t>
            </w:r>
          </w:p>
        </w:tc>
        <w:tc>
          <w:tcPr>
            <w:tcW w:w="878" w:type="dxa"/>
            <w:shd w:val="clear" w:color="auto" w:fill="auto"/>
            <w:noWrap/>
            <w:vAlign w:val="center"/>
            <w:hideMark/>
          </w:tcPr>
          <w:p w14:paraId="301ABBF7" w14:textId="6DFE4F1A"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30.7</w:t>
            </w:r>
          </w:p>
        </w:tc>
        <w:tc>
          <w:tcPr>
            <w:tcW w:w="1041" w:type="dxa"/>
            <w:shd w:val="clear" w:color="auto" w:fill="auto"/>
            <w:noWrap/>
            <w:vAlign w:val="center"/>
            <w:hideMark/>
          </w:tcPr>
          <w:p w14:paraId="0CA9CEF8" w14:textId="706F7676"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(7.</w:t>
            </w:r>
            <w:r w:rsidR="005E0E01">
              <w:rPr>
                <w:rFonts w:ascii="Times New Roman" w:eastAsia="Times New Roman" w:hAnsi="Times New Roman" w:cs="Times New Roman"/>
                <w:color w:val="000000"/>
                <w:sz w:val="24"/>
                <w:szCs w:val="24"/>
                <w:lang w:val="en-US"/>
              </w:rPr>
              <w:t>7</w:t>
            </w:r>
            <w:r w:rsidRPr="00CB385A">
              <w:rPr>
                <w:rFonts w:ascii="Times New Roman" w:eastAsia="Times New Roman" w:hAnsi="Times New Roman" w:cs="Times New Roman"/>
                <w:color w:val="000000"/>
                <w:sz w:val="24"/>
                <w:szCs w:val="24"/>
                <w:lang w:val="en-US"/>
              </w:rPr>
              <w:t>)</w:t>
            </w:r>
          </w:p>
        </w:tc>
        <w:tc>
          <w:tcPr>
            <w:tcW w:w="876" w:type="dxa"/>
            <w:shd w:val="clear" w:color="auto" w:fill="auto"/>
            <w:noWrap/>
            <w:vAlign w:val="center"/>
            <w:hideMark/>
          </w:tcPr>
          <w:p w14:paraId="6975CA92" w14:textId="7F206E32"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38.5</w:t>
            </w:r>
          </w:p>
        </w:tc>
        <w:tc>
          <w:tcPr>
            <w:tcW w:w="1036" w:type="dxa"/>
            <w:shd w:val="clear" w:color="auto" w:fill="auto"/>
            <w:noWrap/>
            <w:vAlign w:val="center"/>
            <w:hideMark/>
          </w:tcPr>
          <w:p w14:paraId="66E93201" w14:textId="7D54432B"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(5.</w:t>
            </w:r>
            <w:r w:rsidR="005E0E01">
              <w:rPr>
                <w:rFonts w:ascii="Times New Roman" w:eastAsia="Times New Roman" w:hAnsi="Times New Roman" w:cs="Times New Roman"/>
                <w:color w:val="000000"/>
                <w:sz w:val="24"/>
                <w:szCs w:val="24"/>
                <w:lang w:val="en-US"/>
              </w:rPr>
              <w:t>9</w:t>
            </w:r>
            <w:r w:rsidRPr="00CB385A">
              <w:rPr>
                <w:rFonts w:ascii="Times New Roman" w:eastAsia="Times New Roman" w:hAnsi="Times New Roman" w:cs="Times New Roman"/>
                <w:color w:val="000000"/>
                <w:sz w:val="24"/>
                <w:szCs w:val="24"/>
                <w:lang w:val="en-US"/>
              </w:rPr>
              <w:t>)</w:t>
            </w:r>
          </w:p>
        </w:tc>
        <w:tc>
          <w:tcPr>
            <w:tcW w:w="893" w:type="dxa"/>
            <w:shd w:val="clear" w:color="auto" w:fill="auto"/>
            <w:noWrap/>
            <w:hideMark/>
          </w:tcPr>
          <w:p w14:paraId="1B3050F1" w14:textId="77777777" w:rsidR="0045296A" w:rsidRPr="00CB385A" w:rsidRDefault="0045296A" w:rsidP="006D5746">
            <w:pPr>
              <w:spacing w:after="0" w:line="240" w:lineRule="auto"/>
              <w:jc w:val="center"/>
              <w:rPr>
                <w:rFonts w:ascii="Times New Roman" w:eastAsia="Times New Roman" w:hAnsi="Times New Roman" w:cs="Times New Roman"/>
                <w:b/>
                <w:bCs/>
                <w:color w:val="000000"/>
                <w:sz w:val="24"/>
                <w:szCs w:val="24"/>
                <w:lang w:val="en-US"/>
              </w:rPr>
            </w:pPr>
            <w:r w:rsidRPr="00CB385A">
              <w:rPr>
                <w:rFonts w:ascii="Times New Roman" w:eastAsia="Times New Roman" w:hAnsi="Times New Roman" w:cs="Times New Roman"/>
                <w:b/>
                <w:bCs/>
                <w:color w:val="000000"/>
                <w:sz w:val="24"/>
                <w:szCs w:val="24"/>
                <w:lang w:val="en-US"/>
              </w:rPr>
              <w:t>&lt;0.001</w:t>
            </w:r>
          </w:p>
        </w:tc>
      </w:tr>
      <w:tr w:rsidR="0045296A" w:rsidRPr="00CB385A" w14:paraId="5A8C72ED" w14:textId="77777777" w:rsidTr="006D5746">
        <w:trPr>
          <w:trHeight w:val="288"/>
        </w:trPr>
        <w:tc>
          <w:tcPr>
            <w:tcW w:w="3330" w:type="dxa"/>
            <w:shd w:val="clear" w:color="auto" w:fill="auto"/>
            <w:hideMark/>
          </w:tcPr>
          <w:p w14:paraId="72CDED2C"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Visceral adipose tissue mass (g)</w:t>
            </w:r>
          </w:p>
        </w:tc>
        <w:tc>
          <w:tcPr>
            <w:tcW w:w="876" w:type="dxa"/>
            <w:shd w:val="clear" w:color="auto" w:fill="auto"/>
            <w:noWrap/>
            <w:vAlign w:val="center"/>
            <w:hideMark/>
          </w:tcPr>
          <w:p w14:paraId="6110A772" w14:textId="65FA7A53"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33</w:t>
            </w:r>
            <w:r w:rsidR="005E0E01">
              <w:rPr>
                <w:rFonts w:ascii="Times New Roman" w:eastAsia="Times New Roman" w:hAnsi="Times New Roman" w:cs="Times New Roman"/>
                <w:color w:val="000000"/>
                <w:sz w:val="24"/>
                <w:szCs w:val="24"/>
                <w:lang w:val="en-US"/>
              </w:rPr>
              <w:t>5</w:t>
            </w:r>
          </w:p>
        </w:tc>
        <w:tc>
          <w:tcPr>
            <w:tcW w:w="1036" w:type="dxa"/>
            <w:shd w:val="clear" w:color="auto" w:fill="auto"/>
            <w:noWrap/>
            <w:vAlign w:val="center"/>
            <w:hideMark/>
          </w:tcPr>
          <w:p w14:paraId="56F4A0FF" w14:textId="66E4974E"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(17</w:t>
            </w:r>
            <w:r w:rsidR="005E0E01">
              <w:rPr>
                <w:rFonts w:ascii="Times New Roman" w:eastAsia="Times New Roman" w:hAnsi="Times New Roman" w:cs="Times New Roman"/>
                <w:color w:val="000000"/>
                <w:sz w:val="24"/>
                <w:szCs w:val="24"/>
                <w:lang w:val="en-US"/>
              </w:rPr>
              <w:t>9</w:t>
            </w:r>
            <w:r>
              <w:rPr>
                <w:rFonts w:ascii="Times New Roman" w:eastAsia="Times New Roman" w:hAnsi="Times New Roman" w:cs="Times New Roman"/>
                <w:color w:val="000000"/>
                <w:sz w:val="24"/>
                <w:szCs w:val="24"/>
                <w:lang w:val="en-US"/>
              </w:rPr>
              <w:t>)</w:t>
            </w:r>
          </w:p>
        </w:tc>
        <w:tc>
          <w:tcPr>
            <w:tcW w:w="878" w:type="dxa"/>
            <w:shd w:val="clear" w:color="auto" w:fill="auto"/>
            <w:noWrap/>
            <w:vAlign w:val="center"/>
            <w:hideMark/>
          </w:tcPr>
          <w:p w14:paraId="01D135A6" w14:textId="117CEDE2"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43</w:t>
            </w:r>
            <w:r w:rsidR="005E0E01">
              <w:rPr>
                <w:rFonts w:ascii="Times New Roman" w:eastAsia="Times New Roman" w:hAnsi="Times New Roman" w:cs="Times New Roman"/>
                <w:color w:val="000000"/>
                <w:sz w:val="24"/>
                <w:szCs w:val="24"/>
                <w:lang w:val="en-US"/>
              </w:rPr>
              <w:t>3</w:t>
            </w:r>
          </w:p>
        </w:tc>
        <w:tc>
          <w:tcPr>
            <w:tcW w:w="1041" w:type="dxa"/>
            <w:shd w:val="clear" w:color="auto" w:fill="auto"/>
            <w:noWrap/>
            <w:vAlign w:val="center"/>
            <w:hideMark/>
          </w:tcPr>
          <w:p w14:paraId="5203E111" w14:textId="1CB3122F"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(17</w:t>
            </w:r>
            <w:r w:rsidR="005E0E01">
              <w:rPr>
                <w:rFonts w:ascii="Times New Roman" w:eastAsia="Times New Roman" w:hAnsi="Times New Roman" w:cs="Times New Roman"/>
                <w:color w:val="000000"/>
                <w:sz w:val="24"/>
                <w:szCs w:val="24"/>
                <w:lang w:val="en-US"/>
              </w:rPr>
              <w:t>9</w:t>
            </w:r>
            <w:r>
              <w:rPr>
                <w:rFonts w:ascii="Times New Roman" w:eastAsia="Times New Roman" w:hAnsi="Times New Roman" w:cs="Times New Roman"/>
                <w:color w:val="000000"/>
                <w:sz w:val="24"/>
                <w:szCs w:val="24"/>
                <w:lang w:val="en-US"/>
              </w:rPr>
              <w:t>)</w:t>
            </w:r>
          </w:p>
        </w:tc>
        <w:tc>
          <w:tcPr>
            <w:tcW w:w="876" w:type="dxa"/>
            <w:shd w:val="clear" w:color="auto" w:fill="auto"/>
            <w:noWrap/>
            <w:vAlign w:val="center"/>
            <w:hideMark/>
          </w:tcPr>
          <w:p w14:paraId="79DE391E" w14:textId="54E873DF"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285</w:t>
            </w:r>
          </w:p>
        </w:tc>
        <w:tc>
          <w:tcPr>
            <w:tcW w:w="1036" w:type="dxa"/>
            <w:shd w:val="clear" w:color="auto" w:fill="auto"/>
            <w:noWrap/>
            <w:vAlign w:val="center"/>
            <w:hideMark/>
          </w:tcPr>
          <w:p w14:paraId="5D4232FA" w14:textId="25BB9552"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(158)</w:t>
            </w:r>
          </w:p>
        </w:tc>
        <w:tc>
          <w:tcPr>
            <w:tcW w:w="893" w:type="dxa"/>
            <w:shd w:val="clear" w:color="auto" w:fill="auto"/>
            <w:noWrap/>
            <w:hideMark/>
          </w:tcPr>
          <w:p w14:paraId="4FAA7D0E" w14:textId="77777777" w:rsidR="0045296A" w:rsidRPr="00CB385A" w:rsidRDefault="0045296A" w:rsidP="006D5746">
            <w:pPr>
              <w:spacing w:after="0" w:line="240" w:lineRule="auto"/>
              <w:jc w:val="center"/>
              <w:rPr>
                <w:rFonts w:ascii="Times New Roman" w:eastAsia="Times New Roman" w:hAnsi="Times New Roman" w:cs="Times New Roman"/>
                <w:b/>
                <w:bCs/>
                <w:color w:val="000000"/>
                <w:sz w:val="24"/>
                <w:szCs w:val="24"/>
                <w:lang w:val="en-US"/>
              </w:rPr>
            </w:pPr>
            <w:r w:rsidRPr="00CB385A">
              <w:rPr>
                <w:rFonts w:ascii="Times New Roman" w:eastAsia="Times New Roman" w:hAnsi="Times New Roman" w:cs="Times New Roman"/>
                <w:b/>
                <w:bCs/>
                <w:color w:val="000000"/>
                <w:sz w:val="24"/>
                <w:szCs w:val="24"/>
                <w:lang w:val="en-US"/>
              </w:rPr>
              <w:t>&lt;0.001</w:t>
            </w:r>
          </w:p>
        </w:tc>
      </w:tr>
      <w:tr w:rsidR="0045296A" w:rsidRPr="00CB385A" w14:paraId="58A36BA1" w14:textId="77777777" w:rsidTr="006D5746">
        <w:trPr>
          <w:trHeight w:val="288"/>
        </w:trPr>
        <w:tc>
          <w:tcPr>
            <w:tcW w:w="3330" w:type="dxa"/>
            <w:shd w:val="clear" w:color="auto" w:fill="auto"/>
            <w:hideMark/>
          </w:tcPr>
          <w:p w14:paraId="5921DD11"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Body surface area (m</w:t>
            </w:r>
            <w:r w:rsidRPr="00CB385A">
              <w:rPr>
                <w:rFonts w:ascii="Times New Roman" w:eastAsia="Times New Roman" w:hAnsi="Times New Roman" w:cs="Times New Roman"/>
                <w:color w:val="000000"/>
                <w:sz w:val="24"/>
                <w:szCs w:val="24"/>
                <w:vertAlign w:val="superscript"/>
                <w:lang w:val="en-US"/>
              </w:rPr>
              <w:t>2</w:t>
            </w:r>
            <w:r w:rsidRPr="00CB385A">
              <w:rPr>
                <w:rFonts w:ascii="Times New Roman" w:eastAsia="Times New Roman" w:hAnsi="Times New Roman" w:cs="Times New Roman"/>
                <w:color w:val="000000"/>
                <w:sz w:val="24"/>
                <w:szCs w:val="24"/>
                <w:lang w:val="en-US"/>
              </w:rPr>
              <w:t>)</w:t>
            </w:r>
          </w:p>
        </w:tc>
        <w:tc>
          <w:tcPr>
            <w:tcW w:w="876" w:type="dxa"/>
            <w:shd w:val="clear" w:color="auto" w:fill="auto"/>
            <w:noWrap/>
            <w:vAlign w:val="center"/>
            <w:hideMark/>
          </w:tcPr>
          <w:p w14:paraId="032AAF65" w14:textId="7777777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1.79</w:t>
            </w:r>
          </w:p>
        </w:tc>
        <w:tc>
          <w:tcPr>
            <w:tcW w:w="1036" w:type="dxa"/>
            <w:shd w:val="clear" w:color="auto" w:fill="auto"/>
            <w:noWrap/>
            <w:vAlign w:val="center"/>
            <w:hideMark/>
          </w:tcPr>
          <w:p w14:paraId="17975D7B"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(0.22)</w:t>
            </w:r>
          </w:p>
        </w:tc>
        <w:tc>
          <w:tcPr>
            <w:tcW w:w="878" w:type="dxa"/>
            <w:shd w:val="clear" w:color="auto" w:fill="auto"/>
            <w:noWrap/>
            <w:vAlign w:val="center"/>
            <w:hideMark/>
          </w:tcPr>
          <w:p w14:paraId="24E9FC79" w14:textId="7777777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1.99</w:t>
            </w:r>
          </w:p>
        </w:tc>
        <w:tc>
          <w:tcPr>
            <w:tcW w:w="1041" w:type="dxa"/>
            <w:shd w:val="clear" w:color="auto" w:fill="auto"/>
            <w:noWrap/>
            <w:vAlign w:val="center"/>
            <w:hideMark/>
          </w:tcPr>
          <w:p w14:paraId="3F876EB2"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(0.19)</w:t>
            </w:r>
          </w:p>
        </w:tc>
        <w:tc>
          <w:tcPr>
            <w:tcW w:w="876" w:type="dxa"/>
            <w:shd w:val="clear" w:color="auto" w:fill="auto"/>
            <w:noWrap/>
            <w:vAlign w:val="center"/>
            <w:hideMark/>
          </w:tcPr>
          <w:p w14:paraId="49AE7A1B" w14:textId="7777777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1.70</w:t>
            </w:r>
          </w:p>
        </w:tc>
        <w:tc>
          <w:tcPr>
            <w:tcW w:w="1036" w:type="dxa"/>
            <w:shd w:val="clear" w:color="auto" w:fill="auto"/>
            <w:noWrap/>
            <w:vAlign w:val="center"/>
            <w:hideMark/>
          </w:tcPr>
          <w:p w14:paraId="458F36AC"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(0.16)</w:t>
            </w:r>
          </w:p>
        </w:tc>
        <w:tc>
          <w:tcPr>
            <w:tcW w:w="893" w:type="dxa"/>
            <w:shd w:val="clear" w:color="auto" w:fill="auto"/>
            <w:noWrap/>
            <w:hideMark/>
          </w:tcPr>
          <w:p w14:paraId="22314EA9" w14:textId="77777777" w:rsidR="0045296A" w:rsidRPr="00CB385A" w:rsidRDefault="0045296A" w:rsidP="006D5746">
            <w:pPr>
              <w:spacing w:after="0" w:line="240" w:lineRule="auto"/>
              <w:jc w:val="center"/>
              <w:rPr>
                <w:rFonts w:ascii="Times New Roman" w:eastAsia="Times New Roman" w:hAnsi="Times New Roman" w:cs="Times New Roman"/>
                <w:b/>
                <w:bCs/>
                <w:color w:val="000000"/>
                <w:sz w:val="24"/>
                <w:szCs w:val="24"/>
                <w:lang w:val="en-US"/>
              </w:rPr>
            </w:pPr>
            <w:r w:rsidRPr="00CB385A">
              <w:rPr>
                <w:rFonts w:ascii="Times New Roman" w:eastAsia="Times New Roman" w:hAnsi="Times New Roman" w:cs="Times New Roman"/>
                <w:b/>
                <w:bCs/>
                <w:color w:val="000000"/>
                <w:sz w:val="24"/>
                <w:szCs w:val="24"/>
                <w:lang w:val="en-US"/>
              </w:rPr>
              <w:t>&lt;0.001</w:t>
            </w:r>
          </w:p>
        </w:tc>
      </w:tr>
      <w:tr w:rsidR="0045296A" w:rsidRPr="00CB385A" w14:paraId="59006F38" w14:textId="77777777" w:rsidTr="006D5746">
        <w:trPr>
          <w:trHeight w:val="288"/>
        </w:trPr>
        <w:tc>
          <w:tcPr>
            <w:tcW w:w="3330" w:type="dxa"/>
            <w:shd w:val="clear" w:color="auto" w:fill="auto"/>
            <w:hideMark/>
          </w:tcPr>
          <w:p w14:paraId="1064EF36" w14:textId="77777777"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BAT volume (ml)</w:t>
            </w:r>
          </w:p>
        </w:tc>
        <w:tc>
          <w:tcPr>
            <w:tcW w:w="876" w:type="dxa"/>
            <w:shd w:val="clear" w:color="auto" w:fill="auto"/>
            <w:noWrap/>
            <w:vAlign w:val="center"/>
            <w:hideMark/>
          </w:tcPr>
          <w:p w14:paraId="0B39976E" w14:textId="19AB647E" w:rsidR="0045296A" w:rsidRPr="00C24FCF" w:rsidRDefault="0045296A" w:rsidP="006D5746">
            <w:pPr>
              <w:spacing w:after="0" w:line="240" w:lineRule="auto"/>
              <w:jc w:val="right"/>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68.</w:t>
            </w:r>
            <w:r w:rsidR="005E0E01">
              <w:rPr>
                <w:rFonts w:ascii="Times New Roman" w:eastAsia="Times New Roman" w:hAnsi="Times New Roman" w:cs="Times New Roman"/>
                <w:sz w:val="24"/>
                <w:szCs w:val="24"/>
                <w:lang w:val="en-US"/>
              </w:rPr>
              <w:t>3</w:t>
            </w:r>
          </w:p>
        </w:tc>
        <w:tc>
          <w:tcPr>
            <w:tcW w:w="1036" w:type="dxa"/>
            <w:shd w:val="clear" w:color="auto" w:fill="auto"/>
            <w:noWrap/>
            <w:vAlign w:val="center"/>
            <w:hideMark/>
          </w:tcPr>
          <w:p w14:paraId="3B72FBE7" w14:textId="5F3AEF8B"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(57.7)</w:t>
            </w:r>
          </w:p>
        </w:tc>
        <w:tc>
          <w:tcPr>
            <w:tcW w:w="878" w:type="dxa"/>
            <w:shd w:val="clear" w:color="auto" w:fill="auto"/>
            <w:noWrap/>
            <w:vAlign w:val="center"/>
            <w:hideMark/>
          </w:tcPr>
          <w:p w14:paraId="45369573" w14:textId="7304830E" w:rsidR="0045296A" w:rsidRPr="00C24FCF" w:rsidRDefault="0045296A" w:rsidP="006D5746">
            <w:pPr>
              <w:spacing w:after="0" w:line="240" w:lineRule="auto"/>
              <w:jc w:val="right"/>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75.6</w:t>
            </w:r>
          </w:p>
        </w:tc>
        <w:tc>
          <w:tcPr>
            <w:tcW w:w="1041" w:type="dxa"/>
            <w:shd w:val="clear" w:color="auto" w:fill="auto"/>
            <w:noWrap/>
            <w:vAlign w:val="center"/>
            <w:hideMark/>
          </w:tcPr>
          <w:p w14:paraId="5A103005" w14:textId="080F06D1"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(66.</w:t>
            </w:r>
            <w:r w:rsidR="005E0E01">
              <w:rPr>
                <w:rFonts w:ascii="Times New Roman" w:eastAsia="Times New Roman" w:hAnsi="Times New Roman" w:cs="Times New Roman"/>
                <w:sz w:val="24"/>
                <w:szCs w:val="24"/>
                <w:lang w:val="en-US"/>
              </w:rPr>
              <w:t>4</w:t>
            </w:r>
            <w:r w:rsidRPr="00C24FCF">
              <w:rPr>
                <w:rFonts w:ascii="Times New Roman" w:eastAsia="Times New Roman" w:hAnsi="Times New Roman" w:cs="Times New Roman"/>
                <w:sz w:val="24"/>
                <w:szCs w:val="24"/>
                <w:lang w:val="en-US"/>
              </w:rPr>
              <w:t>)</w:t>
            </w:r>
          </w:p>
        </w:tc>
        <w:tc>
          <w:tcPr>
            <w:tcW w:w="876" w:type="dxa"/>
            <w:shd w:val="clear" w:color="auto" w:fill="auto"/>
            <w:noWrap/>
            <w:vAlign w:val="center"/>
            <w:hideMark/>
          </w:tcPr>
          <w:p w14:paraId="3A0F2874" w14:textId="43854349" w:rsidR="0045296A" w:rsidRPr="00C24FCF" w:rsidRDefault="0045296A" w:rsidP="006D5746">
            <w:pPr>
              <w:spacing w:after="0" w:line="240" w:lineRule="auto"/>
              <w:jc w:val="right"/>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64.6</w:t>
            </w:r>
          </w:p>
        </w:tc>
        <w:tc>
          <w:tcPr>
            <w:tcW w:w="1036" w:type="dxa"/>
            <w:shd w:val="clear" w:color="auto" w:fill="auto"/>
            <w:noWrap/>
            <w:vAlign w:val="center"/>
            <w:hideMark/>
          </w:tcPr>
          <w:p w14:paraId="728FAE8C" w14:textId="6A732CAC"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(52.9)</w:t>
            </w:r>
          </w:p>
        </w:tc>
        <w:tc>
          <w:tcPr>
            <w:tcW w:w="893" w:type="dxa"/>
            <w:shd w:val="clear" w:color="auto" w:fill="auto"/>
            <w:noWrap/>
            <w:vAlign w:val="center"/>
            <w:hideMark/>
          </w:tcPr>
          <w:p w14:paraId="0D282AD9" w14:textId="77777777" w:rsidR="0045296A" w:rsidRPr="00C24FCF" w:rsidRDefault="0045296A" w:rsidP="006D5746">
            <w:pPr>
              <w:spacing w:after="0" w:line="240" w:lineRule="auto"/>
              <w:jc w:val="center"/>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0.354</w:t>
            </w:r>
          </w:p>
        </w:tc>
      </w:tr>
      <w:tr w:rsidR="0045296A" w:rsidRPr="00CB385A" w14:paraId="5DC96F2B" w14:textId="77777777" w:rsidTr="006D5746">
        <w:trPr>
          <w:trHeight w:val="288"/>
        </w:trPr>
        <w:tc>
          <w:tcPr>
            <w:tcW w:w="3330" w:type="dxa"/>
            <w:shd w:val="clear" w:color="auto" w:fill="auto"/>
            <w:hideMark/>
          </w:tcPr>
          <w:p w14:paraId="00B78D84" w14:textId="77777777"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BAT SUVmean</w:t>
            </w:r>
          </w:p>
        </w:tc>
        <w:tc>
          <w:tcPr>
            <w:tcW w:w="876" w:type="dxa"/>
            <w:shd w:val="clear" w:color="auto" w:fill="auto"/>
            <w:noWrap/>
            <w:vAlign w:val="center"/>
            <w:hideMark/>
          </w:tcPr>
          <w:p w14:paraId="1CBCB016" w14:textId="77777777" w:rsidR="0045296A" w:rsidRPr="00C24FCF" w:rsidRDefault="0045296A" w:rsidP="006D5746">
            <w:pPr>
              <w:spacing w:after="0" w:line="240" w:lineRule="auto"/>
              <w:jc w:val="right"/>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2.18</w:t>
            </w:r>
          </w:p>
        </w:tc>
        <w:tc>
          <w:tcPr>
            <w:tcW w:w="1036" w:type="dxa"/>
            <w:shd w:val="clear" w:color="auto" w:fill="auto"/>
            <w:noWrap/>
            <w:vAlign w:val="center"/>
            <w:hideMark/>
          </w:tcPr>
          <w:p w14:paraId="0DBBF923" w14:textId="77777777"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(1.11)</w:t>
            </w:r>
          </w:p>
        </w:tc>
        <w:tc>
          <w:tcPr>
            <w:tcW w:w="878" w:type="dxa"/>
            <w:shd w:val="clear" w:color="auto" w:fill="auto"/>
            <w:noWrap/>
            <w:vAlign w:val="center"/>
            <w:hideMark/>
          </w:tcPr>
          <w:p w14:paraId="7F517B15" w14:textId="77777777" w:rsidR="0045296A" w:rsidRPr="00C24FCF" w:rsidRDefault="0045296A" w:rsidP="006D5746">
            <w:pPr>
              <w:spacing w:after="0" w:line="240" w:lineRule="auto"/>
              <w:jc w:val="right"/>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2.02</w:t>
            </w:r>
          </w:p>
        </w:tc>
        <w:tc>
          <w:tcPr>
            <w:tcW w:w="1041" w:type="dxa"/>
            <w:shd w:val="clear" w:color="auto" w:fill="auto"/>
            <w:noWrap/>
            <w:vAlign w:val="center"/>
            <w:hideMark/>
          </w:tcPr>
          <w:p w14:paraId="73EBC222" w14:textId="77777777"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(0.82)</w:t>
            </w:r>
          </w:p>
        </w:tc>
        <w:tc>
          <w:tcPr>
            <w:tcW w:w="876" w:type="dxa"/>
            <w:shd w:val="clear" w:color="auto" w:fill="auto"/>
            <w:noWrap/>
            <w:vAlign w:val="center"/>
            <w:hideMark/>
          </w:tcPr>
          <w:p w14:paraId="3683915B" w14:textId="77777777" w:rsidR="0045296A" w:rsidRPr="00C24FCF" w:rsidRDefault="0045296A" w:rsidP="006D5746">
            <w:pPr>
              <w:spacing w:after="0" w:line="240" w:lineRule="auto"/>
              <w:jc w:val="right"/>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2.26</w:t>
            </w:r>
          </w:p>
        </w:tc>
        <w:tc>
          <w:tcPr>
            <w:tcW w:w="1036" w:type="dxa"/>
            <w:shd w:val="clear" w:color="auto" w:fill="auto"/>
            <w:noWrap/>
            <w:vAlign w:val="center"/>
            <w:hideMark/>
          </w:tcPr>
          <w:p w14:paraId="706C2566" w14:textId="77777777"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(1.22)</w:t>
            </w:r>
          </w:p>
        </w:tc>
        <w:tc>
          <w:tcPr>
            <w:tcW w:w="893" w:type="dxa"/>
            <w:shd w:val="clear" w:color="auto" w:fill="auto"/>
            <w:noWrap/>
            <w:vAlign w:val="center"/>
            <w:hideMark/>
          </w:tcPr>
          <w:p w14:paraId="7FE3B5FC" w14:textId="77777777" w:rsidR="0045296A" w:rsidRPr="00C24FCF" w:rsidRDefault="0045296A" w:rsidP="006D5746">
            <w:pPr>
              <w:spacing w:after="0" w:line="240" w:lineRule="auto"/>
              <w:jc w:val="center"/>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0.181</w:t>
            </w:r>
          </w:p>
        </w:tc>
      </w:tr>
      <w:tr w:rsidR="0045296A" w:rsidRPr="00CB385A" w14:paraId="2E134637" w14:textId="77777777" w:rsidTr="006D5746">
        <w:trPr>
          <w:trHeight w:val="288"/>
        </w:trPr>
        <w:tc>
          <w:tcPr>
            <w:tcW w:w="3330" w:type="dxa"/>
            <w:shd w:val="clear" w:color="auto" w:fill="auto"/>
            <w:hideMark/>
          </w:tcPr>
          <w:p w14:paraId="13BAB0BF" w14:textId="77777777"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BAT SUVpeak</w:t>
            </w:r>
          </w:p>
        </w:tc>
        <w:tc>
          <w:tcPr>
            <w:tcW w:w="876" w:type="dxa"/>
            <w:shd w:val="clear" w:color="auto" w:fill="auto"/>
            <w:noWrap/>
            <w:vAlign w:val="center"/>
            <w:hideMark/>
          </w:tcPr>
          <w:p w14:paraId="7C1B46FB" w14:textId="77777777" w:rsidR="0045296A" w:rsidRPr="00C24FCF" w:rsidRDefault="0045296A" w:rsidP="006D5746">
            <w:pPr>
              <w:spacing w:after="0" w:line="240" w:lineRule="auto"/>
              <w:jc w:val="right"/>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6.49</w:t>
            </w:r>
          </w:p>
        </w:tc>
        <w:tc>
          <w:tcPr>
            <w:tcW w:w="1036" w:type="dxa"/>
            <w:shd w:val="clear" w:color="auto" w:fill="auto"/>
            <w:noWrap/>
            <w:vAlign w:val="center"/>
            <w:hideMark/>
          </w:tcPr>
          <w:p w14:paraId="3D7F02D8" w14:textId="77777777"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(4.74)</w:t>
            </w:r>
          </w:p>
        </w:tc>
        <w:tc>
          <w:tcPr>
            <w:tcW w:w="878" w:type="dxa"/>
            <w:shd w:val="clear" w:color="auto" w:fill="auto"/>
            <w:noWrap/>
            <w:vAlign w:val="center"/>
            <w:hideMark/>
          </w:tcPr>
          <w:p w14:paraId="4C9CF574" w14:textId="77777777" w:rsidR="0045296A" w:rsidRPr="00C24FCF" w:rsidRDefault="0045296A" w:rsidP="006D5746">
            <w:pPr>
              <w:spacing w:after="0" w:line="240" w:lineRule="auto"/>
              <w:jc w:val="right"/>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6.02</w:t>
            </w:r>
          </w:p>
        </w:tc>
        <w:tc>
          <w:tcPr>
            <w:tcW w:w="1041" w:type="dxa"/>
            <w:shd w:val="clear" w:color="auto" w:fill="auto"/>
            <w:noWrap/>
            <w:vAlign w:val="center"/>
            <w:hideMark/>
          </w:tcPr>
          <w:p w14:paraId="3C814CF1" w14:textId="77777777"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(4.50)</w:t>
            </w:r>
          </w:p>
        </w:tc>
        <w:tc>
          <w:tcPr>
            <w:tcW w:w="876" w:type="dxa"/>
            <w:shd w:val="clear" w:color="auto" w:fill="auto"/>
            <w:noWrap/>
            <w:vAlign w:val="center"/>
            <w:hideMark/>
          </w:tcPr>
          <w:p w14:paraId="47717F4F" w14:textId="77777777" w:rsidR="0045296A" w:rsidRPr="00C24FCF" w:rsidRDefault="0045296A" w:rsidP="006D5746">
            <w:pPr>
              <w:spacing w:after="0" w:line="240" w:lineRule="auto"/>
              <w:jc w:val="right"/>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6.72</w:t>
            </w:r>
          </w:p>
        </w:tc>
        <w:tc>
          <w:tcPr>
            <w:tcW w:w="1036" w:type="dxa"/>
            <w:shd w:val="clear" w:color="auto" w:fill="auto"/>
            <w:noWrap/>
            <w:vAlign w:val="center"/>
            <w:hideMark/>
          </w:tcPr>
          <w:p w14:paraId="682DD7A8" w14:textId="77777777"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(4.86)</w:t>
            </w:r>
          </w:p>
        </w:tc>
        <w:tc>
          <w:tcPr>
            <w:tcW w:w="893" w:type="dxa"/>
            <w:shd w:val="clear" w:color="auto" w:fill="auto"/>
            <w:noWrap/>
            <w:vAlign w:val="center"/>
            <w:hideMark/>
          </w:tcPr>
          <w:p w14:paraId="41B73FB1" w14:textId="77777777" w:rsidR="0045296A" w:rsidRPr="00C24FCF" w:rsidRDefault="0045296A" w:rsidP="006D5746">
            <w:pPr>
              <w:spacing w:after="0" w:line="240" w:lineRule="auto"/>
              <w:jc w:val="center"/>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0.436</w:t>
            </w:r>
          </w:p>
        </w:tc>
      </w:tr>
      <w:tr w:rsidR="0045296A" w:rsidRPr="00CB385A" w14:paraId="1D233CC0" w14:textId="77777777" w:rsidTr="006D5746">
        <w:trPr>
          <w:trHeight w:val="288"/>
        </w:trPr>
        <w:tc>
          <w:tcPr>
            <w:tcW w:w="3330" w:type="dxa"/>
            <w:shd w:val="clear" w:color="auto" w:fill="auto"/>
            <w:hideMark/>
          </w:tcPr>
          <w:p w14:paraId="34796873" w14:textId="77777777"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BAT mean radiodensity (HU)*</w:t>
            </w:r>
          </w:p>
        </w:tc>
        <w:tc>
          <w:tcPr>
            <w:tcW w:w="876" w:type="dxa"/>
            <w:shd w:val="clear" w:color="auto" w:fill="auto"/>
            <w:noWrap/>
            <w:vAlign w:val="center"/>
            <w:hideMark/>
          </w:tcPr>
          <w:p w14:paraId="30A8CDA8" w14:textId="1D541104" w:rsidR="0045296A" w:rsidRPr="00C24FCF" w:rsidRDefault="0045296A" w:rsidP="006D5746">
            <w:pPr>
              <w:spacing w:after="0" w:line="240" w:lineRule="auto"/>
              <w:jc w:val="right"/>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-60.</w:t>
            </w:r>
            <w:r w:rsidR="005E0E01">
              <w:rPr>
                <w:rFonts w:ascii="Times New Roman" w:eastAsia="Times New Roman" w:hAnsi="Times New Roman" w:cs="Times New Roman"/>
                <w:sz w:val="24"/>
                <w:szCs w:val="24"/>
                <w:lang w:val="en-US"/>
              </w:rPr>
              <w:t>2</w:t>
            </w:r>
          </w:p>
        </w:tc>
        <w:tc>
          <w:tcPr>
            <w:tcW w:w="1036" w:type="dxa"/>
            <w:shd w:val="clear" w:color="auto" w:fill="auto"/>
            <w:noWrap/>
            <w:vAlign w:val="center"/>
            <w:hideMark/>
          </w:tcPr>
          <w:p w14:paraId="56E6839E" w14:textId="3D1D9787"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(9.8)</w:t>
            </w:r>
          </w:p>
        </w:tc>
        <w:tc>
          <w:tcPr>
            <w:tcW w:w="878" w:type="dxa"/>
            <w:shd w:val="clear" w:color="auto" w:fill="auto"/>
            <w:noWrap/>
            <w:vAlign w:val="center"/>
            <w:hideMark/>
          </w:tcPr>
          <w:p w14:paraId="64541937" w14:textId="4CEC4D57" w:rsidR="0045296A" w:rsidRPr="00C24FCF" w:rsidRDefault="0045296A" w:rsidP="006D5746">
            <w:pPr>
              <w:spacing w:after="0" w:line="240" w:lineRule="auto"/>
              <w:jc w:val="right"/>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-59.</w:t>
            </w:r>
            <w:r w:rsidR="005E0E01">
              <w:rPr>
                <w:rFonts w:ascii="Times New Roman" w:eastAsia="Times New Roman" w:hAnsi="Times New Roman" w:cs="Times New Roman"/>
                <w:sz w:val="24"/>
                <w:szCs w:val="24"/>
                <w:lang w:val="en-US"/>
              </w:rPr>
              <w:t>7</w:t>
            </w:r>
          </w:p>
        </w:tc>
        <w:tc>
          <w:tcPr>
            <w:tcW w:w="1041" w:type="dxa"/>
            <w:shd w:val="clear" w:color="auto" w:fill="auto"/>
            <w:noWrap/>
            <w:vAlign w:val="center"/>
            <w:hideMark/>
          </w:tcPr>
          <w:p w14:paraId="09584480" w14:textId="006FCD81"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(9.</w:t>
            </w:r>
            <w:r w:rsidR="005E0E01">
              <w:rPr>
                <w:rFonts w:ascii="Times New Roman" w:eastAsia="Times New Roman" w:hAnsi="Times New Roman" w:cs="Times New Roman"/>
                <w:sz w:val="24"/>
                <w:szCs w:val="24"/>
                <w:lang w:val="en-US"/>
              </w:rPr>
              <w:t>9</w:t>
            </w:r>
            <w:r w:rsidRPr="00C24FCF">
              <w:rPr>
                <w:rFonts w:ascii="Times New Roman" w:eastAsia="Times New Roman" w:hAnsi="Times New Roman" w:cs="Times New Roman"/>
                <w:sz w:val="24"/>
                <w:szCs w:val="24"/>
                <w:lang w:val="en-US"/>
              </w:rPr>
              <w:t>)</w:t>
            </w:r>
          </w:p>
        </w:tc>
        <w:tc>
          <w:tcPr>
            <w:tcW w:w="876" w:type="dxa"/>
            <w:shd w:val="clear" w:color="auto" w:fill="auto"/>
            <w:noWrap/>
            <w:vAlign w:val="center"/>
            <w:hideMark/>
          </w:tcPr>
          <w:p w14:paraId="1A489D19" w14:textId="07C6B924" w:rsidR="0045296A" w:rsidRPr="00C24FCF" w:rsidRDefault="0045296A" w:rsidP="006D5746">
            <w:pPr>
              <w:spacing w:after="0" w:line="240" w:lineRule="auto"/>
              <w:jc w:val="right"/>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-60.</w:t>
            </w:r>
            <w:r w:rsidR="005E0E01">
              <w:rPr>
                <w:rFonts w:ascii="Times New Roman" w:eastAsia="Times New Roman" w:hAnsi="Times New Roman" w:cs="Times New Roman"/>
                <w:sz w:val="24"/>
                <w:szCs w:val="24"/>
                <w:lang w:val="en-US"/>
              </w:rPr>
              <w:t>4</w:t>
            </w:r>
          </w:p>
        </w:tc>
        <w:tc>
          <w:tcPr>
            <w:tcW w:w="1036" w:type="dxa"/>
            <w:shd w:val="clear" w:color="auto" w:fill="auto"/>
            <w:noWrap/>
            <w:vAlign w:val="center"/>
            <w:hideMark/>
          </w:tcPr>
          <w:p w14:paraId="6EBF7D34" w14:textId="6DB95917"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(9.9)</w:t>
            </w:r>
          </w:p>
        </w:tc>
        <w:tc>
          <w:tcPr>
            <w:tcW w:w="893" w:type="dxa"/>
            <w:shd w:val="clear" w:color="auto" w:fill="auto"/>
            <w:noWrap/>
            <w:vAlign w:val="center"/>
            <w:hideMark/>
          </w:tcPr>
          <w:p w14:paraId="43332BC7" w14:textId="77777777" w:rsidR="0045296A" w:rsidRPr="00C24FCF" w:rsidRDefault="0045296A" w:rsidP="006D5746">
            <w:pPr>
              <w:spacing w:after="0" w:line="240" w:lineRule="auto"/>
              <w:jc w:val="center"/>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0.767</w:t>
            </w:r>
          </w:p>
        </w:tc>
      </w:tr>
      <w:tr w:rsidR="0045296A" w:rsidRPr="00CB385A" w14:paraId="19279928" w14:textId="77777777" w:rsidTr="006D5746">
        <w:trPr>
          <w:trHeight w:val="288"/>
        </w:trPr>
        <w:tc>
          <w:tcPr>
            <w:tcW w:w="3330" w:type="dxa"/>
            <w:shd w:val="clear" w:color="auto" w:fill="auto"/>
            <w:hideMark/>
          </w:tcPr>
          <w:p w14:paraId="6BDE41DA" w14:textId="77777777"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scWAT dorsocervical SUVpeak</w:t>
            </w:r>
          </w:p>
        </w:tc>
        <w:tc>
          <w:tcPr>
            <w:tcW w:w="876" w:type="dxa"/>
            <w:shd w:val="clear" w:color="auto" w:fill="auto"/>
            <w:noWrap/>
            <w:vAlign w:val="center"/>
            <w:hideMark/>
          </w:tcPr>
          <w:p w14:paraId="48913990" w14:textId="77777777" w:rsidR="0045296A" w:rsidRPr="00C24FCF" w:rsidRDefault="0045296A" w:rsidP="006D5746">
            <w:pPr>
              <w:spacing w:after="0" w:line="240" w:lineRule="auto"/>
              <w:jc w:val="right"/>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0.29</w:t>
            </w:r>
          </w:p>
        </w:tc>
        <w:tc>
          <w:tcPr>
            <w:tcW w:w="1036" w:type="dxa"/>
            <w:shd w:val="clear" w:color="auto" w:fill="auto"/>
            <w:noWrap/>
            <w:vAlign w:val="center"/>
            <w:hideMark/>
          </w:tcPr>
          <w:p w14:paraId="065A1C69" w14:textId="77777777"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(0.15)</w:t>
            </w:r>
          </w:p>
        </w:tc>
        <w:tc>
          <w:tcPr>
            <w:tcW w:w="878" w:type="dxa"/>
            <w:shd w:val="clear" w:color="auto" w:fill="auto"/>
            <w:noWrap/>
            <w:vAlign w:val="center"/>
            <w:hideMark/>
          </w:tcPr>
          <w:p w14:paraId="4A00AC7B" w14:textId="77777777" w:rsidR="0045296A" w:rsidRPr="00C24FCF" w:rsidRDefault="0045296A" w:rsidP="006D5746">
            <w:pPr>
              <w:spacing w:after="0" w:line="240" w:lineRule="auto"/>
              <w:jc w:val="right"/>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0.32</w:t>
            </w:r>
          </w:p>
        </w:tc>
        <w:tc>
          <w:tcPr>
            <w:tcW w:w="1041" w:type="dxa"/>
            <w:shd w:val="clear" w:color="auto" w:fill="auto"/>
            <w:noWrap/>
            <w:vAlign w:val="center"/>
            <w:hideMark/>
          </w:tcPr>
          <w:p w14:paraId="16E5B757" w14:textId="77777777"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(0.14)</w:t>
            </w:r>
          </w:p>
        </w:tc>
        <w:tc>
          <w:tcPr>
            <w:tcW w:w="876" w:type="dxa"/>
            <w:shd w:val="clear" w:color="auto" w:fill="auto"/>
            <w:noWrap/>
            <w:vAlign w:val="center"/>
            <w:hideMark/>
          </w:tcPr>
          <w:p w14:paraId="05B7311E" w14:textId="77777777" w:rsidR="0045296A" w:rsidRPr="00C24FCF" w:rsidRDefault="0045296A" w:rsidP="006D5746">
            <w:pPr>
              <w:spacing w:after="0" w:line="240" w:lineRule="auto"/>
              <w:jc w:val="right"/>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0.28</w:t>
            </w:r>
          </w:p>
        </w:tc>
        <w:tc>
          <w:tcPr>
            <w:tcW w:w="1036" w:type="dxa"/>
            <w:shd w:val="clear" w:color="auto" w:fill="auto"/>
            <w:noWrap/>
            <w:vAlign w:val="center"/>
            <w:hideMark/>
          </w:tcPr>
          <w:p w14:paraId="5FE3FB54" w14:textId="77777777" w:rsidR="0045296A" w:rsidRPr="00C24FCF" w:rsidRDefault="0045296A" w:rsidP="006D5746">
            <w:pPr>
              <w:spacing w:after="0" w:line="240" w:lineRule="auto"/>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(0.15)</w:t>
            </w:r>
          </w:p>
        </w:tc>
        <w:tc>
          <w:tcPr>
            <w:tcW w:w="893" w:type="dxa"/>
            <w:shd w:val="clear" w:color="auto" w:fill="auto"/>
            <w:noWrap/>
            <w:vAlign w:val="center"/>
            <w:hideMark/>
          </w:tcPr>
          <w:p w14:paraId="482D9E88" w14:textId="77777777" w:rsidR="0045296A" w:rsidRPr="00C24FCF" w:rsidRDefault="0045296A" w:rsidP="006D5746">
            <w:pPr>
              <w:spacing w:after="0" w:line="240" w:lineRule="auto"/>
              <w:jc w:val="center"/>
              <w:rPr>
                <w:rFonts w:ascii="Times New Roman" w:eastAsia="Times New Roman" w:hAnsi="Times New Roman" w:cs="Times New Roman"/>
                <w:sz w:val="24"/>
                <w:szCs w:val="24"/>
                <w:lang w:val="en-US"/>
              </w:rPr>
            </w:pPr>
            <w:r w:rsidRPr="00C24FCF">
              <w:rPr>
                <w:rFonts w:ascii="Times New Roman" w:eastAsia="Times New Roman" w:hAnsi="Times New Roman" w:cs="Times New Roman"/>
                <w:sz w:val="24"/>
                <w:szCs w:val="24"/>
                <w:lang w:val="en-US"/>
              </w:rPr>
              <w:t>0.111</w:t>
            </w:r>
          </w:p>
        </w:tc>
      </w:tr>
      <w:tr w:rsidR="0045296A" w:rsidRPr="00CB385A" w14:paraId="4808D580" w14:textId="77777777" w:rsidTr="006D5746">
        <w:trPr>
          <w:trHeight w:val="288"/>
        </w:trPr>
        <w:tc>
          <w:tcPr>
            <w:tcW w:w="3330" w:type="dxa"/>
            <w:shd w:val="clear" w:color="auto" w:fill="auto"/>
            <w:hideMark/>
          </w:tcPr>
          <w:p w14:paraId="1F2B4D87"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scWAT tricipital SUVpeak</w:t>
            </w:r>
          </w:p>
        </w:tc>
        <w:tc>
          <w:tcPr>
            <w:tcW w:w="876" w:type="dxa"/>
            <w:shd w:val="clear" w:color="auto" w:fill="auto"/>
            <w:noWrap/>
            <w:vAlign w:val="center"/>
            <w:hideMark/>
          </w:tcPr>
          <w:p w14:paraId="5B49FE25" w14:textId="7777777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0.10</w:t>
            </w:r>
          </w:p>
        </w:tc>
        <w:tc>
          <w:tcPr>
            <w:tcW w:w="1036" w:type="dxa"/>
            <w:shd w:val="clear" w:color="auto" w:fill="auto"/>
            <w:noWrap/>
            <w:vAlign w:val="center"/>
            <w:hideMark/>
          </w:tcPr>
          <w:p w14:paraId="40A7C3EF"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(0.05)</w:t>
            </w:r>
          </w:p>
        </w:tc>
        <w:tc>
          <w:tcPr>
            <w:tcW w:w="878" w:type="dxa"/>
            <w:shd w:val="clear" w:color="auto" w:fill="auto"/>
            <w:noWrap/>
            <w:vAlign w:val="center"/>
            <w:hideMark/>
          </w:tcPr>
          <w:p w14:paraId="7F147047" w14:textId="7777777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0.13</w:t>
            </w:r>
          </w:p>
        </w:tc>
        <w:tc>
          <w:tcPr>
            <w:tcW w:w="1041" w:type="dxa"/>
            <w:shd w:val="clear" w:color="auto" w:fill="auto"/>
            <w:noWrap/>
            <w:vAlign w:val="center"/>
            <w:hideMark/>
          </w:tcPr>
          <w:p w14:paraId="4E24466F"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(0.06)</w:t>
            </w:r>
          </w:p>
        </w:tc>
        <w:tc>
          <w:tcPr>
            <w:tcW w:w="876" w:type="dxa"/>
            <w:shd w:val="clear" w:color="auto" w:fill="auto"/>
            <w:noWrap/>
            <w:vAlign w:val="center"/>
            <w:hideMark/>
          </w:tcPr>
          <w:p w14:paraId="60AEE6DD" w14:textId="7777777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0.08</w:t>
            </w:r>
          </w:p>
        </w:tc>
        <w:tc>
          <w:tcPr>
            <w:tcW w:w="1036" w:type="dxa"/>
            <w:shd w:val="clear" w:color="auto" w:fill="auto"/>
            <w:noWrap/>
            <w:vAlign w:val="center"/>
            <w:hideMark/>
          </w:tcPr>
          <w:p w14:paraId="30DBA49F"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(0.03)</w:t>
            </w:r>
          </w:p>
        </w:tc>
        <w:tc>
          <w:tcPr>
            <w:tcW w:w="893" w:type="dxa"/>
            <w:shd w:val="clear" w:color="auto" w:fill="auto"/>
            <w:noWrap/>
            <w:hideMark/>
          </w:tcPr>
          <w:p w14:paraId="754736A9" w14:textId="77777777" w:rsidR="0045296A" w:rsidRPr="00CB385A" w:rsidRDefault="0045296A" w:rsidP="006D5746">
            <w:pPr>
              <w:spacing w:after="0" w:line="240" w:lineRule="auto"/>
              <w:jc w:val="center"/>
              <w:rPr>
                <w:rFonts w:ascii="Times New Roman" w:eastAsia="Times New Roman" w:hAnsi="Times New Roman" w:cs="Times New Roman"/>
                <w:b/>
                <w:bCs/>
                <w:color w:val="000000"/>
                <w:sz w:val="24"/>
                <w:szCs w:val="24"/>
                <w:lang w:val="en-US"/>
              </w:rPr>
            </w:pPr>
            <w:r w:rsidRPr="00CB385A">
              <w:rPr>
                <w:rFonts w:ascii="Times New Roman" w:eastAsia="Times New Roman" w:hAnsi="Times New Roman" w:cs="Times New Roman"/>
                <w:b/>
                <w:bCs/>
                <w:color w:val="000000"/>
                <w:sz w:val="24"/>
                <w:szCs w:val="24"/>
                <w:lang w:val="en-US"/>
              </w:rPr>
              <w:t>&lt;0.001</w:t>
            </w:r>
          </w:p>
        </w:tc>
      </w:tr>
      <w:tr w:rsidR="0045296A" w:rsidRPr="00CB385A" w14:paraId="48499E1B" w14:textId="77777777" w:rsidTr="006D5746">
        <w:trPr>
          <w:trHeight w:val="288"/>
        </w:trPr>
        <w:tc>
          <w:tcPr>
            <w:tcW w:w="3330" w:type="dxa"/>
            <w:shd w:val="clear" w:color="auto" w:fill="auto"/>
            <w:hideMark/>
          </w:tcPr>
          <w:p w14:paraId="15F35CC1"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Descending aorta SUVpeak</w:t>
            </w:r>
          </w:p>
        </w:tc>
        <w:tc>
          <w:tcPr>
            <w:tcW w:w="876" w:type="dxa"/>
            <w:shd w:val="clear" w:color="auto" w:fill="auto"/>
            <w:noWrap/>
            <w:vAlign w:val="center"/>
            <w:hideMark/>
          </w:tcPr>
          <w:p w14:paraId="343A1601" w14:textId="7777777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0.91</w:t>
            </w:r>
          </w:p>
        </w:tc>
        <w:tc>
          <w:tcPr>
            <w:tcW w:w="1036" w:type="dxa"/>
            <w:shd w:val="clear" w:color="auto" w:fill="auto"/>
            <w:noWrap/>
            <w:vAlign w:val="center"/>
            <w:hideMark/>
          </w:tcPr>
          <w:p w14:paraId="336AFF8D"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(0.19)</w:t>
            </w:r>
          </w:p>
        </w:tc>
        <w:tc>
          <w:tcPr>
            <w:tcW w:w="878" w:type="dxa"/>
            <w:shd w:val="clear" w:color="auto" w:fill="auto"/>
            <w:noWrap/>
            <w:vAlign w:val="center"/>
            <w:hideMark/>
          </w:tcPr>
          <w:p w14:paraId="2ADAA03C" w14:textId="7777777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1.03</w:t>
            </w:r>
          </w:p>
        </w:tc>
        <w:tc>
          <w:tcPr>
            <w:tcW w:w="1041" w:type="dxa"/>
            <w:shd w:val="clear" w:color="auto" w:fill="auto"/>
            <w:noWrap/>
            <w:vAlign w:val="center"/>
            <w:hideMark/>
          </w:tcPr>
          <w:p w14:paraId="2041F9BC"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(0.19)</w:t>
            </w:r>
          </w:p>
        </w:tc>
        <w:tc>
          <w:tcPr>
            <w:tcW w:w="876" w:type="dxa"/>
            <w:shd w:val="clear" w:color="auto" w:fill="auto"/>
            <w:noWrap/>
            <w:vAlign w:val="center"/>
            <w:hideMark/>
          </w:tcPr>
          <w:p w14:paraId="1E167645" w14:textId="7777777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0.86</w:t>
            </w:r>
          </w:p>
        </w:tc>
        <w:tc>
          <w:tcPr>
            <w:tcW w:w="1036" w:type="dxa"/>
            <w:shd w:val="clear" w:color="auto" w:fill="auto"/>
            <w:noWrap/>
            <w:vAlign w:val="center"/>
            <w:hideMark/>
          </w:tcPr>
          <w:p w14:paraId="5EC3E7CB"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(0.16)</w:t>
            </w:r>
          </w:p>
        </w:tc>
        <w:tc>
          <w:tcPr>
            <w:tcW w:w="893" w:type="dxa"/>
            <w:shd w:val="clear" w:color="auto" w:fill="auto"/>
            <w:noWrap/>
            <w:hideMark/>
          </w:tcPr>
          <w:p w14:paraId="1CA02F77" w14:textId="77777777" w:rsidR="0045296A" w:rsidRPr="00CB385A" w:rsidRDefault="0045296A" w:rsidP="006D5746">
            <w:pPr>
              <w:spacing w:after="0" w:line="240" w:lineRule="auto"/>
              <w:jc w:val="center"/>
              <w:rPr>
                <w:rFonts w:ascii="Times New Roman" w:eastAsia="Times New Roman" w:hAnsi="Times New Roman" w:cs="Times New Roman"/>
                <w:b/>
                <w:bCs/>
                <w:color w:val="000000"/>
                <w:sz w:val="24"/>
                <w:szCs w:val="24"/>
                <w:lang w:val="en-US"/>
              </w:rPr>
            </w:pPr>
            <w:r w:rsidRPr="00CB385A">
              <w:rPr>
                <w:rFonts w:ascii="Times New Roman" w:eastAsia="Times New Roman" w:hAnsi="Times New Roman" w:cs="Times New Roman"/>
                <w:b/>
                <w:bCs/>
                <w:color w:val="000000"/>
                <w:sz w:val="24"/>
                <w:szCs w:val="24"/>
                <w:lang w:val="en-US"/>
              </w:rPr>
              <w:t>&lt;0.001</w:t>
            </w:r>
          </w:p>
        </w:tc>
      </w:tr>
      <w:tr w:rsidR="0045296A" w:rsidRPr="00CB385A" w14:paraId="76243AA2" w14:textId="77777777" w:rsidTr="006D5746">
        <w:trPr>
          <w:trHeight w:val="288"/>
        </w:trPr>
        <w:tc>
          <w:tcPr>
            <w:tcW w:w="3330" w:type="dxa"/>
            <w:shd w:val="clear" w:color="auto" w:fill="auto"/>
            <w:hideMark/>
          </w:tcPr>
          <w:p w14:paraId="4B433C49"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HOMA</w:t>
            </w:r>
          </w:p>
        </w:tc>
        <w:tc>
          <w:tcPr>
            <w:tcW w:w="876" w:type="dxa"/>
            <w:shd w:val="clear" w:color="auto" w:fill="auto"/>
            <w:noWrap/>
            <w:vAlign w:val="center"/>
            <w:hideMark/>
          </w:tcPr>
          <w:p w14:paraId="6D6CAB7C" w14:textId="7777777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1.86</w:t>
            </w:r>
          </w:p>
        </w:tc>
        <w:tc>
          <w:tcPr>
            <w:tcW w:w="1036" w:type="dxa"/>
            <w:shd w:val="clear" w:color="auto" w:fill="auto"/>
            <w:noWrap/>
            <w:vAlign w:val="center"/>
            <w:hideMark/>
          </w:tcPr>
          <w:p w14:paraId="7CFBB49F"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(1.26)</w:t>
            </w:r>
          </w:p>
        </w:tc>
        <w:tc>
          <w:tcPr>
            <w:tcW w:w="878" w:type="dxa"/>
            <w:shd w:val="clear" w:color="auto" w:fill="auto"/>
            <w:noWrap/>
            <w:vAlign w:val="center"/>
            <w:hideMark/>
          </w:tcPr>
          <w:p w14:paraId="5F4D2C46" w14:textId="7777777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2.06</w:t>
            </w:r>
          </w:p>
        </w:tc>
        <w:tc>
          <w:tcPr>
            <w:tcW w:w="1041" w:type="dxa"/>
            <w:shd w:val="clear" w:color="auto" w:fill="auto"/>
            <w:noWrap/>
            <w:vAlign w:val="center"/>
            <w:hideMark/>
          </w:tcPr>
          <w:p w14:paraId="2EA864A7"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(1.66)</w:t>
            </w:r>
          </w:p>
        </w:tc>
        <w:tc>
          <w:tcPr>
            <w:tcW w:w="876" w:type="dxa"/>
            <w:shd w:val="clear" w:color="auto" w:fill="auto"/>
            <w:noWrap/>
            <w:vAlign w:val="center"/>
            <w:hideMark/>
          </w:tcPr>
          <w:p w14:paraId="0D2A31BD" w14:textId="77777777" w:rsidR="0045296A" w:rsidRPr="00CB385A" w:rsidRDefault="0045296A" w:rsidP="006D5746">
            <w:pPr>
              <w:spacing w:after="0" w:line="240" w:lineRule="auto"/>
              <w:jc w:val="right"/>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1.76</w:t>
            </w:r>
          </w:p>
        </w:tc>
        <w:tc>
          <w:tcPr>
            <w:tcW w:w="1036" w:type="dxa"/>
            <w:shd w:val="clear" w:color="auto" w:fill="auto"/>
            <w:noWrap/>
            <w:vAlign w:val="center"/>
            <w:hideMark/>
          </w:tcPr>
          <w:p w14:paraId="26C2D5AF" w14:textId="77777777" w:rsidR="0045296A" w:rsidRPr="00CB385A" w:rsidRDefault="0045296A" w:rsidP="006D5746">
            <w:pPr>
              <w:spacing w:after="0" w:line="240" w:lineRule="auto"/>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(0.99)</w:t>
            </w:r>
          </w:p>
        </w:tc>
        <w:tc>
          <w:tcPr>
            <w:tcW w:w="893" w:type="dxa"/>
            <w:shd w:val="clear" w:color="auto" w:fill="auto"/>
            <w:noWrap/>
            <w:vAlign w:val="center"/>
            <w:hideMark/>
          </w:tcPr>
          <w:p w14:paraId="1B8C72FE" w14:textId="77777777" w:rsidR="0045296A" w:rsidRPr="00CB385A" w:rsidRDefault="0045296A" w:rsidP="006D5746">
            <w:pPr>
              <w:spacing w:after="0" w:line="240" w:lineRule="auto"/>
              <w:jc w:val="center"/>
              <w:rPr>
                <w:rFonts w:ascii="Times New Roman" w:eastAsia="Times New Roman" w:hAnsi="Times New Roman" w:cs="Times New Roman"/>
                <w:color w:val="000000"/>
                <w:sz w:val="24"/>
                <w:szCs w:val="24"/>
                <w:lang w:val="en-US"/>
              </w:rPr>
            </w:pPr>
            <w:r w:rsidRPr="00CB385A">
              <w:rPr>
                <w:rFonts w:ascii="Times New Roman" w:eastAsia="Times New Roman" w:hAnsi="Times New Roman" w:cs="Times New Roman"/>
                <w:color w:val="000000"/>
                <w:sz w:val="24"/>
                <w:szCs w:val="24"/>
                <w:lang w:val="en-US"/>
              </w:rPr>
              <w:t>0.280</w:t>
            </w:r>
          </w:p>
        </w:tc>
      </w:tr>
    </w:tbl>
    <w:bookmarkEnd w:id="17"/>
    <w:p w14:paraId="0ED7BD4B" w14:textId="1E7A494D" w:rsidR="00802C93" w:rsidRDefault="00802C93" w:rsidP="00802C93">
      <w:pPr>
        <w:spacing w:line="240" w:lineRule="auto"/>
        <w:jc w:val="both"/>
        <w:rPr>
          <w:rFonts w:ascii="Times New Roman" w:hAnsi="Times New Roman" w:cs="Times New Roman"/>
          <w:sz w:val="24"/>
          <w:szCs w:val="24"/>
          <w:lang w:val="en-US"/>
        </w:rPr>
        <w:sectPr w:rsidR="00802C93" w:rsidSect="00802C93">
          <w:footerReference w:type="even" r:id="rId8"/>
          <w:footerReference w:type="default" r:id="rId9"/>
          <w:pgSz w:w="11906" w:h="16838"/>
          <w:pgMar w:top="1417" w:right="993" w:bottom="1417" w:left="1701" w:header="708" w:footer="708" w:gutter="0"/>
          <w:cols w:space="708"/>
          <w:docGrid w:linePitch="360"/>
        </w:sectPr>
      </w:pPr>
      <w:r w:rsidRPr="001417BE">
        <w:rPr>
          <w:rFonts w:ascii="Times New Roman" w:hAnsi="Times New Roman" w:cs="Times New Roman"/>
          <w:sz w:val="24"/>
          <w:szCs w:val="24"/>
          <w:lang w:val="en-US"/>
        </w:rPr>
        <w:t xml:space="preserve">Data are means and standard deviation, unless otherwise stated. </w:t>
      </w:r>
      <w:r w:rsidR="00CB0738">
        <w:rPr>
          <w:rFonts w:ascii="Times New Roman" w:hAnsi="Times New Roman" w:cs="Times New Roman"/>
          <w:sz w:val="24"/>
          <w:szCs w:val="24"/>
          <w:lang w:val="en-US"/>
        </w:rPr>
        <w:t xml:space="preserve">P value from student </w:t>
      </w:r>
      <w:r w:rsidR="00CB0738" w:rsidRPr="00CB0738">
        <w:rPr>
          <w:rFonts w:ascii="Times New Roman" w:hAnsi="Times New Roman" w:cs="Times New Roman"/>
          <w:i/>
          <w:iCs/>
          <w:sz w:val="24"/>
          <w:szCs w:val="24"/>
          <w:lang w:val="en-US"/>
        </w:rPr>
        <w:t>t</w:t>
      </w:r>
      <w:r w:rsidR="00CB0738">
        <w:rPr>
          <w:rFonts w:ascii="Times New Roman" w:hAnsi="Times New Roman" w:cs="Times New Roman"/>
          <w:sz w:val="24"/>
          <w:szCs w:val="24"/>
          <w:lang w:val="en-US"/>
        </w:rPr>
        <w:t xml:space="preserve">-test. </w:t>
      </w:r>
      <w:r w:rsidR="0045296A" w:rsidRPr="00C24FCF">
        <w:rPr>
          <w:rFonts w:ascii="Times New Roman" w:hAnsi="Times New Roman" w:cs="Times New Roman"/>
          <w:sz w:val="24"/>
          <w:szCs w:val="24"/>
          <w:lang w:val="en-US"/>
        </w:rPr>
        <w:t xml:space="preserve">*95 participants had valid data in this variable (30 men and 65 women). </w:t>
      </w:r>
      <w:r w:rsidRPr="001417BE">
        <w:rPr>
          <w:rFonts w:ascii="Times New Roman" w:hAnsi="Times New Roman" w:cs="Times New Roman"/>
          <w:sz w:val="24"/>
          <w:szCs w:val="24"/>
          <w:lang w:val="en-US"/>
        </w:rPr>
        <w:t xml:space="preserve">BAT: Brown adipose tissue; </w:t>
      </w:r>
      <w:r>
        <w:rPr>
          <w:rFonts w:ascii="Times New Roman" w:hAnsi="Times New Roman" w:cs="Times New Roman"/>
          <w:sz w:val="24"/>
          <w:szCs w:val="24"/>
          <w:lang w:val="en-US"/>
        </w:rPr>
        <w:t xml:space="preserve">HOMA: Homeostatic model for the assessment of insulin resistance; HU: Hounsfield units; </w:t>
      </w:r>
      <w:r w:rsidRPr="001417BE">
        <w:rPr>
          <w:rFonts w:ascii="Times New Roman" w:hAnsi="Times New Roman" w:cs="Times New Roman"/>
          <w:sz w:val="24"/>
          <w:szCs w:val="24"/>
          <w:lang w:val="en-US"/>
        </w:rPr>
        <w:t>scWAT: subcutaneous white adipose tissue; SUV: Standardized uptake value</w:t>
      </w:r>
      <w:r w:rsidR="00CB0738">
        <w:rPr>
          <w:rFonts w:ascii="Times New Roman" w:hAnsi="Times New Roman" w:cs="Times New Roman"/>
          <w:sz w:val="24"/>
          <w:szCs w:val="24"/>
          <w:lang w:val="en-US"/>
        </w:rPr>
        <w:t>.</w:t>
      </w:r>
    </w:p>
    <w:p w14:paraId="7383AF82" w14:textId="6F215E9A" w:rsidR="00802C93" w:rsidRDefault="00802C93" w:rsidP="00802C93">
      <w:pPr>
        <w:contextualSpacing/>
        <w:rPr>
          <w:rFonts w:ascii="Times New Roman" w:hAnsi="Times New Roman" w:cs="Times New Roman"/>
          <w:sz w:val="24"/>
          <w:szCs w:val="24"/>
          <w:lang w:val="en-US"/>
        </w:rPr>
      </w:pPr>
      <w:r w:rsidRPr="001417BE">
        <w:rPr>
          <w:rFonts w:ascii="Times New Roman" w:hAnsi="Times New Roman" w:cs="Times New Roman"/>
          <w:b/>
          <w:sz w:val="24"/>
          <w:szCs w:val="24"/>
          <w:lang w:val="en-US"/>
        </w:rPr>
        <w:lastRenderedPageBreak/>
        <w:t xml:space="preserve">Table </w:t>
      </w:r>
      <w:r>
        <w:rPr>
          <w:rFonts w:ascii="Times New Roman" w:hAnsi="Times New Roman" w:cs="Times New Roman"/>
          <w:b/>
          <w:sz w:val="24"/>
          <w:szCs w:val="24"/>
          <w:lang w:val="en-US"/>
        </w:rPr>
        <w:t>2</w:t>
      </w:r>
      <w:r w:rsidRPr="001417BE">
        <w:rPr>
          <w:rFonts w:ascii="Times New Roman" w:hAnsi="Times New Roman" w:cs="Times New Roman"/>
          <w:b/>
          <w:sz w:val="24"/>
          <w:szCs w:val="24"/>
          <w:lang w:val="en-US"/>
        </w:rPr>
        <w:t xml:space="preserve">. </w:t>
      </w:r>
      <w:r w:rsidRPr="001417BE">
        <w:rPr>
          <w:rFonts w:ascii="Times New Roman" w:hAnsi="Times New Roman" w:cs="Times New Roman"/>
          <w:sz w:val="24"/>
          <w:szCs w:val="24"/>
          <w:lang w:val="en-US"/>
        </w:rPr>
        <w:t xml:space="preserve">Associations between brown adipose tissue (BAT) and </w:t>
      </w:r>
      <w:r w:rsidR="00CB0738">
        <w:rPr>
          <w:rFonts w:ascii="Times New Roman" w:hAnsi="Times New Roman" w:cs="Times New Roman"/>
          <w:sz w:val="24"/>
          <w:szCs w:val="24"/>
          <w:lang w:val="en-US"/>
        </w:rPr>
        <w:t>whole-body adiposity</w:t>
      </w:r>
      <w:r>
        <w:rPr>
          <w:rFonts w:ascii="Times New Roman" w:hAnsi="Times New Roman" w:cs="Times New Roman"/>
          <w:sz w:val="24"/>
          <w:szCs w:val="24"/>
          <w:lang w:val="en-US"/>
        </w:rPr>
        <w:t xml:space="preserve"> in men (n=42)</w:t>
      </w:r>
      <w:r w:rsidRPr="001417BE">
        <w:rPr>
          <w:rFonts w:ascii="Times New Roman" w:hAnsi="Times New Roman" w:cs="Times New Roman"/>
          <w:sz w:val="24"/>
          <w:szCs w:val="24"/>
          <w:lang w:val="en-US"/>
        </w:rPr>
        <w:t>.</w:t>
      </w:r>
    </w:p>
    <w:tbl>
      <w:tblPr>
        <w:tblW w:w="14657" w:type="dxa"/>
        <w:tblLook w:val="04A0" w:firstRow="1" w:lastRow="0" w:firstColumn="1" w:lastColumn="0" w:noHBand="0" w:noVBand="1"/>
      </w:tblPr>
      <w:tblGrid>
        <w:gridCol w:w="2504"/>
        <w:gridCol w:w="813"/>
        <w:gridCol w:w="701"/>
        <w:gridCol w:w="666"/>
        <w:gridCol w:w="236"/>
        <w:gridCol w:w="930"/>
        <w:gridCol w:w="701"/>
        <w:gridCol w:w="666"/>
        <w:gridCol w:w="222"/>
        <w:gridCol w:w="799"/>
        <w:gridCol w:w="701"/>
        <w:gridCol w:w="666"/>
        <w:gridCol w:w="222"/>
        <w:gridCol w:w="799"/>
        <w:gridCol w:w="701"/>
        <w:gridCol w:w="666"/>
        <w:gridCol w:w="222"/>
        <w:gridCol w:w="1070"/>
        <w:gridCol w:w="685"/>
        <w:gridCol w:w="666"/>
        <w:gridCol w:w="21"/>
      </w:tblGrid>
      <w:tr w:rsidR="0045296A" w:rsidRPr="00A80144" w14:paraId="05EF3BD5" w14:textId="77777777" w:rsidTr="0045296A">
        <w:trPr>
          <w:trHeight w:val="153"/>
        </w:trPr>
        <w:tc>
          <w:tcPr>
            <w:tcW w:w="2504" w:type="dxa"/>
            <w:tcBorders>
              <w:top w:val="single" w:sz="4" w:space="0" w:color="auto"/>
              <w:left w:val="nil"/>
              <w:bottom w:val="nil"/>
              <w:right w:val="nil"/>
            </w:tcBorders>
            <w:shd w:val="clear" w:color="auto" w:fill="auto"/>
            <w:noWrap/>
            <w:vAlign w:val="bottom"/>
            <w:hideMark/>
          </w:tcPr>
          <w:p w14:paraId="5618087D"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p>
        </w:tc>
        <w:tc>
          <w:tcPr>
            <w:tcW w:w="2180" w:type="dxa"/>
            <w:gridSpan w:val="3"/>
            <w:tcBorders>
              <w:top w:val="single" w:sz="4" w:space="0" w:color="auto"/>
              <w:left w:val="nil"/>
              <w:bottom w:val="nil"/>
              <w:right w:val="nil"/>
            </w:tcBorders>
            <w:shd w:val="clear" w:color="auto" w:fill="auto"/>
            <w:noWrap/>
            <w:vAlign w:val="center"/>
            <w:hideMark/>
          </w:tcPr>
          <w:p w14:paraId="730A74DB"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BMI (kg/m</w:t>
            </w:r>
            <w:r w:rsidRPr="0045296A">
              <w:rPr>
                <w:rFonts w:ascii="Times New Roman" w:eastAsia="Times New Roman" w:hAnsi="Times New Roman" w:cs="Times New Roman"/>
                <w:color w:val="000000"/>
                <w:sz w:val="20"/>
                <w:szCs w:val="20"/>
                <w:lang w:val="en-US"/>
              </w:rPr>
              <w:t>2</w:t>
            </w:r>
            <w:r w:rsidRPr="00A80144">
              <w:rPr>
                <w:rFonts w:ascii="Times New Roman" w:eastAsia="Times New Roman" w:hAnsi="Times New Roman" w:cs="Times New Roman"/>
                <w:color w:val="000000"/>
                <w:sz w:val="20"/>
                <w:szCs w:val="20"/>
                <w:lang w:val="en-US"/>
              </w:rPr>
              <w:t>)</w:t>
            </w:r>
          </w:p>
        </w:tc>
        <w:tc>
          <w:tcPr>
            <w:tcW w:w="236" w:type="dxa"/>
            <w:tcBorders>
              <w:top w:val="single" w:sz="4" w:space="0" w:color="auto"/>
              <w:left w:val="nil"/>
              <w:bottom w:val="nil"/>
              <w:right w:val="nil"/>
            </w:tcBorders>
            <w:shd w:val="clear" w:color="auto" w:fill="auto"/>
            <w:noWrap/>
            <w:vAlign w:val="center"/>
            <w:hideMark/>
          </w:tcPr>
          <w:p w14:paraId="7331E067"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2519" w:type="dxa"/>
            <w:gridSpan w:val="4"/>
            <w:tcBorders>
              <w:top w:val="single" w:sz="4" w:space="0" w:color="auto"/>
              <w:left w:val="nil"/>
              <w:bottom w:val="nil"/>
              <w:right w:val="nil"/>
            </w:tcBorders>
            <w:shd w:val="clear" w:color="auto" w:fill="auto"/>
            <w:noWrap/>
            <w:vAlign w:val="center"/>
            <w:hideMark/>
          </w:tcPr>
          <w:p w14:paraId="5B7AD085" w14:textId="77777777" w:rsidR="0045296A" w:rsidRPr="00510F0B" w:rsidRDefault="0045296A" w:rsidP="006D5746">
            <w:pPr>
              <w:spacing w:after="0" w:line="240" w:lineRule="auto"/>
              <w:jc w:val="center"/>
              <w:rPr>
                <w:rFonts w:ascii="Times New Roman" w:eastAsia="Times New Roman" w:hAnsi="Times New Roman" w:cs="Times New Roman"/>
                <w:color w:val="000000"/>
                <w:sz w:val="20"/>
                <w:szCs w:val="20"/>
                <w:lang w:val="en-US"/>
              </w:rPr>
            </w:pPr>
            <w:r w:rsidRPr="00510F0B">
              <w:rPr>
                <w:rFonts w:ascii="Times New Roman" w:eastAsia="Times New Roman" w:hAnsi="Times New Roman" w:cs="Times New Roman"/>
                <w:color w:val="000000"/>
                <w:sz w:val="20"/>
                <w:szCs w:val="20"/>
                <w:lang w:val="en-US"/>
              </w:rPr>
              <w:t>Waist circumference (cm)</w:t>
            </w:r>
          </w:p>
        </w:tc>
        <w:tc>
          <w:tcPr>
            <w:tcW w:w="2166" w:type="dxa"/>
            <w:gridSpan w:val="3"/>
            <w:tcBorders>
              <w:top w:val="single" w:sz="4" w:space="0" w:color="auto"/>
              <w:left w:val="nil"/>
              <w:bottom w:val="nil"/>
              <w:right w:val="nil"/>
            </w:tcBorders>
            <w:shd w:val="clear" w:color="auto" w:fill="auto"/>
            <w:noWrap/>
            <w:vAlign w:val="center"/>
            <w:hideMark/>
          </w:tcPr>
          <w:p w14:paraId="119E56F6"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Fat mass (kg)</w:t>
            </w:r>
          </w:p>
        </w:tc>
        <w:tc>
          <w:tcPr>
            <w:tcW w:w="222" w:type="dxa"/>
            <w:tcBorders>
              <w:top w:val="single" w:sz="4" w:space="0" w:color="auto"/>
              <w:left w:val="nil"/>
              <w:bottom w:val="nil"/>
              <w:right w:val="nil"/>
            </w:tcBorders>
            <w:shd w:val="clear" w:color="auto" w:fill="auto"/>
            <w:noWrap/>
            <w:vAlign w:val="center"/>
            <w:hideMark/>
          </w:tcPr>
          <w:p w14:paraId="027ACA47"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2166" w:type="dxa"/>
            <w:gridSpan w:val="3"/>
            <w:tcBorders>
              <w:top w:val="single" w:sz="4" w:space="0" w:color="auto"/>
              <w:left w:val="nil"/>
              <w:bottom w:val="nil"/>
              <w:right w:val="nil"/>
            </w:tcBorders>
            <w:shd w:val="clear" w:color="auto" w:fill="auto"/>
            <w:noWrap/>
            <w:vAlign w:val="center"/>
            <w:hideMark/>
          </w:tcPr>
          <w:p w14:paraId="3BAEAE08"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Fat mass (%)</w:t>
            </w:r>
          </w:p>
        </w:tc>
        <w:tc>
          <w:tcPr>
            <w:tcW w:w="222" w:type="dxa"/>
            <w:tcBorders>
              <w:top w:val="single" w:sz="4" w:space="0" w:color="auto"/>
              <w:left w:val="nil"/>
              <w:bottom w:val="nil"/>
              <w:right w:val="nil"/>
            </w:tcBorders>
            <w:shd w:val="clear" w:color="auto" w:fill="auto"/>
            <w:noWrap/>
            <w:vAlign w:val="center"/>
            <w:hideMark/>
          </w:tcPr>
          <w:p w14:paraId="37573124"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2442" w:type="dxa"/>
            <w:gridSpan w:val="4"/>
            <w:tcBorders>
              <w:top w:val="single" w:sz="4" w:space="0" w:color="auto"/>
              <w:left w:val="nil"/>
              <w:bottom w:val="nil"/>
              <w:right w:val="nil"/>
            </w:tcBorders>
            <w:shd w:val="clear" w:color="auto" w:fill="auto"/>
            <w:noWrap/>
            <w:vAlign w:val="center"/>
            <w:hideMark/>
          </w:tcPr>
          <w:p w14:paraId="27050074"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VAT (g)</w:t>
            </w:r>
          </w:p>
        </w:tc>
      </w:tr>
      <w:tr w:rsidR="0045296A" w:rsidRPr="00A80144" w14:paraId="5AE00732" w14:textId="77777777" w:rsidTr="006D5746">
        <w:trPr>
          <w:trHeight w:val="375"/>
        </w:trPr>
        <w:tc>
          <w:tcPr>
            <w:tcW w:w="2504" w:type="dxa"/>
            <w:tcBorders>
              <w:top w:val="nil"/>
              <w:left w:val="nil"/>
              <w:bottom w:val="single" w:sz="4" w:space="0" w:color="auto"/>
              <w:right w:val="nil"/>
            </w:tcBorders>
            <w:shd w:val="clear" w:color="auto" w:fill="auto"/>
            <w:noWrap/>
            <w:vAlign w:val="bottom"/>
            <w:hideMark/>
          </w:tcPr>
          <w:p w14:paraId="45D71E1D"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813" w:type="dxa"/>
            <w:tcBorders>
              <w:top w:val="nil"/>
              <w:left w:val="nil"/>
              <w:bottom w:val="single" w:sz="4" w:space="0" w:color="auto"/>
              <w:right w:val="nil"/>
            </w:tcBorders>
            <w:shd w:val="clear" w:color="auto" w:fill="auto"/>
            <w:noWrap/>
            <w:vAlign w:val="center"/>
            <w:hideMark/>
          </w:tcPr>
          <w:p w14:paraId="68AB202A"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β</w:t>
            </w:r>
          </w:p>
        </w:tc>
        <w:tc>
          <w:tcPr>
            <w:tcW w:w="701" w:type="dxa"/>
            <w:tcBorders>
              <w:top w:val="nil"/>
              <w:left w:val="nil"/>
              <w:bottom w:val="single" w:sz="4" w:space="0" w:color="auto"/>
              <w:right w:val="nil"/>
            </w:tcBorders>
            <w:shd w:val="clear" w:color="auto" w:fill="auto"/>
            <w:noWrap/>
            <w:vAlign w:val="center"/>
            <w:hideMark/>
          </w:tcPr>
          <w:p w14:paraId="07FDDF1A"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R</w:t>
            </w:r>
            <w:r w:rsidRPr="00A80144">
              <w:rPr>
                <w:rFonts w:ascii="Times New Roman" w:eastAsia="Times New Roman" w:hAnsi="Times New Roman" w:cs="Times New Roman"/>
                <w:color w:val="000000"/>
                <w:sz w:val="20"/>
                <w:szCs w:val="20"/>
                <w:vertAlign w:val="superscript"/>
                <w:lang w:val="en-US"/>
              </w:rPr>
              <w:t>2</w:t>
            </w:r>
          </w:p>
        </w:tc>
        <w:tc>
          <w:tcPr>
            <w:tcW w:w="666" w:type="dxa"/>
            <w:tcBorders>
              <w:top w:val="nil"/>
              <w:left w:val="nil"/>
              <w:bottom w:val="single" w:sz="4" w:space="0" w:color="auto"/>
              <w:right w:val="nil"/>
            </w:tcBorders>
            <w:shd w:val="clear" w:color="auto" w:fill="auto"/>
            <w:noWrap/>
            <w:vAlign w:val="center"/>
            <w:hideMark/>
          </w:tcPr>
          <w:p w14:paraId="316494E1"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P</w:t>
            </w:r>
          </w:p>
        </w:tc>
        <w:tc>
          <w:tcPr>
            <w:tcW w:w="236" w:type="dxa"/>
            <w:tcBorders>
              <w:top w:val="nil"/>
              <w:left w:val="nil"/>
              <w:bottom w:val="single" w:sz="4" w:space="0" w:color="auto"/>
              <w:right w:val="nil"/>
            </w:tcBorders>
            <w:shd w:val="clear" w:color="auto" w:fill="auto"/>
            <w:noWrap/>
            <w:vAlign w:val="center"/>
            <w:hideMark/>
          </w:tcPr>
          <w:p w14:paraId="7AB04A8F"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930" w:type="dxa"/>
            <w:tcBorders>
              <w:top w:val="nil"/>
              <w:left w:val="nil"/>
              <w:bottom w:val="single" w:sz="4" w:space="0" w:color="auto"/>
              <w:right w:val="nil"/>
            </w:tcBorders>
            <w:shd w:val="clear" w:color="auto" w:fill="auto"/>
            <w:noWrap/>
            <w:vAlign w:val="center"/>
            <w:hideMark/>
          </w:tcPr>
          <w:p w14:paraId="58295372"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β</w:t>
            </w:r>
          </w:p>
        </w:tc>
        <w:tc>
          <w:tcPr>
            <w:tcW w:w="701" w:type="dxa"/>
            <w:tcBorders>
              <w:top w:val="nil"/>
              <w:left w:val="nil"/>
              <w:bottom w:val="single" w:sz="4" w:space="0" w:color="auto"/>
              <w:right w:val="nil"/>
            </w:tcBorders>
            <w:shd w:val="clear" w:color="auto" w:fill="auto"/>
            <w:noWrap/>
            <w:vAlign w:val="center"/>
            <w:hideMark/>
          </w:tcPr>
          <w:p w14:paraId="44733439"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R</w:t>
            </w:r>
            <w:r w:rsidRPr="00A80144">
              <w:rPr>
                <w:rFonts w:ascii="Times New Roman" w:eastAsia="Times New Roman" w:hAnsi="Times New Roman" w:cs="Times New Roman"/>
                <w:color w:val="000000"/>
                <w:sz w:val="20"/>
                <w:szCs w:val="20"/>
                <w:vertAlign w:val="superscript"/>
                <w:lang w:val="en-US"/>
              </w:rPr>
              <w:t>2</w:t>
            </w:r>
          </w:p>
        </w:tc>
        <w:tc>
          <w:tcPr>
            <w:tcW w:w="666" w:type="dxa"/>
            <w:tcBorders>
              <w:top w:val="nil"/>
              <w:left w:val="nil"/>
              <w:bottom w:val="single" w:sz="4" w:space="0" w:color="auto"/>
              <w:right w:val="nil"/>
            </w:tcBorders>
            <w:shd w:val="clear" w:color="auto" w:fill="auto"/>
            <w:noWrap/>
            <w:vAlign w:val="center"/>
            <w:hideMark/>
          </w:tcPr>
          <w:p w14:paraId="12A7598F"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P</w:t>
            </w:r>
          </w:p>
        </w:tc>
        <w:tc>
          <w:tcPr>
            <w:tcW w:w="222" w:type="dxa"/>
            <w:tcBorders>
              <w:top w:val="nil"/>
              <w:left w:val="nil"/>
              <w:bottom w:val="single" w:sz="4" w:space="0" w:color="auto"/>
              <w:right w:val="nil"/>
            </w:tcBorders>
            <w:shd w:val="clear" w:color="auto" w:fill="auto"/>
            <w:noWrap/>
            <w:vAlign w:val="center"/>
            <w:hideMark/>
          </w:tcPr>
          <w:p w14:paraId="3923772D"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799" w:type="dxa"/>
            <w:tcBorders>
              <w:top w:val="nil"/>
              <w:left w:val="nil"/>
              <w:bottom w:val="single" w:sz="4" w:space="0" w:color="auto"/>
              <w:right w:val="nil"/>
            </w:tcBorders>
            <w:shd w:val="clear" w:color="auto" w:fill="auto"/>
            <w:noWrap/>
            <w:vAlign w:val="center"/>
            <w:hideMark/>
          </w:tcPr>
          <w:p w14:paraId="209FC3FA"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β</w:t>
            </w:r>
          </w:p>
        </w:tc>
        <w:tc>
          <w:tcPr>
            <w:tcW w:w="701" w:type="dxa"/>
            <w:tcBorders>
              <w:top w:val="nil"/>
              <w:left w:val="nil"/>
              <w:bottom w:val="single" w:sz="4" w:space="0" w:color="auto"/>
              <w:right w:val="nil"/>
            </w:tcBorders>
            <w:shd w:val="clear" w:color="auto" w:fill="auto"/>
            <w:noWrap/>
            <w:vAlign w:val="center"/>
            <w:hideMark/>
          </w:tcPr>
          <w:p w14:paraId="2C2E245D"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R</w:t>
            </w:r>
            <w:r w:rsidRPr="00A80144">
              <w:rPr>
                <w:rFonts w:ascii="Times New Roman" w:eastAsia="Times New Roman" w:hAnsi="Times New Roman" w:cs="Times New Roman"/>
                <w:color w:val="000000"/>
                <w:sz w:val="20"/>
                <w:szCs w:val="20"/>
                <w:vertAlign w:val="superscript"/>
                <w:lang w:val="en-US"/>
              </w:rPr>
              <w:t>2</w:t>
            </w:r>
          </w:p>
        </w:tc>
        <w:tc>
          <w:tcPr>
            <w:tcW w:w="666" w:type="dxa"/>
            <w:tcBorders>
              <w:top w:val="nil"/>
              <w:left w:val="nil"/>
              <w:bottom w:val="single" w:sz="4" w:space="0" w:color="auto"/>
              <w:right w:val="nil"/>
            </w:tcBorders>
            <w:shd w:val="clear" w:color="auto" w:fill="auto"/>
            <w:noWrap/>
            <w:vAlign w:val="center"/>
            <w:hideMark/>
          </w:tcPr>
          <w:p w14:paraId="0135D5C3"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P</w:t>
            </w:r>
          </w:p>
        </w:tc>
        <w:tc>
          <w:tcPr>
            <w:tcW w:w="222" w:type="dxa"/>
            <w:tcBorders>
              <w:top w:val="nil"/>
              <w:left w:val="nil"/>
              <w:bottom w:val="single" w:sz="4" w:space="0" w:color="auto"/>
              <w:right w:val="nil"/>
            </w:tcBorders>
            <w:shd w:val="clear" w:color="auto" w:fill="auto"/>
            <w:noWrap/>
            <w:vAlign w:val="center"/>
            <w:hideMark/>
          </w:tcPr>
          <w:p w14:paraId="09564261"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799" w:type="dxa"/>
            <w:tcBorders>
              <w:top w:val="nil"/>
              <w:left w:val="nil"/>
              <w:bottom w:val="single" w:sz="4" w:space="0" w:color="auto"/>
              <w:right w:val="nil"/>
            </w:tcBorders>
            <w:shd w:val="clear" w:color="auto" w:fill="auto"/>
            <w:noWrap/>
            <w:vAlign w:val="center"/>
            <w:hideMark/>
          </w:tcPr>
          <w:p w14:paraId="4D3D40FB"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β</w:t>
            </w:r>
          </w:p>
        </w:tc>
        <w:tc>
          <w:tcPr>
            <w:tcW w:w="701" w:type="dxa"/>
            <w:tcBorders>
              <w:top w:val="nil"/>
              <w:left w:val="nil"/>
              <w:bottom w:val="single" w:sz="4" w:space="0" w:color="auto"/>
              <w:right w:val="nil"/>
            </w:tcBorders>
            <w:shd w:val="clear" w:color="auto" w:fill="auto"/>
            <w:noWrap/>
            <w:vAlign w:val="center"/>
            <w:hideMark/>
          </w:tcPr>
          <w:p w14:paraId="41F2B5F0"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R</w:t>
            </w:r>
            <w:r w:rsidRPr="00A80144">
              <w:rPr>
                <w:rFonts w:ascii="Times New Roman" w:eastAsia="Times New Roman" w:hAnsi="Times New Roman" w:cs="Times New Roman"/>
                <w:color w:val="000000"/>
                <w:sz w:val="20"/>
                <w:szCs w:val="20"/>
                <w:vertAlign w:val="superscript"/>
                <w:lang w:val="en-US"/>
              </w:rPr>
              <w:t>2</w:t>
            </w:r>
          </w:p>
        </w:tc>
        <w:tc>
          <w:tcPr>
            <w:tcW w:w="666" w:type="dxa"/>
            <w:tcBorders>
              <w:top w:val="nil"/>
              <w:left w:val="nil"/>
              <w:bottom w:val="single" w:sz="4" w:space="0" w:color="auto"/>
              <w:right w:val="nil"/>
            </w:tcBorders>
            <w:shd w:val="clear" w:color="auto" w:fill="auto"/>
            <w:noWrap/>
            <w:vAlign w:val="center"/>
            <w:hideMark/>
          </w:tcPr>
          <w:p w14:paraId="173A84C4"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P</w:t>
            </w:r>
          </w:p>
        </w:tc>
        <w:tc>
          <w:tcPr>
            <w:tcW w:w="222" w:type="dxa"/>
            <w:tcBorders>
              <w:top w:val="nil"/>
              <w:left w:val="nil"/>
              <w:bottom w:val="single" w:sz="4" w:space="0" w:color="auto"/>
              <w:right w:val="nil"/>
            </w:tcBorders>
            <w:shd w:val="clear" w:color="auto" w:fill="auto"/>
            <w:noWrap/>
            <w:vAlign w:val="center"/>
            <w:hideMark/>
          </w:tcPr>
          <w:p w14:paraId="3B041F1B"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1070" w:type="dxa"/>
            <w:tcBorders>
              <w:top w:val="nil"/>
              <w:left w:val="nil"/>
              <w:bottom w:val="single" w:sz="4" w:space="0" w:color="auto"/>
              <w:right w:val="nil"/>
            </w:tcBorders>
            <w:shd w:val="clear" w:color="auto" w:fill="auto"/>
            <w:noWrap/>
            <w:vAlign w:val="center"/>
            <w:hideMark/>
          </w:tcPr>
          <w:p w14:paraId="282A28B9"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β</w:t>
            </w:r>
          </w:p>
        </w:tc>
        <w:tc>
          <w:tcPr>
            <w:tcW w:w="685" w:type="dxa"/>
            <w:tcBorders>
              <w:top w:val="nil"/>
              <w:left w:val="nil"/>
              <w:bottom w:val="single" w:sz="4" w:space="0" w:color="auto"/>
              <w:right w:val="nil"/>
            </w:tcBorders>
            <w:shd w:val="clear" w:color="auto" w:fill="auto"/>
            <w:noWrap/>
            <w:vAlign w:val="center"/>
            <w:hideMark/>
          </w:tcPr>
          <w:p w14:paraId="746919D8"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R</w:t>
            </w:r>
            <w:r w:rsidRPr="00A80144">
              <w:rPr>
                <w:rFonts w:ascii="Times New Roman" w:eastAsia="Times New Roman" w:hAnsi="Times New Roman" w:cs="Times New Roman"/>
                <w:color w:val="000000"/>
                <w:sz w:val="20"/>
                <w:szCs w:val="20"/>
                <w:vertAlign w:val="superscript"/>
                <w:lang w:val="en-US"/>
              </w:rPr>
              <w:t>2</w:t>
            </w:r>
          </w:p>
        </w:tc>
        <w:tc>
          <w:tcPr>
            <w:tcW w:w="687" w:type="dxa"/>
            <w:gridSpan w:val="2"/>
            <w:tcBorders>
              <w:top w:val="nil"/>
              <w:left w:val="nil"/>
              <w:bottom w:val="single" w:sz="4" w:space="0" w:color="auto"/>
              <w:right w:val="nil"/>
            </w:tcBorders>
            <w:shd w:val="clear" w:color="auto" w:fill="auto"/>
            <w:noWrap/>
            <w:vAlign w:val="center"/>
            <w:hideMark/>
          </w:tcPr>
          <w:p w14:paraId="7F116F19"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P</w:t>
            </w:r>
          </w:p>
        </w:tc>
      </w:tr>
      <w:tr w:rsidR="0045296A" w:rsidRPr="00A80144" w14:paraId="1BC7D389" w14:textId="77777777" w:rsidTr="006D5746">
        <w:trPr>
          <w:trHeight w:val="315"/>
        </w:trPr>
        <w:tc>
          <w:tcPr>
            <w:tcW w:w="2504" w:type="dxa"/>
            <w:tcBorders>
              <w:top w:val="single" w:sz="4" w:space="0" w:color="auto"/>
              <w:left w:val="nil"/>
              <w:bottom w:val="nil"/>
              <w:right w:val="nil"/>
            </w:tcBorders>
            <w:shd w:val="clear" w:color="auto" w:fill="auto"/>
            <w:noWrap/>
            <w:vAlign w:val="bottom"/>
            <w:hideMark/>
          </w:tcPr>
          <w:p w14:paraId="5F80DF68"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Model 1 (Date PET-CT)</w:t>
            </w:r>
          </w:p>
        </w:tc>
        <w:tc>
          <w:tcPr>
            <w:tcW w:w="813" w:type="dxa"/>
            <w:tcBorders>
              <w:top w:val="single" w:sz="4" w:space="0" w:color="auto"/>
              <w:left w:val="nil"/>
              <w:bottom w:val="nil"/>
              <w:right w:val="nil"/>
            </w:tcBorders>
            <w:shd w:val="clear" w:color="auto" w:fill="auto"/>
            <w:noWrap/>
            <w:vAlign w:val="bottom"/>
            <w:hideMark/>
          </w:tcPr>
          <w:p w14:paraId="6E07753E"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p>
        </w:tc>
        <w:tc>
          <w:tcPr>
            <w:tcW w:w="701" w:type="dxa"/>
            <w:tcBorders>
              <w:top w:val="single" w:sz="4" w:space="0" w:color="auto"/>
              <w:left w:val="nil"/>
              <w:bottom w:val="nil"/>
              <w:right w:val="nil"/>
            </w:tcBorders>
            <w:shd w:val="clear" w:color="auto" w:fill="auto"/>
            <w:noWrap/>
            <w:vAlign w:val="bottom"/>
            <w:hideMark/>
          </w:tcPr>
          <w:p w14:paraId="2F29AAE9" w14:textId="77777777" w:rsidR="0045296A" w:rsidRPr="00A80144"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single" w:sz="4" w:space="0" w:color="auto"/>
              <w:left w:val="nil"/>
              <w:bottom w:val="nil"/>
              <w:right w:val="nil"/>
            </w:tcBorders>
            <w:shd w:val="clear" w:color="auto" w:fill="auto"/>
            <w:noWrap/>
            <w:vAlign w:val="bottom"/>
            <w:hideMark/>
          </w:tcPr>
          <w:p w14:paraId="6C8E68F6"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c>
          <w:tcPr>
            <w:tcW w:w="236" w:type="dxa"/>
            <w:tcBorders>
              <w:top w:val="single" w:sz="4" w:space="0" w:color="auto"/>
              <w:left w:val="nil"/>
              <w:bottom w:val="nil"/>
              <w:right w:val="nil"/>
            </w:tcBorders>
            <w:shd w:val="clear" w:color="auto" w:fill="auto"/>
            <w:noWrap/>
            <w:vAlign w:val="bottom"/>
            <w:hideMark/>
          </w:tcPr>
          <w:p w14:paraId="2E5D87AD"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c>
          <w:tcPr>
            <w:tcW w:w="930" w:type="dxa"/>
            <w:tcBorders>
              <w:top w:val="single" w:sz="4" w:space="0" w:color="auto"/>
              <w:left w:val="nil"/>
              <w:bottom w:val="nil"/>
              <w:right w:val="nil"/>
            </w:tcBorders>
            <w:shd w:val="clear" w:color="auto" w:fill="auto"/>
            <w:noWrap/>
            <w:vAlign w:val="bottom"/>
            <w:hideMark/>
          </w:tcPr>
          <w:p w14:paraId="552AB750"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c>
          <w:tcPr>
            <w:tcW w:w="701" w:type="dxa"/>
            <w:tcBorders>
              <w:top w:val="single" w:sz="4" w:space="0" w:color="auto"/>
              <w:left w:val="nil"/>
              <w:bottom w:val="nil"/>
              <w:right w:val="nil"/>
            </w:tcBorders>
            <w:shd w:val="clear" w:color="auto" w:fill="auto"/>
            <w:noWrap/>
            <w:vAlign w:val="bottom"/>
            <w:hideMark/>
          </w:tcPr>
          <w:p w14:paraId="62C74C21"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c>
          <w:tcPr>
            <w:tcW w:w="666" w:type="dxa"/>
            <w:tcBorders>
              <w:top w:val="single" w:sz="4" w:space="0" w:color="auto"/>
              <w:left w:val="nil"/>
              <w:bottom w:val="nil"/>
              <w:right w:val="nil"/>
            </w:tcBorders>
            <w:shd w:val="clear" w:color="auto" w:fill="auto"/>
            <w:noWrap/>
            <w:vAlign w:val="bottom"/>
            <w:hideMark/>
          </w:tcPr>
          <w:p w14:paraId="12C0868D"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c>
          <w:tcPr>
            <w:tcW w:w="222" w:type="dxa"/>
            <w:tcBorders>
              <w:top w:val="single" w:sz="4" w:space="0" w:color="auto"/>
              <w:left w:val="nil"/>
              <w:bottom w:val="nil"/>
              <w:right w:val="nil"/>
            </w:tcBorders>
            <w:shd w:val="clear" w:color="auto" w:fill="auto"/>
            <w:noWrap/>
            <w:vAlign w:val="bottom"/>
            <w:hideMark/>
          </w:tcPr>
          <w:p w14:paraId="7EF68CA9"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single" w:sz="4" w:space="0" w:color="auto"/>
              <w:left w:val="nil"/>
              <w:bottom w:val="nil"/>
              <w:right w:val="nil"/>
            </w:tcBorders>
            <w:shd w:val="clear" w:color="auto" w:fill="auto"/>
            <w:noWrap/>
            <w:vAlign w:val="bottom"/>
            <w:hideMark/>
          </w:tcPr>
          <w:p w14:paraId="537F2D7F"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c>
          <w:tcPr>
            <w:tcW w:w="701" w:type="dxa"/>
            <w:tcBorders>
              <w:top w:val="single" w:sz="4" w:space="0" w:color="auto"/>
              <w:left w:val="nil"/>
              <w:bottom w:val="nil"/>
              <w:right w:val="nil"/>
            </w:tcBorders>
            <w:shd w:val="clear" w:color="auto" w:fill="auto"/>
            <w:noWrap/>
            <w:vAlign w:val="bottom"/>
            <w:hideMark/>
          </w:tcPr>
          <w:p w14:paraId="510155F3"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c>
          <w:tcPr>
            <w:tcW w:w="666" w:type="dxa"/>
            <w:tcBorders>
              <w:top w:val="single" w:sz="4" w:space="0" w:color="auto"/>
              <w:left w:val="nil"/>
              <w:bottom w:val="nil"/>
              <w:right w:val="nil"/>
            </w:tcBorders>
            <w:shd w:val="clear" w:color="auto" w:fill="auto"/>
            <w:noWrap/>
            <w:vAlign w:val="bottom"/>
            <w:hideMark/>
          </w:tcPr>
          <w:p w14:paraId="3B4B2BEF"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c>
          <w:tcPr>
            <w:tcW w:w="222" w:type="dxa"/>
            <w:tcBorders>
              <w:top w:val="single" w:sz="4" w:space="0" w:color="auto"/>
              <w:left w:val="nil"/>
              <w:bottom w:val="nil"/>
              <w:right w:val="nil"/>
            </w:tcBorders>
            <w:shd w:val="clear" w:color="auto" w:fill="auto"/>
            <w:noWrap/>
            <w:vAlign w:val="bottom"/>
            <w:hideMark/>
          </w:tcPr>
          <w:p w14:paraId="4DE155CD"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single" w:sz="4" w:space="0" w:color="auto"/>
              <w:left w:val="nil"/>
              <w:bottom w:val="nil"/>
              <w:right w:val="nil"/>
            </w:tcBorders>
            <w:shd w:val="clear" w:color="auto" w:fill="auto"/>
            <w:noWrap/>
            <w:vAlign w:val="bottom"/>
            <w:hideMark/>
          </w:tcPr>
          <w:p w14:paraId="58A57B7A"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c>
          <w:tcPr>
            <w:tcW w:w="701" w:type="dxa"/>
            <w:tcBorders>
              <w:top w:val="single" w:sz="4" w:space="0" w:color="auto"/>
              <w:left w:val="nil"/>
              <w:bottom w:val="nil"/>
              <w:right w:val="nil"/>
            </w:tcBorders>
            <w:shd w:val="clear" w:color="auto" w:fill="auto"/>
            <w:noWrap/>
            <w:vAlign w:val="bottom"/>
            <w:hideMark/>
          </w:tcPr>
          <w:p w14:paraId="5F7EE7A3"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c>
          <w:tcPr>
            <w:tcW w:w="666" w:type="dxa"/>
            <w:tcBorders>
              <w:top w:val="single" w:sz="4" w:space="0" w:color="auto"/>
              <w:left w:val="nil"/>
              <w:bottom w:val="nil"/>
              <w:right w:val="nil"/>
            </w:tcBorders>
            <w:shd w:val="clear" w:color="auto" w:fill="auto"/>
            <w:noWrap/>
            <w:vAlign w:val="bottom"/>
            <w:hideMark/>
          </w:tcPr>
          <w:p w14:paraId="22893CC5"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c>
          <w:tcPr>
            <w:tcW w:w="222" w:type="dxa"/>
            <w:tcBorders>
              <w:top w:val="single" w:sz="4" w:space="0" w:color="auto"/>
              <w:left w:val="nil"/>
              <w:bottom w:val="nil"/>
              <w:right w:val="nil"/>
            </w:tcBorders>
            <w:shd w:val="clear" w:color="auto" w:fill="auto"/>
            <w:noWrap/>
            <w:vAlign w:val="bottom"/>
            <w:hideMark/>
          </w:tcPr>
          <w:p w14:paraId="05ED2245"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c>
          <w:tcPr>
            <w:tcW w:w="1070" w:type="dxa"/>
            <w:tcBorders>
              <w:top w:val="single" w:sz="4" w:space="0" w:color="auto"/>
              <w:left w:val="nil"/>
              <w:bottom w:val="nil"/>
              <w:right w:val="nil"/>
            </w:tcBorders>
            <w:shd w:val="clear" w:color="auto" w:fill="auto"/>
            <w:noWrap/>
            <w:vAlign w:val="bottom"/>
            <w:hideMark/>
          </w:tcPr>
          <w:p w14:paraId="7548563A"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c>
          <w:tcPr>
            <w:tcW w:w="685" w:type="dxa"/>
            <w:tcBorders>
              <w:top w:val="single" w:sz="4" w:space="0" w:color="auto"/>
              <w:left w:val="nil"/>
              <w:bottom w:val="nil"/>
              <w:right w:val="nil"/>
            </w:tcBorders>
            <w:shd w:val="clear" w:color="auto" w:fill="auto"/>
            <w:noWrap/>
            <w:vAlign w:val="bottom"/>
            <w:hideMark/>
          </w:tcPr>
          <w:p w14:paraId="7320F2DE"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c>
          <w:tcPr>
            <w:tcW w:w="687" w:type="dxa"/>
            <w:gridSpan w:val="2"/>
            <w:tcBorders>
              <w:top w:val="single" w:sz="4" w:space="0" w:color="auto"/>
              <w:left w:val="nil"/>
              <w:bottom w:val="nil"/>
              <w:right w:val="nil"/>
            </w:tcBorders>
            <w:shd w:val="clear" w:color="auto" w:fill="auto"/>
            <w:noWrap/>
            <w:vAlign w:val="bottom"/>
            <w:hideMark/>
          </w:tcPr>
          <w:p w14:paraId="52121BF8" w14:textId="77777777" w:rsidR="0045296A" w:rsidRPr="00A80144" w:rsidRDefault="0045296A" w:rsidP="006D5746">
            <w:pPr>
              <w:spacing w:after="0" w:line="240" w:lineRule="auto"/>
              <w:jc w:val="center"/>
              <w:rPr>
                <w:rFonts w:ascii="Times New Roman" w:eastAsia="Times New Roman" w:hAnsi="Times New Roman" w:cs="Times New Roman"/>
                <w:sz w:val="20"/>
                <w:szCs w:val="20"/>
                <w:lang w:val="en-US"/>
              </w:rPr>
            </w:pPr>
          </w:p>
        </w:tc>
      </w:tr>
      <w:tr w:rsidR="0045296A" w:rsidRPr="00A80144" w14:paraId="599EC149" w14:textId="77777777" w:rsidTr="006D5746">
        <w:trPr>
          <w:gridAfter w:val="1"/>
          <w:wAfter w:w="21" w:type="dxa"/>
          <w:trHeight w:val="315"/>
        </w:trPr>
        <w:tc>
          <w:tcPr>
            <w:tcW w:w="2504" w:type="dxa"/>
            <w:tcBorders>
              <w:top w:val="nil"/>
              <w:left w:val="nil"/>
              <w:bottom w:val="nil"/>
              <w:right w:val="nil"/>
            </w:tcBorders>
            <w:shd w:val="clear" w:color="auto" w:fill="auto"/>
            <w:vAlign w:val="center"/>
            <w:hideMark/>
          </w:tcPr>
          <w:p w14:paraId="5C0AEB76"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BAT volume (ml)</w:t>
            </w:r>
          </w:p>
        </w:tc>
        <w:tc>
          <w:tcPr>
            <w:tcW w:w="813" w:type="dxa"/>
            <w:tcBorders>
              <w:top w:val="nil"/>
              <w:left w:val="nil"/>
              <w:bottom w:val="nil"/>
              <w:right w:val="nil"/>
            </w:tcBorders>
            <w:shd w:val="clear" w:color="auto" w:fill="auto"/>
            <w:noWrap/>
            <w:vAlign w:val="center"/>
            <w:hideMark/>
          </w:tcPr>
          <w:p w14:paraId="29F7ECA7"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0.040</w:t>
            </w:r>
          </w:p>
        </w:tc>
        <w:tc>
          <w:tcPr>
            <w:tcW w:w="701" w:type="dxa"/>
            <w:tcBorders>
              <w:top w:val="nil"/>
              <w:left w:val="nil"/>
              <w:bottom w:val="nil"/>
              <w:right w:val="nil"/>
            </w:tcBorders>
            <w:shd w:val="clear" w:color="auto" w:fill="auto"/>
            <w:noWrap/>
            <w:vAlign w:val="center"/>
            <w:hideMark/>
          </w:tcPr>
          <w:p w14:paraId="273E93E4"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0.170</w:t>
            </w:r>
          </w:p>
        </w:tc>
        <w:tc>
          <w:tcPr>
            <w:tcW w:w="666" w:type="dxa"/>
            <w:tcBorders>
              <w:top w:val="nil"/>
              <w:left w:val="nil"/>
              <w:bottom w:val="nil"/>
              <w:right w:val="nil"/>
            </w:tcBorders>
            <w:shd w:val="clear" w:color="auto" w:fill="auto"/>
            <w:noWrap/>
            <w:vAlign w:val="center"/>
            <w:hideMark/>
          </w:tcPr>
          <w:p w14:paraId="26BC67C6" w14:textId="77777777" w:rsidR="0045296A" w:rsidRPr="00A80144" w:rsidRDefault="0045296A" w:rsidP="006D5746">
            <w:pPr>
              <w:spacing w:after="0" w:line="240" w:lineRule="auto"/>
              <w:jc w:val="center"/>
              <w:rPr>
                <w:rFonts w:ascii="Times New Roman" w:eastAsia="Times New Roman" w:hAnsi="Times New Roman" w:cs="Times New Roman"/>
                <w:b/>
                <w:bCs/>
                <w:sz w:val="20"/>
                <w:szCs w:val="20"/>
                <w:lang w:val="en-US"/>
              </w:rPr>
            </w:pPr>
            <w:r w:rsidRPr="00A80144">
              <w:rPr>
                <w:rFonts w:ascii="Times New Roman" w:eastAsia="Times New Roman" w:hAnsi="Times New Roman" w:cs="Times New Roman"/>
                <w:b/>
                <w:bCs/>
                <w:sz w:val="20"/>
                <w:szCs w:val="20"/>
                <w:lang w:val="en-US"/>
              </w:rPr>
              <w:t>0.009</w:t>
            </w:r>
          </w:p>
        </w:tc>
        <w:tc>
          <w:tcPr>
            <w:tcW w:w="236" w:type="dxa"/>
            <w:tcBorders>
              <w:top w:val="nil"/>
              <w:left w:val="nil"/>
              <w:bottom w:val="nil"/>
              <w:right w:val="nil"/>
            </w:tcBorders>
            <w:shd w:val="clear" w:color="auto" w:fill="auto"/>
            <w:noWrap/>
            <w:vAlign w:val="center"/>
            <w:hideMark/>
          </w:tcPr>
          <w:p w14:paraId="24E5D785" w14:textId="77777777" w:rsidR="0045296A" w:rsidRPr="00A80144"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930" w:type="dxa"/>
            <w:tcBorders>
              <w:top w:val="nil"/>
              <w:left w:val="nil"/>
              <w:bottom w:val="nil"/>
              <w:right w:val="nil"/>
            </w:tcBorders>
            <w:shd w:val="clear" w:color="auto" w:fill="auto"/>
            <w:noWrap/>
            <w:vAlign w:val="center"/>
          </w:tcPr>
          <w:p w14:paraId="2089D2D3"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0.079</w:t>
            </w:r>
          </w:p>
        </w:tc>
        <w:tc>
          <w:tcPr>
            <w:tcW w:w="701" w:type="dxa"/>
            <w:tcBorders>
              <w:top w:val="nil"/>
              <w:left w:val="nil"/>
              <w:bottom w:val="nil"/>
              <w:right w:val="nil"/>
            </w:tcBorders>
            <w:shd w:val="clear" w:color="auto" w:fill="auto"/>
            <w:noWrap/>
            <w:vAlign w:val="center"/>
          </w:tcPr>
          <w:p w14:paraId="6269A365"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0.087</w:t>
            </w:r>
          </w:p>
        </w:tc>
        <w:tc>
          <w:tcPr>
            <w:tcW w:w="666" w:type="dxa"/>
            <w:tcBorders>
              <w:top w:val="nil"/>
              <w:left w:val="nil"/>
              <w:bottom w:val="nil"/>
              <w:right w:val="nil"/>
            </w:tcBorders>
            <w:shd w:val="clear" w:color="auto" w:fill="auto"/>
            <w:noWrap/>
            <w:vAlign w:val="center"/>
          </w:tcPr>
          <w:p w14:paraId="09AE431F"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0.069</w:t>
            </w:r>
          </w:p>
        </w:tc>
        <w:tc>
          <w:tcPr>
            <w:tcW w:w="222" w:type="dxa"/>
            <w:tcBorders>
              <w:top w:val="nil"/>
              <w:left w:val="nil"/>
              <w:bottom w:val="nil"/>
              <w:right w:val="nil"/>
            </w:tcBorders>
            <w:shd w:val="clear" w:color="auto" w:fill="auto"/>
            <w:noWrap/>
            <w:vAlign w:val="center"/>
            <w:hideMark/>
          </w:tcPr>
          <w:p w14:paraId="7D519F2D"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799" w:type="dxa"/>
            <w:tcBorders>
              <w:top w:val="nil"/>
              <w:left w:val="nil"/>
              <w:bottom w:val="nil"/>
              <w:right w:val="nil"/>
            </w:tcBorders>
            <w:shd w:val="clear" w:color="auto" w:fill="auto"/>
            <w:noWrap/>
            <w:vAlign w:val="center"/>
            <w:hideMark/>
          </w:tcPr>
          <w:p w14:paraId="3F5473EA"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0.077</w:t>
            </w:r>
          </w:p>
        </w:tc>
        <w:tc>
          <w:tcPr>
            <w:tcW w:w="701" w:type="dxa"/>
            <w:tcBorders>
              <w:top w:val="nil"/>
              <w:left w:val="nil"/>
              <w:bottom w:val="nil"/>
              <w:right w:val="nil"/>
            </w:tcBorders>
            <w:shd w:val="clear" w:color="auto" w:fill="auto"/>
            <w:noWrap/>
            <w:vAlign w:val="center"/>
            <w:hideMark/>
          </w:tcPr>
          <w:p w14:paraId="25EFA782"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0.160</w:t>
            </w:r>
          </w:p>
        </w:tc>
        <w:tc>
          <w:tcPr>
            <w:tcW w:w="666" w:type="dxa"/>
            <w:tcBorders>
              <w:top w:val="nil"/>
              <w:left w:val="nil"/>
              <w:bottom w:val="nil"/>
              <w:right w:val="nil"/>
            </w:tcBorders>
            <w:shd w:val="clear" w:color="auto" w:fill="auto"/>
            <w:noWrap/>
            <w:vAlign w:val="center"/>
            <w:hideMark/>
          </w:tcPr>
          <w:p w14:paraId="75F9F559" w14:textId="77777777" w:rsidR="0045296A" w:rsidRPr="00A80144" w:rsidRDefault="0045296A" w:rsidP="006D5746">
            <w:pPr>
              <w:spacing w:after="0" w:line="240" w:lineRule="auto"/>
              <w:jc w:val="center"/>
              <w:rPr>
                <w:rFonts w:ascii="Times New Roman" w:eastAsia="Times New Roman" w:hAnsi="Times New Roman" w:cs="Times New Roman"/>
                <w:b/>
                <w:bCs/>
                <w:sz w:val="20"/>
                <w:szCs w:val="20"/>
                <w:lang w:val="en-US"/>
              </w:rPr>
            </w:pPr>
            <w:r w:rsidRPr="00A80144">
              <w:rPr>
                <w:rFonts w:ascii="Times New Roman" w:eastAsia="Times New Roman" w:hAnsi="Times New Roman" w:cs="Times New Roman"/>
                <w:b/>
                <w:bCs/>
                <w:sz w:val="20"/>
                <w:szCs w:val="20"/>
                <w:lang w:val="en-US"/>
              </w:rPr>
              <w:t>0.013</w:t>
            </w:r>
          </w:p>
        </w:tc>
        <w:tc>
          <w:tcPr>
            <w:tcW w:w="222" w:type="dxa"/>
            <w:tcBorders>
              <w:top w:val="nil"/>
              <w:left w:val="nil"/>
              <w:bottom w:val="nil"/>
              <w:right w:val="nil"/>
            </w:tcBorders>
            <w:shd w:val="clear" w:color="auto" w:fill="auto"/>
            <w:noWrap/>
            <w:vAlign w:val="center"/>
            <w:hideMark/>
          </w:tcPr>
          <w:p w14:paraId="11465058" w14:textId="77777777" w:rsidR="0045296A" w:rsidRPr="00A80144"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tcBorders>
              <w:top w:val="nil"/>
              <w:left w:val="nil"/>
              <w:bottom w:val="nil"/>
              <w:right w:val="nil"/>
            </w:tcBorders>
            <w:shd w:val="clear" w:color="auto" w:fill="auto"/>
            <w:noWrap/>
            <w:vAlign w:val="center"/>
            <w:hideMark/>
          </w:tcPr>
          <w:p w14:paraId="518500EE"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0.061</w:t>
            </w:r>
          </w:p>
        </w:tc>
        <w:tc>
          <w:tcPr>
            <w:tcW w:w="701" w:type="dxa"/>
            <w:tcBorders>
              <w:top w:val="nil"/>
              <w:left w:val="nil"/>
              <w:bottom w:val="nil"/>
              <w:right w:val="nil"/>
            </w:tcBorders>
            <w:shd w:val="clear" w:color="auto" w:fill="auto"/>
            <w:noWrap/>
            <w:vAlign w:val="center"/>
            <w:hideMark/>
          </w:tcPr>
          <w:p w14:paraId="768196CE"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0.215</w:t>
            </w:r>
          </w:p>
        </w:tc>
        <w:tc>
          <w:tcPr>
            <w:tcW w:w="666" w:type="dxa"/>
            <w:tcBorders>
              <w:top w:val="nil"/>
              <w:left w:val="nil"/>
              <w:bottom w:val="nil"/>
              <w:right w:val="nil"/>
            </w:tcBorders>
            <w:shd w:val="clear" w:color="auto" w:fill="auto"/>
            <w:noWrap/>
            <w:vAlign w:val="center"/>
            <w:hideMark/>
          </w:tcPr>
          <w:p w14:paraId="64834FB3" w14:textId="77777777" w:rsidR="0045296A" w:rsidRPr="00A80144" w:rsidRDefault="0045296A" w:rsidP="006D5746">
            <w:pPr>
              <w:spacing w:after="0" w:line="240" w:lineRule="auto"/>
              <w:jc w:val="center"/>
              <w:rPr>
                <w:rFonts w:ascii="Times New Roman" w:eastAsia="Times New Roman" w:hAnsi="Times New Roman" w:cs="Times New Roman"/>
                <w:b/>
                <w:bCs/>
                <w:sz w:val="20"/>
                <w:szCs w:val="20"/>
                <w:lang w:val="en-US"/>
              </w:rPr>
            </w:pPr>
            <w:r w:rsidRPr="00A80144">
              <w:rPr>
                <w:rFonts w:ascii="Times New Roman" w:eastAsia="Times New Roman" w:hAnsi="Times New Roman" w:cs="Times New Roman"/>
                <w:b/>
                <w:bCs/>
                <w:sz w:val="20"/>
                <w:szCs w:val="20"/>
                <w:lang w:val="en-US"/>
              </w:rPr>
              <w:t>0.003</w:t>
            </w:r>
          </w:p>
        </w:tc>
        <w:tc>
          <w:tcPr>
            <w:tcW w:w="222" w:type="dxa"/>
            <w:tcBorders>
              <w:top w:val="nil"/>
              <w:left w:val="nil"/>
              <w:bottom w:val="nil"/>
              <w:right w:val="nil"/>
            </w:tcBorders>
            <w:shd w:val="clear" w:color="auto" w:fill="auto"/>
            <w:noWrap/>
            <w:vAlign w:val="center"/>
            <w:hideMark/>
          </w:tcPr>
          <w:p w14:paraId="1C957167" w14:textId="77777777" w:rsidR="0045296A" w:rsidRPr="00A80144"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1070" w:type="dxa"/>
            <w:tcBorders>
              <w:top w:val="nil"/>
              <w:left w:val="nil"/>
              <w:bottom w:val="nil"/>
              <w:right w:val="nil"/>
            </w:tcBorders>
            <w:shd w:val="clear" w:color="auto" w:fill="auto"/>
            <w:noWrap/>
            <w:vAlign w:val="center"/>
            <w:hideMark/>
          </w:tcPr>
          <w:p w14:paraId="2C2C3B0F"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1.122</w:t>
            </w:r>
          </w:p>
        </w:tc>
        <w:tc>
          <w:tcPr>
            <w:tcW w:w="685" w:type="dxa"/>
            <w:tcBorders>
              <w:top w:val="nil"/>
              <w:left w:val="nil"/>
              <w:bottom w:val="nil"/>
              <w:right w:val="nil"/>
            </w:tcBorders>
            <w:shd w:val="clear" w:color="auto" w:fill="auto"/>
            <w:noWrap/>
            <w:vAlign w:val="center"/>
            <w:hideMark/>
          </w:tcPr>
          <w:p w14:paraId="37E28298"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0.122</w:t>
            </w:r>
          </w:p>
        </w:tc>
        <w:tc>
          <w:tcPr>
            <w:tcW w:w="666" w:type="dxa"/>
            <w:tcBorders>
              <w:top w:val="nil"/>
              <w:left w:val="nil"/>
              <w:bottom w:val="nil"/>
              <w:right w:val="nil"/>
            </w:tcBorders>
            <w:shd w:val="clear" w:color="auto" w:fill="auto"/>
            <w:noWrap/>
            <w:vAlign w:val="center"/>
            <w:hideMark/>
          </w:tcPr>
          <w:p w14:paraId="07B8DA63" w14:textId="77777777" w:rsidR="0045296A" w:rsidRPr="00A80144" w:rsidRDefault="0045296A" w:rsidP="006D5746">
            <w:pPr>
              <w:spacing w:after="0" w:line="240" w:lineRule="auto"/>
              <w:jc w:val="center"/>
              <w:rPr>
                <w:rFonts w:ascii="Times New Roman" w:eastAsia="Times New Roman" w:hAnsi="Times New Roman" w:cs="Times New Roman"/>
                <w:b/>
                <w:bCs/>
                <w:sz w:val="20"/>
                <w:szCs w:val="20"/>
                <w:lang w:val="en-US"/>
              </w:rPr>
            </w:pPr>
            <w:r w:rsidRPr="00A80144">
              <w:rPr>
                <w:rFonts w:ascii="Times New Roman" w:eastAsia="Times New Roman" w:hAnsi="Times New Roman" w:cs="Times New Roman"/>
                <w:b/>
                <w:bCs/>
                <w:sz w:val="20"/>
                <w:szCs w:val="20"/>
                <w:lang w:val="en-US"/>
              </w:rPr>
              <w:t>0.025</w:t>
            </w:r>
          </w:p>
        </w:tc>
      </w:tr>
      <w:tr w:rsidR="0045296A" w:rsidRPr="00A80144" w14:paraId="5FAC30B8" w14:textId="77777777" w:rsidTr="006D5746">
        <w:trPr>
          <w:trHeight w:val="315"/>
        </w:trPr>
        <w:tc>
          <w:tcPr>
            <w:tcW w:w="2504" w:type="dxa"/>
            <w:tcBorders>
              <w:top w:val="nil"/>
              <w:left w:val="nil"/>
              <w:bottom w:val="nil"/>
              <w:right w:val="nil"/>
            </w:tcBorders>
            <w:shd w:val="clear" w:color="auto" w:fill="auto"/>
            <w:vAlign w:val="center"/>
            <w:hideMark/>
          </w:tcPr>
          <w:p w14:paraId="3A69E5A3"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 xml:space="preserve">BAT SUVmean </w:t>
            </w:r>
          </w:p>
        </w:tc>
        <w:tc>
          <w:tcPr>
            <w:tcW w:w="813" w:type="dxa"/>
            <w:tcBorders>
              <w:top w:val="nil"/>
              <w:left w:val="nil"/>
              <w:bottom w:val="nil"/>
              <w:right w:val="nil"/>
            </w:tcBorders>
            <w:shd w:val="clear" w:color="auto" w:fill="auto"/>
            <w:noWrap/>
            <w:vAlign w:val="center"/>
            <w:hideMark/>
          </w:tcPr>
          <w:p w14:paraId="0B9B6912"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-0.417</w:t>
            </w:r>
          </w:p>
        </w:tc>
        <w:tc>
          <w:tcPr>
            <w:tcW w:w="701" w:type="dxa"/>
            <w:tcBorders>
              <w:top w:val="nil"/>
              <w:left w:val="nil"/>
              <w:bottom w:val="nil"/>
              <w:right w:val="nil"/>
            </w:tcBorders>
            <w:shd w:val="clear" w:color="auto" w:fill="auto"/>
            <w:noWrap/>
            <w:vAlign w:val="center"/>
            <w:hideMark/>
          </w:tcPr>
          <w:p w14:paraId="641A9C9F"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0.010</w:t>
            </w:r>
          </w:p>
        </w:tc>
        <w:tc>
          <w:tcPr>
            <w:tcW w:w="666" w:type="dxa"/>
            <w:tcBorders>
              <w:top w:val="nil"/>
              <w:left w:val="nil"/>
              <w:bottom w:val="nil"/>
              <w:right w:val="nil"/>
            </w:tcBorders>
            <w:shd w:val="clear" w:color="auto" w:fill="auto"/>
            <w:noWrap/>
            <w:vAlign w:val="center"/>
            <w:hideMark/>
          </w:tcPr>
          <w:p w14:paraId="6BF76BBB"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0.747</w:t>
            </w:r>
          </w:p>
        </w:tc>
        <w:tc>
          <w:tcPr>
            <w:tcW w:w="236" w:type="dxa"/>
            <w:tcBorders>
              <w:top w:val="nil"/>
              <w:left w:val="nil"/>
              <w:bottom w:val="nil"/>
              <w:right w:val="nil"/>
            </w:tcBorders>
            <w:shd w:val="clear" w:color="auto" w:fill="auto"/>
            <w:noWrap/>
            <w:vAlign w:val="center"/>
            <w:hideMark/>
          </w:tcPr>
          <w:p w14:paraId="0DECDB53"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930" w:type="dxa"/>
            <w:tcBorders>
              <w:top w:val="nil"/>
              <w:left w:val="nil"/>
              <w:bottom w:val="nil"/>
              <w:right w:val="nil"/>
            </w:tcBorders>
            <w:shd w:val="clear" w:color="auto" w:fill="auto"/>
            <w:noWrap/>
            <w:vAlign w:val="center"/>
          </w:tcPr>
          <w:p w14:paraId="52A6B254"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-4.289</w:t>
            </w:r>
          </w:p>
        </w:tc>
        <w:tc>
          <w:tcPr>
            <w:tcW w:w="701" w:type="dxa"/>
            <w:tcBorders>
              <w:top w:val="nil"/>
              <w:left w:val="nil"/>
              <w:bottom w:val="nil"/>
              <w:right w:val="nil"/>
            </w:tcBorders>
            <w:shd w:val="clear" w:color="auto" w:fill="auto"/>
            <w:noWrap/>
            <w:vAlign w:val="center"/>
          </w:tcPr>
          <w:p w14:paraId="60141CAD"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0.041</w:t>
            </w:r>
          </w:p>
        </w:tc>
        <w:tc>
          <w:tcPr>
            <w:tcW w:w="666" w:type="dxa"/>
            <w:tcBorders>
              <w:top w:val="nil"/>
              <w:left w:val="nil"/>
              <w:bottom w:val="nil"/>
              <w:right w:val="nil"/>
            </w:tcBorders>
            <w:shd w:val="clear" w:color="auto" w:fill="auto"/>
            <w:noWrap/>
            <w:vAlign w:val="center"/>
          </w:tcPr>
          <w:p w14:paraId="7E9D02B8"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0.236</w:t>
            </w:r>
          </w:p>
        </w:tc>
        <w:tc>
          <w:tcPr>
            <w:tcW w:w="222" w:type="dxa"/>
            <w:tcBorders>
              <w:top w:val="nil"/>
              <w:left w:val="nil"/>
              <w:bottom w:val="nil"/>
              <w:right w:val="nil"/>
            </w:tcBorders>
            <w:shd w:val="clear" w:color="auto" w:fill="auto"/>
            <w:noWrap/>
            <w:vAlign w:val="center"/>
            <w:hideMark/>
          </w:tcPr>
          <w:p w14:paraId="687E3FEE"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799" w:type="dxa"/>
            <w:tcBorders>
              <w:top w:val="nil"/>
              <w:left w:val="nil"/>
              <w:bottom w:val="nil"/>
              <w:right w:val="nil"/>
            </w:tcBorders>
            <w:shd w:val="clear" w:color="auto" w:fill="auto"/>
            <w:noWrap/>
            <w:vAlign w:val="center"/>
            <w:hideMark/>
          </w:tcPr>
          <w:p w14:paraId="4E678DAA"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-0.744</w:t>
            </w:r>
          </w:p>
        </w:tc>
        <w:tc>
          <w:tcPr>
            <w:tcW w:w="701" w:type="dxa"/>
            <w:tcBorders>
              <w:top w:val="nil"/>
              <w:left w:val="nil"/>
              <w:bottom w:val="nil"/>
              <w:right w:val="nil"/>
            </w:tcBorders>
            <w:shd w:val="clear" w:color="auto" w:fill="auto"/>
            <w:noWrap/>
            <w:vAlign w:val="center"/>
            <w:hideMark/>
          </w:tcPr>
          <w:p w14:paraId="75B2846D"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0.014</w:t>
            </w:r>
          </w:p>
        </w:tc>
        <w:tc>
          <w:tcPr>
            <w:tcW w:w="666" w:type="dxa"/>
            <w:tcBorders>
              <w:top w:val="nil"/>
              <w:left w:val="nil"/>
              <w:bottom w:val="nil"/>
              <w:right w:val="nil"/>
            </w:tcBorders>
            <w:shd w:val="clear" w:color="auto" w:fill="auto"/>
            <w:noWrap/>
            <w:vAlign w:val="center"/>
            <w:hideMark/>
          </w:tcPr>
          <w:p w14:paraId="5C8F4959"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0.777</w:t>
            </w:r>
          </w:p>
        </w:tc>
        <w:tc>
          <w:tcPr>
            <w:tcW w:w="222" w:type="dxa"/>
            <w:tcBorders>
              <w:top w:val="nil"/>
              <w:left w:val="nil"/>
              <w:bottom w:val="nil"/>
              <w:right w:val="nil"/>
            </w:tcBorders>
            <w:shd w:val="clear" w:color="auto" w:fill="auto"/>
            <w:noWrap/>
            <w:vAlign w:val="center"/>
            <w:hideMark/>
          </w:tcPr>
          <w:p w14:paraId="7FFDCFFE"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799" w:type="dxa"/>
            <w:tcBorders>
              <w:top w:val="nil"/>
              <w:left w:val="nil"/>
              <w:bottom w:val="nil"/>
              <w:right w:val="nil"/>
            </w:tcBorders>
            <w:shd w:val="clear" w:color="auto" w:fill="auto"/>
            <w:noWrap/>
            <w:vAlign w:val="center"/>
            <w:hideMark/>
          </w:tcPr>
          <w:p w14:paraId="47213C5C"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0.421</w:t>
            </w:r>
          </w:p>
        </w:tc>
        <w:tc>
          <w:tcPr>
            <w:tcW w:w="701" w:type="dxa"/>
            <w:tcBorders>
              <w:top w:val="nil"/>
              <w:left w:val="nil"/>
              <w:bottom w:val="nil"/>
              <w:right w:val="nil"/>
            </w:tcBorders>
            <w:shd w:val="clear" w:color="auto" w:fill="auto"/>
            <w:noWrap/>
            <w:vAlign w:val="center"/>
            <w:hideMark/>
          </w:tcPr>
          <w:p w14:paraId="61155D47"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0.020</w:t>
            </w:r>
          </w:p>
        </w:tc>
        <w:tc>
          <w:tcPr>
            <w:tcW w:w="666" w:type="dxa"/>
            <w:tcBorders>
              <w:top w:val="nil"/>
              <w:left w:val="nil"/>
              <w:bottom w:val="nil"/>
              <w:right w:val="nil"/>
            </w:tcBorders>
            <w:shd w:val="clear" w:color="auto" w:fill="auto"/>
            <w:noWrap/>
            <w:vAlign w:val="center"/>
            <w:hideMark/>
          </w:tcPr>
          <w:p w14:paraId="0BA84E0E"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0.815</w:t>
            </w:r>
          </w:p>
        </w:tc>
        <w:tc>
          <w:tcPr>
            <w:tcW w:w="222" w:type="dxa"/>
            <w:tcBorders>
              <w:top w:val="nil"/>
              <w:left w:val="nil"/>
              <w:bottom w:val="nil"/>
              <w:right w:val="nil"/>
            </w:tcBorders>
            <w:shd w:val="clear" w:color="auto" w:fill="auto"/>
            <w:noWrap/>
            <w:vAlign w:val="center"/>
            <w:hideMark/>
          </w:tcPr>
          <w:p w14:paraId="52C719B8"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1070" w:type="dxa"/>
            <w:tcBorders>
              <w:top w:val="nil"/>
              <w:left w:val="nil"/>
              <w:bottom w:val="nil"/>
              <w:right w:val="nil"/>
            </w:tcBorders>
            <w:shd w:val="clear" w:color="auto" w:fill="auto"/>
            <w:noWrap/>
            <w:vAlign w:val="center"/>
            <w:hideMark/>
          </w:tcPr>
          <w:p w14:paraId="3B328F3F"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-21.955</w:t>
            </w:r>
          </w:p>
        </w:tc>
        <w:tc>
          <w:tcPr>
            <w:tcW w:w="685" w:type="dxa"/>
            <w:tcBorders>
              <w:top w:val="nil"/>
              <w:left w:val="nil"/>
              <w:bottom w:val="nil"/>
              <w:right w:val="nil"/>
            </w:tcBorders>
            <w:shd w:val="clear" w:color="auto" w:fill="auto"/>
            <w:noWrap/>
            <w:vAlign w:val="center"/>
            <w:hideMark/>
          </w:tcPr>
          <w:p w14:paraId="1DAE30D7"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0.007</w:t>
            </w:r>
          </w:p>
        </w:tc>
        <w:tc>
          <w:tcPr>
            <w:tcW w:w="687" w:type="dxa"/>
            <w:gridSpan w:val="2"/>
            <w:tcBorders>
              <w:top w:val="nil"/>
              <w:left w:val="nil"/>
              <w:bottom w:val="nil"/>
              <w:right w:val="nil"/>
            </w:tcBorders>
            <w:shd w:val="clear" w:color="auto" w:fill="auto"/>
            <w:noWrap/>
            <w:vAlign w:val="center"/>
            <w:hideMark/>
          </w:tcPr>
          <w:p w14:paraId="3E94707D"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0.604</w:t>
            </w:r>
          </w:p>
        </w:tc>
      </w:tr>
      <w:tr w:rsidR="0045296A" w:rsidRPr="00A80144" w14:paraId="24E73737" w14:textId="77777777" w:rsidTr="006D5746">
        <w:trPr>
          <w:trHeight w:val="315"/>
        </w:trPr>
        <w:tc>
          <w:tcPr>
            <w:tcW w:w="2504" w:type="dxa"/>
            <w:tcBorders>
              <w:top w:val="nil"/>
              <w:left w:val="nil"/>
              <w:bottom w:val="nil"/>
              <w:right w:val="nil"/>
            </w:tcBorders>
            <w:shd w:val="clear" w:color="auto" w:fill="auto"/>
            <w:vAlign w:val="center"/>
            <w:hideMark/>
          </w:tcPr>
          <w:p w14:paraId="6BD5DD5B"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 xml:space="preserve">BAT SUVpeak </w:t>
            </w:r>
          </w:p>
        </w:tc>
        <w:tc>
          <w:tcPr>
            <w:tcW w:w="813" w:type="dxa"/>
            <w:tcBorders>
              <w:top w:val="nil"/>
              <w:left w:val="nil"/>
              <w:bottom w:val="nil"/>
              <w:right w:val="nil"/>
            </w:tcBorders>
            <w:shd w:val="clear" w:color="auto" w:fill="auto"/>
            <w:noWrap/>
            <w:vAlign w:val="center"/>
            <w:hideMark/>
          </w:tcPr>
          <w:p w14:paraId="0699D61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0.080</w:t>
            </w:r>
          </w:p>
        </w:tc>
        <w:tc>
          <w:tcPr>
            <w:tcW w:w="701" w:type="dxa"/>
            <w:tcBorders>
              <w:top w:val="nil"/>
              <w:left w:val="nil"/>
              <w:bottom w:val="nil"/>
              <w:right w:val="nil"/>
            </w:tcBorders>
            <w:shd w:val="clear" w:color="auto" w:fill="auto"/>
            <w:noWrap/>
            <w:vAlign w:val="center"/>
            <w:hideMark/>
          </w:tcPr>
          <w:p w14:paraId="56B6BE5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0.011</w:t>
            </w:r>
          </w:p>
        </w:tc>
        <w:tc>
          <w:tcPr>
            <w:tcW w:w="666" w:type="dxa"/>
            <w:tcBorders>
              <w:top w:val="nil"/>
              <w:left w:val="nil"/>
              <w:bottom w:val="nil"/>
              <w:right w:val="nil"/>
            </w:tcBorders>
            <w:shd w:val="clear" w:color="auto" w:fill="auto"/>
            <w:noWrap/>
            <w:vAlign w:val="center"/>
            <w:hideMark/>
          </w:tcPr>
          <w:p w14:paraId="3BB1F4B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0.729</w:t>
            </w:r>
          </w:p>
        </w:tc>
        <w:tc>
          <w:tcPr>
            <w:tcW w:w="236" w:type="dxa"/>
            <w:tcBorders>
              <w:top w:val="nil"/>
              <w:left w:val="nil"/>
              <w:bottom w:val="nil"/>
              <w:right w:val="nil"/>
            </w:tcBorders>
            <w:shd w:val="clear" w:color="auto" w:fill="auto"/>
            <w:noWrap/>
            <w:vAlign w:val="center"/>
            <w:hideMark/>
          </w:tcPr>
          <w:p w14:paraId="3505DEC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930" w:type="dxa"/>
            <w:tcBorders>
              <w:top w:val="nil"/>
              <w:left w:val="nil"/>
              <w:bottom w:val="nil"/>
              <w:right w:val="nil"/>
            </w:tcBorders>
            <w:shd w:val="clear" w:color="auto" w:fill="auto"/>
            <w:noWrap/>
            <w:vAlign w:val="center"/>
          </w:tcPr>
          <w:p w14:paraId="3D40716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-0.408</w:t>
            </w:r>
          </w:p>
        </w:tc>
        <w:tc>
          <w:tcPr>
            <w:tcW w:w="701" w:type="dxa"/>
            <w:tcBorders>
              <w:top w:val="nil"/>
              <w:left w:val="nil"/>
              <w:bottom w:val="nil"/>
              <w:right w:val="nil"/>
            </w:tcBorders>
            <w:shd w:val="clear" w:color="auto" w:fill="auto"/>
            <w:noWrap/>
            <w:vAlign w:val="center"/>
          </w:tcPr>
          <w:p w14:paraId="6C4A5E1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0.016</w:t>
            </w:r>
          </w:p>
        </w:tc>
        <w:tc>
          <w:tcPr>
            <w:tcW w:w="666" w:type="dxa"/>
            <w:tcBorders>
              <w:top w:val="nil"/>
              <w:left w:val="nil"/>
              <w:bottom w:val="nil"/>
              <w:right w:val="nil"/>
            </w:tcBorders>
            <w:shd w:val="clear" w:color="auto" w:fill="auto"/>
            <w:noWrap/>
            <w:vAlign w:val="center"/>
          </w:tcPr>
          <w:p w14:paraId="7C089FF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0.529</w:t>
            </w:r>
          </w:p>
        </w:tc>
        <w:tc>
          <w:tcPr>
            <w:tcW w:w="222" w:type="dxa"/>
            <w:tcBorders>
              <w:top w:val="nil"/>
              <w:left w:val="nil"/>
              <w:bottom w:val="nil"/>
              <w:right w:val="nil"/>
            </w:tcBorders>
            <w:shd w:val="clear" w:color="auto" w:fill="auto"/>
            <w:noWrap/>
            <w:vAlign w:val="center"/>
            <w:hideMark/>
          </w:tcPr>
          <w:p w14:paraId="71EE0AF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center"/>
            <w:hideMark/>
          </w:tcPr>
          <w:p w14:paraId="54279B2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0.057</w:t>
            </w:r>
          </w:p>
        </w:tc>
        <w:tc>
          <w:tcPr>
            <w:tcW w:w="701" w:type="dxa"/>
            <w:tcBorders>
              <w:top w:val="nil"/>
              <w:left w:val="nil"/>
              <w:bottom w:val="nil"/>
              <w:right w:val="nil"/>
            </w:tcBorders>
            <w:shd w:val="clear" w:color="auto" w:fill="auto"/>
            <w:noWrap/>
            <w:vAlign w:val="center"/>
            <w:hideMark/>
          </w:tcPr>
          <w:p w14:paraId="0E77A63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0.013</w:t>
            </w:r>
          </w:p>
        </w:tc>
        <w:tc>
          <w:tcPr>
            <w:tcW w:w="666" w:type="dxa"/>
            <w:tcBorders>
              <w:top w:val="nil"/>
              <w:left w:val="nil"/>
              <w:bottom w:val="nil"/>
              <w:right w:val="nil"/>
            </w:tcBorders>
            <w:shd w:val="clear" w:color="auto" w:fill="auto"/>
            <w:noWrap/>
            <w:vAlign w:val="center"/>
            <w:hideMark/>
          </w:tcPr>
          <w:p w14:paraId="1F2F982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0.902</w:t>
            </w:r>
          </w:p>
        </w:tc>
        <w:tc>
          <w:tcPr>
            <w:tcW w:w="222" w:type="dxa"/>
            <w:tcBorders>
              <w:top w:val="nil"/>
              <w:left w:val="nil"/>
              <w:bottom w:val="nil"/>
              <w:right w:val="nil"/>
            </w:tcBorders>
            <w:shd w:val="clear" w:color="auto" w:fill="auto"/>
            <w:noWrap/>
            <w:vAlign w:val="center"/>
            <w:hideMark/>
          </w:tcPr>
          <w:p w14:paraId="7FEC7DF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center"/>
            <w:hideMark/>
          </w:tcPr>
          <w:p w14:paraId="2EA91AE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0.168</w:t>
            </w:r>
          </w:p>
        </w:tc>
        <w:tc>
          <w:tcPr>
            <w:tcW w:w="701" w:type="dxa"/>
            <w:tcBorders>
              <w:top w:val="nil"/>
              <w:left w:val="nil"/>
              <w:bottom w:val="nil"/>
              <w:right w:val="nil"/>
            </w:tcBorders>
            <w:shd w:val="clear" w:color="auto" w:fill="auto"/>
            <w:noWrap/>
            <w:vAlign w:val="center"/>
            <w:hideMark/>
          </w:tcPr>
          <w:p w14:paraId="28794C1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0.026</w:t>
            </w:r>
          </w:p>
        </w:tc>
        <w:tc>
          <w:tcPr>
            <w:tcW w:w="666" w:type="dxa"/>
            <w:tcBorders>
              <w:top w:val="nil"/>
              <w:left w:val="nil"/>
              <w:bottom w:val="nil"/>
              <w:right w:val="nil"/>
            </w:tcBorders>
            <w:shd w:val="clear" w:color="auto" w:fill="auto"/>
            <w:noWrap/>
            <w:vAlign w:val="center"/>
            <w:hideMark/>
          </w:tcPr>
          <w:p w14:paraId="5069994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0.599</w:t>
            </w:r>
          </w:p>
        </w:tc>
        <w:tc>
          <w:tcPr>
            <w:tcW w:w="222" w:type="dxa"/>
            <w:tcBorders>
              <w:top w:val="nil"/>
              <w:left w:val="nil"/>
              <w:bottom w:val="nil"/>
              <w:right w:val="nil"/>
            </w:tcBorders>
            <w:shd w:val="clear" w:color="auto" w:fill="auto"/>
            <w:noWrap/>
            <w:vAlign w:val="center"/>
            <w:hideMark/>
          </w:tcPr>
          <w:p w14:paraId="7E29063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1070" w:type="dxa"/>
            <w:tcBorders>
              <w:top w:val="nil"/>
              <w:left w:val="nil"/>
              <w:bottom w:val="nil"/>
              <w:right w:val="nil"/>
            </w:tcBorders>
            <w:shd w:val="clear" w:color="auto" w:fill="auto"/>
            <w:noWrap/>
            <w:vAlign w:val="center"/>
            <w:hideMark/>
          </w:tcPr>
          <w:p w14:paraId="06E131C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0.308</w:t>
            </w:r>
          </w:p>
        </w:tc>
        <w:tc>
          <w:tcPr>
            <w:tcW w:w="685" w:type="dxa"/>
            <w:tcBorders>
              <w:top w:val="nil"/>
              <w:left w:val="nil"/>
              <w:bottom w:val="nil"/>
              <w:right w:val="nil"/>
            </w:tcBorders>
            <w:shd w:val="clear" w:color="auto" w:fill="auto"/>
            <w:noWrap/>
            <w:vAlign w:val="center"/>
            <w:hideMark/>
          </w:tcPr>
          <w:p w14:paraId="083F23B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0.000</w:t>
            </w:r>
          </w:p>
        </w:tc>
        <w:tc>
          <w:tcPr>
            <w:tcW w:w="687" w:type="dxa"/>
            <w:gridSpan w:val="2"/>
            <w:tcBorders>
              <w:top w:val="nil"/>
              <w:left w:val="nil"/>
              <w:bottom w:val="nil"/>
              <w:right w:val="nil"/>
            </w:tcBorders>
            <w:shd w:val="clear" w:color="auto" w:fill="auto"/>
            <w:noWrap/>
            <w:vAlign w:val="center"/>
            <w:hideMark/>
          </w:tcPr>
          <w:p w14:paraId="7949F27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0.967</w:t>
            </w:r>
          </w:p>
        </w:tc>
      </w:tr>
      <w:tr w:rsidR="0045296A" w:rsidRPr="00A80144" w14:paraId="4B82BB72" w14:textId="77777777" w:rsidTr="006D5746">
        <w:trPr>
          <w:trHeight w:val="315"/>
        </w:trPr>
        <w:tc>
          <w:tcPr>
            <w:tcW w:w="2504" w:type="dxa"/>
            <w:tcBorders>
              <w:top w:val="nil"/>
              <w:left w:val="nil"/>
              <w:bottom w:val="nil"/>
              <w:right w:val="nil"/>
            </w:tcBorders>
            <w:shd w:val="clear" w:color="auto" w:fill="auto"/>
            <w:vAlign w:val="center"/>
            <w:hideMark/>
          </w:tcPr>
          <w:p w14:paraId="553E022F"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BAT radiodensity (HU)</w:t>
            </w:r>
          </w:p>
        </w:tc>
        <w:tc>
          <w:tcPr>
            <w:tcW w:w="813" w:type="dxa"/>
            <w:tcBorders>
              <w:top w:val="nil"/>
              <w:left w:val="nil"/>
              <w:bottom w:val="nil"/>
              <w:right w:val="nil"/>
            </w:tcBorders>
            <w:shd w:val="clear" w:color="auto" w:fill="auto"/>
            <w:noWrap/>
            <w:vAlign w:val="center"/>
          </w:tcPr>
          <w:p w14:paraId="46E6B0A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-0.306</w:t>
            </w:r>
          </w:p>
        </w:tc>
        <w:tc>
          <w:tcPr>
            <w:tcW w:w="701" w:type="dxa"/>
            <w:tcBorders>
              <w:top w:val="nil"/>
              <w:left w:val="nil"/>
              <w:bottom w:val="nil"/>
              <w:right w:val="nil"/>
            </w:tcBorders>
            <w:shd w:val="clear" w:color="auto" w:fill="auto"/>
            <w:noWrap/>
            <w:vAlign w:val="center"/>
          </w:tcPr>
          <w:p w14:paraId="1B148A0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0.301</w:t>
            </w:r>
          </w:p>
        </w:tc>
        <w:tc>
          <w:tcPr>
            <w:tcW w:w="666" w:type="dxa"/>
            <w:tcBorders>
              <w:top w:val="nil"/>
              <w:left w:val="nil"/>
              <w:bottom w:val="nil"/>
              <w:right w:val="nil"/>
            </w:tcBorders>
            <w:shd w:val="clear" w:color="auto" w:fill="auto"/>
            <w:noWrap/>
            <w:vAlign w:val="center"/>
          </w:tcPr>
          <w:p w14:paraId="7E001CAF"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0.006</w:t>
            </w:r>
          </w:p>
        </w:tc>
        <w:tc>
          <w:tcPr>
            <w:tcW w:w="236" w:type="dxa"/>
            <w:tcBorders>
              <w:top w:val="nil"/>
              <w:left w:val="nil"/>
              <w:bottom w:val="nil"/>
              <w:right w:val="nil"/>
            </w:tcBorders>
            <w:shd w:val="clear" w:color="auto" w:fill="auto"/>
            <w:noWrap/>
            <w:vAlign w:val="center"/>
            <w:hideMark/>
          </w:tcPr>
          <w:p w14:paraId="65596639"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930" w:type="dxa"/>
            <w:tcBorders>
              <w:top w:val="nil"/>
              <w:left w:val="nil"/>
              <w:bottom w:val="nil"/>
              <w:right w:val="nil"/>
            </w:tcBorders>
            <w:shd w:val="clear" w:color="auto" w:fill="auto"/>
            <w:noWrap/>
            <w:vAlign w:val="center"/>
          </w:tcPr>
          <w:p w14:paraId="31B3944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-0.852</w:t>
            </w:r>
          </w:p>
        </w:tc>
        <w:tc>
          <w:tcPr>
            <w:tcW w:w="701" w:type="dxa"/>
            <w:tcBorders>
              <w:top w:val="nil"/>
              <w:left w:val="nil"/>
              <w:bottom w:val="nil"/>
              <w:right w:val="nil"/>
            </w:tcBorders>
            <w:shd w:val="clear" w:color="auto" w:fill="auto"/>
            <w:noWrap/>
            <w:vAlign w:val="center"/>
          </w:tcPr>
          <w:p w14:paraId="514BBC5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0.275</w:t>
            </w:r>
          </w:p>
        </w:tc>
        <w:tc>
          <w:tcPr>
            <w:tcW w:w="666" w:type="dxa"/>
            <w:tcBorders>
              <w:top w:val="nil"/>
              <w:left w:val="nil"/>
              <w:bottom w:val="nil"/>
              <w:right w:val="nil"/>
            </w:tcBorders>
            <w:shd w:val="clear" w:color="auto" w:fill="auto"/>
            <w:noWrap/>
            <w:vAlign w:val="center"/>
          </w:tcPr>
          <w:p w14:paraId="6184FB98"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0.007</w:t>
            </w:r>
          </w:p>
        </w:tc>
        <w:tc>
          <w:tcPr>
            <w:tcW w:w="222" w:type="dxa"/>
            <w:tcBorders>
              <w:top w:val="nil"/>
              <w:left w:val="nil"/>
              <w:bottom w:val="nil"/>
              <w:right w:val="nil"/>
            </w:tcBorders>
            <w:shd w:val="clear" w:color="auto" w:fill="auto"/>
            <w:noWrap/>
            <w:vAlign w:val="center"/>
          </w:tcPr>
          <w:p w14:paraId="45B4D394"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tcBorders>
              <w:top w:val="nil"/>
              <w:left w:val="nil"/>
              <w:bottom w:val="nil"/>
              <w:right w:val="nil"/>
            </w:tcBorders>
            <w:shd w:val="clear" w:color="auto" w:fill="auto"/>
            <w:noWrap/>
            <w:vAlign w:val="center"/>
          </w:tcPr>
          <w:p w14:paraId="4525BB0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-0.534</w:t>
            </w:r>
          </w:p>
        </w:tc>
        <w:tc>
          <w:tcPr>
            <w:tcW w:w="701" w:type="dxa"/>
            <w:tcBorders>
              <w:top w:val="nil"/>
              <w:left w:val="nil"/>
              <w:bottom w:val="nil"/>
              <w:right w:val="nil"/>
            </w:tcBorders>
            <w:shd w:val="clear" w:color="auto" w:fill="auto"/>
            <w:noWrap/>
            <w:vAlign w:val="center"/>
          </w:tcPr>
          <w:p w14:paraId="53856C8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0.250</w:t>
            </w:r>
          </w:p>
        </w:tc>
        <w:tc>
          <w:tcPr>
            <w:tcW w:w="666" w:type="dxa"/>
            <w:tcBorders>
              <w:top w:val="nil"/>
              <w:left w:val="nil"/>
              <w:bottom w:val="nil"/>
              <w:right w:val="nil"/>
            </w:tcBorders>
            <w:shd w:val="clear" w:color="auto" w:fill="auto"/>
            <w:noWrap/>
            <w:vAlign w:val="center"/>
          </w:tcPr>
          <w:p w14:paraId="40A0BD6C"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0.015</w:t>
            </w:r>
          </w:p>
        </w:tc>
        <w:tc>
          <w:tcPr>
            <w:tcW w:w="222" w:type="dxa"/>
            <w:tcBorders>
              <w:top w:val="nil"/>
              <w:left w:val="nil"/>
              <w:bottom w:val="nil"/>
              <w:right w:val="nil"/>
            </w:tcBorders>
            <w:shd w:val="clear" w:color="auto" w:fill="auto"/>
            <w:noWrap/>
            <w:vAlign w:val="center"/>
          </w:tcPr>
          <w:p w14:paraId="718FBE49"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tcBorders>
              <w:top w:val="nil"/>
              <w:left w:val="nil"/>
              <w:bottom w:val="nil"/>
              <w:right w:val="nil"/>
            </w:tcBorders>
            <w:shd w:val="clear" w:color="auto" w:fill="auto"/>
            <w:noWrap/>
            <w:vAlign w:val="center"/>
          </w:tcPr>
          <w:p w14:paraId="3283DF7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-0.282</w:t>
            </w:r>
          </w:p>
        </w:tc>
        <w:tc>
          <w:tcPr>
            <w:tcW w:w="701" w:type="dxa"/>
            <w:tcBorders>
              <w:top w:val="nil"/>
              <w:left w:val="nil"/>
              <w:bottom w:val="nil"/>
              <w:right w:val="nil"/>
            </w:tcBorders>
            <w:shd w:val="clear" w:color="auto" w:fill="auto"/>
            <w:noWrap/>
            <w:vAlign w:val="center"/>
          </w:tcPr>
          <w:p w14:paraId="0821D10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0.180</w:t>
            </w:r>
          </w:p>
        </w:tc>
        <w:tc>
          <w:tcPr>
            <w:tcW w:w="666" w:type="dxa"/>
            <w:tcBorders>
              <w:top w:val="nil"/>
              <w:left w:val="nil"/>
              <w:bottom w:val="nil"/>
              <w:right w:val="nil"/>
            </w:tcBorders>
            <w:shd w:val="clear" w:color="auto" w:fill="auto"/>
            <w:noWrap/>
            <w:vAlign w:val="center"/>
          </w:tcPr>
          <w:p w14:paraId="145D7EE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0.057</w:t>
            </w:r>
          </w:p>
        </w:tc>
        <w:tc>
          <w:tcPr>
            <w:tcW w:w="222" w:type="dxa"/>
            <w:tcBorders>
              <w:top w:val="nil"/>
              <w:left w:val="nil"/>
              <w:bottom w:val="nil"/>
              <w:right w:val="nil"/>
            </w:tcBorders>
            <w:shd w:val="clear" w:color="auto" w:fill="auto"/>
            <w:noWrap/>
            <w:vAlign w:val="center"/>
          </w:tcPr>
          <w:p w14:paraId="61D9E03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1070" w:type="dxa"/>
            <w:tcBorders>
              <w:top w:val="nil"/>
              <w:left w:val="nil"/>
              <w:bottom w:val="nil"/>
              <w:right w:val="nil"/>
            </w:tcBorders>
            <w:shd w:val="clear" w:color="auto" w:fill="auto"/>
            <w:noWrap/>
            <w:vAlign w:val="center"/>
          </w:tcPr>
          <w:p w14:paraId="7E7CAE8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-6.414</w:t>
            </w:r>
          </w:p>
        </w:tc>
        <w:tc>
          <w:tcPr>
            <w:tcW w:w="685" w:type="dxa"/>
            <w:tcBorders>
              <w:top w:val="nil"/>
              <w:left w:val="nil"/>
              <w:bottom w:val="nil"/>
              <w:right w:val="nil"/>
            </w:tcBorders>
            <w:shd w:val="clear" w:color="auto" w:fill="auto"/>
            <w:noWrap/>
            <w:vAlign w:val="center"/>
          </w:tcPr>
          <w:p w14:paraId="10410CA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0.145</w:t>
            </w:r>
          </w:p>
        </w:tc>
        <w:tc>
          <w:tcPr>
            <w:tcW w:w="687" w:type="dxa"/>
            <w:gridSpan w:val="2"/>
            <w:tcBorders>
              <w:top w:val="nil"/>
              <w:left w:val="nil"/>
              <w:bottom w:val="nil"/>
              <w:right w:val="nil"/>
            </w:tcBorders>
            <w:shd w:val="clear" w:color="auto" w:fill="auto"/>
            <w:noWrap/>
            <w:vAlign w:val="center"/>
          </w:tcPr>
          <w:p w14:paraId="2A8F036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0.068</w:t>
            </w:r>
          </w:p>
        </w:tc>
      </w:tr>
      <w:tr w:rsidR="0045296A" w:rsidRPr="00A80144" w14:paraId="4CF9B0DA" w14:textId="77777777" w:rsidTr="006D5746">
        <w:trPr>
          <w:trHeight w:val="95"/>
        </w:trPr>
        <w:tc>
          <w:tcPr>
            <w:tcW w:w="2504" w:type="dxa"/>
            <w:tcBorders>
              <w:top w:val="nil"/>
              <w:left w:val="nil"/>
              <w:bottom w:val="nil"/>
              <w:right w:val="nil"/>
            </w:tcBorders>
            <w:shd w:val="clear" w:color="auto" w:fill="auto"/>
            <w:vAlign w:val="center"/>
            <w:hideMark/>
          </w:tcPr>
          <w:p w14:paraId="715DD842" w14:textId="77777777" w:rsidR="0045296A" w:rsidRPr="00A80144"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813" w:type="dxa"/>
            <w:tcBorders>
              <w:top w:val="nil"/>
              <w:left w:val="nil"/>
              <w:bottom w:val="nil"/>
              <w:right w:val="nil"/>
            </w:tcBorders>
            <w:shd w:val="clear" w:color="auto" w:fill="auto"/>
            <w:noWrap/>
            <w:vAlign w:val="bottom"/>
            <w:hideMark/>
          </w:tcPr>
          <w:p w14:paraId="383E3FA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hideMark/>
          </w:tcPr>
          <w:p w14:paraId="471BF3CE"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hideMark/>
          </w:tcPr>
          <w:p w14:paraId="16650A6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tcBorders>
              <w:top w:val="nil"/>
              <w:left w:val="nil"/>
              <w:bottom w:val="nil"/>
              <w:right w:val="nil"/>
            </w:tcBorders>
            <w:shd w:val="clear" w:color="auto" w:fill="auto"/>
            <w:noWrap/>
            <w:vAlign w:val="bottom"/>
            <w:hideMark/>
          </w:tcPr>
          <w:p w14:paraId="3D4C6F07"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930" w:type="dxa"/>
            <w:tcBorders>
              <w:top w:val="nil"/>
              <w:left w:val="nil"/>
              <w:bottom w:val="nil"/>
              <w:right w:val="nil"/>
            </w:tcBorders>
            <w:shd w:val="clear" w:color="auto" w:fill="auto"/>
            <w:noWrap/>
            <w:vAlign w:val="bottom"/>
          </w:tcPr>
          <w:p w14:paraId="384C2B1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tcPr>
          <w:p w14:paraId="5D1D2EF9"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tcPr>
          <w:p w14:paraId="439FF3B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tcPr>
          <w:p w14:paraId="6A5513C9"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bottom"/>
          </w:tcPr>
          <w:p w14:paraId="5CE4E63A"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tcPr>
          <w:p w14:paraId="5461219A"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tcPr>
          <w:p w14:paraId="2D52E55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tcPr>
          <w:p w14:paraId="60341C2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bottom"/>
          </w:tcPr>
          <w:p w14:paraId="4A2817A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tcPr>
          <w:p w14:paraId="7F20FAB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tcPr>
          <w:p w14:paraId="2F3F71D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tcPr>
          <w:p w14:paraId="2FFFD91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1070" w:type="dxa"/>
            <w:tcBorders>
              <w:top w:val="nil"/>
              <w:left w:val="nil"/>
              <w:bottom w:val="nil"/>
              <w:right w:val="nil"/>
            </w:tcBorders>
            <w:shd w:val="clear" w:color="auto" w:fill="auto"/>
            <w:noWrap/>
            <w:vAlign w:val="bottom"/>
            <w:hideMark/>
          </w:tcPr>
          <w:p w14:paraId="05373A5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85" w:type="dxa"/>
            <w:tcBorders>
              <w:top w:val="nil"/>
              <w:left w:val="nil"/>
              <w:bottom w:val="nil"/>
              <w:right w:val="nil"/>
            </w:tcBorders>
            <w:shd w:val="clear" w:color="auto" w:fill="auto"/>
            <w:noWrap/>
            <w:vAlign w:val="bottom"/>
            <w:hideMark/>
          </w:tcPr>
          <w:p w14:paraId="32C5FB4A"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87" w:type="dxa"/>
            <w:gridSpan w:val="2"/>
            <w:tcBorders>
              <w:top w:val="nil"/>
              <w:left w:val="nil"/>
              <w:bottom w:val="nil"/>
              <w:right w:val="nil"/>
            </w:tcBorders>
            <w:shd w:val="clear" w:color="auto" w:fill="auto"/>
            <w:noWrap/>
            <w:vAlign w:val="bottom"/>
            <w:hideMark/>
          </w:tcPr>
          <w:p w14:paraId="70461DFF"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r>
      <w:tr w:rsidR="0045296A" w:rsidRPr="004D4FE5" w14:paraId="6DF80220" w14:textId="77777777" w:rsidTr="006D5746">
        <w:trPr>
          <w:trHeight w:val="315"/>
        </w:trPr>
        <w:tc>
          <w:tcPr>
            <w:tcW w:w="4018" w:type="dxa"/>
            <w:gridSpan w:val="3"/>
            <w:tcBorders>
              <w:top w:val="nil"/>
              <w:left w:val="nil"/>
              <w:bottom w:val="nil"/>
              <w:right w:val="nil"/>
            </w:tcBorders>
            <w:shd w:val="clear" w:color="auto" w:fill="auto"/>
            <w:noWrap/>
            <w:vAlign w:val="bottom"/>
            <w:hideMark/>
          </w:tcPr>
          <w:p w14:paraId="220286B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Model 2 (Date PET-CT and HOMA-IR)</w:t>
            </w:r>
          </w:p>
        </w:tc>
        <w:tc>
          <w:tcPr>
            <w:tcW w:w="666" w:type="dxa"/>
            <w:tcBorders>
              <w:top w:val="nil"/>
              <w:left w:val="nil"/>
              <w:bottom w:val="nil"/>
              <w:right w:val="nil"/>
            </w:tcBorders>
            <w:shd w:val="clear" w:color="auto" w:fill="auto"/>
            <w:noWrap/>
            <w:vAlign w:val="bottom"/>
            <w:hideMark/>
          </w:tcPr>
          <w:p w14:paraId="55F70D6B"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tcBorders>
              <w:top w:val="nil"/>
              <w:left w:val="nil"/>
              <w:bottom w:val="nil"/>
              <w:right w:val="nil"/>
            </w:tcBorders>
            <w:shd w:val="clear" w:color="auto" w:fill="auto"/>
            <w:noWrap/>
            <w:vAlign w:val="bottom"/>
            <w:hideMark/>
          </w:tcPr>
          <w:p w14:paraId="01CAB42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930" w:type="dxa"/>
            <w:tcBorders>
              <w:top w:val="nil"/>
              <w:left w:val="nil"/>
              <w:bottom w:val="nil"/>
              <w:right w:val="nil"/>
            </w:tcBorders>
            <w:shd w:val="clear" w:color="auto" w:fill="auto"/>
            <w:noWrap/>
            <w:vAlign w:val="bottom"/>
          </w:tcPr>
          <w:p w14:paraId="586D7CA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tcPr>
          <w:p w14:paraId="7B53052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tcPr>
          <w:p w14:paraId="3AF8AF43"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hideMark/>
          </w:tcPr>
          <w:p w14:paraId="716862F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bottom"/>
            <w:hideMark/>
          </w:tcPr>
          <w:p w14:paraId="4CA8D44D"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hideMark/>
          </w:tcPr>
          <w:p w14:paraId="03E5678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hideMark/>
          </w:tcPr>
          <w:p w14:paraId="12C0E8C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hideMark/>
          </w:tcPr>
          <w:p w14:paraId="0DADF7A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bottom"/>
            <w:hideMark/>
          </w:tcPr>
          <w:p w14:paraId="660181D9"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hideMark/>
          </w:tcPr>
          <w:p w14:paraId="62DF620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hideMark/>
          </w:tcPr>
          <w:p w14:paraId="2EC0C4F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hideMark/>
          </w:tcPr>
          <w:p w14:paraId="34502AF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1070" w:type="dxa"/>
            <w:tcBorders>
              <w:top w:val="nil"/>
              <w:left w:val="nil"/>
              <w:bottom w:val="nil"/>
              <w:right w:val="nil"/>
            </w:tcBorders>
            <w:shd w:val="clear" w:color="auto" w:fill="auto"/>
            <w:noWrap/>
            <w:vAlign w:val="bottom"/>
            <w:hideMark/>
          </w:tcPr>
          <w:p w14:paraId="028C2DC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85" w:type="dxa"/>
            <w:tcBorders>
              <w:top w:val="nil"/>
              <w:left w:val="nil"/>
              <w:bottom w:val="nil"/>
              <w:right w:val="nil"/>
            </w:tcBorders>
            <w:shd w:val="clear" w:color="auto" w:fill="auto"/>
            <w:noWrap/>
            <w:vAlign w:val="bottom"/>
            <w:hideMark/>
          </w:tcPr>
          <w:p w14:paraId="56C4F70B"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87" w:type="dxa"/>
            <w:gridSpan w:val="2"/>
            <w:tcBorders>
              <w:top w:val="nil"/>
              <w:left w:val="nil"/>
              <w:bottom w:val="nil"/>
              <w:right w:val="nil"/>
            </w:tcBorders>
            <w:shd w:val="clear" w:color="auto" w:fill="auto"/>
            <w:noWrap/>
            <w:vAlign w:val="bottom"/>
            <w:hideMark/>
          </w:tcPr>
          <w:p w14:paraId="5D465356"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r>
      <w:tr w:rsidR="0045296A" w:rsidRPr="00A80144" w14:paraId="42C5FA6D" w14:textId="77777777" w:rsidTr="006D5746">
        <w:trPr>
          <w:trHeight w:val="315"/>
        </w:trPr>
        <w:tc>
          <w:tcPr>
            <w:tcW w:w="2504" w:type="dxa"/>
            <w:tcBorders>
              <w:top w:val="nil"/>
              <w:left w:val="nil"/>
              <w:bottom w:val="nil"/>
              <w:right w:val="nil"/>
            </w:tcBorders>
            <w:shd w:val="clear" w:color="auto" w:fill="auto"/>
            <w:vAlign w:val="center"/>
            <w:hideMark/>
          </w:tcPr>
          <w:p w14:paraId="5E767771"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BAT volume</w:t>
            </w:r>
          </w:p>
        </w:tc>
        <w:tc>
          <w:tcPr>
            <w:tcW w:w="813" w:type="dxa"/>
            <w:tcBorders>
              <w:top w:val="nil"/>
              <w:left w:val="nil"/>
              <w:bottom w:val="nil"/>
              <w:right w:val="nil"/>
            </w:tcBorders>
            <w:shd w:val="clear" w:color="auto" w:fill="auto"/>
            <w:noWrap/>
            <w:vAlign w:val="center"/>
            <w:hideMark/>
          </w:tcPr>
          <w:p w14:paraId="01D1009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0.036</w:t>
            </w:r>
          </w:p>
        </w:tc>
        <w:tc>
          <w:tcPr>
            <w:tcW w:w="701" w:type="dxa"/>
            <w:tcBorders>
              <w:top w:val="nil"/>
              <w:left w:val="nil"/>
              <w:bottom w:val="nil"/>
              <w:right w:val="nil"/>
            </w:tcBorders>
            <w:shd w:val="clear" w:color="auto" w:fill="auto"/>
            <w:noWrap/>
            <w:vAlign w:val="center"/>
            <w:hideMark/>
          </w:tcPr>
          <w:p w14:paraId="4A10993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0.610</w:t>
            </w:r>
          </w:p>
        </w:tc>
        <w:tc>
          <w:tcPr>
            <w:tcW w:w="666" w:type="dxa"/>
            <w:tcBorders>
              <w:top w:val="nil"/>
              <w:left w:val="nil"/>
              <w:bottom w:val="nil"/>
              <w:right w:val="nil"/>
            </w:tcBorders>
            <w:shd w:val="clear" w:color="auto" w:fill="auto"/>
            <w:noWrap/>
            <w:vAlign w:val="center"/>
            <w:hideMark/>
          </w:tcPr>
          <w:p w14:paraId="79D1BBB3"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0.001</w:t>
            </w:r>
          </w:p>
        </w:tc>
        <w:tc>
          <w:tcPr>
            <w:tcW w:w="236" w:type="dxa"/>
            <w:tcBorders>
              <w:top w:val="nil"/>
              <w:left w:val="nil"/>
              <w:bottom w:val="nil"/>
              <w:right w:val="nil"/>
            </w:tcBorders>
            <w:shd w:val="clear" w:color="auto" w:fill="auto"/>
            <w:noWrap/>
            <w:vAlign w:val="center"/>
            <w:hideMark/>
          </w:tcPr>
          <w:p w14:paraId="7E1ABD22"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930" w:type="dxa"/>
            <w:tcBorders>
              <w:top w:val="nil"/>
              <w:left w:val="nil"/>
              <w:bottom w:val="nil"/>
              <w:right w:val="nil"/>
            </w:tcBorders>
            <w:shd w:val="clear" w:color="auto" w:fill="auto"/>
            <w:noWrap/>
            <w:vAlign w:val="center"/>
          </w:tcPr>
          <w:p w14:paraId="62D6ABF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0.071</w:t>
            </w:r>
          </w:p>
        </w:tc>
        <w:tc>
          <w:tcPr>
            <w:tcW w:w="701" w:type="dxa"/>
            <w:tcBorders>
              <w:top w:val="nil"/>
              <w:left w:val="nil"/>
              <w:bottom w:val="nil"/>
              <w:right w:val="nil"/>
            </w:tcBorders>
            <w:shd w:val="clear" w:color="auto" w:fill="auto"/>
            <w:noWrap/>
            <w:vAlign w:val="center"/>
          </w:tcPr>
          <w:p w14:paraId="60905B9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0.434</w:t>
            </w:r>
          </w:p>
        </w:tc>
        <w:tc>
          <w:tcPr>
            <w:tcW w:w="666" w:type="dxa"/>
            <w:tcBorders>
              <w:top w:val="nil"/>
              <w:left w:val="nil"/>
              <w:bottom w:val="nil"/>
              <w:right w:val="nil"/>
            </w:tcBorders>
            <w:shd w:val="clear" w:color="auto" w:fill="auto"/>
            <w:noWrap/>
            <w:vAlign w:val="center"/>
          </w:tcPr>
          <w:p w14:paraId="1D161ABA"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0.041</w:t>
            </w:r>
          </w:p>
        </w:tc>
        <w:tc>
          <w:tcPr>
            <w:tcW w:w="222" w:type="dxa"/>
            <w:tcBorders>
              <w:top w:val="nil"/>
              <w:left w:val="nil"/>
              <w:bottom w:val="nil"/>
              <w:right w:val="nil"/>
            </w:tcBorders>
            <w:shd w:val="clear" w:color="auto" w:fill="auto"/>
            <w:noWrap/>
            <w:vAlign w:val="center"/>
            <w:hideMark/>
          </w:tcPr>
          <w:p w14:paraId="740C22D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center"/>
            <w:hideMark/>
          </w:tcPr>
          <w:p w14:paraId="10A27B9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0.071</w:t>
            </w:r>
          </w:p>
        </w:tc>
        <w:tc>
          <w:tcPr>
            <w:tcW w:w="701" w:type="dxa"/>
            <w:tcBorders>
              <w:top w:val="nil"/>
              <w:left w:val="nil"/>
              <w:bottom w:val="nil"/>
              <w:right w:val="nil"/>
            </w:tcBorders>
            <w:shd w:val="clear" w:color="auto" w:fill="auto"/>
            <w:noWrap/>
            <w:vAlign w:val="center"/>
            <w:hideMark/>
          </w:tcPr>
          <w:p w14:paraId="446AFFC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0.574</w:t>
            </w:r>
          </w:p>
        </w:tc>
        <w:tc>
          <w:tcPr>
            <w:tcW w:w="666" w:type="dxa"/>
            <w:tcBorders>
              <w:top w:val="nil"/>
              <w:left w:val="nil"/>
              <w:bottom w:val="nil"/>
              <w:right w:val="nil"/>
            </w:tcBorders>
            <w:shd w:val="clear" w:color="auto" w:fill="auto"/>
            <w:noWrap/>
            <w:vAlign w:val="center"/>
            <w:hideMark/>
          </w:tcPr>
          <w:p w14:paraId="57E36589"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0.002</w:t>
            </w:r>
          </w:p>
        </w:tc>
        <w:tc>
          <w:tcPr>
            <w:tcW w:w="222" w:type="dxa"/>
            <w:tcBorders>
              <w:top w:val="nil"/>
              <w:left w:val="nil"/>
              <w:bottom w:val="nil"/>
              <w:right w:val="nil"/>
            </w:tcBorders>
            <w:shd w:val="clear" w:color="auto" w:fill="auto"/>
            <w:noWrap/>
            <w:vAlign w:val="center"/>
            <w:hideMark/>
          </w:tcPr>
          <w:p w14:paraId="49BB165B"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tcBorders>
              <w:top w:val="nil"/>
              <w:left w:val="nil"/>
              <w:bottom w:val="nil"/>
              <w:right w:val="nil"/>
            </w:tcBorders>
            <w:shd w:val="clear" w:color="auto" w:fill="auto"/>
            <w:noWrap/>
            <w:vAlign w:val="center"/>
            <w:hideMark/>
          </w:tcPr>
          <w:p w14:paraId="295575E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0.057</w:t>
            </w:r>
          </w:p>
        </w:tc>
        <w:tc>
          <w:tcPr>
            <w:tcW w:w="701" w:type="dxa"/>
            <w:tcBorders>
              <w:top w:val="nil"/>
              <w:left w:val="nil"/>
              <w:bottom w:val="nil"/>
              <w:right w:val="nil"/>
            </w:tcBorders>
            <w:shd w:val="clear" w:color="auto" w:fill="auto"/>
            <w:noWrap/>
            <w:vAlign w:val="center"/>
            <w:hideMark/>
          </w:tcPr>
          <w:p w14:paraId="4E9803E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0.507</w:t>
            </w:r>
          </w:p>
        </w:tc>
        <w:tc>
          <w:tcPr>
            <w:tcW w:w="666" w:type="dxa"/>
            <w:tcBorders>
              <w:top w:val="nil"/>
              <w:left w:val="nil"/>
              <w:bottom w:val="nil"/>
              <w:right w:val="nil"/>
            </w:tcBorders>
            <w:shd w:val="clear" w:color="auto" w:fill="auto"/>
            <w:noWrap/>
            <w:vAlign w:val="center"/>
            <w:hideMark/>
          </w:tcPr>
          <w:p w14:paraId="38DA22C9"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0.001</w:t>
            </w:r>
          </w:p>
        </w:tc>
        <w:tc>
          <w:tcPr>
            <w:tcW w:w="222" w:type="dxa"/>
            <w:tcBorders>
              <w:top w:val="nil"/>
              <w:left w:val="nil"/>
              <w:bottom w:val="nil"/>
              <w:right w:val="nil"/>
            </w:tcBorders>
            <w:shd w:val="clear" w:color="auto" w:fill="auto"/>
            <w:noWrap/>
            <w:vAlign w:val="center"/>
            <w:hideMark/>
          </w:tcPr>
          <w:p w14:paraId="23755482"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1070" w:type="dxa"/>
            <w:tcBorders>
              <w:top w:val="nil"/>
              <w:left w:val="nil"/>
              <w:bottom w:val="nil"/>
              <w:right w:val="nil"/>
            </w:tcBorders>
            <w:shd w:val="clear" w:color="auto" w:fill="auto"/>
            <w:noWrap/>
            <w:vAlign w:val="center"/>
            <w:hideMark/>
          </w:tcPr>
          <w:p w14:paraId="6737D0B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1.022</w:t>
            </w:r>
          </w:p>
        </w:tc>
        <w:tc>
          <w:tcPr>
            <w:tcW w:w="685" w:type="dxa"/>
            <w:tcBorders>
              <w:top w:val="nil"/>
              <w:left w:val="nil"/>
              <w:bottom w:val="nil"/>
              <w:right w:val="nil"/>
            </w:tcBorders>
            <w:shd w:val="clear" w:color="auto" w:fill="auto"/>
            <w:noWrap/>
            <w:vAlign w:val="center"/>
            <w:hideMark/>
          </w:tcPr>
          <w:p w14:paraId="6350213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0.542</w:t>
            </w:r>
          </w:p>
        </w:tc>
        <w:tc>
          <w:tcPr>
            <w:tcW w:w="687" w:type="dxa"/>
            <w:gridSpan w:val="2"/>
            <w:tcBorders>
              <w:top w:val="nil"/>
              <w:left w:val="nil"/>
              <w:bottom w:val="nil"/>
              <w:right w:val="nil"/>
            </w:tcBorders>
            <w:shd w:val="clear" w:color="auto" w:fill="auto"/>
            <w:noWrap/>
            <w:vAlign w:val="center"/>
            <w:hideMark/>
          </w:tcPr>
          <w:p w14:paraId="14169E5C"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0.006</w:t>
            </w:r>
          </w:p>
        </w:tc>
      </w:tr>
      <w:tr w:rsidR="0045296A" w:rsidRPr="00A80144" w14:paraId="31598EA2" w14:textId="77777777" w:rsidTr="006D5746">
        <w:trPr>
          <w:trHeight w:val="315"/>
        </w:trPr>
        <w:tc>
          <w:tcPr>
            <w:tcW w:w="2504" w:type="dxa"/>
            <w:tcBorders>
              <w:top w:val="nil"/>
              <w:left w:val="nil"/>
              <w:bottom w:val="nil"/>
              <w:right w:val="nil"/>
            </w:tcBorders>
            <w:shd w:val="clear" w:color="auto" w:fill="auto"/>
            <w:vAlign w:val="center"/>
            <w:hideMark/>
          </w:tcPr>
          <w:p w14:paraId="4024FA9E"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BAT SUVmean</w:t>
            </w:r>
          </w:p>
        </w:tc>
        <w:tc>
          <w:tcPr>
            <w:tcW w:w="813" w:type="dxa"/>
            <w:tcBorders>
              <w:top w:val="nil"/>
              <w:left w:val="nil"/>
              <w:bottom w:val="nil"/>
              <w:right w:val="nil"/>
            </w:tcBorders>
            <w:shd w:val="clear" w:color="auto" w:fill="auto"/>
            <w:noWrap/>
            <w:vAlign w:val="center"/>
            <w:hideMark/>
          </w:tcPr>
          <w:p w14:paraId="65AF632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-0.139</w:t>
            </w:r>
          </w:p>
        </w:tc>
        <w:tc>
          <w:tcPr>
            <w:tcW w:w="701" w:type="dxa"/>
            <w:tcBorders>
              <w:top w:val="nil"/>
              <w:left w:val="nil"/>
              <w:bottom w:val="nil"/>
              <w:right w:val="nil"/>
            </w:tcBorders>
            <w:shd w:val="clear" w:color="auto" w:fill="auto"/>
            <w:noWrap/>
            <w:vAlign w:val="center"/>
            <w:hideMark/>
          </w:tcPr>
          <w:p w14:paraId="147AB9C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0.473</w:t>
            </w:r>
          </w:p>
        </w:tc>
        <w:tc>
          <w:tcPr>
            <w:tcW w:w="666" w:type="dxa"/>
            <w:tcBorders>
              <w:top w:val="nil"/>
              <w:left w:val="nil"/>
              <w:bottom w:val="nil"/>
              <w:right w:val="nil"/>
            </w:tcBorders>
            <w:shd w:val="clear" w:color="auto" w:fill="auto"/>
            <w:noWrap/>
            <w:vAlign w:val="center"/>
            <w:hideMark/>
          </w:tcPr>
          <w:p w14:paraId="4335405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0.885</w:t>
            </w:r>
          </w:p>
        </w:tc>
        <w:tc>
          <w:tcPr>
            <w:tcW w:w="236" w:type="dxa"/>
            <w:tcBorders>
              <w:top w:val="nil"/>
              <w:left w:val="nil"/>
              <w:bottom w:val="nil"/>
              <w:right w:val="nil"/>
            </w:tcBorders>
            <w:shd w:val="clear" w:color="auto" w:fill="auto"/>
            <w:noWrap/>
            <w:vAlign w:val="center"/>
            <w:hideMark/>
          </w:tcPr>
          <w:p w14:paraId="6CF1FC8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930" w:type="dxa"/>
            <w:tcBorders>
              <w:top w:val="nil"/>
              <w:left w:val="nil"/>
              <w:bottom w:val="nil"/>
              <w:right w:val="nil"/>
            </w:tcBorders>
            <w:shd w:val="clear" w:color="auto" w:fill="auto"/>
            <w:noWrap/>
            <w:vAlign w:val="center"/>
          </w:tcPr>
          <w:p w14:paraId="1A72C13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-3.602</w:t>
            </w:r>
          </w:p>
        </w:tc>
        <w:tc>
          <w:tcPr>
            <w:tcW w:w="701" w:type="dxa"/>
            <w:tcBorders>
              <w:top w:val="nil"/>
              <w:left w:val="nil"/>
              <w:bottom w:val="nil"/>
              <w:right w:val="nil"/>
            </w:tcBorders>
            <w:shd w:val="clear" w:color="auto" w:fill="auto"/>
            <w:noWrap/>
            <w:vAlign w:val="center"/>
          </w:tcPr>
          <w:p w14:paraId="3F6ADE3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0.393</w:t>
            </w:r>
          </w:p>
        </w:tc>
        <w:tc>
          <w:tcPr>
            <w:tcW w:w="666" w:type="dxa"/>
            <w:tcBorders>
              <w:top w:val="nil"/>
              <w:left w:val="nil"/>
              <w:bottom w:val="nil"/>
              <w:right w:val="nil"/>
            </w:tcBorders>
            <w:shd w:val="clear" w:color="auto" w:fill="auto"/>
            <w:noWrap/>
            <w:vAlign w:val="center"/>
          </w:tcPr>
          <w:p w14:paraId="01DB437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0.218</w:t>
            </w:r>
          </w:p>
        </w:tc>
        <w:tc>
          <w:tcPr>
            <w:tcW w:w="222" w:type="dxa"/>
            <w:tcBorders>
              <w:top w:val="nil"/>
              <w:left w:val="nil"/>
              <w:bottom w:val="nil"/>
              <w:right w:val="nil"/>
            </w:tcBorders>
            <w:shd w:val="clear" w:color="auto" w:fill="auto"/>
            <w:noWrap/>
            <w:vAlign w:val="center"/>
            <w:hideMark/>
          </w:tcPr>
          <w:p w14:paraId="53B7E62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center"/>
            <w:hideMark/>
          </w:tcPr>
          <w:p w14:paraId="5105294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-0.193</w:t>
            </w:r>
          </w:p>
        </w:tc>
        <w:tc>
          <w:tcPr>
            <w:tcW w:w="701" w:type="dxa"/>
            <w:tcBorders>
              <w:top w:val="nil"/>
              <w:left w:val="nil"/>
              <w:bottom w:val="nil"/>
              <w:right w:val="nil"/>
            </w:tcBorders>
            <w:shd w:val="clear" w:color="auto" w:fill="auto"/>
            <w:noWrap/>
            <w:vAlign w:val="center"/>
            <w:hideMark/>
          </w:tcPr>
          <w:p w14:paraId="4E0E7C9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0.450</w:t>
            </w:r>
          </w:p>
        </w:tc>
        <w:tc>
          <w:tcPr>
            <w:tcW w:w="666" w:type="dxa"/>
            <w:tcBorders>
              <w:top w:val="nil"/>
              <w:left w:val="nil"/>
              <w:bottom w:val="nil"/>
              <w:right w:val="nil"/>
            </w:tcBorders>
            <w:shd w:val="clear" w:color="auto" w:fill="auto"/>
            <w:noWrap/>
            <w:vAlign w:val="center"/>
            <w:hideMark/>
          </w:tcPr>
          <w:p w14:paraId="1CCE6BD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0.923</w:t>
            </w:r>
          </w:p>
        </w:tc>
        <w:tc>
          <w:tcPr>
            <w:tcW w:w="222" w:type="dxa"/>
            <w:tcBorders>
              <w:top w:val="nil"/>
              <w:left w:val="nil"/>
              <w:bottom w:val="nil"/>
              <w:right w:val="nil"/>
            </w:tcBorders>
            <w:shd w:val="clear" w:color="auto" w:fill="auto"/>
            <w:noWrap/>
            <w:vAlign w:val="center"/>
            <w:hideMark/>
          </w:tcPr>
          <w:p w14:paraId="360D1AA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center"/>
            <w:hideMark/>
          </w:tcPr>
          <w:p w14:paraId="2FC3A3C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0.744</w:t>
            </w:r>
          </w:p>
        </w:tc>
        <w:tc>
          <w:tcPr>
            <w:tcW w:w="701" w:type="dxa"/>
            <w:tcBorders>
              <w:top w:val="nil"/>
              <w:left w:val="nil"/>
              <w:bottom w:val="nil"/>
              <w:right w:val="nil"/>
            </w:tcBorders>
            <w:shd w:val="clear" w:color="auto" w:fill="auto"/>
            <w:noWrap/>
            <w:vAlign w:val="center"/>
            <w:hideMark/>
          </w:tcPr>
          <w:p w14:paraId="7F6EC47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0.338</w:t>
            </w:r>
          </w:p>
        </w:tc>
        <w:tc>
          <w:tcPr>
            <w:tcW w:w="666" w:type="dxa"/>
            <w:tcBorders>
              <w:top w:val="nil"/>
              <w:left w:val="nil"/>
              <w:bottom w:val="nil"/>
              <w:right w:val="nil"/>
            </w:tcBorders>
            <w:shd w:val="clear" w:color="auto" w:fill="auto"/>
            <w:noWrap/>
            <w:vAlign w:val="center"/>
            <w:hideMark/>
          </w:tcPr>
          <w:p w14:paraId="5774B5E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0.620</w:t>
            </w:r>
          </w:p>
        </w:tc>
        <w:tc>
          <w:tcPr>
            <w:tcW w:w="222" w:type="dxa"/>
            <w:tcBorders>
              <w:top w:val="nil"/>
              <w:left w:val="nil"/>
              <w:bottom w:val="nil"/>
              <w:right w:val="nil"/>
            </w:tcBorders>
            <w:shd w:val="clear" w:color="auto" w:fill="auto"/>
            <w:noWrap/>
            <w:vAlign w:val="center"/>
            <w:hideMark/>
          </w:tcPr>
          <w:p w14:paraId="3373CF5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1070" w:type="dxa"/>
            <w:tcBorders>
              <w:top w:val="nil"/>
              <w:left w:val="nil"/>
              <w:bottom w:val="nil"/>
              <w:right w:val="nil"/>
            </w:tcBorders>
            <w:shd w:val="clear" w:color="auto" w:fill="auto"/>
            <w:noWrap/>
            <w:vAlign w:val="center"/>
            <w:hideMark/>
          </w:tcPr>
          <w:p w14:paraId="7CE6F83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-13.109</w:t>
            </w:r>
          </w:p>
        </w:tc>
        <w:tc>
          <w:tcPr>
            <w:tcW w:w="685" w:type="dxa"/>
            <w:tcBorders>
              <w:top w:val="nil"/>
              <w:left w:val="nil"/>
              <w:bottom w:val="nil"/>
              <w:right w:val="nil"/>
            </w:tcBorders>
            <w:shd w:val="clear" w:color="auto" w:fill="auto"/>
            <w:noWrap/>
            <w:vAlign w:val="center"/>
            <w:hideMark/>
          </w:tcPr>
          <w:p w14:paraId="43CCBF6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0.443</w:t>
            </w:r>
          </w:p>
        </w:tc>
        <w:tc>
          <w:tcPr>
            <w:tcW w:w="687" w:type="dxa"/>
            <w:gridSpan w:val="2"/>
            <w:tcBorders>
              <w:top w:val="nil"/>
              <w:left w:val="nil"/>
              <w:bottom w:val="nil"/>
              <w:right w:val="nil"/>
            </w:tcBorders>
            <w:shd w:val="clear" w:color="auto" w:fill="auto"/>
            <w:noWrap/>
            <w:vAlign w:val="center"/>
            <w:hideMark/>
          </w:tcPr>
          <w:p w14:paraId="20D89F0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0.684</w:t>
            </w:r>
          </w:p>
        </w:tc>
      </w:tr>
      <w:tr w:rsidR="0045296A" w:rsidRPr="00A80144" w14:paraId="7E9D1155" w14:textId="77777777" w:rsidTr="006D5746">
        <w:trPr>
          <w:trHeight w:val="315"/>
        </w:trPr>
        <w:tc>
          <w:tcPr>
            <w:tcW w:w="2504" w:type="dxa"/>
            <w:tcBorders>
              <w:top w:val="nil"/>
              <w:left w:val="nil"/>
              <w:bottom w:val="nil"/>
              <w:right w:val="nil"/>
            </w:tcBorders>
            <w:shd w:val="clear" w:color="auto" w:fill="auto"/>
            <w:vAlign w:val="center"/>
            <w:hideMark/>
          </w:tcPr>
          <w:p w14:paraId="53C1B471"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BAT SUVpeak</w:t>
            </w:r>
          </w:p>
        </w:tc>
        <w:tc>
          <w:tcPr>
            <w:tcW w:w="813" w:type="dxa"/>
            <w:tcBorders>
              <w:top w:val="nil"/>
              <w:left w:val="nil"/>
              <w:bottom w:val="nil"/>
              <w:right w:val="nil"/>
            </w:tcBorders>
            <w:shd w:val="clear" w:color="auto" w:fill="auto"/>
            <w:noWrap/>
            <w:vAlign w:val="center"/>
            <w:hideMark/>
          </w:tcPr>
          <w:p w14:paraId="493439D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0.112</w:t>
            </w:r>
          </w:p>
        </w:tc>
        <w:tc>
          <w:tcPr>
            <w:tcW w:w="701" w:type="dxa"/>
            <w:tcBorders>
              <w:top w:val="nil"/>
              <w:left w:val="nil"/>
              <w:bottom w:val="nil"/>
              <w:right w:val="nil"/>
            </w:tcBorders>
            <w:shd w:val="clear" w:color="auto" w:fill="auto"/>
            <w:noWrap/>
            <w:vAlign w:val="center"/>
            <w:hideMark/>
          </w:tcPr>
          <w:p w14:paraId="739C422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0.479</w:t>
            </w:r>
          </w:p>
        </w:tc>
        <w:tc>
          <w:tcPr>
            <w:tcW w:w="666" w:type="dxa"/>
            <w:tcBorders>
              <w:top w:val="nil"/>
              <w:left w:val="nil"/>
              <w:bottom w:val="nil"/>
              <w:right w:val="nil"/>
            </w:tcBorders>
            <w:shd w:val="clear" w:color="auto" w:fill="auto"/>
            <w:noWrap/>
            <w:vAlign w:val="center"/>
            <w:hideMark/>
          </w:tcPr>
          <w:p w14:paraId="4CA1AEF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0.509</w:t>
            </w:r>
          </w:p>
        </w:tc>
        <w:tc>
          <w:tcPr>
            <w:tcW w:w="236" w:type="dxa"/>
            <w:tcBorders>
              <w:top w:val="nil"/>
              <w:left w:val="nil"/>
              <w:bottom w:val="nil"/>
              <w:right w:val="nil"/>
            </w:tcBorders>
            <w:shd w:val="clear" w:color="auto" w:fill="auto"/>
            <w:noWrap/>
            <w:vAlign w:val="center"/>
            <w:hideMark/>
          </w:tcPr>
          <w:p w14:paraId="71C26F4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930" w:type="dxa"/>
            <w:tcBorders>
              <w:top w:val="nil"/>
              <w:left w:val="nil"/>
              <w:bottom w:val="nil"/>
              <w:right w:val="nil"/>
            </w:tcBorders>
            <w:shd w:val="clear" w:color="auto" w:fill="auto"/>
            <w:noWrap/>
            <w:vAlign w:val="center"/>
          </w:tcPr>
          <w:p w14:paraId="4B33FB6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-0.327</w:t>
            </w:r>
          </w:p>
        </w:tc>
        <w:tc>
          <w:tcPr>
            <w:tcW w:w="701" w:type="dxa"/>
            <w:tcBorders>
              <w:top w:val="nil"/>
              <w:left w:val="nil"/>
              <w:bottom w:val="nil"/>
              <w:right w:val="nil"/>
            </w:tcBorders>
            <w:shd w:val="clear" w:color="auto" w:fill="auto"/>
            <w:noWrap/>
            <w:vAlign w:val="center"/>
          </w:tcPr>
          <w:p w14:paraId="2440FED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0.374</w:t>
            </w:r>
          </w:p>
        </w:tc>
        <w:tc>
          <w:tcPr>
            <w:tcW w:w="666" w:type="dxa"/>
            <w:tcBorders>
              <w:top w:val="nil"/>
              <w:left w:val="nil"/>
              <w:bottom w:val="nil"/>
              <w:right w:val="nil"/>
            </w:tcBorders>
            <w:shd w:val="clear" w:color="auto" w:fill="auto"/>
            <w:noWrap/>
            <w:vAlign w:val="center"/>
          </w:tcPr>
          <w:p w14:paraId="6C7CE56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0.532</w:t>
            </w:r>
          </w:p>
        </w:tc>
        <w:tc>
          <w:tcPr>
            <w:tcW w:w="222" w:type="dxa"/>
            <w:tcBorders>
              <w:top w:val="nil"/>
              <w:left w:val="nil"/>
              <w:bottom w:val="nil"/>
              <w:right w:val="nil"/>
            </w:tcBorders>
            <w:shd w:val="clear" w:color="auto" w:fill="auto"/>
            <w:noWrap/>
            <w:vAlign w:val="center"/>
            <w:hideMark/>
          </w:tcPr>
          <w:p w14:paraId="0E78965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center"/>
            <w:hideMark/>
          </w:tcPr>
          <w:p w14:paraId="432BD12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0.122</w:t>
            </w:r>
          </w:p>
        </w:tc>
        <w:tc>
          <w:tcPr>
            <w:tcW w:w="701" w:type="dxa"/>
            <w:tcBorders>
              <w:top w:val="nil"/>
              <w:left w:val="nil"/>
              <w:bottom w:val="nil"/>
              <w:right w:val="nil"/>
            </w:tcBorders>
            <w:shd w:val="clear" w:color="auto" w:fill="auto"/>
            <w:noWrap/>
            <w:vAlign w:val="center"/>
            <w:hideMark/>
          </w:tcPr>
          <w:p w14:paraId="0302DD2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0.452</w:t>
            </w:r>
          </w:p>
        </w:tc>
        <w:tc>
          <w:tcPr>
            <w:tcW w:w="666" w:type="dxa"/>
            <w:tcBorders>
              <w:top w:val="nil"/>
              <w:left w:val="nil"/>
              <w:bottom w:val="nil"/>
              <w:right w:val="nil"/>
            </w:tcBorders>
            <w:shd w:val="clear" w:color="auto" w:fill="auto"/>
            <w:noWrap/>
            <w:vAlign w:val="center"/>
            <w:hideMark/>
          </w:tcPr>
          <w:p w14:paraId="1FEB8FF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0.731</w:t>
            </w:r>
          </w:p>
        </w:tc>
        <w:tc>
          <w:tcPr>
            <w:tcW w:w="222" w:type="dxa"/>
            <w:tcBorders>
              <w:top w:val="nil"/>
              <w:left w:val="nil"/>
              <w:bottom w:val="nil"/>
              <w:right w:val="nil"/>
            </w:tcBorders>
            <w:shd w:val="clear" w:color="auto" w:fill="auto"/>
            <w:noWrap/>
            <w:vAlign w:val="center"/>
            <w:hideMark/>
          </w:tcPr>
          <w:p w14:paraId="2AFECC4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center"/>
            <w:hideMark/>
          </w:tcPr>
          <w:p w14:paraId="0BF0811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0.205</w:t>
            </w:r>
          </w:p>
        </w:tc>
        <w:tc>
          <w:tcPr>
            <w:tcW w:w="701" w:type="dxa"/>
            <w:tcBorders>
              <w:top w:val="nil"/>
              <w:left w:val="nil"/>
              <w:bottom w:val="nil"/>
              <w:right w:val="nil"/>
            </w:tcBorders>
            <w:shd w:val="clear" w:color="auto" w:fill="auto"/>
            <w:noWrap/>
            <w:vAlign w:val="center"/>
            <w:hideMark/>
          </w:tcPr>
          <w:p w14:paraId="2494FE0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0.344</w:t>
            </w:r>
          </w:p>
        </w:tc>
        <w:tc>
          <w:tcPr>
            <w:tcW w:w="666" w:type="dxa"/>
            <w:tcBorders>
              <w:top w:val="nil"/>
              <w:left w:val="nil"/>
              <w:bottom w:val="nil"/>
              <w:right w:val="nil"/>
            </w:tcBorders>
            <w:shd w:val="clear" w:color="auto" w:fill="auto"/>
            <w:noWrap/>
            <w:vAlign w:val="center"/>
            <w:hideMark/>
          </w:tcPr>
          <w:p w14:paraId="02E27F5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0.441</w:t>
            </w:r>
          </w:p>
        </w:tc>
        <w:tc>
          <w:tcPr>
            <w:tcW w:w="222" w:type="dxa"/>
            <w:tcBorders>
              <w:top w:val="nil"/>
              <w:left w:val="nil"/>
              <w:bottom w:val="nil"/>
              <w:right w:val="nil"/>
            </w:tcBorders>
            <w:shd w:val="clear" w:color="auto" w:fill="auto"/>
            <w:noWrap/>
            <w:vAlign w:val="center"/>
            <w:hideMark/>
          </w:tcPr>
          <w:p w14:paraId="463B8E1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1070" w:type="dxa"/>
            <w:tcBorders>
              <w:top w:val="nil"/>
              <w:left w:val="nil"/>
              <w:bottom w:val="nil"/>
              <w:right w:val="nil"/>
            </w:tcBorders>
            <w:shd w:val="clear" w:color="auto" w:fill="auto"/>
            <w:noWrap/>
            <w:vAlign w:val="center"/>
            <w:hideMark/>
          </w:tcPr>
          <w:p w14:paraId="75C7A4C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1.338</w:t>
            </w:r>
          </w:p>
        </w:tc>
        <w:tc>
          <w:tcPr>
            <w:tcW w:w="685" w:type="dxa"/>
            <w:tcBorders>
              <w:top w:val="nil"/>
              <w:left w:val="nil"/>
              <w:bottom w:val="nil"/>
              <w:right w:val="nil"/>
            </w:tcBorders>
            <w:shd w:val="clear" w:color="auto" w:fill="auto"/>
            <w:noWrap/>
            <w:vAlign w:val="center"/>
            <w:hideMark/>
          </w:tcPr>
          <w:p w14:paraId="070990F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0.442</w:t>
            </w:r>
          </w:p>
        </w:tc>
        <w:tc>
          <w:tcPr>
            <w:tcW w:w="687" w:type="dxa"/>
            <w:gridSpan w:val="2"/>
            <w:tcBorders>
              <w:top w:val="nil"/>
              <w:left w:val="nil"/>
              <w:bottom w:val="nil"/>
              <w:right w:val="nil"/>
            </w:tcBorders>
            <w:shd w:val="clear" w:color="auto" w:fill="auto"/>
            <w:noWrap/>
            <w:vAlign w:val="center"/>
            <w:hideMark/>
          </w:tcPr>
          <w:p w14:paraId="150BBEA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0.815</w:t>
            </w:r>
          </w:p>
        </w:tc>
      </w:tr>
      <w:tr w:rsidR="0045296A" w:rsidRPr="00A80144" w14:paraId="3A582F23" w14:textId="77777777" w:rsidTr="006D5746">
        <w:trPr>
          <w:trHeight w:val="315"/>
        </w:trPr>
        <w:tc>
          <w:tcPr>
            <w:tcW w:w="2504" w:type="dxa"/>
            <w:tcBorders>
              <w:top w:val="nil"/>
              <w:left w:val="nil"/>
              <w:bottom w:val="nil"/>
              <w:right w:val="nil"/>
            </w:tcBorders>
            <w:shd w:val="clear" w:color="auto" w:fill="auto"/>
            <w:vAlign w:val="center"/>
            <w:hideMark/>
          </w:tcPr>
          <w:p w14:paraId="6AAEEAD4"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BAT radiodensity (HU)</w:t>
            </w:r>
          </w:p>
        </w:tc>
        <w:tc>
          <w:tcPr>
            <w:tcW w:w="813" w:type="dxa"/>
            <w:tcBorders>
              <w:top w:val="nil"/>
              <w:left w:val="nil"/>
              <w:bottom w:val="nil"/>
              <w:right w:val="nil"/>
            </w:tcBorders>
            <w:shd w:val="clear" w:color="auto" w:fill="auto"/>
            <w:noWrap/>
            <w:vAlign w:val="center"/>
          </w:tcPr>
          <w:p w14:paraId="5373B81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-0.196</w:t>
            </w:r>
          </w:p>
        </w:tc>
        <w:tc>
          <w:tcPr>
            <w:tcW w:w="701" w:type="dxa"/>
            <w:tcBorders>
              <w:top w:val="nil"/>
              <w:left w:val="nil"/>
              <w:bottom w:val="nil"/>
              <w:right w:val="nil"/>
            </w:tcBorders>
            <w:shd w:val="clear" w:color="auto" w:fill="auto"/>
            <w:noWrap/>
            <w:vAlign w:val="center"/>
          </w:tcPr>
          <w:p w14:paraId="1969DB2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0.525</w:t>
            </w:r>
          </w:p>
        </w:tc>
        <w:tc>
          <w:tcPr>
            <w:tcW w:w="666" w:type="dxa"/>
            <w:tcBorders>
              <w:top w:val="nil"/>
              <w:left w:val="nil"/>
              <w:bottom w:val="nil"/>
              <w:right w:val="nil"/>
            </w:tcBorders>
            <w:shd w:val="clear" w:color="auto" w:fill="auto"/>
            <w:noWrap/>
            <w:vAlign w:val="center"/>
          </w:tcPr>
          <w:p w14:paraId="0D08C1EF"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0.041</w:t>
            </w:r>
          </w:p>
        </w:tc>
        <w:tc>
          <w:tcPr>
            <w:tcW w:w="236" w:type="dxa"/>
            <w:tcBorders>
              <w:top w:val="nil"/>
              <w:left w:val="nil"/>
              <w:bottom w:val="nil"/>
              <w:right w:val="nil"/>
            </w:tcBorders>
            <w:shd w:val="clear" w:color="auto" w:fill="auto"/>
            <w:noWrap/>
            <w:vAlign w:val="center"/>
          </w:tcPr>
          <w:p w14:paraId="240496B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930" w:type="dxa"/>
            <w:tcBorders>
              <w:top w:val="nil"/>
              <w:left w:val="nil"/>
              <w:bottom w:val="nil"/>
              <w:right w:val="nil"/>
            </w:tcBorders>
            <w:shd w:val="clear" w:color="auto" w:fill="auto"/>
            <w:noWrap/>
            <w:vAlign w:val="center"/>
          </w:tcPr>
          <w:p w14:paraId="5F178AE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-0.538</w:t>
            </w:r>
          </w:p>
        </w:tc>
        <w:tc>
          <w:tcPr>
            <w:tcW w:w="701" w:type="dxa"/>
            <w:tcBorders>
              <w:top w:val="nil"/>
              <w:left w:val="nil"/>
              <w:bottom w:val="nil"/>
              <w:right w:val="nil"/>
            </w:tcBorders>
            <w:shd w:val="clear" w:color="auto" w:fill="auto"/>
            <w:noWrap/>
            <w:vAlign w:val="center"/>
          </w:tcPr>
          <w:p w14:paraId="2537B8C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0.505</w:t>
            </w:r>
          </w:p>
        </w:tc>
        <w:tc>
          <w:tcPr>
            <w:tcW w:w="666" w:type="dxa"/>
            <w:tcBorders>
              <w:top w:val="nil"/>
              <w:left w:val="nil"/>
              <w:bottom w:val="nil"/>
              <w:right w:val="nil"/>
            </w:tcBorders>
            <w:shd w:val="clear" w:color="auto" w:fill="auto"/>
            <w:noWrap/>
            <w:vAlign w:val="center"/>
          </w:tcPr>
          <w:p w14:paraId="65B75D8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0.051</w:t>
            </w:r>
          </w:p>
        </w:tc>
        <w:tc>
          <w:tcPr>
            <w:tcW w:w="222" w:type="dxa"/>
            <w:tcBorders>
              <w:top w:val="nil"/>
              <w:left w:val="nil"/>
              <w:bottom w:val="nil"/>
              <w:right w:val="nil"/>
            </w:tcBorders>
            <w:shd w:val="clear" w:color="auto" w:fill="auto"/>
            <w:noWrap/>
            <w:vAlign w:val="center"/>
          </w:tcPr>
          <w:p w14:paraId="468B5A88"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tcBorders>
              <w:top w:val="nil"/>
              <w:left w:val="nil"/>
              <w:bottom w:val="nil"/>
              <w:right w:val="nil"/>
            </w:tcBorders>
            <w:shd w:val="clear" w:color="auto" w:fill="auto"/>
            <w:noWrap/>
            <w:vAlign w:val="center"/>
          </w:tcPr>
          <w:p w14:paraId="6B1CFB7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-0.314</w:t>
            </w:r>
          </w:p>
        </w:tc>
        <w:tc>
          <w:tcPr>
            <w:tcW w:w="701" w:type="dxa"/>
            <w:tcBorders>
              <w:top w:val="nil"/>
              <w:left w:val="nil"/>
              <w:bottom w:val="nil"/>
              <w:right w:val="nil"/>
            </w:tcBorders>
            <w:shd w:val="clear" w:color="auto" w:fill="auto"/>
            <w:noWrap/>
            <w:vAlign w:val="center"/>
          </w:tcPr>
          <w:p w14:paraId="51E882F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0.487</w:t>
            </w:r>
          </w:p>
        </w:tc>
        <w:tc>
          <w:tcPr>
            <w:tcW w:w="666" w:type="dxa"/>
            <w:tcBorders>
              <w:top w:val="nil"/>
              <w:left w:val="nil"/>
              <w:bottom w:val="nil"/>
              <w:right w:val="nil"/>
            </w:tcBorders>
            <w:shd w:val="clear" w:color="auto" w:fill="auto"/>
            <w:noWrap/>
            <w:vAlign w:val="center"/>
          </w:tcPr>
          <w:p w14:paraId="5FF5ED9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0.102</w:t>
            </w:r>
          </w:p>
        </w:tc>
        <w:tc>
          <w:tcPr>
            <w:tcW w:w="222" w:type="dxa"/>
            <w:tcBorders>
              <w:top w:val="nil"/>
              <w:left w:val="nil"/>
              <w:bottom w:val="nil"/>
              <w:right w:val="nil"/>
            </w:tcBorders>
            <w:shd w:val="clear" w:color="auto" w:fill="auto"/>
            <w:noWrap/>
            <w:vAlign w:val="center"/>
          </w:tcPr>
          <w:p w14:paraId="78A79C5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center"/>
          </w:tcPr>
          <w:p w14:paraId="5126303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-0.160</w:t>
            </w:r>
          </w:p>
        </w:tc>
        <w:tc>
          <w:tcPr>
            <w:tcW w:w="701" w:type="dxa"/>
            <w:tcBorders>
              <w:top w:val="nil"/>
              <w:left w:val="nil"/>
              <w:bottom w:val="nil"/>
              <w:right w:val="nil"/>
            </w:tcBorders>
            <w:shd w:val="clear" w:color="auto" w:fill="auto"/>
            <w:noWrap/>
            <w:vAlign w:val="center"/>
          </w:tcPr>
          <w:p w14:paraId="411584A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0.347</w:t>
            </w:r>
          </w:p>
        </w:tc>
        <w:tc>
          <w:tcPr>
            <w:tcW w:w="666" w:type="dxa"/>
            <w:tcBorders>
              <w:top w:val="nil"/>
              <w:left w:val="nil"/>
              <w:bottom w:val="nil"/>
              <w:right w:val="nil"/>
            </w:tcBorders>
            <w:shd w:val="clear" w:color="auto" w:fill="auto"/>
            <w:noWrap/>
            <w:vAlign w:val="center"/>
          </w:tcPr>
          <w:p w14:paraId="718DE09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0.253</w:t>
            </w:r>
          </w:p>
        </w:tc>
        <w:tc>
          <w:tcPr>
            <w:tcW w:w="222" w:type="dxa"/>
            <w:tcBorders>
              <w:top w:val="nil"/>
              <w:left w:val="nil"/>
              <w:bottom w:val="nil"/>
              <w:right w:val="nil"/>
            </w:tcBorders>
            <w:shd w:val="clear" w:color="auto" w:fill="auto"/>
            <w:noWrap/>
            <w:vAlign w:val="center"/>
          </w:tcPr>
          <w:p w14:paraId="6AEED5D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1070" w:type="dxa"/>
            <w:tcBorders>
              <w:top w:val="nil"/>
              <w:left w:val="nil"/>
              <w:bottom w:val="nil"/>
              <w:right w:val="nil"/>
            </w:tcBorders>
            <w:shd w:val="clear" w:color="auto" w:fill="auto"/>
            <w:noWrap/>
            <w:vAlign w:val="center"/>
          </w:tcPr>
          <w:p w14:paraId="678EFEE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-3.032</w:t>
            </w:r>
          </w:p>
        </w:tc>
        <w:tc>
          <w:tcPr>
            <w:tcW w:w="685" w:type="dxa"/>
            <w:tcBorders>
              <w:top w:val="nil"/>
              <w:left w:val="nil"/>
              <w:bottom w:val="nil"/>
              <w:right w:val="nil"/>
            </w:tcBorders>
            <w:shd w:val="clear" w:color="auto" w:fill="auto"/>
            <w:noWrap/>
            <w:vAlign w:val="center"/>
          </w:tcPr>
          <w:p w14:paraId="73D60E1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0.384</w:t>
            </w:r>
          </w:p>
        </w:tc>
        <w:tc>
          <w:tcPr>
            <w:tcW w:w="687" w:type="dxa"/>
            <w:gridSpan w:val="2"/>
            <w:tcBorders>
              <w:top w:val="nil"/>
              <w:left w:val="nil"/>
              <w:bottom w:val="nil"/>
              <w:right w:val="nil"/>
            </w:tcBorders>
            <w:shd w:val="clear" w:color="auto" w:fill="auto"/>
            <w:noWrap/>
            <w:vAlign w:val="center"/>
          </w:tcPr>
          <w:p w14:paraId="75E7028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0.338</w:t>
            </w:r>
          </w:p>
        </w:tc>
      </w:tr>
      <w:tr w:rsidR="0045296A" w:rsidRPr="00A80144" w14:paraId="145F42BD" w14:textId="77777777" w:rsidTr="006D5746">
        <w:trPr>
          <w:trHeight w:val="95"/>
        </w:trPr>
        <w:tc>
          <w:tcPr>
            <w:tcW w:w="2504" w:type="dxa"/>
            <w:tcBorders>
              <w:top w:val="nil"/>
              <w:left w:val="nil"/>
              <w:bottom w:val="nil"/>
              <w:right w:val="nil"/>
            </w:tcBorders>
            <w:shd w:val="clear" w:color="auto" w:fill="auto"/>
            <w:vAlign w:val="center"/>
            <w:hideMark/>
          </w:tcPr>
          <w:p w14:paraId="64151992"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813" w:type="dxa"/>
            <w:tcBorders>
              <w:top w:val="nil"/>
              <w:left w:val="nil"/>
              <w:bottom w:val="nil"/>
              <w:right w:val="nil"/>
            </w:tcBorders>
            <w:shd w:val="clear" w:color="auto" w:fill="auto"/>
            <w:noWrap/>
            <w:vAlign w:val="bottom"/>
            <w:hideMark/>
          </w:tcPr>
          <w:p w14:paraId="1882D74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hideMark/>
          </w:tcPr>
          <w:p w14:paraId="6E8A4F9B"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hideMark/>
          </w:tcPr>
          <w:p w14:paraId="4B1CD4B6"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tcBorders>
              <w:top w:val="nil"/>
              <w:left w:val="nil"/>
              <w:bottom w:val="nil"/>
              <w:right w:val="nil"/>
            </w:tcBorders>
            <w:shd w:val="clear" w:color="auto" w:fill="auto"/>
            <w:noWrap/>
            <w:vAlign w:val="bottom"/>
            <w:hideMark/>
          </w:tcPr>
          <w:p w14:paraId="2C19171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930" w:type="dxa"/>
            <w:tcBorders>
              <w:top w:val="nil"/>
              <w:left w:val="nil"/>
              <w:bottom w:val="nil"/>
              <w:right w:val="nil"/>
            </w:tcBorders>
            <w:shd w:val="clear" w:color="auto" w:fill="auto"/>
            <w:noWrap/>
            <w:vAlign w:val="bottom"/>
          </w:tcPr>
          <w:p w14:paraId="5996D5EB"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tcPr>
          <w:p w14:paraId="0A99840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tcPr>
          <w:p w14:paraId="3E6B7483"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hideMark/>
          </w:tcPr>
          <w:p w14:paraId="3B618940"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bottom"/>
            <w:hideMark/>
          </w:tcPr>
          <w:p w14:paraId="27DB36EA"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hideMark/>
          </w:tcPr>
          <w:p w14:paraId="1FD6809B"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hideMark/>
          </w:tcPr>
          <w:p w14:paraId="03108CB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hideMark/>
          </w:tcPr>
          <w:p w14:paraId="2CF3B44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bottom"/>
            <w:hideMark/>
          </w:tcPr>
          <w:p w14:paraId="1C57F98A"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hideMark/>
          </w:tcPr>
          <w:p w14:paraId="760CE345"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hideMark/>
          </w:tcPr>
          <w:p w14:paraId="6777BA7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hideMark/>
          </w:tcPr>
          <w:p w14:paraId="773A20F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1070" w:type="dxa"/>
            <w:tcBorders>
              <w:top w:val="nil"/>
              <w:left w:val="nil"/>
              <w:bottom w:val="nil"/>
              <w:right w:val="nil"/>
            </w:tcBorders>
            <w:shd w:val="clear" w:color="auto" w:fill="auto"/>
            <w:noWrap/>
            <w:vAlign w:val="bottom"/>
            <w:hideMark/>
          </w:tcPr>
          <w:p w14:paraId="0C0F1ECA"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85" w:type="dxa"/>
            <w:tcBorders>
              <w:top w:val="nil"/>
              <w:left w:val="nil"/>
              <w:bottom w:val="nil"/>
              <w:right w:val="nil"/>
            </w:tcBorders>
            <w:shd w:val="clear" w:color="auto" w:fill="auto"/>
            <w:noWrap/>
            <w:vAlign w:val="bottom"/>
            <w:hideMark/>
          </w:tcPr>
          <w:p w14:paraId="3B1CDF75"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87" w:type="dxa"/>
            <w:gridSpan w:val="2"/>
            <w:tcBorders>
              <w:top w:val="nil"/>
              <w:left w:val="nil"/>
              <w:bottom w:val="nil"/>
              <w:right w:val="nil"/>
            </w:tcBorders>
            <w:shd w:val="clear" w:color="auto" w:fill="auto"/>
            <w:noWrap/>
            <w:vAlign w:val="bottom"/>
            <w:hideMark/>
          </w:tcPr>
          <w:p w14:paraId="5DB56E8F"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r>
      <w:tr w:rsidR="0045296A" w:rsidRPr="004D4FE5" w14:paraId="769F5B1C" w14:textId="77777777" w:rsidTr="006D5746">
        <w:trPr>
          <w:trHeight w:val="315"/>
        </w:trPr>
        <w:tc>
          <w:tcPr>
            <w:tcW w:w="3317" w:type="dxa"/>
            <w:gridSpan w:val="2"/>
            <w:tcBorders>
              <w:top w:val="nil"/>
              <w:left w:val="nil"/>
              <w:bottom w:val="nil"/>
              <w:right w:val="nil"/>
            </w:tcBorders>
            <w:shd w:val="clear" w:color="auto" w:fill="auto"/>
            <w:noWrap/>
            <w:vAlign w:val="bottom"/>
            <w:hideMark/>
          </w:tcPr>
          <w:p w14:paraId="258FF785"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Model 3 (Date PET-CT and BSA)</w:t>
            </w:r>
          </w:p>
        </w:tc>
        <w:tc>
          <w:tcPr>
            <w:tcW w:w="701" w:type="dxa"/>
            <w:tcBorders>
              <w:top w:val="nil"/>
              <w:left w:val="nil"/>
              <w:bottom w:val="nil"/>
              <w:right w:val="nil"/>
            </w:tcBorders>
            <w:shd w:val="clear" w:color="auto" w:fill="auto"/>
            <w:noWrap/>
            <w:vAlign w:val="bottom"/>
            <w:hideMark/>
          </w:tcPr>
          <w:p w14:paraId="1F177F43"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hideMark/>
          </w:tcPr>
          <w:p w14:paraId="6379EDED"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tcBorders>
              <w:top w:val="nil"/>
              <w:left w:val="nil"/>
              <w:bottom w:val="nil"/>
              <w:right w:val="nil"/>
            </w:tcBorders>
            <w:shd w:val="clear" w:color="auto" w:fill="auto"/>
            <w:noWrap/>
            <w:vAlign w:val="bottom"/>
            <w:hideMark/>
          </w:tcPr>
          <w:p w14:paraId="57A98CF7"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930" w:type="dxa"/>
            <w:tcBorders>
              <w:top w:val="nil"/>
              <w:left w:val="nil"/>
              <w:bottom w:val="nil"/>
              <w:right w:val="nil"/>
            </w:tcBorders>
            <w:shd w:val="clear" w:color="auto" w:fill="auto"/>
            <w:noWrap/>
            <w:vAlign w:val="bottom"/>
          </w:tcPr>
          <w:p w14:paraId="1E91C0D7"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tcPr>
          <w:p w14:paraId="589FBB2A"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tcPr>
          <w:p w14:paraId="02DC29E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hideMark/>
          </w:tcPr>
          <w:p w14:paraId="53404F1F"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bottom"/>
            <w:hideMark/>
          </w:tcPr>
          <w:p w14:paraId="652827B0"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hideMark/>
          </w:tcPr>
          <w:p w14:paraId="50876A19"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hideMark/>
          </w:tcPr>
          <w:p w14:paraId="75FE0EC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hideMark/>
          </w:tcPr>
          <w:p w14:paraId="2E89F65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bottom"/>
            <w:hideMark/>
          </w:tcPr>
          <w:p w14:paraId="7DBCE9E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hideMark/>
          </w:tcPr>
          <w:p w14:paraId="5365615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hideMark/>
          </w:tcPr>
          <w:p w14:paraId="7354F3BD"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hideMark/>
          </w:tcPr>
          <w:p w14:paraId="1D179A6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1070" w:type="dxa"/>
            <w:tcBorders>
              <w:top w:val="nil"/>
              <w:left w:val="nil"/>
              <w:bottom w:val="nil"/>
              <w:right w:val="nil"/>
            </w:tcBorders>
            <w:shd w:val="clear" w:color="auto" w:fill="auto"/>
            <w:noWrap/>
            <w:vAlign w:val="bottom"/>
            <w:hideMark/>
          </w:tcPr>
          <w:p w14:paraId="2D8AA43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85" w:type="dxa"/>
            <w:tcBorders>
              <w:top w:val="nil"/>
              <w:left w:val="nil"/>
              <w:bottom w:val="nil"/>
              <w:right w:val="nil"/>
            </w:tcBorders>
            <w:shd w:val="clear" w:color="auto" w:fill="auto"/>
            <w:noWrap/>
            <w:vAlign w:val="bottom"/>
            <w:hideMark/>
          </w:tcPr>
          <w:p w14:paraId="3ACA295F"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87" w:type="dxa"/>
            <w:gridSpan w:val="2"/>
            <w:tcBorders>
              <w:top w:val="nil"/>
              <w:left w:val="nil"/>
              <w:bottom w:val="nil"/>
              <w:right w:val="nil"/>
            </w:tcBorders>
            <w:shd w:val="clear" w:color="auto" w:fill="auto"/>
            <w:noWrap/>
            <w:vAlign w:val="bottom"/>
            <w:hideMark/>
          </w:tcPr>
          <w:p w14:paraId="78A1EA1D"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r>
      <w:tr w:rsidR="0045296A" w:rsidRPr="00A80144" w14:paraId="0653149F" w14:textId="77777777" w:rsidTr="006D5746">
        <w:trPr>
          <w:trHeight w:val="315"/>
        </w:trPr>
        <w:tc>
          <w:tcPr>
            <w:tcW w:w="2504" w:type="dxa"/>
            <w:tcBorders>
              <w:top w:val="nil"/>
              <w:left w:val="nil"/>
              <w:bottom w:val="nil"/>
              <w:right w:val="nil"/>
            </w:tcBorders>
            <w:shd w:val="clear" w:color="auto" w:fill="auto"/>
            <w:vAlign w:val="center"/>
            <w:hideMark/>
          </w:tcPr>
          <w:p w14:paraId="5A7735AF"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BAT volume</w:t>
            </w:r>
          </w:p>
        </w:tc>
        <w:tc>
          <w:tcPr>
            <w:tcW w:w="813" w:type="dxa"/>
            <w:tcBorders>
              <w:top w:val="nil"/>
              <w:left w:val="nil"/>
              <w:bottom w:val="nil"/>
              <w:right w:val="nil"/>
            </w:tcBorders>
            <w:shd w:val="clear" w:color="auto" w:fill="auto"/>
            <w:noWrap/>
            <w:vAlign w:val="center"/>
            <w:hideMark/>
          </w:tcPr>
          <w:p w14:paraId="2A5365C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0.024</w:t>
            </w:r>
          </w:p>
        </w:tc>
        <w:tc>
          <w:tcPr>
            <w:tcW w:w="701" w:type="dxa"/>
            <w:tcBorders>
              <w:top w:val="nil"/>
              <w:left w:val="nil"/>
              <w:bottom w:val="nil"/>
              <w:right w:val="nil"/>
            </w:tcBorders>
            <w:shd w:val="clear" w:color="auto" w:fill="auto"/>
            <w:noWrap/>
            <w:vAlign w:val="center"/>
            <w:hideMark/>
          </w:tcPr>
          <w:p w14:paraId="5C751A2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0.757</w:t>
            </w:r>
          </w:p>
        </w:tc>
        <w:tc>
          <w:tcPr>
            <w:tcW w:w="666" w:type="dxa"/>
            <w:tcBorders>
              <w:top w:val="nil"/>
              <w:left w:val="nil"/>
              <w:bottom w:val="nil"/>
              <w:right w:val="nil"/>
            </w:tcBorders>
            <w:shd w:val="clear" w:color="auto" w:fill="auto"/>
            <w:noWrap/>
            <w:vAlign w:val="center"/>
            <w:hideMark/>
          </w:tcPr>
          <w:p w14:paraId="137A0CBD"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0.005</w:t>
            </w:r>
          </w:p>
        </w:tc>
        <w:tc>
          <w:tcPr>
            <w:tcW w:w="236" w:type="dxa"/>
            <w:tcBorders>
              <w:top w:val="nil"/>
              <w:left w:val="nil"/>
              <w:bottom w:val="nil"/>
              <w:right w:val="nil"/>
            </w:tcBorders>
            <w:shd w:val="clear" w:color="auto" w:fill="auto"/>
            <w:noWrap/>
            <w:vAlign w:val="center"/>
            <w:hideMark/>
          </w:tcPr>
          <w:p w14:paraId="4C4760B6"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930" w:type="dxa"/>
            <w:tcBorders>
              <w:top w:val="nil"/>
              <w:left w:val="nil"/>
              <w:bottom w:val="nil"/>
              <w:right w:val="nil"/>
            </w:tcBorders>
            <w:shd w:val="clear" w:color="auto" w:fill="auto"/>
            <w:noWrap/>
            <w:vAlign w:val="center"/>
          </w:tcPr>
          <w:p w14:paraId="69560CD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0.035</w:t>
            </w:r>
          </w:p>
        </w:tc>
        <w:tc>
          <w:tcPr>
            <w:tcW w:w="701" w:type="dxa"/>
            <w:tcBorders>
              <w:top w:val="nil"/>
              <w:left w:val="nil"/>
              <w:bottom w:val="nil"/>
              <w:right w:val="nil"/>
            </w:tcBorders>
            <w:shd w:val="clear" w:color="auto" w:fill="auto"/>
            <w:noWrap/>
            <w:vAlign w:val="center"/>
          </w:tcPr>
          <w:p w14:paraId="2537956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0.693</w:t>
            </w:r>
          </w:p>
        </w:tc>
        <w:tc>
          <w:tcPr>
            <w:tcW w:w="666" w:type="dxa"/>
            <w:tcBorders>
              <w:top w:val="nil"/>
              <w:left w:val="nil"/>
              <w:bottom w:val="nil"/>
              <w:right w:val="nil"/>
            </w:tcBorders>
            <w:shd w:val="clear" w:color="auto" w:fill="auto"/>
            <w:noWrap/>
            <w:vAlign w:val="center"/>
          </w:tcPr>
          <w:p w14:paraId="606C8A6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0.178</w:t>
            </w:r>
          </w:p>
        </w:tc>
        <w:tc>
          <w:tcPr>
            <w:tcW w:w="222" w:type="dxa"/>
            <w:tcBorders>
              <w:top w:val="nil"/>
              <w:left w:val="nil"/>
              <w:bottom w:val="nil"/>
              <w:right w:val="nil"/>
            </w:tcBorders>
            <w:shd w:val="clear" w:color="auto" w:fill="auto"/>
            <w:noWrap/>
            <w:vAlign w:val="center"/>
            <w:hideMark/>
          </w:tcPr>
          <w:p w14:paraId="3F07864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center"/>
            <w:hideMark/>
          </w:tcPr>
          <w:p w14:paraId="1EB68C3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0.043</w:t>
            </w:r>
          </w:p>
        </w:tc>
        <w:tc>
          <w:tcPr>
            <w:tcW w:w="701" w:type="dxa"/>
            <w:tcBorders>
              <w:top w:val="nil"/>
              <w:left w:val="nil"/>
              <w:bottom w:val="nil"/>
              <w:right w:val="nil"/>
            </w:tcBorders>
            <w:shd w:val="clear" w:color="auto" w:fill="auto"/>
            <w:noWrap/>
            <w:vAlign w:val="center"/>
            <w:hideMark/>
          </w:tcPr>
          <w:p w14:paraId="5C2CCAB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0.835</w:t>
            </w:r>
          </w:p>
        </w:tc>
        <w:tc>
          <w:tcPr>
            <w:tcW w:w="666" w:type="dxa"/>
            <w:tcBorders>
              <w:top w:val="nil"/>
              <w:left w:val="nil"/>
              <w:bottom w:val="nil"/>
              <w:right w:val="nil"/>
            </w:tcBorders>
            <w:shd w:val="clear" w:color="auto" w:fill="auto"/>
            <w:noWrap/>
            <w:vAlign w:val="center"/>
            <w:hideMark/>
          </w:tcPr>
          <w:p w14:paraId="3D6A31BD"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0.003</w:t>
            </w:r>
          </w:p>
        </w:tc>
        <w:tc>
          <w:tcPr>
            <w:tcW w:w="222" w:type="dxa"/>
            <w:tcBorders>
              <w:top w:val="nil"/>
              <w:left w:val="nil"/>
              <w:bottom w:val="nil"/>
              <w:right w:val="nil"/>
            </w:tcBorders>
            <w:shd w:val="clear" w:color="auto" w:fill="auto"/>
            <w:noWrap/>
            <w:vAlign w:val="center"/>
            <w:hideMark/>
          </w:tcPr>
          <w:p w14:paraId="2E02F647"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tcBorders>
              <w:top w:val="nil"/>
              <w:left w:val="nil"/>
              <w:bottom w:val="nil"/>
              <w:right w:val="nil"/>
            </w:tcBorders>
            <w:shd w:val="clear" w:color="auto" w:fill="auto"/>
            <w:noWrap/>
            <w:vAlign w:val="center"/>
            <w:hideMark/>
          </w:tcPr>
          <w:p w14:paraId="42AEDAB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0.042</w:t>
            </w:r>
          </w:p>
        </w:tc>
        <w:tc>
          <w:tcPr>
            <w:tcW w:w="701" w:type="dxa"/>
            <w:tcBorders>
              <w:top w:val="nil"/>
              <w:left w:val="nil"/>
              <w:bottom w:val="nil"/>
              <w:right w:val="nil"/>
            </w:tcBorders>
            <w:shd w:val="clear" w:color="auto" w:fill="auto"/>
            <w:noWrap/>
            <w:vAlign w:val="center"/>
            <w:hideMark/>
          </w:tcPr>
          <w:p w14:paraId="490A291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0.643</w:t>
            </w:r>
          </w:p>
        </w:tc>
        <w:tc>
          <w:tcPr>
            <w:tcW w:w="666" w:type="dxa"/>
            <w:tcBorders>
              <w:top w:val="nil"/>
              <w:left w:val="nil"/>
              <w:bottom w:val="nil"/>
              <w:right w:val="nil"/>
            </w:tcBorders>
            <w:shd w:val="clear" w:color="auto" w:fill="auto"/>
            <w:noWrap/>
            <w:vAlign w:val="center"/>
            <w:hideMark/>
          </w:tcPr>
          <w:p w14:paraId="25D6A262"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0.003</w:t>
            </w:r>
          </w:p>
        </w:tc>
        <w:tc>
          <w:tcPr>
            <w:tcW w:w="222" w:type="dxa"/>
            <w:tcBorders>
              <w:top w:val="nil"/>
              <w:left w:val="nil"/>
              <w:bottom w:val="nil"/>
              <w:right w:val="nil"/>
            </w:tcBorders>
            <w:shd w:val="clear" w:color="auto" w:fill="auto"/>
            <w:noWrap/>
            <w:vAlign w:val="center"/>
            <w:hideMark/>
          </w:tcPr>
          <w:p w14:paraId="36205355"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1070" w:type="dxa"/>
            <w:tcBorders>
              <w:top w:val="nil"/>
              <w:left w:val="nil"/>
              <w:bottom w:val="nil"/>
              <w:right w:val="nil"/>
            </w:tcBorders>
            <w:shd w:val="clear" w:color="auto" w:fill="auto"/>
            <w:noWrap/>
            <w:vAlign w:val="center"/>
            <w:hideMark/>
          </w:tcPr>
          <w:p w14:paraId="1129B38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0.627</w:t>
            </w:r>
          </w:p>
        </w:tc>
        <w:tc>
          <w:tcPr>
            <w:tcW w:w="685" w:type="dxa"/>
            <w:tcBorders>
              <w:top w:val="nil"/>
              <w:left w:val="nil"/>
              <w:bottom w:val="nil"/>
              <w:right w:val="nil"/>
            </w:tcBorders>
            <w:shd w:val="clear" w:color="auto" w:fill="auto"/>
            <w:noWrap/>
            <w:vAlign w:val="center"/>
            <w:hideMark/>
          </w:tcPr>
          <w:p w14:paraId="07D91F1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0.683</w:t>
            </w:r>
          </w:p>
        </w:tc>
        <w:tc>
          <w:tcPr>
            <w:tcW w:w="687" w:type="dxa"/>
            <w:gridSpan w:val="2"/>
            <w:tcBorders>
              <w:top w:val="nil"/>
              <w:left w:val="nil"/>
              <w:bottom w:val="nil"/>
              <w:right w:val="nil"/>
            </w:tcBorders>
            <w:shd w:val="clear" w:color="auto" w:fill="auto"/>
            <w:noWrap/>
            <w:vAlign w:val="center"/>
            <w:hideMark/>
          </w:tcPr>
          <w:p w14:paraId="2F8B1937"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0.043</w:t>
            </w:r>
          </w:p>
        </w:tc>
      </w:tr>
      <w:tr w:rsidR="0045296A" w:rsidRPr="00A80144" w14:paraId="2D0D0061" w14:textId="77777777" w:rsidTr="006D5746">
        <w:trPr>
          <w:trHeight w:val="315"/>
        </w:trPr>
        <w:tc>
          <w:tcPr>
            <w:tcW w:w="2504" w:type="dxa"/>
            <w:tcBorders>
              <w:top w:val="nil"/>
              <w:left w:val="nil"/>
              <w:bottom w:val="nil"/>
              <w:right w:val="nil"/>
            </w:tcBorders>
            <w:shd w:val="clear" w:color="auto" w:fill="auto"/>
            <w:vAlign w:val="center"/>
            <w:hideMark/>
          </w:tcPr>
          <w:p w14:paraId="3C4ACFBC"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 xml:space="preserve">BAT SUVmean </w:t>
            </w:r>
          </w:p>
        </w:tc>
        <w:tc>
          <w:tcPr>
            <w:tcW w:w="813" w:type="dxa"/>
            <w:tcBorders>
              <w:top w:val="nil"/>
              <w:left w:val="nil"/>
              <w:bottom w:val="nil"/>
              <w:right w:val="nil"/>
            </w:tcBorders>
            <w:shd w:val="clear" w:color="auto" w:fill="auto"/>
            <w:noWrap/>
            <w:vAlign w:val="center"/>
            <w:hideMark/>
          </w:tcPr>
          <w:p w14:paraId="1D102D1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0.857</w:t>
            </w:r>
          </w:p>
        </w:tc>
        <w:tc>
          <w:tcPr>
            <w:tcW w:w="701" w:type="dxa"/>
            <w:tcBorders>
              <w:top w:val="nil"/>
              <w:left w:val="nil"/>
              <w:bottom w:val="nil"/>
              <w:right w:val="nil"/>
            </w:tcBorders>
            <w:shd w:val="clear" w:color="auto" w:fill="auto"/>
            <w:noWrap/>
            <w:vAlign w:val="center"/>
            <w:hideMark/>
          </w:tcPr>
          <w:p w14:paraId="109DFA3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0.710</w:t>
            </w:r>
          </w:p>
        </w:tc>
        <w:tc>
          <w:tcPr>
            <w:tcW w:w="666" w:type="dxa"/>
            <w:tcBorders>
              <w:top w:val="nil"/>
              <w:left w:val="nil"/>
              <w:bottom w:val="nil"/>
              <w:right w:val="nil"/>
            </w:tcBorders>
            <w:shd w:val="clear" w:color="auto" w:fill="auto"/>
            <w:noWrap/>
            <w:vAlign w:val="center"/>
            <w:hideMark/>
          </w:tcPr>
          <w:p w14:paraId="1794A7F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0.239</w:t>
            </w:r>
          </w:p>
        </w:tc>
        <w:tc>
          <w:tcPr>
            <w:tcW w:w="236" w:type="dxa"/>
            <w:tcBorders>
              <w:top w:val="nil"/>
              <w:left w:val="nil"/>
              <w:bottom w:val="nil"/>
              <w:right w:val="nil"/>
            </w:tcBorders>
            <w:shd w:val="clear" w:color="auto" w:fill="auto"/>
            <w:noWrap/>
            <w:vAlign w:val="center"/>
            <w:hideMark/>
          </w:tcPr>
          <w:p w14:paraId="3CFC40A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930" w:type="dxa"/>
            <w:tcBorders>
              <w:top w:val="nil"/>
              <w:left w:val="nil"/>
              <w:bottom w:val="nil"/>
              <w:right w:val="nil"/>
            </w:tcBorders>
            <w:shd w:val="clear" w:color="auto" w:fill="auto"/>
            <w:noWrap/>
            <w:vAlign w:val="center"/>
          </w:tcPr>
          <w:p w14:paraId="344896D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-0.855</w:t>
            </w:r>
          </w:p>
        </w:tc>
        <w:tc>
          <w:tcPr>
            <w:tcW w:w="701" w:type="dxa"/>
            <w:tcBorders>
              <w:top w:val="nil"/>
              <w:left w:val="nil"/>
              <w:bottom w:val="nil"/>
              <w:right w:val="nil"/>
            </w:tcBorders>
            <w:shd w:val="clear" w:color="auto" w:fill="auto"/>
            <w:noWrap/>
            <w:vAlign w:val="center"/>
          </w:tcPr>
          <w:p w14:paraId="5FD07A7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0.679</w:t>
            </w:r>
          </w:p>
        </w:tc>
        <w:tc>
          <w:tcPr>
            <w:tcW w:w="666" w:type="dxa"/>
            <w:tcBorders>
              <w:top w:val="nil"/>
              <w:left w:val="nil"/>
              <w:bottom w:val="nil"/>
              <w:right w:val="nil"/>
            </w:tcBorders>
            <w:shd w:val="clear" w:color="auto" w:fill="auto"/>
            <w:noWrap/>
            <w:vAlign w:val="center"/>
          </w:tcPr>
          <w:p w14:paraId="5BF733C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0.690</w:t>
            </w:r>
          </w:p>
        </w:tc>
        <w:tc>
          <w:tcPr>
            <w:tcW w:w="222" w:type="dxa"/>
            <w:tcBorders>
              <w:top w:val="nil"/>
              <w:left w:val="nil"/>
              <w:bottom w:val="nil"/>
              <w:right w:val="nil"/>
            </w:tcBorders>
            <w:shd w:val="clear" w:color="auto" w:fill="auto"/>
            <w:noWrap/>
            <w:vAlign w:val="center"/>
            <w:hideMark/>
          </w:tcPr>
          <w:p w14:paraId="358AE9A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center"/>
            <w:hideMark/>
          </w:tcPr>
          <w:p w14:paraId="2D32B5F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2.018</w:t>
            </w:r>
          </w:p>
        </w:tc>
        <w:tc>
          <w:tcPr>
            <w:tcW w:w="701" w:type="dxa"/>
            <w:tcBorders>
              <w:top w:val="nil"/>
              <w:left w:val="nil"/>
              <w:bottom w:val="nil"/>
              <w:right w:val="nil"/>
            </w:tcBorders>
            <w:shd w:val="clear" w:color="auto" w:fill="auto"/>
            <w:noWrap/>
            <w:vAlign w:val="center"/>
            <w:hideMark/>
          </w:tcPr>
          <w:p w14:paraId="0D7C6A3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0.806</w:t>
            </w:r>
          </w:p>
        </w:tc>
        <w:tc>
          <w:tcPr>
            <w:tcW w:w="666" w:type="dxa"/>
            <w:tcBorders>
              <w:top w:val="nil"/>
              <w:left w:val="nil"/>
              <w:bottom w:val="nil"/>
              <w:right w:val="nil"/>
            </w:tcBorders>
            <w:shd w:val="clear" w:color="auto" w:fill="auto"/>
            <w:noWrap/>
            <w:vAlign w:val="center"/>
            <w:hideMark/>
          </w:tcPr>
          <w:p w14:paraId="7903F93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0.100</w:t>
            </w:r>
          </w:p>
        </w:tc>
        <w:tc>
          <w:tcPr>
            <w:tcW w:w="222" w:type="dxa"/>
            <w:tcBorders>
              <w:top w:val="nil"/>
              <w:left w:val="nil"/>
              <w:bottom w:val="nil"/>
              <w:right w:val="nil"/>
            </w:tcBorders>
            <w:shd w:val="clear" w:color="auto" w:fill="auto"/>
            <w:noWrap/>
            <w:vAlign w:val="center"/>
            <w:hideMark/>
          </w:tcPr>
          <w:p w14:paraId="287C1A5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center"/>
            <w:hideMark/>
          </w:tcPr>
          <w:p w14:paraId="3C0AEBA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2.019</w:t>
            </w:r>
          </w:p>
        </w:tc>
        <w:tc>
          <w:tcPr>
            <w:tcW w:w="701" w:type="dxa"/>
            <w:tcBorders>
              <w:top w:val="nil"/>
              <w:left w:val="nil"/>
              <w:bottom w:val="nil"/>
              <w:right w:val="nil"/>
            </w:tcBorders>
            <w:shd w:val="clear" w:color="auto" w:fill="auto"/>
            <w:noWrap/>
            <w:vAlign w:val="center"/>
            <w:hideMark/>
          </w:tcPr>
          <w:p w14:paraId="09FEFEB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0.584</w:t>
            </w:r>
          </w:p>
        </w:tc>
        <w:tc>
          <w:tcPr>
            <w:tcW w:w="666" w:type="dxa"/>
            <w:tcBorders>
              <w:top w:val="nil"/>
              <w:left w:val="nil"/>
              <w:bottom w:val="nil"/>
              <w:right w:val="nil"/>
            </w:tcBorders>
            <w:shd w:val="clear" w:color="auto" w:fill="auto"/>
            <w:noWrap/>
            <w:vAlign w:val="center"/>
            <w:hideMark/>
          </w:tcPr>
          <w:p w14:paraId="167DBFC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0.101</w:t>
            </w:r>
          </w:p>
        </w:tc>
        <w:tc>
          <w:tcPr>
            <w:tcW w:w="222" w:type="dxa"/>
            <w:tcBorders>
              <w:top w:val="nil"/>
              <w:left w:val="nil"/>
              <w:bottom w:val="nil"/>
              <w:right w:val="nil"/>
            </w:tcBorders>
            <w:shd w:val="clear" w:color="auto" w:fill="auto"/>
            <w:noWrap/>
            <w:vAlign w:val="center"/>
            <w:hideMark/>
          </w:tcPr>
          <w:p w14:paraId="7132988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1070" w:type="dxa"/>
            <w:tcBorders>
              <w:top w:val="nil"/>
              <w:left w:val="nil"/>
              <w:bottom w:val="nil"/>
              <w:right w:val="nil"/>
            </w:tcBorders>
            <w:shd w:val="clear" w:color="auto" w:fill="auto"/>
            <w:noWrap/>
            <w:vAlign w:val="center"/>
            <w:hideMark/>
          </w:tcPr>
          <w:p w14:paraId="3D1209B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17.990</w:t>
            </w:r>
          </w:p>
        </w:tc>
        <w:tc>
          <w:tcPr>
            <w:tcW w:w="685" w:type="dxa"/>
            <w:tcBorders>
              <w:top w:val="nil"/>
              <w:left w:val="nil"/>
              <w:bottom w:val="nil"/>
              <w:right w:val="nil"/>
            </w:tcBorders>
            <w:shd w:val="clear" w:color="auto" w:fill="auto"/>
            <w:noWrap/>
            <w:vAlign w:val="center"/>
            <w:hideMark/>
          </w:tcPr>
          <w:p w14:paraId="780CBFB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0.651</w:t>
            </w:r>
          </w:p>
        </w:tc>
        <w:tc>
          <w:tcPr>
            <w:tcW w:w="687" w:type="dxa"/>
            <w:gridSpan w:val="2"/>
            <w:tcBorders>
              <w:top w:val="nil"/>
              <w:left w:val="nil"/>
              <w:bottom w:val="nil"/>
              <w:right w:val="nil"/>
            </w:tcBorders>
            <w:shd w:val="clear" w:color="auto" w:fill="auto"/>
            <w:noWrap/>
            <w:vAlign w:val="center"/>
            <w:hideMark/>
          </w:tcPr>
          <w:p w14:paraId="1C24062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0.488</w:t>
            </w:r>
          </w:p>
        </w:tc>
      </w:tr>
      <w:tr w:rsidR="0045296A" w:rsidRPr="00A80144" w14:paraId="781A1D7E" w14:textId="77777777" w:rsidTr="006D5746">
        <w:trPr>
          <w:trHeight w:val="315"/>
        </w:trPr>
        <w:tc>
          <w:tcPr>
            <w:tcW w:w="2504" w:type="dxa"/>
            <w:tcBorders>
              <w:top w:val="nil"/>
              <w:left w:val="nil"/>
              <w:bottom w:val="nil"/>
              <w:right w:val="nil"/>
            </w:tcBorders>
            <w:shd w:val="clear" w:color="auto" w:fill="auto"/>
            <w:vAlign w:val="center"/>
            <w:hideMark/>
          </w:tcPr>
          <w:p w14:paraId="66D44687"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 xml:space="preserve">BAT SUVpeak </w:t>
            </w:r>
          </w:p>
        </w:tc>
        <w:tc>
          <w:tcPr>
            <w:tcW w:w="813" w:type="dxa"/>
            <w:tcBorders>
              <w:top w:val="nil"/>
              <w:left w:val="nil"/>
              <w:bottom w:val="nil"/>
              <w:right w:val="nil"/>
            </w:tcBorders>
            <w:shd w:val="clear" w:color="auto" w:fill="auto"/>
            <w:noWrap/>
            <w:vAlign w:val="center"/>
            <w:hideMark/>
          </w:tcPr>
          <w:p w14:paraId="78A2993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0.255</w:t>
            </w:r>
          </w:p>
        </w:tc>
        <w:tc>
          <w:tcPr>
            <w:tcW w:w="701" w:type="dxa"/>
            <w:tcBorders>
              <w:top w:val="nil"/>
              <w:left w:val="nil"/>
              <w:bottom w:val="nil"/>
              <w:right w:val="nil"/>
            </w:tcBorders>
            <w:shd w:val="clear" w:color="auto" w:fill="auto"/>
            <w:noWrap/>
            <w:vAlign w:val="center"/>
            <w:hideMark/>
          </w:tcPr>
          <w:p w14:paraId="10DC833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0.731</w:t>
            </w:r>
          </w:p>
        </w:tc>
        <w:tc>
          <w:tcPr>
            <w:tcW w:w="666" w:type="dxa"/>
            <w:tcBorders>
              <w:top w:val="nil"/>
              <w:left w:val="nil"/>
              <w:bottom w:val="nil"/>
              <w:right w:val="nil"/>
            </w:tcBorders>
            <w:shd w:val="clear" w:color="auto" w:fill="auto"/>
            <w:noWrap/>
            <w:vAlign w:val="center"/>
            <w:hideMark/>
          </w:tcPr>
          <w:p w14:paraId="76A36DBC"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0.043</w:t>
            </w:r>
          </w:p>
        </w:tc>
        <w:tc>
          <w:tcPr>
            <w:tcW w:w="236" w:type="dxa"/>
            <w:tcBorders>
              <w:top w:val="nil"/>
              <w:left w:val="nil"/>
              <w:bottom w:val="nil"/>
              <w:right w:val="nil"/>
            </w:tcBorders>
            <w:shd w:val="clear" w:color="auto" w:fill="auto"/>
            <w:noWrap/>
            <w:vAlign w:val="center"/>
            <w:hideMark/>
          </w:tcPr>
          <w:p w14:paraId="76B5B670"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930" w:type="dxa"/>
            <w:tcBorders>
              <w:top w:val="nil"/>
              <w:left w:val="nil"/>
              <w:bottom w:val="nil"/>
              <w:right w:val="nil"/>
            </w:tcBorders>
            <w:shd w:val="clear" w:color="auto" w:fill="auto"/>
            <w:noWrap/>
            <w:vAlign w:val="center"/>
          </w:tcPr>
          <w:p w14:paraId="3424CB5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0.068</w:t>
            </w:r>
          </w:p>
        </w:tc>
        <w:tc>
          <w:tcPr>
            <w:tcW w:w="701" w:type="dxa"/>
            <w:tcBorders>
              <w:top w:val="nil"/>
              <w:left w:val="nil"/>
              <w:bottom w:val="nil"/>
              <w:right w:val="nil"/>
            </w:tcBorders>
            <w:shd w:val="clear" w:color="auto" w:fill="auto"/>
            <w:noWrap/>
            <w:vAlign w:val="center"/>
          </w:tcPr>
          <w:p w14:paraId="0298BA2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0.678</w:t>
            </w:r>
          </w:p>
        </w:tc>
        <w:tc>
          <w:tcPr>
            <w:tcW w:w="666" w:type="dxa"/>
            <w:tcBorders>
              <w:top w:val="nil"/>
              <w:left w:val="nil"/>
              <w:bottom w:val="nil"/>
              <w:right w:val="nil"/>
            </w:tcBorders>
            <w:shd w:val="clear" w:color="auto" w:fill="auto"/>
            <w:noWrap/>
            <w:vAlign w:val="center"/>
          </w:tcPr>
          <w:p w14:paraId="382AD1F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0.858</w:t>
            </w:r>
          </w:p>
        </w:tc>
        <w:tc>
          <w:tcPr>
            <w:tcW w:w="222" w:type="dxa"/>
            <w:tcBorders>
              <w:top w:val="nil"/>
              <w:left w:val="nil"/>
              <w:bottom w:val="nil"/>
              <w:right w:val="nil"/>
            </w:tcBorders>
            <w:shd w:val="clear" w:color="auto" w:fill="auto"/>
            <w:noWrap/>
            <w:vAlign w:val="center"/>
            <w:hideMark/>
          </w:tcPr>
          <w:p w14:paraId="5DC6FD5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center"/>
            <w:hideMark/>
          </w:tcPr>
          <w:p w14:paraId="35F15A4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0.435</w:t>
            </w:r>
          </w:p>
        </w:tc>
        <w:tc>
          <w:tcPr>
            <w:tcW w:w="701" w:type="dxa"/>
            <w:tcBorders>
              <w:top w:val="nil"/>
              <w:left w:val="nil"/>
              <w:bottom w:val="nil"/>
              <w:right w:val="nil"/>
            </w:tcBorders>
            <w:shd w:val="clear" w:color="auto" w:fill="auto"/>
            <w:noWrap/>
            <w:vAlign w:val="center"/>
            <w:hideMark/>
          </w:tcPr>
          <w:p w14:paraId="0720482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0.813</w:t>
            </w:r>
          </w:p>
        </w:tc>
        <w:tc>
          <w:tcPr>
            <w:tcW w:w="666" w:type="dxa"/>
            <w:tcBorders>
              <w:top w:val="nil"/>
              <w:left w:val="nil"/>
              <w:bottom w:val="nil"/>
              <w:right w:val="nil"/>
            </w:tcBorders>
            <w:shd w:val="clear" w:color="auto" w:fill="auto"/>
            <w:noWrap/>
            <w:vAlign w:val="center"/>
            <w:hideMark/>
          </w:tcPr>
          <w:p w14:paraId="7C7DDB02"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0.042</w:t>
            </w:r>
          </w:p>
        </w:tc>
        <w:tc>
          <w:tcPr>
            <w:tcW w:w="222" w:type="dxa"/>
            <w:tcBorders>
              <w:top w:val="nil"/>
              <w:left w:val="nil"/>
              <w:bottom w:val="nil"/>
              <w:right w:val="nil"/>
            </w:tcBorders>
            <w:shd w:val="clear" w:color="auto" w:fill="auto"/>
            <w:noWrap/>
            <w:vAlign w:val="center"/>
            <w:hideMark/>
          </w:tcPr>
          <w:p w14:paraId="0347D4D1"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tcBorders>
              <w:top w:val="nil"/>
              <w:left w:val="nil"/>
              <w:bottom w:val="nil"/>
              <w:right w:val="nil"/>
            </w:tcBorders>
            <w:shd w:val="clear" w:color="auto" w:fill="auto"/>
            <w:noWrap/>
            <w:vAlign w:val="center"/>
            <w:hideMark/>
          </w:tcPr>
          <w:p w14:paraId="75BBF76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0.385</w:t>
            </w:r>
          </w:p>
        </w:tc>
        <w:tc>
          <w:tcPr>
            <w:tcW w:w="701" w:type="dxa"/>
            <w:tcBorders>
              <w:top w:val="nil"/>
              <w:left w:val="nil"/>
              <w:bottom w:val="nil"/>
              <w:right w:val="nil"/>
            </w:tcBorders>
            <w:shd w:val="clear" w:color="auto" w:fill="auto"/>
            <w:noWrap/>
            <w:vAlign w:val="center"/>
            <w:hideMark/>
          </w:tcPr>
          <w:p w14:paraId="470FA52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0.589</w:t>
            </w:r>
          </w:p>
        </w:tc>
        <w:tc>
          <w:tcPr>
            <w:tcW w:w="666" w:type="dxa"/>
            <w:tcBorders>
              <w:top w:val="nil"/>
              <w:left w:val="nil"/>
              <w:bottom w:val="nil"/>
              <w:right w:val="nil"/>
            </w:tcBorders>
            <w:shd w:val="clear" w:color="auto" w:fill="auto"/>
            <w:noWrap/>
            <w:vAlign w:val="center"/>
            <w:hideMark/>
          </w:tcPr>
          <w:p w14:paraId="3E3ECB1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0.075</w:t>
            </w:r>
          </w:p>
        </w:tc>
        <w:tc>
          <w:tcPr>
            <w:tcW w:w="222" w:type="dxa"/>
            <w:tcBorders>
              <w:top w:val="nil"/>
              <w:left w:val="nil"/>
              <w:bottom w:val="nil"/>
              <w:right w:val="nil"/>
            </w:tcBorders>
            <w:shd w:val="clear" w:color="auto" w:fill="auto"/>
            <w:noWrap/>
            <w:vAlign w:val="center"/>
            <w:hideMark/>
          </w:tcPr>
          <w:p w14:paraId="0A010A1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1070" w:type="dxa"/>
            <w:tcBorders>
              <w:top w:val="nil"/>
              <w:left w:val="nil"/>
              <w:bottom w:val="nil"/>
              <w:right w:val="nil"/>
            </w:tcBorders>
            <w:shd w:val="clear" w:color="auto" w:fill="auto"/>
            <w:noWrap/>
            <w:vAlign w:val="center"/>
            <w:hideMark/>
          </w:tcPr>
          <w:p w14:paraId="64EDEA8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5.806</w:t>
            </w:r>
          </w:p>
        </w:tc>
        <w:tc>
          <w:tcPr>
            <w:tcW w:w="685" w:type="dxa"/>
            <w:tcBorders>
              <w:top w:val="nil"/>
              <w:left w:val="nil"/>
              <w:bottom w:val="nil"/>
              <w:right w:val="nil"/>
            </w:tcBorders>
            <w:shd w:val="clear" w:color="auto" w:fill="auto"/>
            <w:noWrap/>
            <w:vAlign w:val="center"/>
            <w:hideMark/>
          </w:tcPr>
          <w:p w14:paraId="164C124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0.662</w:t>
            </w:r>
          </w:p>
        </w:tc>
        <w:tc>
          <w:tcPr>
            <w:tcW w:w="687" w:type="dxa"/>
            <w:gridSpan w:val="2"/>
            <w:tcBorders>
              <w:top w:val="nil"/>
              <w:left w:val="nil"/>
              <w:bottom w:val="nil"/>
              <w:right w:val="nil"/>
            </w:tcBorders>
            <w:shd w:val="clear" w:color="auto" w:fill="auto"/>
            <w:noWrap/>
            <w:vAlign w:val="center"/>
            <w:hideMark/>
          </w:tcPr>
          <w:p w14:paraId="7F659BE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0.201</w:t>
            </w:r>
          </w:p>
        </w:tc>
      </w:tr>
      <w:tr w:rsidR="0045296A" w:rsidRPr="00A80144" w14:paraId="3E9CAEBA" w14:textId="77777777" w:rsidTr="006D5746">
        <w:trPr>
          <w:trHeight w:val="315"/>
        </w:trPr>
        <w:tc>
          <w:tcPr>
            <w:tcW w:w="2504" w:type="dxa"/>
            <w:tcBorders>
              <w:top w:val="nil"/>
              <w:left w:val="nil"/>
              <w:bottom w:val="nil"/>
              <w:right w:val="nil"/>
            </w:tcBorders>
            <w:shd w:val="clear" w:color="auto" w:fill="auto"/>
            <w:vAlign w:val="center"/>
            <w:hideMark/>
          </w:tcPr>
          <w:p w14:paraId="1CEA564C"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BAT radiodensity (HU)</w:t>
            </w:r>
          </w:p>
        </w:tc>
        <w:tc>
          <w:tcPr>
            <w:tcW w:w="813" w:type="dxa"/>
            <w:tcBorders>
              <w:top w:val="nil"/>
              <w:left w:val="nil"/>
              <w:bottom w:val="nil"/>
              <w:right w:val="nil"/>
            </w:tcBorders>
            <w:shd w:val="clear" w:color="auto" w:fill="auto"/>
            <w:noWrap/>
            <w:vAlign w:val="center"/>
          </w:tcPr>
          <w:p w14:paraId="64FD6E4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-0.056</w:t>
            </w:r>
          </w:p>
        </w:tc>
        <w:tc>
          <w:tcPr>
            <w:tcW w:w="701" w:type="dxa"/>
            <w:tcBorders>
              <w:top w:val="nil"/>
              <w:left w:val="nil"/>
              <w:bottom w:val="nil"/>
              <w:right w:val="nil"/>
            </w:tcBorders>
            <w:shd w:val="clear" w:color="auto" w:fill="auto"/>
            <w:noWrap/>
            <w:vAlign w:val="center"/>
          </w:tcPr>
          <w:p w14:paraId="697BD33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0.757</w:t>
            </w:r>
          </w:p>
        </w:tc>
        <w:tc>
          <w:tcPr>
            <w:tcW w:w="666" w:type="dxa"/>
            <w:tcBorders>
              <w:top w:val="nil"/>
              <w:left w:val="nil"/>
              <w:bottom w:val="nil"/>
              <w:right w:val="nil"/>
            </w:tcBorders>
            <w:shd w:val="clear" w:color="auto" w:fill="auto"/>
            <w:noWrap/>
            <w:vAlign w:val="center"/>
          </w:tcPr>
          <w:p w14:paraId="4E62946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0.434</w:t>
            </w:r>
          </w:p>
        </w:tc>
        <w:tc>
          <w:tcPr>
            <w:tcW w:w="236" w:type="dxa"/>
            <w:tcBorders>
              <w:top w:val="nil"/>
              <w:left w:val="nil"/>
              <w:bottom w:val="nil"/>
              <w:right w:val="nil"/>
            </w:tcBorders>
            <w:shd w:val="clear" w:color="auto" w:fill="auto"/>
            <w:noWrap/>
            <w:vAlign w:val="center"/>
          </w:tcPr>
          <w:p w14:paraId="36E4592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930" w:type="dxa"/>
            <w:tcBorders>
              <w:top w:val="nil"/>
              <w:left w:val="nil"/>
              <w:bottom w:val="nil"/>
              <w:right w:val="nil"/>
            </w:tcBorders>
            <w:shd w:val="clear" w:color="auto" w:fill="auto"/>
            <w:noWrap/>
            <w:vAlign w:val="center"/>
          </w:tcPr>
          <w:p w14:paraId="713D4BA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-0.145</w:t>
            </w:r>
          </w:p>
        </w:tc>
        <w:tc>
          <w:tcPr>
            <w:tcW w:w="701" w:type="dxa"/>
            <w:tcBorders>
              <w:top w:val="nil"/>
              <w:left w:val="nil"/>
              <w:bottom w:val="nil"/>
              <w:right w:val="nil"/>
            </w:tcBorders>
            <w:shd w:val="clear" w:color="auto" w:fill="auto"/>
            <w:noWrap/>
            <w:vAlign w:val="center"/>
          </w:tcPr>
          <w:p w14:paraId="578BB2E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0.733</w:t>
            </w:r>
          </w:p>
        </w:tc>
        <w:tc>
          <w:tcPr>
            <w:tcW w:w="666" w:type="dxa"/>
            <w:tcBorders>
              <w:top w:val="nil"/>
              <w:left w:val="nil"/>
              <w:bottom w:val="nil"/>
              <w:right w:val="nil"/>
            </w:tcBorders>
            <w:shd w:val="clear" w:color="auto" w:fill="auto"/>
            <w:noWrap/>
            <w:vAlign w:val="center"/>
          </w:tcPr>
          <w:p w14:paraId="255C6B7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0.495</w:t>
            </w:r>
          </w:p>
        </w:tc>
        <w:tc>
          <w:tcPr>
            <w:tcW w:w="222" w:type="dxa"/>
            <w:tcBorders>
              <w:top w:val="nil"/>
              <w:left w:val="nil"/>
              <w:bottom w:val="nil"/>
              <w:right w:val="nil"/>
            </w:tcBorders>
            <w:shd w:val="clear" w:color="auto" w:fill="auto"/>
            <w:noWrap/>
            <w:vAlign w:val="center"/>
          </w:tcPr>
          <w:p w14:paraId="6592A81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center"/>
          </w:tcPr>
          <w:p w14:paraId="4648471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0.016</w:t>
            </w:r>
          </w:p>
        </w:tc>
        <w:tc>
          <w:tcPr>
            <w:tcW w:w="701" w:type="dxa"/>
            <w:tcBorders>
              <w:top w:val="nil"/>
              <w:left w:val="nil"/>
              <w:bottom w:val="nil"/>
              <w:right w:val="nil"/>
            </w:tcBorders>
            <w:shd w:val="clear" w:color="auto" w:fill="auto"/>
            <w:noWrap/>
            <w:vAlign w:val="center"/>
          </w:tcPr>
          <w:p w14:paraId="5DDCF08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0.831</w:t>
            </w:r>
          </w:p>
        </w:tc>
        <w:tc>
          <w:tcPr>
            <w:tcW w:w="666" w:type="dxa"/>
            <w:tcBorders>
              <w:top w:val="nil"/>
              <w:left w:val="nil"/>
              <w:bottom w:val="nil"/>
              <w:right w:val="nil"/>
            </w:tcBorders>
            <w:shd w:val="clear" w:color="auto" w:fill="auto"/>
            <w:noWrap/>
            <w:vAlign w:val="center"/>
          </w:tcPr>
          <w:p w14:paraId="000593A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0.887</w:t>
            </w:r>
          </w:p>
        </w:tc>
        <w:tc>
          <w:tcPr>
            <w:tcW w:w="222" w:type="dxa"/>
            <w:tcBorders>
              <w:top w:val="nil"/>
              <w:left w:val="nil"/>
              <w:bottom w:val="nil"/>
              <w:right w:val="nil"/>
            </w:tcBorders>
            <w:shd w:val="clear" w:color="auto" w:fill="auto"/>
            <w:noWrap/>
            <w:vAlign w:val="center"/>
          </w:tcPr>
          <w:p w14:paraId="70FEA1F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center"/>
          </w:tcPr>
          <w:p w14:paraId="73979BC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0.028</w:t>
            </w:r>
          </w:p>
        </w:tc>
        <w:tc>
          <w:tcPr>
            <w:tcW w:w="701" w:type="dxa"/>
            <w:tcBorders>
              <w:top w:val="nil"/>
              <w:left w:val="nil"/>
              <w:bottom w:val="nil"/>
              <w:right w:val="nil"/>
            </w:tcBorders>
            <w:shd w:val="clear" w:color="auto" w:fill="auto"/>
            <w:noWrap/>
            <w:vAlign w:val="center"/>
          </w:tcPr>
          <w:p w14:paraId="1A40FBD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0.606</w:t>
            </w:r>
          </w:p>
        </w:tc>
        <w:tc>
          <w:tcPr>
            <w:tcW w:w="666" w:type="dxa"/>
            <w:tcBorders>
              <w:top w:val="nil"/>
              <w:left w:val="nil"/>
              <w:bottom w:val="nil"/>
              <w:right w:val="nil"/>
            </w:tcBorders>
            <w:shd w:val="clear" w:color="auto" w:fill="auto"/>
            <w:noWrap/>
            <w:vAlign w:val="center"/>
          </w:tcPr>
          <w:p w14:paraId="4A0A1E0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0.811</w:t>
            </w:r>
          </w:p>
        </w:tc>
        <w:tc>
          <w:tcPr>
            <w:tcW w:w="222" w:type="dxa"/>
            <w:tcBorders>
              <w:top w:val="nil"/>
              <w:left w:val="nil"/>
              <w:bottom w:val="nil"/>
              <w:right w:val="nil"/>
            </w:tcBorders>
            <w:shd w:val="clear" w:color="auto" w:fill="auto"/>
            <w:noWrap/>
            <w:vAlign w:val="center"/>
          </w:tcPr>
          <w:p w14:paraId="012ED1D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1070" w:type="dxa"/>
            <w:tcBorders>
              <w:top w:val="nil"/>
              <w:left w:val="nil"/>
              <w:bottom w:val="nil"/>
              <w:right w:val="nil"/>
            </w:tcBorders>
            <w:shd w:val="clear" w:color="auto" w:fill="auto"/>
            <w:noWrap/>
            <w:vAlign w:val="center"/>
          </w:tcPr>
          <w:p w14:paraId="7C3573D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1.290</w:t>
            </w:r>
          </w:p>
        </w:tc>
        <w:tc>
          <w:tcPr>
            <w:tcW w:w="685" w:type="dxa"/>
            <w:tcBorders>
              <w:top w:val="nil"/>
              <w:left w:val="nil"/>
              <w:bottom w:val="nil"/>
              <w:right w:val="nil"/>
            </w:tcBorders>
            <w:shd w:val="clear" w:color="auto" w:fill="auto"/>
            <w:noWrap/>
            <w:vAlign w:val="center"/>
          </w:tcPr>
          <w:p w14:paraId="29A991D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0.630</w:t>
            </w:r>
          </w:p>
        </w:tc>
        <w:tc>
          <w:tcPr>
            <w:tcW w:w="687" w:type="dxa"/>
            <w:gridSpan w:val="2"/>
            <w:tcBorders>
              <w:top w:val="nil"/>
              <w:left w:val="nil"/>
              <w:bottom w:val="nil"/>
              <w:right w:val="nil"/>
            </w:tcBorders>
            <w:shd w:val="clear" w:color="auto" w:fill="auto"/>
            <w:noWrap/>
            <w:vAlign w:val="center"/>
          </w:tcPr>
          <w:p w14:paraId="694CB3D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0.626</w:t>
            </w:r>
          </w:p>
        </w:tc>
      </w:tr>
      <w:tr w:rsidR="0045296A" w:rsidRPr="00A80144" w14:paraId="4DC730CF" w14:textId="77777777" w:rsidTr="006D5746">
        <w:trPr>
          <w:trHeight w:val="95"/>
        </w:trPr>
        <w:tc>
          <w:tcPr>
            <w:tcW w:w="2504" w:type="dxa"/>
            <w:tcBorders>
              <w:top w:val="nil"/>
              <w:left w:val="nil"/>
              <w:bottom w:val="nil"/>
              <w:right w:val="nil"/>
            </w:tcBorders>
            <w:shd w:val="clear" w:color="auto" w:fill="auto"/>
            <w:vAlign w:val="center"/>
            <w:hideMark/>
          </w:tcPr>
          <w:p w14:paraId="1BE7EB11" w14:textId="77777777" w:rsidR="0045296A" w:rsidRPr="00A80144"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813" w:type="dxa"/>
            <w:tcBorders>
              <w:top w:val="nil"/>
              <w:left w:val="nil"/>
              <w:bottom w:val="nil"/>
              <w:right w:val="nil"/>
            </w:tcBorders>
            <w:shd w:val="clear" w:color="auto" w:fill="auto"/>
            <w:noWrap/>
            <w:vAlign w:val="bottom"/>
            <w:hideMark/>
          </w:tcPr>
          <w:p w14:paraId="2B31A85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hideMark/>
          </w:tcPr>
          <w:p w14:paraId="2B130DA9"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hideMark/>
          </w:tcPr>
          <w:p w14:paraId="14FFC4E5"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tcBorders>
              <w:top w:val="nil"/>
              <w:left w:val="nil"/>
              <w:bottom w:val="nil"/>
              <w:right w:val="nil"/>
            </w:tcBorders>
            <w:shd w:val="clear" w:color="auto" w:fill="auto"/>
            <w:noWrap/>
            <w:vAlign w:val="bottom"/>
            <w:hideMark/>
          </w:tcPr>
          <w:p w14:paraId="33313705"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930" w:type="dxa"/>
            <w:tcBorders>
              <w:top w:val="nil"/>
              <w:left w:val="nil"/>
              <w:bottom w:val="nil"/>
              <w:right w:val="nil"/>
            </w:tcBorders>
            <w:shd w:val="clear" w:color="auto" w:fill="auto"/>
            <w:noWrap/>
            <w:vAlign w:val="bottom"/>
          </w:tcPr>
          <w:p w14:paraId="02188CA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tcPr>
          <w:p w14:paraId="02D8308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tcPr>
          <w:p w14:paraId="3ACB0A7B"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hideMark/>
          </w:tcPr>
          <w:p w14:paraId="1A5DF430"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bottom"/>
            <w:hideMark/>
          </w:tcPr>
          <w:p w14:paraId="216D89AA"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hideMark/>
          </w:tcPr>
          <w:p w14:paraId="0247096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hideMark/>
          </w:tcPr>
          <w:p w14:paraId="7A3FF18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hideMark/>
          </w:tcPr>
          <w:p w14:paraId="0220DA3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bottom"/>
            <w:hideMark/>
          </w:tcPr>
          <w:p w14:paraId="415FBC8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hideMark/>
          </w:tcPr>
          <w:p w14:paraId="10CF82E0"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hideMark/>
          </w:tcPr>
          <w:p w14:paraId="03DC85F9"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hideMark/>
          </w:tcPr>
          <w:p w14:paraId="3E0C5695"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1070" w:type="dxa"/>
            <w:tcBorders>
              <w:top w:val="nil"/>
              <w:left w:val="nil"/>
              <w:bottom w:val="nil"/>
              <w:right w:val="nil"/>
            </w:tcBorders>
            <w:shd w:val="clear" w:color="auto" w:fill="auto"/>
            <w:noWrap/>
            <w:vAlign w:val="bottom"/>
            <w:hideMark/>
          </w:tcPr>
          <w:p w14:paraId="7A6263A6"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85" w:type="dxa"/>
            <w:tcBorders>
              <w:top w:val="nil"/>
              <w:left w:val="nil"/>
              <w:bottom w:val="nil"/>
              <w:right w:val="nil"/>
            </w:tcBorders>
            <w:shd w:val="clear" w:color="auto" w:fill="auto"/>
            <w:noWrap/>
            <w:vAlign w:val="bottom"/>
            <w:hideMark/>
          </w:tcPr>
          <w:p w14:paraId="2B95C91F"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87" w:type="dxa"/>
            <w:gridSpan w:val="2"/>
            <w:tcBorders>
              <w:top w:val="nil"/>
              <w:left w:val="nil"/>
              <w:bottom w:val="nil"/>
              <w:right w:val="nil"/>
            </w:tcBorders>
            <w:shd w:val="clear" w:color="auto" w:fill="auto"/>
            <w:noWrap/>
            <w:vAlign w:val="bottom"/>
            <w:hideMark/>
          </w:tcPr>
          <w:p w14:paraId="2C5180CE"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r>
      <w:tr w:rsidR="0045296A" w:rsidRPr="004D4FE5" w14:paraId="46A84E8F" w14:textId="77777777" w:rsidTr="006D5746">
        <w:trPr>
          <w:trHeight w:val="315"/>
        </w:trPr>
        <w:tc>
          <w:tcPr>
            <w:tcW w:w="4018" w:type="dxa"/>
            <w:gridSpan w:val="3"/>
            <w:tcBorders>
              <w:top w:val="nil"/>
              <w:left w:val="nil"/>
              <w:bottom w:val="nil"/>
              <w:right w:val="nil"/>
            </w:tcBorders>
            <w:shd w:val="clear" w:color="auto" w:fill="auto"/>
            <w:noWrap/>
            <w:vAlign w:val="bottom"/>
            <w:hideMark/>
          </w:tcPr>
          <w:p w14:paraId="6DA84419"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Model 4 (Date PET-CT and vest Tª)</w:t>
            </w:r>
          </w:p>
        </w:tc>
        <w:tc>
          <w:tcPr>
            <w:tcW w:w="666" w:type="dxa"/>
            <w:tcBorders>
              <w:top w:val="nil"/>
              <w:left w:val="nil"/>
              <w:bottom w:val="nil"/>
              <w:right w:val="nil"/>
            </w:tcBorders>
            <w:shd w:val="clear" w:color="auto" w:fill="auto"/>
            <w:noWrap/>
            <w:vAlign w:val="bottom"/>
            <w:hideMark/>
          </w:tcPr>
          <w:p w14:paraId="6B49572F"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tcBorders>
              <w:top w:val="nil"/>
              <w:left w:val="nil"/>
              <w:bottom w:val="nil"/>
              <w:right w:val="nil"/>
            </w:tcBorders>
            <w:shd w:val="clear" w:color="auto" w:fill="auto"/>
            <w:noWrap/>
            <w:vAlign w:val="bottom"/>
            <w:hideMark/>
          </w:tcPr>
          <w:p w14:paraId="77A299AF"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930" w:type="dxa"/>
            <w:tcBorders>
              <w:top w:val="nil"/>
              <w:left w:val="nil"/>
              <w:bottom w:val="nil"/>
              <w:right w:val="nil"/>
            </w:tcBorders>
            <w:shd w:val="clear" w:color="auto" w:fill="auto"/>
            <w:noWrap/>
            <w:vAlign w:val="bottom"/>
          </w:tcPr>
          <w:p w14:paraId="33EED94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tcPr>
          <w:p w14:paraId="6D11E7EF"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tcPr>
          <w:p w14:paraId="62FB9AAF"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hideMark/>
          </w:tcPr>
          <w:p w14:paraId="696A03EA"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bottom"/>
            <w:hideMark/>
          </w:tcPr>
          <w:p w14:paraId="232507C5"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hideMark/>
          </w:tcPr>
          <w:p w14:paraId="5EA7C949"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hideMark/>
          </w:tcPr>
          <w:p w14:paraId="65E1E29D"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hideMark/>
          </w:tcPr>
          <w:p w14:paraId="25BF8CD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bottom"/>
            <w:hideMark/>
          </w:tcPr>
          <w:p w14:paraId="408B960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tcBorders>
              <w:top w:val="nil"/>
              <w:left w:val="nil"/>
              <w:bottom w:val="nil"/>
              <w:right w:val="nil"/>
            </w:tcBorders>
            <w:shd w:val="clear" w:color="auto" w:fill="auto"/>
            <w:noWrap/>
            <w:vAlign w:val="bottom"/>
            <w:hideMark/>
          </w:tcPr>
          <w:p w14:paraId="4606AC8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nil"/>
              <w:left w:val="nil"/>
              <w:bottom w:val="nil"/>
              <w:right w:val="nil"/>
            </w:tcBorders>
            <w:shd w:val="clear" w:color="auto" w:fill="auto"/>
            <w:noWrap/>
            <w:vAlign w:val="bottom"/>
            <w:hideMark/>
          </w:tcPr>
          <w:p w14:paraId="0914D2A5"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tcBorders>
              <w:top w:val="nil"/>
              <w:left w:val="nil"/>
              <w:bottom w:val="nil"/>
              <w:right w:val="nil"/>
            </w:tcBorders>
            <w:shd w:val="clear" w:color="auto" w:fill="auto"/>
            <w:noWrap/>
            <w:vAlign w:val="bottom"/>
            <w:hideMark/>
          </w:tcPr>
          <w:p w14:paraId="7EE1A82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1070" w:type="dxa"/>
            <w:tcBorders>
              <w:top w:val="nil"/>
              <w:left w:val="nil"/>
              <w:bottom w:val="nil"/>
              <w:right w:val="nil"/>
            </w:tcBorders>
            <w:shd w:val="clear" w:color="auto" w:fill="auto"/>
            <w:noWrap/>
            <w:vAlign w:val="bottom"/>
            <w:hideMark/>
          </w:tcPr>
          <w:p w14:paraId="31FBEFED"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85" w:type="dxa"/>
            <w:tcBorders>
              <w:top w:val="nil"/>
              <w:left w:val="nil"/>
              <w:bottom w:val="nil"/>
              <w:right w:val="nil"/>
            </w:tcBorders>
            <w:shd w:val="clear" w:color="auto" w:fill="auto"/>
            <w:noWrap/>
            <w:vAlign w:val="bottom"/>
            <w:hideMark/>
          </w:tcPr>
          <w:p w14:paraId="29302D5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87" w:type="dxa"/>
            <w:gridSpan w:val="2"/>
            <w:tcBorders>
              <w:top w:val="nil"/>
              <w:left w:val="nil"/>
              <w:bottom w:val="nil"/>
              <w:right w:val="nil"/>
            </w:tcBorders>
            <w:shd w:val="clear" w:color="auto" w:fill="auto"/>
            <w:noWrap/>
            <w:vAlign w:val="bottom"/>
            <w:hideMark/>
          </w:tcPr>
          <w:p w14:paraId="38483F1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r>
      <w:tr w:rsidR="0045296A" w:rsidRPr="00A80144" w14:paraId="2031AE29" w14:textId="77777777" w:rsidTr="006D5746">
        <w:trPr>
          <w:trHeight w:val="315"/>
        </w:trPr>
        <w:tc>
          <w:tcPr>
            <w:tcW w:w="2504" w:type="dxa"/>
            <w:tcBorders>
              <w:top w:val="nil"/>
              <w:left w:val="nil"/>
              <w:bottom w:val="nil"/>
              <w:right w:val="nil"/>
            </w:tcBorders>
            <w:shd w:val="clear" w:color="auto" w:fill="auto"/>
            <w:vAlign w:val="center"/>
            <w:hideMark/>
          </w:tcPr>
          <w:p w14:paraId="41DAA68E"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BAT volume</w:t>
            </w:r>
          </w:p>
        </w:tc>
        <w:tc>
          <w:tcPr>
            <w:tcW w:w="813" w:type="dxa"/>
            <w:tcBorders>
              <w:top w:val="nil"/>
              <w:left w:val="nil"/>
              <w:bottom w:val="nil"/>
              <w:right w:val="nil"/>
            </w:tcBorders>
            <w:shd w:val="clear" w:color="auto" w:fill="auto"/>
            <w:noWrap/>
            <w:vAlign w:val="center"/>
            <w:hideMark/>
          </w:tcPr>
          <w:p w14:paraId="7C3470E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0.054</w:t>
            </w:r>
          </w:p>
        </w:tc>
        <w:tc>
          <w:tcPr>
            <w:tcW w:w="701" w:type="dxa"/>
            <w:tcBorders>
              <w:top w:val="nil"/>
              <w:left w:val="nil"/>
              <w:bottom w:val="nil"/>
              <w:right w:val="nil"/>
            </w:tcBorders>
            <w:shd w:val="clear" w:color="auto" w:fill="auto"/>
            <w:noWrap/>
            <w:vAlign w:val="center"/>
            <w:hideMark/>
          </w:tcPr>
          <w:p w14:paraId="02DCF7B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0.413</w:t>
            </w:r>
          </w:p>
        </w:tc>
        <w:tc>
          <w:tcPr>
            <w:tcW w:w="666" w:type="dxa"/>
            <w:tcBorders>
              <w:top w:val="nil"/>
              <w:left w:val="nil"/>
              <w:bottom w:val="nil"/>
              <w:right w:val="nil"/>
            </w:tcBorders>
            <w:shd w:val="clear" w:color="auto" w:fill="auto"/>
            <w:noWrap/>
            <w:vAlign w:val="center"/>
            <w:hideMark/>
          </w:tcPr>
          <w:p w14:paraId="7216C86B"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0.045</w:t>
            </w:r>
          </w:p>
        </w:tc>
        <w:tc>
          <w:tcPr>
            <w:tcW w:w="236" w:type="dxa"/>
            <w:tcBorders>
              <w:top w:val="nil"/>
              <w:left w:val="nil"/>
              <w:bottom w:val="nil"/>
              <w:right w:val="nil"/>
            </w:tcBorders>
            <w:shd w:val="clear" w:color="auto" w:fill="auto"/>
            <w:noWrap/>
            <w:vAlign w:val="center"/>
            <w:hideMark/>
          </w:tcPr>
          <w:p w14:paraId="6F139487"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930" w:type="dxa"/>
            <w:tcBorders>
              <w:top w:val="nil"/>
              <w:left w:val="nil"/>
              <w:bottom w:val="nil"/>
              <w:right w:val="nil"/>
            </w:tcBorders>
            <w:shd w:val="clear" w:color="auto" w:fill="auto"/>
            <w:noWrap/>
            <w:vAlign w:val="center"/>
          </w:tcPr>
          <w:p w14:paraId="5D35DFE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0.056</w:t>
            </w:r>
          </w:p>
        </w:tc>
        <w:tc>
          <w:tcPr>
            <w:tcW w:w="701" w:type="dxa"/>
            <w:tcBorders>
              <w:top w:val="nil"/>
              <w:left w:val="nil"/>
              <w:bottom w:val="nil"/>
              <w:right w:val="nil"/>
            </w:tcBorders>
            <w:shd w:val="clear" w:color="auto" w:fill="auto"/>
            <w:noWrap/>
            <w:vAlign w:val="center"/>
          </w:tcPr>
          <w:p w14:paraId="76DC5BB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0.209</w:t>
            </w:r>
          </w:p>
        </w:tc>
        <w:tc>
          <w:tcPr>
            <w:tcW w:w="666" w:type="dxa"/>
            <w:tcBorders>
              <w:top w:val="nil"/>
              <w:left w:val="nil"/>
              <w:bottom w:val="nil"/>
              <w:right w:val="nil"/>
            </w:tcBorders>
            <w:shd w:val="clear" w:color="auto" w:fill="auto"/>
            <w:noWrap/>
            <w:vAlign w:val="center"/>
          </w:tcPr>
          <w:p w14:paraId="7EB671E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0.512</w:t>
            </w:r>
          </w:p>
        </w:tc>
        <w:tc>
          <w:tcPr>
            <w:tcW w:w="222" w:type="dxa"/>
            <w:tcBorders>
              <w:top w:val="nil"/>
              <w:left w:val="nil"/>
              <w:bottom w:val="nil"/>
              <w:right w:val="nil"/>
            </w:tcBorders>
            <w:shd w:val="clear" w:color="auto" w:fill="auto"/>
            <w:noWrap/>
            <w:vAlign w:val="center"/>
            <w:hideMark/>
          </w:tcPr>
          <w:p w14:paraId="383CE4F7"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tcBorders>
              <w:top w:val="nil"/>
              <w:left w:val="nil"/>
              <w:bottom w:val="nil"/>
              <w:right w:val="nil"/>
            </w:tcBorders>
            <w:shd w:val="clear" w:color="auto" w:fill="auto"/>
            <w:noWrap/>
            <w:vAlign w:val="center"/>
            <w:hideMark/>
          </w:tcPr>
          <w:p w14:paraId="1328B22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0.082</w:t>
            </w:r>
          </w:p>
        </w:tc>
        <w:tc>
          <w:tcPr>
            <w:tcW w:w="701" w:type="dxa"/>
            <w:tcBorders>
              <w:top w:val="nil"/>
              <w:left w:val="nil"/>
              <w:bottom w:val="nil"/>
              <w:right w:val="nil"/>
            </w:tcBorders>
            <w:shd w:val="clear" w:color="auto" w:fill="auto"/>
            <w:noWrap/>
            <w:vAlign w:val="center"/>
            <w:hideMark/>
          </w:tcPr>
          <w:p w14:paraId="1B47FEA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0.374</w:t>
            </w:r>
          </w:p>
        </w:tc>
        <w:tc>
          <w:tcPr>
            <w:tcW w:w="666" w:type="dxa"/>
            <w:tcBorders>
              <w:top w:val="nil"/>
              <w:left w:val="nil"/>
              <w:bottom w:val="nil"/>
              <w:right w:val="nil"/>
            </w:tcBorders>
            <w:shd w:val="clear" w:color="auto" w:fill="auto"/>
            <w:noWrap/>
            <w:vAlign w:val="center"/>
            <w:hideMark/>
          </w:tcPr>
          <w:p w14:paraId="340211A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0.164</w:t>
            </w:r>
          </w:p>
        </w:tc>
        <w:tc>
          <w:tcPr>
            <w:tcW w:w="222" w:type="dxa"/>
            <w:tcBorders>
              <w:top w:val="nil"/>
              <w:left w:val="nil"/>
              <w:bottom w:val="nil"/>
              <w:right w:val="nil"/>
            </w:tcBorders>
            <w:shd w:val="clear" w:color="auto" w:fill="auto"/>
            <w:noWrap/>
            <w:vAlign w:val="center"/>
            <w:hideMark/>
          </w:tcPr>
          <w:p w14:paraId="4E6B451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center"/>
            <w:hideMark/>
          </w:tcPr>
          <w:p w14:paraId="0445BFD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0.041</w:t>
            </w:r>
          </w:p>
        </w:tc>
        <w:tc>
          <w:tcPr>
            <w:tcW w:w="701" w:type="dxa"/>
            <w:tcBorders>
              <w:top w:val="nil"/>
              <w:left w:val="nil"/>
              <w:bottom w:val="nil"/>
              <w:right w:val="nil"/>
            </w:tcBorders>
            <w:shd w:val="clear" w:color="auto" w:fill="auto"/>
            <w:noWrap/>
            <w:vAlign w:val="center"/>
            <w:hideMark/>
          </w:tcPr>
          <w:p w14:paraId="02DDA86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0.339</w:t>
            </w:r>
          </w:p>
        </w:tc>
        <w:tc>
          <w:tcPr>
            <w:tcW w:w="666" w:type="dxa"/>
            <w:tcBorders>
              <w:top w:val="nil"/>
              <w:left w:val="nil"/>
              <w:bottom w:val="nil"/>
              <w:right w:val="nil"/>
            </w:tcBorders>
            <w:shd w:val="clear" w:color="auto" w:fill="auto"/>
            <w:noWrap/>
            <w:vAlign w:val="center"/>
            <w:hideMark/>
          </w:tcPr>
          <w:p w14:paraId="0C9300B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0.329</w:t>
            </w:r>
          </w:p>
        </w:tc>
        <w:tc>
          <w:tcPr>
            <w:tcW w:w="222" w:type="dxa"/>
            <w:tcBorders>
              <w:top w:val="nil"/>
              <w:left w:val="nil"/>
              <w:bottom w:val="nil"/>
              <w:right w:val="nil"/>
            </w:tcBorders>
            <w:shd w:val="clear" w:color="auto" w:fill="auto"/>
            <w:noWrap/>
            <w:vAlign w:val="center"/>
            <w:hideMark/>
          </w:tcPr>
          <w:p w14:paraId="7E9033C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1070" w:type="dxa"/>
            <w:tcBorders>
              <w:top w:val="nil"/>
              <w:left w:val="nil"/>
              <w:bottom w:val="nil"/>
              <w:right w:val="nil"/>
            </w:tcBorders>
            <w:shd w:val="clear" w:color="auto" w:fill="auto"/>
            <w:noWrap/>
            <w:vAlign w:val="center"/>
            <w:hideMark/>
          </w:tcPr>
          <w:p w14:paraId="7D1EE69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1.304</w:t>
            </w:r>
          </w:p>
        </w:tc>
        <w:tc>
          <w:tcPr>
            <w:tcW w:w="685" w:type="dxa"/>
            <w:tcBorders>
              <w:top w:val="nil"/>
              <w:left w:val="nil"/>
              <w:bottom w:val="nil"/>
              <w:right w:val="nil"/>
            </w:tcBorders>
            <w:shd w:val="clear" w:color="auto" w:fill="auto"/>
            <w:noWrap/>
            <w:vAlign w:val="center"/>
            <w:hideMark/>
          </w:tcPr>
          <w:p w14:paraId="2582393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0.249</w:t>
            </w:r>
          </w:p>
        </w:tc>
        <w:tc>
          <w:tcPr>
            <w:tcW w:w="687" w:type="dxa"/>
            <w:gridSpan w:val="2"/>
            <w:tcBorders>
              <w:top w:val="nil"/>
              <w:left w:val="nil"/>
              <w:bottom w:val="nil"/>
              <w:right w:val="nil"/>
            </w:tcBorders>
            <w:shd w:val="clear" w:color="auto" w:fill="auto"/>
            <w:noWrap/>
            <w:vAlign w:val="center"/>
            <w:hideMark/>
          </w:tcPr>
          <w:p w14:paraId="0FD958D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0.195</w:t>
            </w:r>
          </w:p>
        </w:tc>
      </w:tr>
      <w:tr w:rsidR="0045296A" w:rsidRPr="00A80144" w14:paraId="3710529C" w14:textId="77777777" w:rsidTr="006D5746">
        <w:trPr>
          <w:trHeight w:val="315"/>
        </w:trPr>
        <w:tc>
          <w:tcPr>
            <w:tcW w:w="2504" w:type="dxa"/>
            <w:tcBorders>
              <w:top w:val="nil"/>
              <w:left w:val="nil"/>
              <w:bottom w:val="nil"/>
              <w:right w:val="nil"/>
            </w:tcBorders>
            <w:shd w:val="clear" w:color="auto" w:fill="auto"/>
            <w:vAlign w:val="center"/>
            <w:hideMark/>
          </w:tcPr>
          <w:p w14:paraId="2CF31903"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 xml:space="preserve">BAT SUVmean </w:t>
            </w:r>
          </w:p>
        </w:tc>
        <w:tc>
          <w:tcPr>
            <w:tcW w:w="813" w:type="dxa"/>
            <w:tcBorders>
              <w:top w:val="nil"/>
              <w:left w:val="nil"/>
              <w:bottom w:val="nil"/>
              <w:right w:val="nil"/>
            </w:tcBorders>
            <w:shd w:val="clear" w:color="auto" w:fill="auto"/>
            <w:noWrap/>
            <w:vAlign w:val="center"/>
            <w:hideMark/>
          </w:tcPr>
          <w:p w14:paraId="051351D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-3.674</w:t>
            </w:r>
          </w:p>
        </w:tc>
        <w:tc>
          <w:tcPr>
            <w:tcW w:w="701" w:type="dxa"/>
            <w:tcBorders>
              <w:top w:val="nil"/>
              <w:left w:val="nil"/>
              <w:bottom w:val="nil"/>
              <w:right w:val="nil"/>
            </w:tcBorders>
            <w:shd w:val="clear" w:color="auto" w:fill="auto"/>
            <w:noWrap/>
            <w:vAlign w:val="center"/>
            <w:hideMark/>
          </w:tcPr>
          <w:p w14:paraId="5136B4F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0.404</w:t>
            </w:r>
          </w:p>
        </w:tc>
        <w:tc>
          <w:tcPr>
            <w:tcW w:w="666" w:type="dxa"/>
            <w:tcBorders>
              <w:top w:val="nil"/>
              <w:left w:val="nil"/>
              <w:bottom w:val="nil"/>
              <w:right w:val="nil"/>
            </w:tcBorders>
            <w:shd w:val="clear" w:color="auto" w:fill="auto"/>
            <w:noWrap/>
            <w:vAlign w:val="center"/>
            <w:hideMark/>
          </w:tcPr>
          <w:p w14:paraId="3AC8384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0.052</w:t>
            </w:r>
          </w:p>
        </w:tc>
        <w:tc>
          <w:tcPr>
            <w:tcW w:w="236" w:type="dxa"/>
            <w:tcBorders>
              <w:top w:val="nil"/>
              <w:left w:val="nil"/>
              <w:bottom w:val="nil"/>
              <w:right w:val="nil"/>
            </w:tcBorders>
            <w:shd w:val="clear" w:color="auto" w:fill="auto"/>
            <w:noWrap/>
            <w:vAlign w:val="center"/>
            <w:hideMark/>
          </w:tcPr>
          <w:p w14:paraId="2E22B9A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930" w:type="dxa"/>
            <w:tcBorders>
              <w:top w:val="nil"/>
              <w:left w:val="nil"/>
              <w:bottom w:val="nil"/>
              <w:right w:val="nil"/>
            </w:tcBorders>
            <w:shd w:val="clear" w:color="auto" w:fill="auto"/>
            <w:noWrap/>
            <w:vAlign w:val="center"/>
          </w:tcPr>
          <w:p w14:paraId="053923A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-14.405</w:t>
            </w:r>
          </w:p>
        </w:tc>
        <w:tc>
          <w:tcPr>
            <w:tcW w:w="701" w:type="dxa"/>
            <w:tcBorders>
              <w:top w:val="nil"/>
              <w:left w:val="nil"/>
              <w:bottom w:val="nil"/>
              <w:right w:val="nil"/>
            </w:tcBorders>
            <w:shd w:val="clear" w:color="auto" w:fill="auto"/>
            <w:noWrap/>
            <w:vAlign w:val="center"/>
          </w:tcPr>
          <w:p w14:paraId="7C1A357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0.463</w:t>
            </w:r>
          </w:p>
        </w:tc>
        <w:tc>
          <w:tcPr>
            <w:tcW w:w="666" w:type="dxa"/>
            <w:tcBorders>
              <w:top w:val="nil"/>
              <w:left w:val="nil"/>
              <w:bottom w:val="nil"/>
              <w:right w:val="nil"/>
            </w:tcBorders>
            <w:shd w:val="clear" w:color="auto" w:fill="auto"/>
            <w:noWrap/>
            <w:vAlign w:val="center"/>
          </w:tcPr>
          <w:p w14:paraId="14819748"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0.009</w:t>
            </w:r>
          </w:p>
        </w:tc>
        <w:tc>
          <w:tcPr>
            <w:tcW w:w="222" w:type="dxa"/>
            <w:tcBorders>
              <w:top w:val="nil"/>
              <w:left w:val="nil"/>
              <w:bottom w:val="nil"/>
              <w:right w:val="nil"/>
            </w:tcBorders>
            <w:shd w:val="clear" w:color="auto" w:fill="auto"/>
            <w:noWrap/>
            <w:vAlign w:val="center"/>
            <w:hideMark/>
          </w:tcPr>
          <w:p w14:paraId="4A956D9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nil"/>
              <w:right w:val="nil"/>
            </w:tcBorders>
            <w:shd w:val="clear" w:color="auto" w:fill="auto"/>
            <w:noWrap/>
            <w:vAlign w:val="center"/>
            <w:hideMark/>
          </w:tcPr>
          <w:p w14:paraId="619AEC4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-8.768</w:t>
            </w:r>
          </w:p>
        </w:tc>
        <w:tc>
          <w:tcPr>
            <w:tcW w:w="701" w:type="dxa"/>
            <w:tcBorders>
              <w:top w:val="nil"/>
              <w:left w:val="nil"/>
              <w:bottom w:val="nil"/>
              <w:right w:val="nil"/>
            </w:tcBorders>
            <w:shd w:val="clear" w:color="auto" w:fill="auto"/>
            <w:noWrap/>
            <w:vAlign w:val="center"/>
            <w:hideMark/>
          </w:tcPr>
          <w:p w14:paraId="0F688F7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0.477</w:t>
            </w:r>
          </w:p>
        </w:tc>
        <w:tc>
          <w:tcPr>
            <w:tcW w:w="666" w:type="dxa"/>
            <w:tcBorders>
              <w:top w:val="nil"/>
              <w:left w:val="nil"/>
              <w:bottom w:val="nil"/>
              <w:right w:val="nil"/>
            </w:tcBorders>
            <w:shd w:val="clear" w:color="auto" w:fill="auto"/>
            <w:noWrap/>
            <w:vAlign w:val="center"/>
            <w:hideMark/>
          </w:tcPr>
          <w:p w14:paraId="39543F8A"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0.027</w:t>
            </w:r>
          </w:p>
        </w:tc>
        <w:tc>
          <w:tcPr>
            <w:tcW w:w="222" w:type="dxa"/>
            <w:tcBorders>
              <w:top w:val="nil"/>
              <w:left w:val="nil"/>
              <w:bottom w:val="nil"/>
              <w:right w:val="nil"/>
            </w:tcBorders>
            <w:shd w:val="clear" w:color="auto" w:fill="auto"/>
            <w:noWrap/>
            <w:vAlign w:val="center"/>
            <w:hideMark/>
          </w:tcPr>
          <w:p w14:paraId="70166846"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tcBorders>
              <w:top w:val="nil"/>
              <w:left w:val="nil"/>
              <w:bottom w:val="nil"/>
              <w:right w:val="nil"/>
            </w:tcBorders>
            <w:shd w:val="clear" w:color="auto" w:fill="auto"/>
            <w:noWrap/>
            <w:vAlign w:val="center"/>
            <w:hideMark/>
          </w:tcPr>
          <w:p w14:paraId="26AB28C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-5.673</w:t>
            </w:r>
          </w:p>
        </w:tc>
        <w:tc>
          <w:tcPr>
            <w:tcW w:w="701" w:type="dxa"/>
            <w:tcBorders>
              <w:top w:val="nil"/>
              <w:left w:val="nil"/>
              <w:bottom w:val="nil"/>
              <w:right w:val="nil"/>
            </w:tcBorders>
            <w:shd w:val="clear" w:color="auto" w:fill="auto"/>
            <w:noWrap/>
            <w:vAlign w:val="center"/>
            <w:hideMark/>
          </w:tcPr>
          <w:p w14:paraId="0F487B7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0.452</w:t>
            </w:r>
          </w:p>
        </w:tc>
        <w:tc>
          <w:tcPr>
            <w:tcW w:w="666" w:type="dxa"/>
            <w:tcBorders>
              <w:top w:val="nil"/>
              <w:left w:val="nil"/>
              <w:bottom w:val="nil"/>
              <w:right w:val="nil"/>
            </w:tcBorders>
            <w:shd w:val="clear" w:color="auto" w:fill="auto"/>
            <w:noWrap/>
            <w:vAlign w:val="center"/>
            <w:hideMark/>
          </w:tcPr>
          <w:p w14:paraId="6AB552E7"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0.044</w:t>
            </w:r>
          </w:p>
        </w:tc>
        <w:tc>
          <w:tcPr>
            <w:tcW w:w="222" w:type="dxa"/>
            <w:tcBorders>
              <w:top w:val="nil"/>
              <w:left w:val="nil"/>
              <w:bottom w:val="nil"/>
              <w:right w:val="nil"/>
            </w:tcBorders>
            <w:shd w:val="clear" w:color="auto" w:fill="auto"/>
            <w:noWrap/>
            <w:vAlign w:val="center"/>
            <w:hideMark/>
          </w:tcPr>
          <w:p w14:paraId="493A5D7B"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1070" w:type="dxa"/>
            <w:tcBorders>
              <w:top w:val="nil"/>
              <w:left w:val="nil"/>
              <w:bottom w:val="nil"/>
              <w:right w:val="nil"/>
            </w:tcBorders>
            <w:shd w:val="clear" w:color="auto" w:fill="auto"/>
            <w:noWrap/>
            <w:vAlign w:val="center"/>
            <w:hideMark/>
          </w:tcPr>
          <w:p w14:paraId="5F21114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-128.953</w:t>
            </w:r>
          </w:p>
        </w:tc>
        <w:tc>
          <w:tcPr>
            <w:tcW w:w="685" w:type="dxa"/>
            <w:tcBorders>
              <w:top w:val="nil"/>
              <w:left w:val="nil"/>
              <w:bottom w:val="nil"/>
              <w:right w:val="nil"/>
            </w:tcBorders>
            <w:shd w:val="clear" w:color="auto" w:fill="auto"/>
            <w:noWrap/>
            <w:vAlign w:val="center"/>
            <w:hideMark/>
          </w:tcPr>
          <w:p w14:paraId="12A173B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0.326</w:t>
            </w:r>
          </w:p>
        </w:tc>
        <w:tc>
          <w:tcPr>
            <w:tcW w:w="687" w:type="dxa"/>
            <w:gridSpan w:val="2"/>
            <w:tcBorders>
              <w:top w:val="nil"/>
              <w:left w:val="nil"/>
              <w:bottom w:val="nil"/>
              <w:right w:val="nil"/>
            </w:tcBorders>
            <w:shd w:val="clear" w:color="auto" w:fill="auto"/>
            <w:noWrap/>
            <w:vAlign w:val="center"/>
            <w:hideMark/>
          </w:tcPr>
          <w:p w14:paraId="56E1FF6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0.062</w:t>
            </w:r>
          </w:p>
        </w:tc>
      </w:tr>
      <w:tr w:rsidR="0045296A" w:rsidRPr="00A80144" w14:paraId="5FF27396" w14:textId="77777777" w:rsidTr="006D5746">
        <w:trPr>
          <w:trHeight w:val="315"/>
        </w:trPr>
        <w:tc>
          <w:tcPr>
            <w:tcW w:w="2504" w:type="dxa"/>
            <w:tcBorders>
              <w:top w:val="nil"/>
              <w:left w:val="nil"/>
              <w:right w:val="nil"/>
            </w:tcBorders>
            <w:shd w:val="clear" w:color="auto" w:fill="auto"/>
            <w:vAlign w:val="center"/>
            <w:hideMark/>
          </w:tcPr>
          <w:p w14:paraId="083E00FE"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 xml:space="preserve">BAT SUVpeak </w:t>
            </w:r>
          </w:p>
        </w:tc>
        <w:tc>
          <w:tcPr>
            <w:tcW w:w="813" w:type="dxa"/>
            <w:tcBorders>
              <w:top w:val="nil"/>
              <w:left w:val="nil"/>
              <w:right w:val="nil"/>
            </w:tcBorders>
            <w:shd w:val="clear" w:color="auto" w:fill="auto"/>
            <w:noWrap/>
            <w:vAlign w:val="center"/>
            <w:hideMark/>
          </w:tcPr>
          <w:p w14:paraId="4DB8CD5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-0.315</w:t>
            </w:r>
          </w:p>
        </w:tc>
        <w:tc>
          <w:tcPr>
            <w:tcW w:w="701" w:type="dxa"/>
            <w:tcBorders>
              <w:top w:val="nil"/>
              <w:left w:val="nil"/>
              <w:right w:val="nil"/>
            </w:tcBorders>
            <w:shd w:val="clear" w:color="auto" w:fill="auto"/>
            <w:noWrap/>
            <w:vAlign w:val="center"/>
            <w:hideMark/>
          </w:tcPr>
          <w:p w14:paraId="45AA5DD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0.293</w:t>
            </w:r>
          </w:p>
        </w:tc>
        <w:tc>
          <w:tcPr>
            <w:tcW w:w="666" w:type="dxa"/>
            <w:tcBorders>
              <w:top w:val="nil"/>
              <w:left w:val="nil"/>
              <w:right w:val="nil"/>
            </w:tcBorders>
            <w:shd w:val="clear" w:color="auto" w:fill="auto"/>
            <w:noWrap/>
            <w:vAlign w:val="center"/>
            <w:hideMark/>
          </w:tcPr>
          <w:p w14:paraId="33DFF0A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0.327</w:t>
            </w:r>
          </w:p>
        </w:tc>
        <w:tc>
          <w:tcPr>
            <w:tcW w:w="236" w:type="dxa"/>
            <w:tcBorders>
              <w:top w:val="nil"/>
              <w:left w:val="nil"/>
              <w:right w:val="nil"/>
            </w:tcBorders>
            <w:shd w:val="clear" w:color="auto" w:fill="auto"/>
            <w:noWrap/>
            <w:vAlign w:val="center"/>
            <w:hideMark/>
          </w:tcPr>
          <w:p w14:paraId="311F284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930" w:type="dxa"/>
            <w:tcBorders>
              <w:top w:val="nil"/>
              <w:left w:val="nil"/>
              <w:right w:val="nil"/>
            </w:tcBorders>
            <w:shd w:val="clear" w:color="auto" w:fill="auto"/>
            <w:noWrap/>
            <w:vAlign w:val="center"/>
          </w:tcPr>
          <w:p w14:paraId="135A0DA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-1.607</w:t>
            </w:r>
          </w:p>
        </w:tc>
        <w:tc>
          <w:tcPr>
            <w:tcW w:w="701" w:type="dxa"/>
            <w:tcBorders>
              <w:top w:val="nil"/>
              <w:left w:val="nil"/>
              <w:right w:val="nil"/>
            </w:tcBorders>
            <w:shd w:val="clear" w:color="auto" w:fill="auto"/>
            <w:noWrap/>
            <w:vAlign w:val="center"/>
          </w:tcPr>
          <w:p w14:paraId="00CBA1C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0.316</w:t>
            </w:r>
          </w:p>
        </w:tc>
        <w:tc>
          <w:tcPr>
            <w:tcW w:w="666" w:type="dxa"/>
            <w:tcBorders>
              <w:top w:val="nil"/>
              <w:left w:val="nil"/>
              <w:right w:val="nil"/>
            </w:tcBorders>
            <w:shd w:val="clear" w:color="auto" w:fill="auto"/>
            <w:noWrap/>
            <w:vAlign w:val="center"/>
          </w:tcPr>
          <w:p w14:paraId="1F0A39C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0.092</w:t>
            </w:r>
          </w:p>
        </w:tc>
        <w:tc>
          <w:tcPr>
            <w:tcW w:w="222" w:type="dxa"/>
            <w:tcBorders>
              <w:top w:val="nil"/>
              <w:left w:val="nil"/>
              <w:right w:val="nil"/>
            </w:tcBorders>
            <w:shd w:val="clear" w:color="auto" w:fill="auto"/>
            <w:noWrap/>
            <w:vAlign w:val="center"/>
            <w:hideMark/>
          </w:tcPr>
          <w:p w14:paraId="6656F25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right w:val="nil"/>
            </w:tcBorders>
            <w:shd w:val="clear" w:color="auto" w:fill="auto"/>
            <w:noWrap/>
            <w:vAlign w:val="center"/>
            <w:hideMark/>
          </w:tcPr>
          <w:p w14:paraId="309AD1C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-0.987</w:t>
            </w:r>
          </w:p>
        </w:tc>
        <w:tc>
          <w:tcPr>
            <w:tcW w:w="701" w:type="dxa"/>
            <w:tcBorders>
              <w:top w:val="nil"/>
              <w:left w:val="nil"/>
              <w:right w:val="nil"/>
            </w:tcBorders>
            <w:shd w:val="clear" w:color="auto" w:fill="auto"/>
            <w:noWrap/>
            <w:vAlign w:val="center"/>
            <w:hideMark/>
          </w:tcPr>
          <w:p w14:paraId="3E6F627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0.382</w:t>
            </w:r>
          </w:p>
        </w:tc>
        <w:tc>
          <w:tcPr>
            <w:tcW w:w="666" w:type="dxa"/>
            <w:tcBorders>
              <w:top w:val="nil"/>
              <w:left w:val="nil"/>
              <w:right w:val="nil"/>
            </w:tcBorders>
            <w:shd w:val="clear" w:color="auto" w:fill="auto"/>
            <w:noWrap/>
            <w:vAlign w:val="center"/>
            <w:hideMark/>
          </w:tcPr>
          <w:p w14:paraId="5221438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0.143</w:t>
            </w:r>
          </w:p>
        </w:tc>
        <w:tc>
          <w:tcPr>
            <w:tcW w:w="222" w:type="dxa"/>
            <w:tcBorders>
              <w:top w:val="nil"/>
              <w:left w:val="nil"/>
              <w:right w:val="nil"/>
            </w:tcBorders>
            <w:shd w:val="clear" w:color="auto" w:fill="auto"/>
            <w:noWrap/>
            <w:vAlign w:val="center"/>
            <w:hideMark/>
          </w:tcPr>
          <w:p w14:paraId="612852C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right w:val="nil"/>
            </w:tcBorders>
            <w:shd w:val="clear" w:color="auto" w:fill="auto"/>
            <w:noWrap/>
            <w:vAlign w:val="center"/>
            <w:hideMark/>
          </w:tcPr>
          <w:p w14:paraId="62FC9A1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-0.666</w:t>
            </w:r>
          </w:p>
        </w:tc>
        <w:tc>
          <w:tcPr>
            <w:tcW w:w="701" w:type="dxa"/>
            <w:tcBorders>
              <w:top w:val="nil"/>
              <w:left w:val="nil"/>
              <w:right w:val="nil"/>
            </w:tcBorders>
            <w:shd w:val="clear" w:color="auto" w:fill="auto"/>
            <w:noWrap/>
            <w:vAlign w:val="center"/>
            <w:hideMark/>
          </w:tcPr>
          <w:p w14:paraId="0FB089F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0.379</w:t>
            </w:r>
          </w:p>
        </w:tc>
        <w:tc>
          <w:tcPr>
            <w:tcW w:w="666" w:type="dxa"/>
            <w:tcBorders>
              <w:top w:val="nil"/>
              <w:left w:val="nil"/>
              <w:right w:val="nil"/>
            </w:tcBorders>
            <w:shd w:val="clear" w:color="auto" w:fill="auto"/>
            <w:noWrap/>
            <w:vAlign w:val="center"/>
            <w:hideMark/>
          </w:tcPr>
          <w:p w14:paraId="02A8F31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0.160</w:t>
            </w:r>
          </w:p>
        </w:tc>
        <w:tc>
          <w:tcPr>
            <w:tcW w:w="222" w:type="dxa"/>
            <w:tcBorders>
              <w:top w:val="nil"/>
              <w:left w:val="nil"/>
              <w:right w:val="nil"/>
            </w:tcBorders>
            <w:shd w:val="clear" w:color="auto" w:fill="auto"/>
            <w:noWrap/>
            <w:vAlign w:val="center"/>
            <w:hideMark/>
          </w:tcPr>
          <w:p w14:paraId="26827B9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1070" w:type="dxa"/>
            <w:tcBorders>
              <w:top w:val="nil"/>
              <w:left w:val="nil"/>
              <w:right w:val="nil"/>
            </w:tcBorders>
            <w:shd w:val="clear" w:color="auto" w:fill="auto"/>
            <w:noWrap/>
            <w:vAlign w:val="center"/>
            <w:hideMark/>
          </w:tcPr>
          <w:p w14:paraId="76CC3F9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-12.074</w:t>
            </w:r>
          </w:p>
        </w:tc>
        <w:tc>
          <w:tcPr>
            <w:tcW w:w="685" w:type="dxa"/>
            <w:tcBorders>
              <w:top w:val="nil"/>
              <w:left w:val="nil"/>
              <w:right w:val="nil"/>
            </w:tcBorders>
            <w:shd w:val="clear" w:color="auto" w:fill="auto"/>
            <w:noWrap/>
            <w:vAlign w:val="center"/>
            <w:hideMark/>
          </w:tcPr>
          <w:p w14:paraId="14AFD49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0.220</w:t>
            </w:r>
          </w:p>
        </w:tc>
        <w:tc>
          <w:tcPr>
            <w:tcW w:w="687" w:type="dxa"/>
            <w:gridSpan w:val="2"/>
            <w:tcBorders>
              <w:top w:val="nil"/>
              <w:left w:val="nil"/>
              <w:right w:val="nil"/>
            </w:tcBorders>
            <w:shd w:val="clear" w:color="auto" w:fill="auto"/>
            <w:noWrap/>
            <w:vAlign w:val="center"/>
            <w:hideMark/>
          </w:tcPr>
          <w:p w14:paraId="387AF41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0.302</w:t>
            </w:r>
          </w:p>
        </w:tc>
      </w:tr>
      <w:tr w:rsidR="0045296A" w:rsidRPr="00A80144" w14:paraId="46214184" w14:textId="77777777" w:rsidTr="006D5746">
        <w:trPr>
          <w:trHeight w:val="315"/>
        </w:trPr>
        <w:tc>
          <w:tcPr>
            <w:tcW w:w="2504" w:type="dxa"/>
            <w:tcBorders>
              <w:top w:val="nil"/>
              <w:left w:val="nil"/>
              <w:bottom w:val="single" w:sz="4" w:space="0" w:color="auto"/>
              <w:right w:val="nil"/>
            </w:tcBorders>
            <w:shd w:val="clear" w:color="auto" w:fill="auto"/>
            <w:vAlign w:val="center"/>
            <w:hideMark/>
          </w:tcPr>
          <w:p w14:paraId="734936E7" w14:textId="77777777" w:rsidR="0045296A" w:rsidRPr="00A80144" w:rsidRDefault="0045296A" w:rsidP="006D5746">
            <w:pPr>
              <w:spacing w:after="0" w:line="240" w:lineRule="auto"/>
              <w:rPr>
                <w:rFonts w:ascii="Times New Roman" w:eastAsia="Times New Roman" w:hAnsi="Times New Roman" w:cs="Times New Roman"/>
                <w:color w:val="000000"/>
                <w:sz w:val="20"/>
                <w:szCs w:val="20"/>
                <w:lang w:val="en-US"/>
              </w:rPr>
            </w:pPr>
            <w:r w:rsidRPr="00A80144">
              <w:rPr>
                <w:rFonts w:ascii="Times New Roman" w:eastAsia="Times New Roman" w:hAnsi="Times New Roman" w:cs="Times New Roman"/>
                <w:color w:val="000000"/>
                <w:sz w:val="20"/>
                <w:szCs w:val="20"/>
                <w:lang w:val="en-US"/>
              </w:rPr>
              <w:t>BAT radiodensity (HU)</w:t>
            </w:r>
          </w:p>
        </w:tc>
        <w:tc>
          <w:tcPr>
            <w:tcW w:w="813" w:type="dxa"/>
            <w:tcBorders>
              <w:top w:val="nil"/>
              <w:left w:val="nil"/>
              <w:bottom w:val="single" w:sz="4" w:space="0" w:color="auto"/>
              <w:right w:val="nil"/>
            </w:tcBorders>
            <w:shd w:val="clear" w:color="auto" w:fill="auto"/>
            <w:noWrap/>
            <w:vAlign w:val="center"/>
          </w:tcPr>
          <w:p w14:paraId="5ACC2DF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-0.258</w:t>
            </w:r>
          </w:p>
        </w:tc>
        <w:tc>
          <w:tcPr>
            <w:tcW w:w="701" w:type="dxa"/>
            <w:tcBorders>
              <w:top w:val="nil"/>
              <w:left w:val="nil"/>
              <w:bottom w:val="single" w:sz="4" w:space="0" w:color="auto"/>
              <w:right w:val="nil"/>
            </w:tcBorders>
            <w:shd w:val="clear" w:color="auto" w:fill="auto"/>
            <w:noWrap/>
            <w:vAlign w:val="center"/>
          </w:tcPr>
          <w:p w14:paraId="660BFB8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0.377</w:t>
            </w:r>
          </w:p>
        </w:tc>
        <w:tc>
          <w:tcPr>
            <w:tcW w:w="666" w:type="dxa"/>
            <w:tcBorders>
              <w:top w:val="nil"/>
              <w:left w:val="nil"/>
              <w:bottom w:val="single" w:sz="4" w:space="0" w:color="auto"/>
              <w:right w:val="nil"/>
            </w:tcBorders>
            <w:shd w:val="clear" w:color="auto" w:fill="auto"/>
            <w:noWrap/>
            <w:vAlign w:val="center"/>
          </w:tcPr>
          <w:p w14:paraId="74BD369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0.121</w:t>
            </w:r>
          </w:p>
        </w:tc>
        <w:tc>
          <w:tcPr>
            <w:tcW w:w="236" w:type="dxa"/>
            <w:tcBorders>
              <w:top w:val="nil"/>
              <w:left w:val="nil"/>
              <w:bottom w:val="single" w:sz="4" w:space="0" w:color="auto"/>
              <w:right w:val="nil"/>
            </w:tcBorders>
            <w:shd w:val="clear" w:color="auto" w:fill="auto"/>
            <w:noWrap/>
            <w:vAlign w:val="center"/>
          </w:tcPr>
          <w:p w14:paraId="19E53DA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930" w:type="dxa"/>
            <w:tcBorders>
              <w:top w:val="nil"/>
              <w:left w:val="nil"/>
              <w:bottom w:val="single" w:sz="4" w:space="0" w:color="auto"/>
              <w:right w:val="nil"/>
            </w:tcBorders>
            <w:shd w:val="clear" w:color="auto" w:fill="auto"/>
            <w:noWrap/>
            <w:vAlign w:val="center"/>
          </w:tcPr>
          <w:p w14:paraId="0A7B7CC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-0.567</w:t>
            </w:r>
          </w:p>
        </w:tc>
        <w:tc>
          <w:tcPr>
            <w:tcW w:w="701" w:type="dxa"/>
            <w:tcBorders>
              <w:top w:val="nil"/>
              <w:left w:val="nil"/>
              <w:bottom w:val="single" w:sz="4" w:space="0" w:color="auto"/>
              <w:right w:val="nil"/>
            </w:tcBorders>
            <w:shd w:val="clear" w:color="auto" w:fill="auto"/>
            <w:noWrap/>
            <w:vAlign w:val="center"/>
          </w:tcPr>
          <w:p w14:paraId="3E6D8AF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0.290</w:t>
            </w:r>
          </w:p>
        </w:tc>
        <w:tc>
          <w:tcPr>
            <w:tcW w:w="666" w:type="dxa"/>
            <w:tcBorders>
              <w:top w:val="nil"/>
              <w:left w:val="nil"/>
              <w:bottom w:val="single" w:sz="4" w:space="0" w:color="auto"/>
              <w:right w:val="nil"/>
            </w:tcBorders>
            <w:shd w:val="clear" w:color="auto" w:fill="auto"/>
            <w:noWrap/>
            <w:vAlign w:val="center"/>
          </w:tcPr>
          <w:p w14:paraId="0B7A29C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0.258</w:t>
            </w:r>
          </w:p>
        </w:tc>
        <w:tc>
          <w:tcPr>
            <w:tcW w:w="222" w:type="dxa"/>
            <w:tcBorders>
              <w:top w:val="nil"/>
              <w:left w:val="nil"/>
              <w:bottom w:val="single" w:sz="4" w:space="0" w:color="auto"/>
              <w:right w:val="nil"/>
            </w:tcBorders>
            <w:shd w:val="clear" w:color="auto" w:fill="auto"/>
            <w:noWrap/>
            <w:vAlign w:val="center"/>
          </w:tcPr>
          <w:p w14:paraId="68A1D2F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single" w:sz="4" w:space="0" w:color="auto"/>
              <w:right w:val="nil"/>
            </w:tcBorders>
            <w:shd w:val="clear" w:color="auto" w:fill="auto"/>
            <w:noWrap/>
            <w:vAlign w:val="center"/>
          </w:tcPr>
          <w:p w14:paraId="2328455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-0.503</w:t>
            </w:r>
          </w:p>
        </w:tc>
        <w:tc>
          <w:tcPr>
            <w:tcW w:w="701" w:type="dxa"/>
            <w:tcBorders>
              <w:top w:val="nil"/>
              <w:left w:val="nil"/>
              <w:bottom w:val="single" w:sz="4" w:space="0" w:color="auto"/>
              <w:right w:val="nil"/>
            </w:tcBorders>
            <w:shd w:val="clear" w:color="auto" w:fill="auto"/>
            <w:noWrap/>
            <w:vAlign w:val="center"/>
          </w:tcPr>
          <w:p w14:paraId="5AF9307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0.404</w:t>
            </w:r>
          </w:p>
        </w:tc>
        <w:tc>
          <w:tcPr>
            <w:tcW w:w="666" w:type="dxa"/>
            <w:tcBorders>
              <w:top w:val="nil"/>
              <w:left w:val="nil"/>
              <w:bottom w:val="single" w:sz="4" w:space="0" w:color="auto"/>
              <w:right w:val="nil"/>
            </w:tcBorders>
            <w:shd w:val="clear" w:color="auto" w:fill="auto"/>
            <w:noWrap/>
            <w:vAlign w:val="center"/>
          </w:tcPr>
          <w:p w14:paraId="24C5037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0.142</w:t>
            </w:r>
          </w:p>
        </w:tc>
        <w:tc>
          <w:tcPr>
            <w:tcW w:w="222" w:type="dxa"/>
            <w:tcBorders>
              <w:top w:val="nil"/>
              <w:left w:val="nil"/>
              <w:bottom w:val="single" w:sz="4" w:space="0" w:color="auto"/>
              <w:right w:val="nil"/>
            </w:tcBorders>
            <w:shd w:val="clear" w:color="auto" w:fill="auto"/>
            <w:noWrap/>
            <w:vAlign w:val="center"/>
          </w:tcPr>
          <w:p w14:paraId="3523F6C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nil"/>
              <w:left w:val="nil"/>
              <w:bottom w:val="single" w:sz="4" w:space="0" w:color="auto"/>
              <w:right w:val="nil"/>
            </w:tcBorders>
            <w:shd w:val="clear" w:color="auto" w:fill="auto"/>
            <w:noWrap/>
            <w:vAlign w:val="center"/>
          </w:tcPr>
          <w:p w14:paraId="3FC0043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-0.279</w:t>
            </w:r>
          </w:p>
        </w:tc>
        <w:tc>
          <w:tcPr>
            <w:tcW w:w="701" w:type="dxa"/>
            <w:tcBorders>
              <w:top w:val="nil"/>
              <w:left w:val="nil"/>
              <w:bottom w:val="single" w:sz="4" w:space="0" w:color="auto"/>
              <w:right w:val="nil"/>
            </w:tcBorders>
            <w:shd w:val="clear" w:color="auto" w:fill="auto"/>
            <w:noWrap/>
            <w:vAlign w:val="center"/>
          </w:tcPr>
          <w:p w14:paraId="446F9C5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0.377</w:t>
            </w:r>
          </w:p>
        </w:tc>
        <w:tc>
          <w:tcPr>
            <w:tcW w:w="666" w:type="dxa"/>
            <w:tcBorders>
              <w:top w:val="nil"/>
              <w:left w:val="nil"/>
              <w:bottom w:val="single" w:sz="4" w:space="0" w:color="auto"/>
              <w:right w:val="nil"/>
            </w:tcBorders>
            <w:shd w:val="clear" w:color="auto" w:fill="auto"/>
            <w:noWrap/>
            <w:vAlign w:val="center"/>
          </w:tcPr>
          <w:p w14:paraId="08CD529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0.237</w:t>
            </w:r>
          </w:p>
        </w:tc>
        <w:tc>
          <w:tcPr>
            <w:tcW w:w="222" w:type="dxa"/>
            <w:tcBorders>
              <w:top w:val="nil"/>
              <w:left w:val="nil"/>
              <w:bottom w:val="single" w:sz="4" w:space="0" w:color="auto"/>
              <w:right w:val="nil"/>
            </w:tcBorders>
            <w:shd w:val="clear" w:color="auto" w:fill="auto"/>
            <w:noWrap/>
            <w:vAlign w:val="center"/>
          </w:tcPr>
          <w:p w14:paraId="47E6C31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1070" w:type="dxa"/>
            <w:tcBorders>
              <w:top w:val="nil"/>
              <w:left w:val="nil"/>
              <w:bottom w:val="single" w:sz="4" w:space="0" w:color="auto"/>
              <w:right w:val="nil"/>
            </w:tcBorders>
            <w:shd w:val="clear" w:color="auto" w:fill="auto"/>
            <w:noWrap/>
            <w:vAlign w:val="center"/>
          </w:tcPr>
          <w:p w14:paraId="7AD7782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-5.124</w:t>
            </w:r>
          </w:p>
        </w:tc>
        <w:tc>
          <w:tcPr>
            <w:tcW w:w="685" w:type="dxa"/>
            <w:tcBorders>
              <w:top w:val="nil"/>
              <w:left w:val="nil"/>
              <w:bottom w:val="single" w:sz="4" w:space="0" w:color="auto"/>
              <w:right w:val="nil"/>
            </w:tcBorders>
            <w:shd w:val="clear" w:color="auto" w:fill="auto"/>
            <w:noWrap/>
            <w:vAlign w:val="center"/>
          </w:tcPr>
          <w:p w14:paraId="3729B42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0.176</w:t>
            </w:r>
          </w:p>
        </w:tc>
        <w:tc>
          <w:tcPr>
            <w:tcW w:w="687" w:type="dxa"/>
            <w:gridSpan w:val="2"/>
            <w:tcBorders>
              <w:top w:val="nil"/>
              <w:left w:val="nil"/>
              <w:bottom w:val="single" w:sz="4" w:space="0" w:color="auto"/>
              <w:right w:val="nil"/>
            </w:tcBorders>
            <w:shd w:val="clear" w:color="auto" w:fill="auto"/>
            <w:noWrap/>
            <w:vAlign w:val="center"/>
          </w:tcPr>
          <w:p w14:paraId="55F2292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0.398</w:t>
            </w:r>
          </w:p>
        </w:tc>
      </w:tr>
    </w:tbl>
    <w:p w14:paraId="024266D0" w14:textId="01006CD8" w:rsidR="00802C93" w:rsidRDefault="00802C93" w:rsidP="00802C93">
      <w:pPr>
        <w:spacing w:line="240" w:lineRule="auto"/>
        <w:jc w:val="both"/>
        <w:rPr>
          <w:rFonts w:ascii="Times New Roman" w:hAnsi="Times New Roman" w:cs="Times New Roman"/>
          <w:sz w:val="22"/>
          <w:szCs w:val="24"/>
          <w:lang w:val="en-US"/>
        </w:rPr>
      </w:pPr>
      <w:r w:rsidRPr="00D82583">
        <w:rPr>
          <w:rFonts w:ascii="Times New Roman" w:hAnsi="Times New Roman" w:cs="Times New Roman"/>
          <w:sz w:val="22"/>
          <w:szCs w:val="24"/>
          <w:lang w:val="en-US"/>
        </w:rPr>
        <w:t>Unstandardized β, R</w:t>
      </w:r>
      <w:r w:rsidRPr="00D82583">
        <w:rPr>
          <w:rFonts w:ascii="Times New Roman" w:hAnsi="Times New Roman" w:cs="Times New Roman"/>
          <w:sz w:val="22"/>
          <w:szCs w:val="24"/>
          <w:vertAlign w:val="superscript"/>
          <w:lang w:val="en-US"/>
        </w:rPr>
        <w:t>2</w:t>
      </w:r>
      <w:r w:rsidRPr="00D82583">
        <w:rPr>
          <w:rFonts w:ascii="Times New Roman" w:hAnsi="Times New Roman" w:cs="Times New Roman"/>
          <w:sz w:val="22"/>
          <w:szCs w:val="24"/>
          <w:lang w:val="en-US"/>
        </w:rPr>
        <w:t xml:space="preserve">, and P from multiple linear regressions. Model 1: Adjusted by date when BAT assessment was performed. Model 2: Model 1 and </w:t>
      </w:r>
      <w:r>
        <w:rPr>
          <w:rFonts w:ascii="Times New Roman" w:hAnsi="Times New Roman" w:cs="Times New Roman"/>
          <w:sz w:val="22"/>
          <w:szCs w:val="24"/>
          <w:lang w:val="en-US"/>
        </w:rPr>
        <w:t xml:space="preserve">the </w:t>
      </w:r>
      <w:r w:rsidRPr="00D82583">
        <w:rPr>
          <w:rFonts w:ascii="Times New Roman" w:hAnsi="Times New Roman" w:cs="Times New Roman"/>
          <w:sz w:val="22"/>
          <w:szCs w:val="24"/>
          <w:lang w:val="en-US"/>
        </w:rPr>
        <w:t>homeostasis model assessment</w:t>
      </w:r>
      <w:r>
        <w:rPr>
          <w:rFonts w:ascii="Times New Roman" w:hAnsi="Times New Roman" w:cs="Times New Roman"/>
          <w:sz w:val="22"/>
          <w:szCs w:val="24"/>
          <w:lang w:val="en-US"/>
        </w:rPr>
        <w:t xml:space="preserve"> of insulin resistance (HOMA-IR)</w:t>
      </w:r>
      <w:r w:rsidRPr="00D82583">
        <w:rPr>
          <w:rFonts w:ascii="Times New Roman" w:hAnsi="Times New Roman" w:cs="Times New Roman"/>
          <w:sz w:val="22"/>
          <w:szCs w:val="24"/>
          <w:lang w:val="en-US"/>
        </w:rPr>
        <w:t xml:space="preserve">. Model 3: Model 2 and </w:t>
      </w:r>
      <w:r>
        <w:rPr>
          <w:rFonts w:ascii="Times New Roman" w:hAnsi="Times New Roman" w:cs="Times New Roman"/>
          <w:sz w:val="22"/>
          <w:szCs w:val="24"/>
          <w:lang w:val="en-US"/>
        </w:rPr>
        <w:t xml:space="preserve">body surface area (BSA); Model 4: </w:t>
      </w:r>
      <w:r w:rsidRPr="00D82583">
        <w:rPr>
          <w:rFonts w:ascii="Times New Roman" w:hAnsi="Times New Roman" w:cs="Times New Roman"/>
          <w:sz w:val="22"/>
          <w:szCs w:val="24"/>
          <w:lang w:val="en-US"/>
        </w:rPr>
        <w:t xml:space="preserve">Model 2 and </w:t>
      </w:r>
      <w:r>
        <w:rPr>
          <w:rFonts w:ascii="Times New Roman" w:hAnsi="Times New Roman" w:cs="Times New Roman"/>
          <w:sz w:val="22"/>
          <w:szCs w:val="24"/>
          <w:lang w:val="en-US"/>
        </w:rPr>
        <w:t>the water temperature at the cooling vest prior to the PET-CT.</w:t>
      </w:r>
      <w:r w:rsidRPr="00D82583">
        <w:rPr>
          <w:rFonts w:ascii="Times New Roman" w:hAnsi="Times New Roman" w:cs="Times New Roman"/>
          <w:sz w:val="22"/>
          <w:szCs w:val="24"/>
          <w:lang w:val="en-US"/>
        </w:rPr>
        <w:t xml:space="preserve"> BMI: Body mass index; </w:t>
      </w:r>
      <w:r w:rsidR="00CB0738">
        <w:rPr>
          <w:rFonts w:ascii="Times New Roman" w:hAnsi="Times New Roman" w:cs="Times New Roman"/>
          <w:sz w:val="24"/>
          <w:szCs w:val="24"/>
          <w:lang w:val="en-US"/>
        </w:rPr>
        <w:t xml:space="preserve">HU: Hounsfield units; </w:t>
      </w:r>
      <w:r w:rsidRPr="00D82583">
        <w:rPr>
          <w:rFonts w:ascii="Times New Roman" w:hAnsi="Times New Roman" w:cs="Times New Roman"/>
          <w:sz w:val="22"/>
          <w:szCs w:val="24"/>
          <w:lang w:val="en-US"/>
        </w:rPr>
        <w:t>SUV: Standardized uptake value; VAT: Visceral adipose tissue.</w:t>
      </w:r>
    </w:p>
    <w:p w14:paraId="486EF521" w14:textId="77777777" w:rsidR="00802C93" w:rsidRDefault="00802C93" w:rsidP="00802C93">
      <w:pPr>
        <w:rPr>
          <w:rFonts w:ascii="Times New Roman" w:hAnsi="Times New Roman" w:cs="Times New Roman"/>
          <w:sz w:val="22"/>
          <w:szCs w:val="24"/>
          <w:lang w:val="en-US"/>
        </w:rPr>
      </w:pPr>
      <w:r>
        <w:rPr>
          <w:rFonts w:ascii="Times New Roman" w:hAnsi="Times New Roman" w:cs="Times New Roman"/>
          <w:sz w:val="22"/>
          <w:szCs w:val="24"/>
          <w:lang w:val="en-US"/>
        </w:rPr>
        <w:br w:type="page"/>
      </w:r>
    </w:p>
    <w:p w14:paraId="63BEDC57" w14:textId="5B7DD45A" w:rsidR="00802C93" w:rsidRDefault="00802C93" w:rsidP="00802C93">
      <w:pPr>
        <w:contextualSpacing/>
        <w:rPr>
          <w:rFonts w:ascii="Times New Roman" w:hAnsi="Times New Roman" w:cs="Times New Roman"/>
          <w:sz w:val="24"/>
          <w:szCs w:val="24"/>
          <w:lang w:val="en-US"/>
        </w:rPr>
      </w:pPr>
      <w:r w:rsidRPr="001417BE">
        <w:rPr>
          <w:rFonts w:ascii="Times New Roman" w:hAnsi="Times New Roman" w:cs="Times New Roman"/>
          <w:b/>
          <w:sz w:val="24"/>
          <w:szCs w:val="24"/>
          <w:lang w:val="en-US"/>
        </w:rPr>
        <w:lastRenderedPageBreak/>
        <w:t xml:space="preserve">Table </w:t>
      </w:r>
      <w:r>
        <w:rPr>
          <w:rFonts w:ascii="Times New Roman" w:hAnsi="Times New Roman" w:cs="Times New Roman"/>
          <w:b/>
          <w:sz w:val="24"/>
          <w:szCs w:val="24"/>
          <w:lang w:val="en-US"/>
        </w:rPr>
        <w:t>3</w:t>
      </w:r>
      <w:r w:rsidRPr="001417BE">
        <w:rPr>
          <w:rFonts w:ascii="Times New Roman" w:hAnsi="Times New Roman" w:cs="Times New Roman"/>
          <w:b/>
          <w:sz w:val="24"/>
          <w:szCs w:val="24"/>
          <w:lang w:val="en-US"/>
        </w:rPr>
        <w:t xml:space="preserve">. </w:t>
      </w:r>
      <w:r w:rsidRPr="001417BE">
        <w:rPr>
          <w:rFonts w:ascii="Times New Roman" w:hAnsi="Times New Roman" w:cs="Times New Roman"/>
          <w:sz w:val="24"/>
          <w:szCs w:val="24"/>
          <w:lang w:val="en-US"/>
        </w:rPr>
        <w:t xml:space="preserve">Associations between brown adipose tissue (BAT) and </w:t>
      </w:r>
      <w:r w:rsidR="00CB0738">
        <w:rPr>
          <w:rFonts w:ascii="Times New Roman" w:hAnsi="Times New Roman" w:cs="Times New Roman"/>
          <w:sz w:val="24"/>
          <w:szCs w:val="24"/>
          <w:lang w:val="en-US"/>
        </w:rPr>
        <w:t xml:space="preserve">whole-body adiposity </w:t>
      </w:r>
      <w:r>
        <w:rPr>
          <w:rFonts w:ascii="Times New Roman" w:hAnsi="Times New Roman" w:cs="Times New Roman"/>
          <w:sz w:val="24"/>
          <w:szCs w:val="24"/>
          <w:lang w:val="en-US"/>
        </w:rPr>
        <w:t>in women (n=84)</w:t>
      </w:r>
      <w:r w:rsidRPr="001417BE">
        <w:rPr>
          <w:rFonts w:ascii="Times New Roman" w:hAnsi="Times New Roman" w:cs="Times New Roman"/>
          <w:sz w:val="24"/>
          <w:szCs w:val="24"/>
          <w:lang w:val="en-US"/>
        </w:rPr>
        <w:t>.</w:t>
      </w:r>
    </w:p>
    <w:tbl>
      <w:tblPr>
        <w:tblW w:w="14309" w:type="dxa"/>
        <w:tblBorders>
          <w:top w:val="single" w:sz="4" w:space="0" w:color="auto"/>
          <w:bottom w:val="single" w:sz="4" w:space="0" w:color="auto"/>
        </w:tblBorders>
        <w:tblLook w:val="04A0" w:firstRow="1" w:lastRow="0" w:firstColumn="1" w:lastColumn="0" w:noHBand="0" w:noVBand="1"/>
      </w:tblPr>
      <w:tblGrid>
        <w:gridCol w:w="2504"/>
        <w:gridCol w:w="813"/>
        <w:gridCol w:w="701"/>
        <w:gridCol w:w="666"/>
        <w:gridCol w:w="236"/>
        <w:gridCol w:w="799"/>
        <w:gridCol w:w="701"/>
        <w:gridCol w:w="666"/>
        <w:gridCol w:w="222"/>
        <w:gridCol w:w="799"/>
        <w:gridCol w:w="701"/>
        <w:gridCol w:w="666"/>
        <w:gridCol w:w="222"/>
        <w:gridCol w:w="799"/>
        <w:gridCol w:w="701"/>
        <w:gridCol w:w="666"/>
        <w:gridCol w:w="236"/>
        <w:gridCol w:w="840"/>
        <w:gridCol w:w="704"/>
        <w:gridCol w:w="667"/>
      </w:tblGrid>
      <w:tr w:rsidR="0045296A" w:rsidRPr="00F732F7" w14:paraId="7952D7CA" w14:textId="77777777" w:rsidTr="006D5746">
        <w:trPr>
          <w:trHeight w:val="243"/>
        </w:trPr>
        <w:tc>
          <w:tcPr>
            <w:tcW w:w="2504" w:type="dxa"/>
            <w:tcBorders>
              <w:top w:val="single" w:sz="4" w:space="0" w:color="auto"/>
              <w:bottom w:val="nil"/>
            </w:tcBorders>
            <w:shd w:val="clear" w:color="auto" w:fill="auto"/>
            <w:noWrap/>
            <w:vAlign w:val="bottom"/>
            <w:hideMark/>
          </w:tcPr>
          <w:p w14:paraId="55A0FF87" w14:textId="77777777" w:rsidR="0045296A" w:rsidRPr="00F732F7" w:rsidRDefault="0045296A" w:rsidP="006D5746">
            <w:pPr>
              <w:spacing w:after="0" w:line="240" w:lineRule="auto"/>
              <w:rPr>
                <w:rFonts w:ascii="Times New Roman" w:eastAsia="Times New Roman" w:hAnsi="Times New Roman" w:cs="Times New Roman"/>
                <w:color w:val="000000"/>
                <w:sz w:val="20"/>
                <w:szCs w:val="20"/>
                <w:lang w:val="en-US"/>
              </w:rPr>
            </w:pPr>
          </w:p>
        </w:tc>
        <w:tc>
          <w:tcPr>
            <w:tcW w:w="2180" w:type="dxa"/>
            <w:gridSpan w:val="3"/>
            <w:tcBorders>
              <w:top w:val="single" w:sz="4" w:space="0" w:color="auto"/>
              <w:bottom w:val="nil"/>
            </w:tcBorders>
            <w:shd w:val="clear" w:color="auto" w:fill="auto"/>
            <w:noWrap/>
            <w:vAlign w:val="center"/>
            <w:hideMark/>
          </w:tcPr>
          <w:p w14:paraId="1C77D3AF"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BMI (kg/m</w:t>
            </w:r>
            <w:r w:rsidRPr="00F732F7">
              <w:rPr>
                <w:rFonts w:ascii="Times New Roman" w:eastAsia="Times New Roman" w:hAnsi="Times New Roman" w:cs="Times New Roman"/>
                <w:color w:val="000000"/>
                <w:sz w:val="20"/>
                <w:szCs w:val="20"/>
                <w:vertAlign w:val="superscript"/>
                <w:lang w:val="en-US"/>
              </w:rPr>
              <w:t>2</w:t>
            </w:r>
            <w:r w:rsidRPr="00F732F7">
              <w:rPr>
                <w:rFonts w:ascii="Times New Roman" w:eastAsia="Times New Roman" w:hAnsi="Times New Roman" w:cs="Times New Roman"/>
                <w:color w:val="000000"/>
                <w:sz w:val="20"/>
                <w:szCs w:val="20"/>
                <w:lang w:val="en-US"/>
              </w:rPr>
              <w:t>)</w:t>
            </w:r>
          </w:p>
        </w:tc>
        <w:tc>
          <w:tcPr>
            <w:tcW w:w="236" w:type="dxa"/>
            <w:tcBorders>
              <w:top w:val="single" w:sz="4" w:space="0" w:color="auto"/>
              <w:bottom w:val="nil"/>
            </w:tcBorders>
            <w:shd w:val="clear" w:color="auto" w:fill="auto"/>
            <w:noWrap/>
            <w:vAlign w:val="center"/>
            <w:hideMark/>
          </w:tcPr>
          <w:p w14:paraId="3C009ACB"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2388" w:type="dxa"/>
            <w:gridSpan w:val="4"/>
            <w:tcBorders>
              <w:top w:val="single" w:sz="4" w:space="0" w:color="auto"/>
              <w:bottom w:val="nil"/>
            </w:tcBorders>
            <w:shd w:val="clear" w:color="auto" w:fill="auto"/>
            <w:noWrap/>
            <w:vAlign w:val="center"/>
            <w:hideMark/>
          </w:tcPr>
          <w:p w14:paraId="7E3F3CC0"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Waist circumference</w:t>
            </w:r>
            <w:r w:rsidRPr="00A80144">
              <w:rPr>
                <w:rFonts w:ascii="Times New Roman" w:eastAsia="Times New Roman" w:hAnsi="Times New Roman" w:cs="Times New Roman"/>
                <w:color w:val="000000"/>
                <w:sz w:val="20"/>
                <w:szCs w:val="20"/>
                <w:lang w:val="en-US"/>
              </w:rPr>
              <w:t xml:space="preserve"> (</w:t>
            </w:r>
            <w:r>
              <w:rPr>
                <w:rFonts w:ascii="Times New Roman" w:eastAsia="Times New Roman" w:hAnsi="Times New Roman" w:cs="Times New Roman"/>
                <w:color w:val="000000"/>
                <w:sz w:val="20"/>
                <w:szCs w:val="20"/>
                <w:lang w:val="en-US"/>
              </w:rPr>
              <w:t>cm</w:t>
            </w:r>
            <w:r w:rsidRPr="00A80144">
              <w:rPr>
                <w:rFonts w:ascii="Times New Roman" w:eastAsia="Times New Roman" w:hAnsi="Times New Roman" w:cs="Times New Roman"/>
                <w:color w:val="000000"/>
                <w:sz w:val="20"/>
                <w:szCs w:val="20"/>
                <w:lang w:val="en-US"/>
              </w:rPr>
              <w:t>)</w:t>
            </w:r>
          </w:p>
        </w:tc>
        <w:tc>
          <w:tcPr>
            <w:tcW w:w="2166" w:type="dxa"/>
            <w:gridSpan w:val="3"/>
            <w:tcBorders>
              <w:top w:val="single" w:sz="4" w:space="0" w:color="auto"/>
              <w:bottom w:val="nil"/>
            </w:tcBorders>
            <w:shd w:val="clear" w:color="auto" w:fill="auto"/>
            <w:noWrap/>
            <w:vAlign w:val="center"/>
            <w:hideMark/>
          </w:tcPr>
          <w:p w14:paraId="5B0A9E3D"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Fat mass (kg)</w:t>
            </w:r>
          </w:p>
        </w:tc>
        <w:tc>
          <w:tcPr>
            <w:tcW w:w="222" w:type="dxa"/>
            <w:tcBorders>
              <w:top w:val="single" w:sz="4" w:space="0" w:color="auto"/>
              <w:bottom w:val="nil"/>
            </w:tcBorders>
            <w:shd w:val="clear" w:color="auto" w:fill="auto"/>
            <w:noWrap/>
            <w:vAlign w:val="center"/>
            <w:hideMark/>
          </w:tcPr>
          <w:p w14:paraId="41657A2E"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2166" w:type="dxa"/>
            <w:gridSpan w:val="3"/>
            <w:tcBorders>
              <w:top w:val="single" w:sz="4" w:space="0" w:color="auto"/>
              <w:bottom w:val="nil"/>
            </w:tcBorders>
            <w:shd w:val="clear" w:color="auto" w:fill="auto"/>
            <w:noWrap/>
            <w:vAlign w:val="center"/>
            <w:hideMark/>
          </w:tcPr>
          <w:p w14:paraId="6D0CFF64"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Fat mass (%)</w:t>
            </w:r>
          </w:p>
        </w:tc>
        <w:tc>
          <w:tcPr>
            <w:tcW w:w="236" w:type="dxa"/>
            <w:tcBorders>
              <w:top w:val="single" w:sz="4" w:space="0" w:color="auto"/>
              <w:bottom w:val="nil"/>
            </w:tcBorders>
            <w:shd w:val="clear" w:color="auto" w:fill="auto"/>
            <w:noWrap/>
            <w:vAlign w:val="center"/>
            <w:hideMark/>
          </w:tcPr>
          <w:p w14:paraId="26AE8083"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2211" w:type="dxa"/>
            <w:gridSpan w:val="3"/>
            <w:tcBorders>
              <w:top w:val="single" w:sz="4" w:space="0" w:color="auto"/>
              <w:bottom w:val="nil"/>
            </w:tcBorders>
            <w:shd w:val="clear" w:color="auto" w:fill="auto"/>
            <w:noWrap/>
            <w:vAlign w:val="center"/>
            <w:hideMark/>
          </w:tcPr>
          <w:p w14:paraId="0F84EBB2"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VAT (g)</w:t>
            </w:r>
          </w:p>
        </w:tc>
      </w:tr>
      <w:tr w:rsidR="0045296A" w:rsidRPr="00F732F7" w14:paraId="3815B9D6" w14:textId="77777777" w:rsidTr="006D5746">
        <w:trPr>
          <w:trHeight w:val="270"/>
        </w:trPr>
        <w:tc>
          <w:tcPr>
            <w:tcW w:w="2504" w:type="dxa"/>
            <w:tcBorders>
              <w:top w:val="nil"/>
              <w:bottom w:val="single" w:sz="4" w:space="0" w:color="auto"/>
            </w:tcBorders>
            <w:shd w:val="clear" w:color="auto" w:fill="auto"/>
            <w:noWrap/>
            <w:vAlign w:val="bottom"/>
            <w:hideMark/>
          </w:tcPr>
          <w:p w14:paraId="7A2D4F33"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813" w:type="dxa"/>
            <w:tcBorders>
              <w:top w:val="nil"/>
              <w:bottom w:val="single" w:sz="4" w:space="0" w:color="auto"/>
            </w:tcBorders>
            <w:shd w:val="clear" w:color="auto" w:fill="auto"/>
            <w:noWrap/>
            <w:vAlign w:val="center"/>
            <w:hideMark/>
          </w:tcPr>
          <w:p w14:paraId="37444A3E"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β</w:t>
            </w:r>
          </w:p>
        </w:tc>
        <w:tc>
          <w:tcPr>
            <w:tcW w:w="701" w:type="dxa"/>
            <w:tcBorders>
              <w:top w:val="nil"/>
              <w:bottom w:val="single" w:sz="4" w:space="0" w:color="auto"/>
            </w:tcBorders>
            <w:shd w:val="clear" w:color="auto" w:fill="auto"/>
            <w:noWrap/>
            <w:vAlign w:val="center"/>
            <w:hideMark/>
          </w:tcPr>
          <w:p w14:paraId="51E109F5"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R</w:t>
            </w:r>
            <w:r w:rsidRPr="00F732F7">
              <w:rPr>
                <w:rFonts w:ascii="Times New Roman" w:eastAsia="Times New Roman" w:hAnsi="Times New Roman" w:cs="Times New Roman"/>
                <w:color w:val="000000"/>
                <w:sz w:val="20"/>
                <w:szCs w:val="20"/>
                <w:vertAlign w:val="superscript"/>
                <w:lang w:val="en-US"/>
              </w:rPr>
              <w:t>2</w:t>
            </w:r>
          </w:p>
        </w:tc>
        <w:tc>
          <w:tcPr>
            <w:tcW w:w="666" w:type="dxa"/>
            <w:tcBorders>
              <w:top w:val="nil"/>
              <w:bottom w:val="single" w:sz="4" w:space="0" w:color="auto"/>
            </w:tcBorders>
            <w:shd w:val="clear" w:color="auto" w:fill="auto"/>
            <w:noWrap/>
            <w:vAlign w:val="center"/>
            <w:hideMark/>
          </w:tcPr>
          <w:p w14:paraId="4147E940"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P</w:t>
            </w:r>
          </w:p>
        </w:tc>
        <w:tc>
          <w:tcPr>
            <w:tcW w:w="236" w:type="dxa"/>
            <w:tcBorders>
              <w:top w:val="nil"/>
              <w:bottom w:val="single" w:sz="4" w:space="0" w:color="auto"/>
            </w:tcBorders>
            <w:shd w:val="clear" w:color="auto" w:fill="auto"/>
            <w:noWrap/>
            <w:vAlign w:val="center"/>
            <w:hideMark/>
          </w:tcPr>
          <w:p w14:paraId="7ECC0FA4"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799" w:type="dxa"/>
            <w:tcBorders>
              <w:top w:val="nil"/>
              <w:bottom w:val="single" w:sz="4" w:space="0" w:color="auto"/>
            </w:tcBorders>
            <w:shd w:val="clear" w:color="auto" w:fill="auto"/>
            <w:noWrap/>
            <w:vAlign w:val="center"/>
            <w:hideMark/>
          </w:tcPr>
          <w:p w14:paraId="75810D25"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β</w:t>
            </w:r>
          </w:p>
        </w:tc>
        <w:tc>
          <w:tcPr>
            <w:tcW w:w="701" w:type="dxa"/>
            <w:tcBorders>
              <w:top w:val="nil"/>
              <w:bottom w:val="single" w:sz="4" w:space="0" w:color="auto"/>
            </w:tcBorders>
            <w:shd w:val="clear" w:color="auto" w:fill="auto"/>
            <w:noWrap/>
            <w:vAlign w:val="center"/>
            <w:hideMark/>
          </w:tcPr>
          <w:p w14:paraId="72E24D55"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R</w:t>
            </w:r>
            <w:r w:rsidRPr="00F732F7">
              <w:rPr>
                <w:rFonts w:ascii="Times New Roman" w:eastAsia="Times New Roman" w:hAnsi="Times New Roman" w:cs="Times New Roman"/>
                <w:color w:val="000000"/>
                <w:sz w:val="20"/>
                <w:szCs w:val="20"/>
                <w:vertAlign w:val="superscript"/>
                <w:lang w:val="en-US"/>
              </w:rPr>
              <w:t>2</w:t>
            </w:r>
          </w:p>
        </w:tc>
        <w:tc>
          <w:tcPr>
            <w:tcW w:w="666" w:type="dxa"/>
            <w:tcBorders>
              <w:top w:val="nil"/>
              <w:bottom w:val="single" w:sz="4" w:space="0" w:color="auto"/>
            </w:tcBorders>
            <w:shd w:val="clear" w:color="auto" w:fill="auto"/>
            <w:noWrap/>
            <w:vAlign w:val="center"/>
            <w:hideMark/>
          </w:tcPr>
          <w:p w14:paraId="6EBDB0AF"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P</w:t>
            </w:r>
          </w:p>
        </w:tc>
        <w:tc>
          <w:tcPr>
            <w:tcW w:w="222" w:type="dxa"/>
            <w:tcBorders>
              <w:top w:val="nil"/>
              <w:bottom w:val="single" w:sz="4" w:space="0" w:color="auto"/>
            </w:tcBorders>
            <w:shd w:val="clear" w:color="auto" w:fill="auto"/>
            <w:noWrap/>
            <w:vAlign w:val="center"/>
            <w:hideMark/>
          </w:tcPr>
          <w:p w14:paraId="7E301EAF"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799" w:type="dxa"/>
            <w:tcBorders>
              <w:top w:val="nil"/>
              <w:bottom w:val="single" w:sz="4" w:space="0" w:color="auto"/>
            </w:tcBorders>
            <w:shd w:val="clear" w:color="auto" w:fill="auto"/>
            <w:noWrap/>
            <w:vAlign w:val="center"/>
            <w:hideMark/>
          </w:tcPr>
          <w:p w14:paraId="17161C2F"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β</w:t>
            </w:r>
          </w:p>
        </w:tc>
        <w:tc>
          <w:tcPr>
            <w:tcW w:w="701" w:type="dxa"/>
            <w:tcBorders>
              <w:top w:val="nil"/>
              <w:bottom w:val="single" w:sz="4" w:space="0" w:color="auto"/>
            </w:tcBorders>
            <w:shd w:val="clear" w:color="auto" w:fill="auto"/>
            <w:noWrap/>
            <w:vAlign w:val="center"/>
            <w:hideMark/>
          </w:tcPr>
          <w:p w14:paraId="4643ED3F"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R</w:t>
            </w:r>
            <w:r w:rsidRPr="00F732F7">
              <w:rPr>
                <w:rFonts w:ascii="Times New Roman" w:eastAsia="Times New Roman" w:hAnsi="Times New Roman" w:cs="Times New Roman"/>
                <w:color w:val="000000"/>
                <w:sz w:val="20"/>
                <w:szCs w:val="20"/>
                <w:vertAlign w:val="superscript"/>
                <w:lang w:val="en-US"/>
              </w:rPr>
              <w:t>2</w:t>
            </w:r>
          </w:p>
        </w:tc>
        <w:tc>
          <w:tcPr>
            <w:tcW w:w="666" w:type="dxa"/>
            <w:tcBorders>
              <w:top w:val="nil"/>
              <w:bottom w:val="single" w:sz="4" w:space="0" w:color="auto"/>
            </w:tcBorders>
            <w:shd w:val="clear" w:color="auto" w:fill="auto"/>
            <w:noWrap/>
            <w:vAlign w:val="center"/>
            <w:hideMark/>
          </w:tcPr>
          <w:p w14:paraId="36F1703D"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P</w:t>
            </w:r>
          </w:p>
        </w:tc>
        <w:tc>
          <w:tcPr>
            <w:tcW w:w="222" w:type="dxa"/>
            <w:tcBorders>
              <w:top w:val="nil"/>
              <w:bottom w:val="single" w:sz="4" w:space="0" w:color="auto"/>
            </w:tcBorders>
            <w:shd w:val="clear" w:color="auto" w:fill="auto"/>
            <w:noWrap/>
            <w:vAlign w:val="center"/>
            <w:hideMark/>
          </w:tcPr>
          <w:p w14:paraId="676BB2A5"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799" w:type="dxa"/>
            <w:tcBorders>
              <w:top w:val="nil"/>
              <w:bottom w:val="single" w:sz="4" w:space="0" w:color="auto"/>
            </w:tcBorders>
            <w:shd w:val="clear" w:color="auto" w:fill="auto"/>
            <w:noWrap/>
            <w:vAlign w:val="center"/>
            <w:hideMark/>
          </w:tcPr>
          <w:p w14:paraId="29B13FA8"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β</w:t>
            </w:r>
          </w:p>
        </w:tc>
        <w:tc>
          <w:tcPr>
            <w:tcW w:w="701" w:type="dxa"/>
            <w:tcBorders>
              <w:top w:val="nil"/>
              <w:bottom w:val="single" w:sz="4" w:space="0" w:color="auto"/>
            </w:tcBorders>
            <w:shd w:val="clear" w:color="auto" w:fill="auto"/>
            <w:noWrap/>
            <w:vAlign w:val="center"/>
            <w:hideMark/>
          </w:tcPr>
          <w:p w14:paraId="0FE3D019"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R</w:t>
            </w:r>
            <w:r w:rsidRPr="00F732F7">
              <w:rPr>
                <w:rFonts w:ascii="Times New Roman" w:eastAsia="Times New Roman" w:hAnsi="Times New Roman" w:cs="Times New Roman"/>
                <w:color w:val="000000"/>
                <w:sz w:val="20"/>
                <w:szCs w:val="20"/>
                <w:vertAlign w:val="superscript"/>
                <w:lang w:val="en-US"/>
              </w:rPr>
              <w:t>2</w:t>
            </w:r>
          </w:p>
        </w:tc>
        <w:tc>
          <w:tcPr>
            <w:tcW w:w="666" w:type="dxa"/>
            <w:tcBorders>
              <w:top w:val="nil"/>
              <w:bottom w:val="single" w:sz="4" w:space="0" w:color="auto"/>
            </w:tcBorders>
            <w:shd w:val="clear" w:color="auto" w:fill="auto"/>
            <w:noWrap/>
            <w:vAlign w:val="center"/>
            <w:hideMark/>
          </w:tcPr>
          <w:p w14:paraId="31B30E2C"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P</w:t>
            </w:r>
          </w:p>
        </w:tc>
        <w:tc>
          <w:tcPr>
            <w:tcW w:w="236" w:type="dxa"/>
            <w:tcBorders>
              <w:top w:val="nil"/>
              <w:bottom w:val="single" w:sz="4" w:space="0" w:color="auto"/>
            </w:tcBorders>
            <w:shd w:val="clear" w:color="auto" w:fill="auto"/>
            <w:noWrap/>
            <w:vAlign w:val="center"/>
            <w:hideMark/>
          </w:tcPr>
          <w:p w14:paraId="3D338593"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840" w:type="dxa"/>
            <w:tcBorders>
              <w:top w:val="nil"/>
              <w:bottom w:val="single" w:sz="4" w:space="0" w:color="auto"/>
            </w:tcBorders>
            <w:shd w:val="clear" w:color="auto" w:fill="auto"/>
            <w:noWrap/>
            <w:vAlign w:val="center"/>
            <w:hideMark/>
          </w:tcPr>
          <w:p w14:paraId="7C983F33"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β</w:t>
            </w:r>
          </w:p>
        </w:tc>
        <w:tc>
          <w:tcPr>
            <w:tcW w:w="704" w:type="dxa"/>
            <w:tcBorders>
              <w:top w:val="nil"/>
              <w:bottom w:val="single" w:sz="4" w:space="0" w:color="auto"/>
            </w:tcBorders>
            <w:shd w:val="clear" w:color="auto" w:fill="auto"/>
            <w:noWrap/>
            <w:vAlign w:val="center"/>
            <w:hideMark/>
          </w:tcPr>
          <w:p w14:paraId="77BD8FD2"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R</w:t>
            </w:r>
            <w:r w:rsidRPr="00F732F7">
              <w:rPr>
                <w:rFonts w:ascii="Times New Roman" w:eastAsia="Times New Roman" w:hAnsi="Times New Roman" w:cs="Times New Roman"/>
                <w:color w:val="000000"/>
                <w:sz w:val="20"/>
                <w:szCs w:val="20"/>
                <w:vertAlign w:val="superscript"/>
                <w:lang w:val="en-US"/>
              </w:rPr>
              <w:t>2</w:t>
            </w:r>
          </w:p>
        </w:tc>
        <w:tc>
          <w:tcPr>
            <w:tcW w:w="667" w:type="dxa"/>
            <w:tcBorders>
              <w:top w:val="nil"/>
              <w:bottom w:val="single" w:sz="4" w:space="0" w:color="auto"/>
            </w:tcBorders>
            <w:shd w:val="clear" w:color="auto" w:fill="auto"/>
            <w:noWrap/>
            <w:vAlign w:val="center"/>
            <w:hideMark/>
          </w:tcPr>
          <w:p w14:paraId="3E4354B7"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P</w:t>
            </w:r>
          </w:p>
        </w:tc>
      </w:tr>
      <w:tr w:rsidR="0045296A" w:rsidRPr="00F732F7" w14:paraId="053C2DBB" w14:textId="77777777" w:rsidTr="006D5746">
        <w:trPr>
          <w:trHeight w:val="315"/>
        </w:trPr>
        <w:tc>
          <w:tcPr>
            <w:tcW w:w="2504" w:type="dxa"/>
            <w:tcBorders>
              <w:top w:val="single" w:sz="4" w:space="0" w:color="auto"/>
            </w:tcBorders>
            <w:shd w:val="clear" w:color="auto" w:fill="auto"/>
            <w:noWrap/>
            <w:vAlign w:val="bottom"/>
            <w:hideMark/>
          </w:tcPr>
          <w:p w14:paraId="348719EA" w14:textId="77777777" w:rsidR="0045296A" w:rsidRPr="00F732F7" w:rsidRDefault="0045296A" w:rsidP="006D5746">
            <w:pPr>
              <w:spacing w:after="0" w:line="240" w:lineRule="auto"/>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Model 1 (Date PET-CT)</w:t>
            </w:r>
          </w:p>
        </w:tc>
        <w:tc>
          <w:tcPr>
            <w:tcW w:w="813" w:type="dxa"/>
            <w:tcBorders>
              <w:top w:val="single" w:sz="4" w:space="0" w:color="auto"/>
            </w:tcBorders>
            <w:shd w:val="clear" w:color="auto" w:fill="auto"/>
            <w:noWrap/>
            <w:vAlign w:val="bottom"/>
            <w:hideMark/>
          </w:tcPr>
          <w:p w14:paraId="3DF9F150" w14:textId="77777777" w:rsidR="0045296A" w:rsidRPr="00F732F7" w:rsidRDefault="0045296A" w:rsidP="006D5746">
            <w:pPr>
              <w:spacing w:after="0" w:line="240" w:lineRule="auto"/>
              <w:rPr>
                <w:rFonts w:ascii="Times New Roman" w:eastAsia="Times New Roman" w:hAnsi="Times New Roman" w:cs="Times New Roman"/>
                <w:color w:val="000000"/>
                <w:sz w:val="20"/>
                <w:szCs w:val="20"/>
                <w:lang w:val="en-US"/>
              </w:rPr>
            </w:pPr>
          </w:p>
        </w:tc>
        <w:tc>
          <w:tcPr>
            <w:tcW w:w="701" w:type="dxa"/>
            <w:tcBorders>
              <w:top w:val="single" w:sz="4" w:space="0" w:color="auto"/>
            </w:tcBorders>
            <w:shd w:val="clear" w:color="auto" w:fill="auto"/>
            <w:noWrap/>
            <w:vAlign w:val="bottom"/>
            <w:hideMark/>
          </w:tcPr>
          <w:p w14:paraId="38AB5298" w14:textId="77777777" w:rsidR="0045296A" w:rsidRPr="00F732F7" w:rsidRDefault="0045296A" w:rsidP="006D5746">
            <w:pPr>
              <w:spacing w:after="0" w:line="240" w:lineRule="auto"/>
              <w:rPr>
                <w:rFonts w:ascii="Times New Roman" w:eastAsia="Times New Roman" w:hAnsi="Times New Roman" w:cs="Times New Roman"/>
                <w:sz w:val="20"/>
                <w:szCs w:val="20"/>
                <w:lang w:val="en-US"/>
              </w:rPr>
            </w:pPr>
          </w:p>
        </w:tc>
        <w:tc>
          <w:tcPr>
            <w:tcW w:w="666" w:type="dxa"/>
            <w:tcBorders>
              <w:top w:val="single" w:sz="4" w:space="0" w:color="auto"/>
            </w:tcBorders>
            <w:shd w:val="clear" w:color="auto" w:fill="auto"/>
            <w:noWrap/>
            <w:vAlign w:val="bottom"/>
            <w:hideMark/>
          </w:tcPr>
          <w:p w14:paraId="1F8C6477"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c>
          <w:tcPr>
            <w:tcW w:w="236" w:type="dxa"/>
            <w:tcBorders>
              <w:top w:val="single" w:sz="4" w:space="0" w:color="auto"/>
            </w:tcBorders>
            <w:shd w:val="clear" w:color="auto" w:fill="auto"/>
            <w:noWrap/>
            <w:vAlign w:val="bottom"/>
            <w:hideMark/>
          </w:tcPr>
          <w:p w14:paraId="67F6FB80"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single" w:sz="4" w:space="0" w:color="auto"/>
            </w:tcBorders>
            <w:shd w:val="clear" w:color="auto" w:fill="auto"/>
            <w:noWrap/>
            <w:vAlign w:val="bottom"/>
            <w:hideMark/>
          </w:tcPr>
          <w:p w14:paraId="091B4847"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c>
          <w:tcPr>
            <w:tcW w:w="701" w:type="dxa"/>
            <w:tcBorders>
              <w:top w:val="single" w:sz="4" w:space="0" w:color="auto"/>
            </w:tcBorders>
            <w:shd w:val="clear" w:color="auto" w:fill="auto"/>
            <w:noWrap/>
            <w:vAlign w:val="bottom"/>
            <w:hideMark/>
          </w:tcPr>
          <w:p w14:paraId="76B0790C"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c>
          <w:tcPr>
            <w:tcW w:w="666" w:type="dxa"/>
            <w:tcBorders>
              <w:top w:val="single" w:sz="4" w:space="0" w:color="auto"/>
            </w:tcBorders>
            <w:shd w:val="clear" w:color="auto" w:fill="auto"/>
            <w:noWrap/>
            <w:vAlign w:val="bottom"/>
            <w:hideMark/>
          </w:tcPr>
          <w:p w14:paraId="6B20B678"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c>
          <w:tcPr>
            <w:tcW w:w="222" w:type="dxa"/>
            <w:tcBorders>
              <w:top w:val="single" w:sz="4" w:space="0" w:color="auto"/>
            </w:tcBorders>
            <w:shd w:val="clear" w:color="auto" w:fill="auto"/>
            <w:noWrap/>
            <w:vAlign w:val="bottom"/>
            <w:hideMark/>
          </w:tcPr>
          <w:p w14:paraId="61051633"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single" w:sz="4" w:space="0" w:color="auto"/>
            </w:tcBorders>
            <w:shd w:val="clear" w:color="auto" w:fill="auto"/>
            <w:noWrap/>
            <w:vAlign w:val="bottom"/>
            <w:hideMark/>
          </w:tcPr>
          <w:p w14:paraId="1B317F11"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c>
          <w:tcPr>
            <w:tcW w:w="701" w:type="dxa"/>
            <w:tcBorders>
              <w:top w:val="single" w:sz="4" w:space="0" w:color="auto"/>
            </w:tcBorders>
            <w:shd w:val="clear" w:color="auto" w:fill="auto"/>
            <w:noWrap/>
            <w:vAlign w:val="bottom"/>
            <w:hideMark/>
          </w:tcPr>
          <w:p w14:paraId="54E46F2A"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c>
          <w:tcPr>
            <w:tcW w:w="666" w:type="dxa"/>
            <w:tcBorders>
              <w:top w:val="single" w:sz="4" w:space="0" w:color="auto"/>
            </w:tcBorders>
            <w:shd w:val="clear" w:color="auto" w:fill="auto"/>
            <w:noWrap/>
            <w:vAlign w:val="bottom"/>
            <w:hideMark/>
          </w:tcPr>
          <w:p w14:paraId="5A897CBE"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c>
          <w:tcPr>
            <w:tcW w:w="222" w:type="dxa"/>
            <w:tcBorders>
              <w:top w:val="single" w:sz="4" w:space="0" w:color="auto"/>
            </w:tcBorders>
            <w:shd w:val="clear" w:color="auto" w:fill="auto"/>
            <w:noWrap/>
            <w:vAlign w:val="bottom"/>
            <w:hideMark/>
          </w:tcPr>
          <w:p w14:paraId="678360BC"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tcBorders>
              <w:top w:val="single" w:sz="4" w:space="0" w:color="auto"/>
            </w:tcBorders>
            <w:shd w:val="clear" w:color="auto" w:fill="auto"/>
            <w:noWrap/>
            <w:vAlign w:val="bottom"/>
            <w:hideMark/>
          </w:tcPr>
          <w:p w14:paraId="3622F2BA"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c>
          <w:tcPr>
            <w:tcW w:w="701" w:type="dxa"/>
            <w:tcBorders>
              <w:top w:val="single" w:sz="4" w:space="0" w:color="auto"/>
            </w:tcBorders>
            <w:shd w:val="clear" w:color="auto" w:fill="auto"/>
            <w:noWrap/>
            <w:vAlign w:val="bottom"/>
            <w:hideMark/>
          </w:tcPr>
          <w:p w14:paraId="75C688A8"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c>
          <w:tcPr>
            <w:tcW w:w="666" w:type="dxa"/>
            <w:tcBorders>
              <w:top w:val="single" w:sz="4" w:space="0" w:color="auto"/>
            </w:tcBorders>
            <w:shd w:val="clear" w:color="auto" w:fill="auto"/>
            <w:noWrap/>
            <w:vAlign w:val="bottom"/>
            <w:hideMark/>
          </w:tcPr>
          <w:p w14:paraId="5C7592FC"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c>
          <w:tcPr>
            <w:tcW w:w="236" w:type="dxa"/>
            <w:tcBorders>
              <w:top w:val="single" w:sz="4" w:space="0" w:color="auto"/>
            </w:tcBorders>
            <w:shd w:val="clear" w:color="auto" w:fill="auto"/>
            <w:noWrap/>
            <w:vAlign w:val="bottom"/>
            <w:hideMark/>
          </w:tcPr>
          <w:p w14:paraId="2594B46D"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c>
          <w:tcPr>
            <w:tcW w:w="840" w:type="dxa"/>
            <w:tcBorders>
              <w:top w:val="single" w:sz="4" w:space="0" w:color="auto"/>
            </w:tcBorders>
            <w:shd w:val="clear" w:color="auto" w:fill="auto"/>
            <w:noWrap/>
            <w:vAlign w:val="bottom"/>
            <w:hideMark/>
          </w:tcPr>
          <w:p w14:paraId="54DA7C22"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c>
          <w:tcPr>
            <w:tcW w:w="704" w:type="dxa"/>
            <w:tcBorders>
              <w:top w:val="single" w:sz="4" w:space="0" w:color="auto"/>
            </w:tcBorders>
            <w:shd w:val="clear" w:color="auto" w:fill="auto"/>
            <w:noWrap/>
            <w:vAlign w:val="bottom"/>
            <w:hideMark/>
          </w:tcPr>
          <w:p w14:paraId="5CD90994"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c>
          <w:tcPr>
            <w:tcW w:w="667" w:type="dxa"/>
            <w:tcBorders>
              <w:top w:val="single" w:sz="4" w:space="0" w:color="auto"/>
            </w:tcBorders>
            <w:shd w:val="clear" w:color="auto" w:fill="auto"/>
            <w:noWrap/>
            <w:vAlign w:val="bottom"/>
            <w:hideMark/>
          </w:tcPr>
          <w:p w14:paraId="0D515BD2" w14:textId="77777777" w:rsidR="0045296A" w:rsidRPr="00F732F7" w:rsidRDefault="0045296A" w:rsidP="006D5746">
            <w:pPr>
              <w:spacing w:after="0" w:line="240" w:lineRule="auto"/>
              <w:jc w:val="center"/>
              <w:rPr>
                <w:rFonts w:ascii="Times New Roman" w:eastAsia="Times New Roman" w:hAnsi="Times New Roman" w:cs="Times New Roman"/>
                <w:sz w:val="20"/>
                <w:szCs w:val="20"/>
                <w:lang w:val="en-US"/>
              </w:rPr>
            </w:pPr>
          </w:p>
        </w:tc>
      </w:tr>
      <w:tr w:rsidR="0045296A" w:rsidRPr="00F732F7" w14:paraId="2E456733" w14:textId="77777777" w:rsidTr="006D5746">
        <w:trPr>
          <w:trHeight w:val="315"/>
        </w:trPr>
        <w:tc>
          <w:tcPr>
            <w:tcW w:w="2504" w:type="dxa"/>
            <w:shd w:val="clear" w:color="auto" w:fill="auto"/>
            <w:vAlign w:val="center"/>
            <w:hideMark/>
          </w:tcPr>
          <w:p w14:paraId="70B31960" w14:textId="77777777" w:rsidR="0045296A" w:rsidRPr="00F732F7" w:rsidRDefault="0045296A" w:rsidP="006D5746">
            <w:pPr>
              <w:spacing w:after="0" w:line="240" w:lineRule="auto"/>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BAT volume (ml)</w:t>
            </w:r>
          </w:p>
        </w:tc>
        <w:tc>
          <w:tcPr>
            <w:tcW w:w="813" w:type="dxa"/>
            <w:shd w:val="clear" w:color="auto" w:fill="auto"/>
            <w:noWrap/>
            <w:vAlign w:val="center"/>
            <w:hideMark/>
          </w:tcPr>
          <w:p w14:paraId="21E16BCB"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0.006</w:t>
            </w:r>
          </w:p>
        </w:tc>
        <w:tc>
          <w:tcPr>
            <w:tcW w:w="701" w:type="dxa"/>
            <w:shd w:val="clear" w:color="auto" w:fill="auto"/>
            <w:noWrap/>
            <w:vAlign w:val="center"/>
            <w:hideMark/>
          </w:tcPr>
          <w:p w14:paraId="5FF0FE38"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0.007</w:t>
            </w:r>
          </w:p>
        </w:tc>
        <w:tc>
          <w:tcPr>
            <w:tcW w:w="666" w:type="dxa"/>
            <w:shd w:val="clear" w:color="auto" w:fill="auto"/>
            <w:noWrap/>
            <w:vAlign w:val="center"/>
            <w:hideMark/>
          </w:tcPr>
          <w:p w14:paraId="3B55A261"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0.469</w:t>
            </w:r>
          </w:p>
        </w:tc>
        <w:tc>
          <w:tcPr>
            <w:tcW w:w="236" w:type="dxa"/>
            <w:shd w:val="clear" w:color="auto" w:fill="auto"/>
            <w:noWrap/>
            <w:vAlign w:val="center"/>
            <w:hideMark/>
          </w:tcPr>
          <w:p w14:paraId="5F433CA0"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799" w:type="dxa"/>
            <w:shd w:val="clear" w:color="auto" w:fill="auto"/>
            <w:noWrap/>
            <w:vAlign w:val="center"/>
          </w:tcPr>
          <w:p w14:paraId="3179BAB7"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0.039</w:t>
            </w:r>
          </w:p>
        </w:tc>
        <w:tc>
          <w:tcPr>
            <w:tcW w:w="701" w:type="dxa"/>
            <w:shd w:val="clear" w:color="auto" w:fill="auto"/>
            <w:noWrap/>
            <w:vAlign w:val="center"/>
          </w:tcPr>
          <w:p w14:paraId="25FCCA3C"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0.034</w:t>
            </w:r>
          </w:p>
        </w:tc>
        <w:tc>
          <w:tcPr>
            <w:tcW w:w="666" w:type="dxa"/>
            <w:shd w:val="clear" w:color="auto" w:fill="auto"/>
            <w:noWrap/>
            <w:vAlign w:val="center"/>
          </w:tcPr>
          <w:p w14:paraId="6DE72BC6"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0.107</w:t>
            </w:r>
          </w:p>
        </w:tc>
        <w:tc>
          <w:tcPr>
            <w:tcW w:w="222" w:type="dxa"/>
            <w:shd w:val="clear" w:color="auto" w:fill="auto"/>
            <w:noWrap/>
            <w:vAlign w:val="center"/>
            <w:hideMark/>
          </w:tcPr>
          <w:p w14:paraId="58872BD0"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799" w:type="dxa"/>
            <w:shd w:val="clear" w:color="auto" w:fill="auto"/>
            <w:noWrap/>
            <w:vAlign w:val="center"/>
            <w:hideMark/>
          </w:tcPr>
          <w:p w14:paraId="54A89F28"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0.015</w:t>
            </w:r>
          </w:p>
        </w:tc>
        <w:tc>
          <w:tcPr>
            <w:tcW w:w="701" w:type="dxa"/>
            <w:shd w:val="clear" w:color="auto" w:fill="auto"/>
            <w:noWrap/>
            <w:vAlign w:val="center"/>
            <w:hideMark/>
          </w:tcPr>
          <w:p w14:paraId="63EE9E24"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0.010</w:t>
            </w:r>
          </w:p>
        </w:tc>
        <w:tc>
          <w:tcPr>
            <w:tcW w:w="666" w:type="dxa"/>
            <w:shd w:val="clear" w:color="auto" w:fill="auto"/>
            <w:noWrap/>
            <w:vAlign w:val="center"/>
            <w:hideMark/>
          </w:tcPr>
          <w:p w14:paraId="5435B866"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0.367</w:t>
            </w:r>
          </w:p>
        </w:tc>
        <w:tc>
          <w:tcPr>
            <w:tcW w:w="222" w:type="dxa"/>
            <w:shd w:val="clear" w:color="auto" w:fill="auto"/>
            <w:noWrap/>
            <w:vAlign w:val="center"/>
            <w:hideMark/>
          </w:tcPr>
          <w:p w14:paraId="2BEFFB6B"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799" w:type="dxa"/>
            <w:shd w:val="clear" w:color="auto" w:fill="auto"/>
            <w:noWrap/>
            <w:vAlign w:val="center"/>
            <w:hideMark/>
          </w:tcPr>
          <w:p w14:paraId="308D13F6"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0.016</w:t>
            </w:r>
          </w:p>
        </w:tc>
        <w:tc>
          <w:tcPr>
            <w:tcW w:w="701" w:type="dxa"/>
            <w:shd w:val="clear" w:color="auto" w:fill="auto"/>
            <w:noWrap/>
            <w:vAlign w:val="center"/>
            <w:hideMark/>
          </w:tcPr>
          <w:p w14:paraId="2F4380E9"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0.019</w:t>
            </w:r>
          </w:p>
        </w:tc>
        <w:tc>
          <w:tcPr>
            <w:tcW w:w="666" w:type="dxa"/>
            <w:shd w:val="clear" w:color="auto" w:fill="auto"/>
            <w:noWrap/>
            <w:vAlign w:val="center"/>
            <w:hideMark/>
          </w:tcPr>
          <w:p w14:paraId="4BB53B7E"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0.227</w:t>
            </w:r>
          </w:p>
        </w:tc>
        <w:tc>
          <w:tcPr>
            <w:tcW w:w="236" w:type="dxa"/>
            <w:shd w:val="clear" w:color="auto" w:fill="auto"/>
            <w:noWrap/>
            <w:vAlign w:val="center"/>
            <w:hideMark/>
          </w:tcPr>
          <w:p w14:paraId="02B82A3E"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840" w:type="dxa"/>
            <w:shd w:val="clear" w:color="auto" w:fill="auto"/>
            <w:noWrap/>
            <w:vAlign w:val="center"/>
            <w:hideMark/>
          </w:tcPr>
          <w:p w14:paraId="6E393B5A"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0.511</w:t>
            </w:r>
          </w:p>
        </w:tc>
        <w:tc>
          <w:tcPr>
            <w:tcW w:w="704" w:type="dxa"/>
            <w:shd w:val="clear" w:color="auto" w:fill="auto"/>
            <w:noWrap/>
            <w:vAlign w:val="center"/>
            <w:hideMark/>
          </w:tcPr>
          <w:p w14:paraId="24A6D9B2"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0.026</w:t>
            </w:r>
          </w:p>
        </w:tc>
        <w:tc>
          <w:tcPr>
            <w:tcW w:w="667" w:type="dxa"/>
            <w:shd w:val="clear" w:color="auto" w:fill="auto"/>
            <w:noWrap/>
            <w:vAlign w:val="center"/>
            <w:hideMark/>
          </w:tcPr>
          <w:p w14:paraId="2FFA3EBB"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0.148</w:t>
            </w:r>
          </w:p>
        </w:tc>
      </w:tr>
      <w:tr w:rsidR="0045296A" w:rsidRPr="00F732F7" w14:paraId="1A98EE4D" w14:textId="77777777" w:rsidTr="006D5746">
        <w:trPr>
          <w:trHeight w:val="315"/>
        </w:trPr>
        <w:tc>
          <w:tcPr>
            <w:tcW w:w="2504" w:type="dxa"/>
            <w:shd w:val="clear" w:color="auto" w:fill="auto"/>
            <w:vAlign w:val="center"/>
            <w:hideMark/>
          </w:tcPr>
          <w:p w14:paraId="3794CC25" w14:textId="77777777" w:rsidR="0045296A" w:rsidRPr="00F732F7" w:rsidRDefault="0045296A" w:rsidP="006D5746">
            <w:pPr>
              <w:spacing w:after="0" w:line="240" w:lineRule="auto"/>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 xml:space="preserve">BAT SUVmean </w:t>
            </w:r>
          </w:p>
        </w:tc>
        <w:tc>
          <w:tcPr>
            <w:tcW w:w="813" w:type="dxa"/>
            <w:shd w:val="clear" w:color="auto" w:fill="auto"/>
            <w:noWrap/>
            <w:vAlign w:val="center"/>
            <w:hideMark/>
          </w:tcPr>
          <w:p w14:paraId="62687F41"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-0.769</w:t>
            </w:r>
          </w:p>
        </w:tc>
        <w:tc>
          <w:tcPr>
            <w:tcW w:w="701" w:type="dxa"/>
            <w:shd w:val="clear" w:color="auto" w:fill="auto"/>
            <w:noWrap/>
            <w:vAlign w:val="center"/>
            <w:hideMark/>
          </w:tcPr>
          <w:p w14:paraId="5DE6DC52"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0.056</w:t>
            </w:r>
          </w:p>
        </w:tc>
        <w:tc>
          <w:tcPr>
            <w:tcW w:w="666" w:type="dxa"/>
            <w:shd w:val="clear" w:color="auto" w:fill="auto"/>
            <w:noWrap/>
            <w:vAlign w:val="center"/>
            <w:hideMark/>
          </w:tcPr>
          <w:p w14:paraId="7C9F0B5B" w14:textId="77777777" w:rsidR="0045296A" w:rsidRPr="00F732F7" w:rsidRDefault="0045296A" w:rsidP="006D5746">
            <w:pPr>
              <w:spacing w:after="0" w:line="240" w:lineRule="auto"/>
              <w:jc w:val="center"/>
              <w:rPr>
                <w:rFonts w:ascii="Times New Roman" w:eastAsia="Times New Roman" w:hAnsi="Times New Roman" w:cs="Times New Roman"/>
                <w:b/>
                <w:bCs/>
                <w:sz w:val="20"/>
                <w:szCs w:val="20"/>
                <w:lang w:val="en-US"/>
              </w:rPr>
            </w:pPr>
            <w:r w:rsidRPr="00F732F7">
              <w:rPr>
                <w:rFonts w:ascii="Times New Roman" w:eastAsia="Times New Roman" w:hAnsi="Times New Roman" w:cs="Times New Roman"/>
                <w:b/>
                <w:bCs/>
                <w:sz w:val="20"/>
                <w:szCs w:val="20"/>
                <w:lang w:val="en-US"/>
              </w:rPr>
              <w:t>0.031</w:t>
            </w:r>
          </w:p>
        </w:tc>
        <w:tc>
          <w:tcPr>
            <w:tcW w:w="236" w:type="dxa"/>
            <w:shd w:val="clear" w:color="auto" w:fill="auto"/>
            <w:noWrap/>
            <w:vAlign w:val="center"/>
            <w:hideMark/>
          </w:tcPr>
          <w:p w14:paraId="7C838C87" w14:textId="77777777" w:rsidR="0045296A" w:rsidRPr="00F732F7"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shd w:val="clear" w:color="auto" w:fill="auto"/>
            <w:noWrap/>
            <w:vAlign w:val="center"/>
          </w:tcPr>
          <w:p w14:paraId="5DB31B97"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-1.146</w:t>
            </w:r>
          </w:p>
        </w:tc>
        <w:tc>
          <w:tcPr>
            <w:tcW w:w="701" w:type="dxa"/>
            <w:shd w:val="clear" w:color="auto" w:fill="auto"/>
            <w:noWrap/>
            <w:vAlign w:val="center"/>
          </w:tcPr>
          <w:p w14:paraId="3B365622"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0.016</w:t>
            </w:r>
          </w:p>
        </w:tc>
        <w:tc>
          <w:tcPr>
            <w:tcW w:w="666" w:type="dxa"/>
            <w:shd w:val="clear" w:color="auto" w:fill="auto"/>
            <w:noWrap/>
            <w:vAlign w:val="center"/>
          </w:tcPr>
          <w:p w14:paraId="2E932DDF"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0.273</w:t>
            </w:r>
          </w:p>
        </w:tc>
        <w:tc>
          <w:tcPr>
            <w:tcW w:w="222" w:type="dxa"/>
            <w:shd w:val="clear" w:color="auto" w:fill="auto"/>
            <w:noWrap/>
            <w:vAlign w:val="center"/>
            <w:hideMark/>
          </w:tcPr>
          <w:p w14:paraId="5F537D7B"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799" w:type="dxa"/>
            <w:shd w:val="clear" w:color="auto" w:fill="auto"/>
            <w:noWrap/>
            <w:vAlign w:val="center"/>
            <w:hideMark/>
          </w:tcPr>
          <w:p w14:paraId="2101BDBD"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-1.336</w:t>
            </w:r>
          </w:p>
        </w:tc>
        <w:tc>
          <w:tcPr>
            <w:tcW w:w="701" w:type="dxa"/>
            <w:shd w:val="clear" w:color="auto" w:fill="auto"/>
            <w:noWrap/>
            <w:vAlign w:val="center"/>
            <w:hideMark/>
          </w:tcPr>
          <w:p w14:paraId="5AD8BE45"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0.042</w:t>
            </w:r>
          </w:p>
        </w:tc>
        <w:tc>
          <w:tcPr>
            <w:tcW w:w="666" w:type="dxa"/>
            <w:shd w:val="clear" w:color="auto" w:fill="auto"/>
            <w:noWrap/>
            <w:vAlign w:val="center"/>
            <w:hideMark/>
          </w:tcPr>
          <w:p w14:paraId="48084943"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0.065</w:t>
            </w:r>
          </w:p>
        </w:tc>
        <w:tc>
          <w:tcPr>
            <w:tcW w:w="222" w:type="dxa"/>
            <w:shd w:val="clear" w:color="auto" w:fill="auto"/>
            <w:noWrap/>
            <w:vAlign w:val="center"/>
            <w:hideMark/>
          </w:tcPr>
          <w:p w14:paraId="00EF7446"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799" w:type="dxa"/>
            <w:shd w:val="clear" w:color="auto" w:fill="auto"/>
            <w:noWrap/>
            <w:vAlign w:val="center"/>
            <w:hideMark/>
          </w:tcPr>
          <w:p w14:paraId="7D4C483D"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-0.797</w:t>
            </w:r>
          </w:p>
        </w:tc>
        <w:tc>
          <w:tcPr>
            <w:tcW w:w="701" w:type="dxa"/>
            <w:shd w:val="clear" w:color="auto" w:fill="auto"/>
            <w:noWrap/>
            <w:vAlign w:val="center"/>
            <w:hideMark/>
          </w:tcPr>
          <w:p w14:paraId="727C4FCF"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0.026</w:t>
            </w:r>
          </w:p>
        </w:tc>
        <w:tc>
          <w:tcPr>
            <w:tcW w:w="666" w:type="dxa"/>
            <w:shd w:val="clear" w:color="auto" w:fill="auto"/>
            <w:noWrap/>
            <w:vAlign w:val="center"/>
            <w:hideMark/>
          </w:tcPr>
          <w:p w14:paraId="260EA320"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0.157</w:t>
            </w:r>
          </w:p>
        </w:tc>
        <w:tc>
          <w:tcPr>
            <w:tcW w:w="236" w:type="dxa"/>
            <w:shd w:val="clear" w:color="auto" w:fill="auto"/>
            <w:noWrap/>
            <w:vAlign w:val="center"/>
            <w:hideMark/>
          </w:tcPr>
          <w:p w14:paraId="1A94BDE5"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840" w:type="dxa"/>
            <w:shd w:val="clear" w:color="auto" w:fill="auto"/>
            <w:noWrap/>
            <w:vAlign w:val="center"/>
            <w:hideMark/>
          </w:tcPr>
          <w:p w14:paraId="5745C7AB"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-29.867</w:t>
            </w:r>
          </w:p>
        </w:tc>
        <w:tc>
          <w:tcPr>
            <w:tcW w:w="704" w:type="dxa"/>
            <w:shd w:val="clear" w:color="auto" w:fill="auto"/>
            <w:noWrap/>
            <w:vAlign w:val="center"/>
            <w:hideMark/>
          </w:tcPr>
          <w:p w14:paraId="2B09BDEB"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0.048</w:t>
            </w:r>
          </w:p>
        </w:tc>
        <w:tc>
          <w:tcPr>
            <w:tcW w:w="667" w:type="dxa"/>
            <w:shd w:val="clear" w:color="auto" w:fill="auto"/>
            <w:noWrap/>
            <w:vAlign w:val="center"/>
            <w:hideMark/>
          </w:tcPr>
          <w:p w14:paraId="2FC7AF32" w14:textId="77777777" w:rsidR="0045296A" w:rsidRPr="00F732F7" w:rsidRDefault="0045296A" w:rsidP="006D5746">
            <w:pPr>
              <w:spacing w:after="0" w:line="240" w:lineRule="auto"/>
              <w:jc w:val="center"/>
              <w:rPr>
                <w:rFonts w:ascii="Times New Roman" w:eastAsia="Times New Roman" w:hAnsi="Times New Roman" w:cs="Times New Roman"/>
                <w:b/>
                <w:bCs/>
                <w:sz w:val="20"/>
                <w:szCs w:val="20"/>
                <w:lang w:val="en-US"/>
              </w:rPr>
            </w:pPr>
            <w:r w:rsidRPr="00F732F7">
              <w:rPr>
                <w:rFonts w:ascii="Times New Roman" w:eastAsia="Times New Roman" w:hAnsi="Times New Roman" w:cs="Times New Roman"/>
                <w:b/>
                <w:bCs/>
                <w:sz w:val="20"/>
                <w:szCs w:val="20"/>
                <w:lang w:val="en-US"/>
              </w:rPr>
              <w:t>0.048</w:t>
            </w:r>
          </w:p>
        </w:tc>
      </w:tr>
      <w:tr w:rsidR="0045296A" w:rsidRPr="00F732F7" w14:paraId="70937091" w14:textId="77777777" w:rsidTr="006D5746">
        <w:trPr>
          <w:trHeight w:val="315"/>
        </w:trPr>
        <w:tc>
          <w:tcPr>
            <w:tcW w:w="2504" w:type="dxa"/>
            <w:shd w:val="clear" w:color="auto" w:fill="auto"/>
            <w:vAlign w:val="center"/>
            <w:hideMark/>
          </w:tcPr>
          <w:p w14:paraId="77FAD157" w14:textId="77777777" w:rsidR="0045296A" w:rsidRPr="00F732F7" w:rsidRDefault="0045296A" w:rsidP="006D5746">
            <w:pPr>
              <w:spacing w:after="0" w:line="240" w:lineRule="auto"/>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 xml:space="preserve">BAT SUVpeak </w:t>
            </w:r>
          </w:p>
        </w:tc>
        <w:tc>
          <w:tcPr>
            <w:tcW w:w="813" w:type="dxa"/>
            <w:shd w:val="clear" w:color="auto" w:fill="auto"/>
            <w:noWrap/>
            <w:vAlign w:val="center"/>
            <w:hideMark/>
          </w:tcPr>
          <w:p w14:paraId="6C3E00D9"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-0.140</w:t>
            </w:r>
          </w:p>
        </w:tc>
        <w:tc>
          <w:tcPr>
            <w:tcW w:w="701" w:type="dxa"/>
            <w:shd w:val="clear" w:color="auto" w:fill="auto"/>
            <w:noWrap/>
            <w:vAlign w:val="center"/>
            <w:hideMark/>
          </w:tcPr>
          <w:p w14:paraId="21B3639E"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0.029</w:t>
            </w:r>
          </w:p>
        </w:tc>
        <w:tc>
          <w:tcPr>
            <w:tcW w:w="666" w:type="dxa"/>
            <w:shd w:val="clear" w:color="auto" w:fill="auto"/>
            <w:noWrap/>
            <w:vAlign w:val="center"/>
            <w:hideMark/>
          </w:tcPr>
          <w:p w14:paraId="7A0175B1"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0.125</w:t>
            </w:r>
          </w:p>
        </w:tc>
        <w:tc>
          <w:tcPr>
            <w:tcW w:w="236" w:type="dxa"/>
            <w:shd w:val="clear" w:color="auto" w:fill="auto"/>
            <w:noWrap/>
            <w:vAlign w:val="center"/>
            <w:hideMark/>
          </w:tcPr>
          <w:p w14:paraId="250D0A94"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799" w:type="dxa"/>
            <w:shd w:val="clear" w:color="auto" w:fill="auto"/>
            <w:noWrap/>
            <w:vAlign w:val="center"/>
          </w:tcPr>
          <w:p w14:paraId="005B8C3D"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-0.200</w:t>
            </w:r>
          </w:p>
        </w:tc>
        <w:tc>
          <w:tcPr>
            <w:tcW w:w="701" w:type="dxa"/>
            <w:shd w:val="clear" w:color="auto" w:fill="auto"/>
            <w:noWrap/>
            <w:vAlign w:val="center"/>
          </w:tcPr>
          <w:p w14:paraId="531FA3AD"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0.008</w:t>
            </w:r>
          </w:p>
        </w:tc>
        <w:tc>
          <w:tcPr>
            <w:tcW w:w="666" w:type="dxa"/>
            <w:shd w:val="clear" w:color="auto" w:fill="auto"/>
            <w:noWrap/>
            <w:vAlign w:val="center"/>
          </w:tcPr>
          <w:p w14:paraId="7FD7016E"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0.455</w:t>
            </w:r>
          </w:p>
        </w:tc>
        <w:tc>
          <w:tcPr>
            <w:tcW w:w="222" w:type="dxa"/>
            <w:shd w:val="clear" w:color="auto" w:fill="auto"/>
            <w:noWrap/>
            <w:vAlign w:val="center"/>
            <w:hideMark/>
          </w:tcPr>
          <w:p w14:paraId="765EE287"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799" w:type="dxa"/>
            <w:shd w:val="clear" w:color="auto" w:fill="auto"/>
            <w:noWrap/>
            <w:vAlign w:val="center"/>
            <w:hideMark/>
          </w:tcPr>
          <w:p w14:paraId="312541C4"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-0.209</w:t>
            </w:r>
          </w:p>
        </w:tc>
        <w:tc>
          <w:tcPr>
            <w:tcW w:w="701" w:type="dxa"/>
            <w:shd w:val="clear" w:color="auto" w:fill="auto"/>
            <w:noWrap/>
            <w:vAlign w:val="center"/>
            <w:hideMark/>
          </w:tcPr>
          <w:p w14:paraId="7D58C541"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0.016</w:t>
            </w:r>
          </w:p>
        </w:tc>
        <w:tc>
          <w:tcPr>
            <w:tcW w:w="666" w:type="dxa"/>
            <w:shd w:val="clear" w:color="auto" w:fill="auto"/>
            <w:noWrap/>
            <w:vAlign w:val="center"/>
            <w:hideMark/>
          </w:tcPr>
          <w:p w14:paraId="519452A3"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0.258</w:t>
            </w:r>
          </w:p>
        </w:tc>
        <w:tc>
          <w:tcPr>
            <w:tcW w:w="222" w:type="dxa"/>
            <w:shd w:val="clear" w:color="auto" w:fill="auto"/>
            <w:noWrap/>
            <w:vAlign w:val="center"/>
            <w:hideMark/>
          </w:tcPr>
          <w:p w14:paraId="42331327"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799" w:type="dxa"/>
            <w:shd w:val="clear" w:color="auto" w:fill="auto"/>
            <w:noWrap/>
            <w:vAlign w:val="center"/>
            <w:hideMark/>
          </w:tcPr>
          <w:p w14:paraId="3C729423"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-0.115</w:t>
            </w:r>
          </w:p>
        </w:tc>
        <w:tc>
          <w:tcPr>
            <w:tcW w:w="701" w:type="dxa"/>
            <w:shd w:val="clear" w:color="auto" w:fill="auto"/>
            <w:noWrap/>
            <w:vAlign w:val="center"/>
            <w:hideMark/>
          </w:tcPr>
          <w:p w14:paraId="12A9DBCF"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0.009</w:t>
            </w:r>
          </w:p>
        </w:tc>
        <w:tc>
          <w:tcPr>
            <w:tcW w:w="666" w:type="dxa"/>
            <w:shd w:val="clear" w:color="auto" w:fill="auto"/>
            <w:noWrap/>
            <w:vAlign w:val="center"/>
            <w:hideMark/>
          </w:tcPr>
          <w:p w14:paraId="1962468E"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0.423</w:t>
            </w:r>
          </w:p>
        </w:tc>
        <w:tc>
          <w:tcPr>
            <w:tcW w:w="236" w:type="dxa"/>
            <w:shd w:val="clear" w:color="auto" w:fill="auto"/>
            <w:noWrap/>
            <w:vAlign w:val="center"/>
            <w:hideMark/>
          </w:tcPr>
          <w:p w14:paraId="6A396B75"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p>
        </w:tc>
        <w:tc>
          <w:tcPr>
            <w:tcW w:w="840" w:type="dxa"/>
            <w:shd w:val="clear" w:color="auto" w:fill="auto"/>
            <w:noWrap/>
            <w:vAlign w:val="center"/>
            <w:hideMark/>
          </w:tcPr>
          <w:p w14:paraId="37DC5859"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-5.140</w:t>
            </w:r>
          </w:p>
        </w:tc>
        <w:tc>
          <w:tcPr>
            <w:tcW w:w="704" w:type="dxa"/>
            <w:shd w:val="clear" w:color="auto" w:fill="auto"/>
            <w:noWrap/>
            <w:vAlign w:val="center"/>
            <w:hideMark/>
          </w:tcPr>
          <w:p w14:paraId="1B3616F1"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0.022</w:t>
            </w:r>
          </w:p>
        </w:tc>
        <w:tc>
          <w:tcPr>
            <w:tcW w:w="667" w:type="dxa"/>
            <w:shd w:val="clear" w:color="auto" w:fill="auto"/>
            <w:noWrap/>
            <w:vAlign w:val="center"/>
            <w:hideMark/>
          </w:tcPr>
          <w:p w14:paraId="051ACF68" w14:textId="77777777" w:rsidR="0045296A" w:rsidRPr="00F732F7" w:rsidRDefault="0045296A" w:rsidP="006D5746">
            <w:pPr>
              <w:spacing w:after="0" w:line="240" w:lineRule="auto"/>
              <w:jc w:val="center"/>
              <w:rPr>
                <w:rFonts w:ascii="Times New Roman" w:eastAsia="Times New Roman" w:hAnsi="Times New Roman" w:cs="Times New Roman"/>
                <w:color w:val="000000"/>
                <w:sz w:val="20"/>
                <w:szCs w:val="20"/>
                <w:lang w:val="en-US"/>
              </w:rPr>
            </w:pPr>
            <w:r w:rsidRPr="00F732F7">
              <w:rPr>
                <w:rFonts w:ascii="Times New Roman" w:eastAsia="Times New Roman" w:hAnsi="Times New Roman" w:cs="Times New Roman"/>
                <w:color w:val="000000"/>
                <w:sz w:val="20"/>
                <w:szCs w:val="20"/>
                <w:lang w:val="en-US"/>
              </w:rPr>
              <w:t>0.182</w:t>
            </w:r>
          </w:p>
        </w:tc>
      </w:tr>
      <w:tr w:rsidR="0045296A" w:rsidRPr="00F732F7" w14:paraId="07D38043" w14:textId="77777777" w:rsidTr="006D5746">
        <w:trPr>
          <w:trHeight w:val="315"/>
        </w:trPr>
        <w:tc>
          <w:tcPr>
            <w:tcW w:w="2504" w:type="dxa"/>
            <w:shd w:val="clear" w:color="auto" w:fill="auto"/>
            <w:vAlign w:val="center"/>
            <w:hideMark/>
          </w:tcPr>
          <w:p w14:paraId="635255D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BAT radiodensity (HU)</w:t>
            </w:r>
          </w:p>
        </w:tc>
        <w:tc>
          <w:tcPr>
            <w:tcW w:w="813" w:type="dxa"/>
            <w:shd w:val="clear" w:color="auto" w:fill="auto"/>
            <w:noWrap/>
            <w:vAlign w:val="center"/>
          </w:tcPr>
          <w:p w14:paraId="68B34FE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-0.103</w:t>
            </w:r>
          </w:p>
        </w:tc>
        <w:tc>
          <w:tcPr>
            <w:tcW w:w="701" w:type="dxa"/>
            <w:shd w:val="clear" w:color="auto" w:fill="auto"/>
            <w:noWrap/>
            <w:vAlign w:val="center"/>
          </w:tcPr>
          <w:p w14:paraId="420D190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0.089</w:t>
            </w:r>
          </w:p>
        </w:tc>
        <w:tc>
          <w:tcPr>
            <w:tcW w:w="666" w:type="dxa"/>
            <w:shd w:val="clear" w:color="auto" w:fill="auto"/>
            <w:noWrap/>
            <w:vAlign w:val="center"/>
          </w:tcPr>
          <w:p w14:paraId="0B84E4C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b/>
                <w:bCs/>
                <w:sz w:val="20"/>
                <w:szCs w:val="20"/>
                <w:lang w:val="en-US"/>
              </w:rPr>
              <w:t>0.021</w:t>
            </w:r>
          </w:p>
        </w:tc>
        <w:tc>
          <w:tcPr>
            <w:tcW w:w="236" w:type="dxa"/>
            <w:shd w:val="clear" w:color="auto" w:fill="auto"/>
            <w:noWrap/>
            <w:vAlign w:val="center"/>
          </w:tcPr>
          <w:p w14:paraId="044A511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tcPr>
          <w:p w14:paraId="3216615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-0.246</w:t>
            </w:r>
          </w:p>
        </w:tc>
        <w:tc>
          <w:tcPr>
            <w:tcW w:w="701" w:type="dxa"/>
            <w:shd w:val="clear" w:color="auto" w:fill="auto"/>
            <w:noWrap/>
            <w:vAlign w:val="center"/>
          </w:tcPr>
          <w:p w14:paraId="1FA0E2A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0.066</w:t>
            </w:r>
          </w:p>
        </w:tc>
        <w:tc>
          <w:tcPr>
            <w:tcW w:w="666" w:type="dxa"/>
            <w:shd w:val="clear" w:color="auto" w:fill="auto"/>
            <w:noWrap/>
            <w:vAlign w:val="center"/>
          </w:tcPr>
          <w:p w14:paraId="7A2311C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0.062</w:t>
            </w:r>
          </w:p>
        </w:tc>
        <w:tc>
          <w:tcPr>
            <w:tcW w:w="222" w:type="dxa"/>
            <w:shd w:val="clear" w:color="auto" w:fill="auto"/>
            <w:noWrap/>
            <w:vAlign w:val="center"/>
          </w:tcPr>
          <w:p w14:paraId="2E6DF09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tcPr>
          <w:p w14:paraId="4AB3768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-0.238</w:t>
            </w:r>
          </w:p>
        </w:tc>
        <w:tc>
          <w:tcPr>
            <w:tcW w:w="701" w:type="dxa"/>
            <w:shd w:val="clear" w:color="auto" w:fill="auto"/>
            <w:noWrap/>
            <w:vAlign w:val="center"/>
          </w:tcPr>
          <w:p w14:paraId="61D79A5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0.110</w:t>
            </w:r>
          </w:p>
        </w:tc>
        <w:tc>
          <w:tcPr>
            <w:tcW w:w="666" w:type="dxa"/>
            <w:shd w:val="clear" w:color="auto" w:fill="auto"/>
            <w:noWrap/>
            <w:vAlign w:val="center"/>
          </w:tcPr>
          <w:p w14:paraId="274918BB"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0.010</w:t>
            </w:r>
          </w:p>
        </w:tc>
        <w:tc>
          <w:tcPr>
            <w:tcW w:w="222" w:type="dxa"/>
            <w:shd w:val="clear" w:color="auto" w:fill="auto"/>
            <w:noWrap/>
            <w:vAlign w:val="center"/>
          </w:tcPr>
          <w:p w14:paraId="3A4693F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tcPr>
          <w:p w14:paraId="40A6BF3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-0.229</w:t>
            </w:r>
          </w:p>
        </w:tc>
        <w:tc>
          <w:tcPr>
            <w:tcW w:w="701" w:type="dxa"/>
            <w:shd w:val="clear" w:color="auto" w:fill="auto"/>
            <w:noWrap/>
            <w:vAlign w:val="center"/>
          </w:tcPr>
          <w:p w14:paraId="5801CCE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0.168</w:t>
            </w:r>
          </w:p>
        </w:tc>
        <w:tc>
          <w:tcPr>
            <w:tcW w:w="666" w:type="dxa"/>
            <w:shd w:val="clear" w:color="auto" w:fill="auto"/>
            <w:noWrap/>
            <w:vAlign w:val="center"/>
          </w:tcPr>
          <w:p w14:paraId="581EE820"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0.001</w:t>
            </w:r>
          </w:p>
        </w:tc>
        <w:tc>
          <w:tcPr>
            <w:tcW w:w="236" w:type="dxa"/>
            <w:shd w:val="clear" w:color="auto" w:fill="auto"/>
            <w:noWrap/>
            <w:vAlign w:val="center"/>
          </w:tcPr>
          <w:p w14:paraId="34BBF987"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840" w:type="dxa"/>
            <w:shd w:val="clear" w:color="auto" w:fill="auto"/>
            <w:noWrap/>
            <w:vAlign w:val="center"/>
          </w:tcPr>
          <w:p w14:paraId="2A608B1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-4.797</w:t>
            </w:r>
          </w:p>
        </w:tc>
        <w:tc>
          <w:tcPr>
            <w:tcW w:w="704" w:type="dxa"/>
            <w:shd w:val="clear" w:color="auto" w:fill="auto"/>
            <w:noWrap/>
            <w:vAlign w:val="center"/>
          </w:tcPr>
          <w:p w14:paraId="54C472B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0.109</w:t>
            </w:r>
          </w:p>
        </w:tc>
        <w:tc>
          <w:tcPr>
            <w:tcW w:w="667" w:type="dxa"/>
            <w:shd w:val="clear" w:color="auto" w:fill="auto"/>
            <w:noWrap/>
            <w:vAlign w:val="center"/>
          </w:tcPr>
          <w:p w14:paraId="0F714793"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0.009</w:t>
            </w:r>
          </w:p>
        </w:tc>
      </w:tr>
      <w:tr w:rsidR="0045296A" w:rsidRPr="00F732F7" w14:paraId="762D37F3" w14:textId="77777777" w:rsidTr="006D5746">
        <w:trPr>
          <w:trHeight w:val="95"/>
        </w:trPr>
        <w:tc>
          <w:tcPr>
            <w:tcW w:w="2504" w:type="dxa"/>
            <w:shd w:val="clear" w:color="auto" w:fill="auto"/>
            <w:vAlign w:val="center"/>
            <w:hideMark/>
          </w:tcPr>
          <w:p w14:paraId="57EC441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813" w:type="dxa"/>
            <w:shd w:val="clear" w:color="auto" w:fill="auto"/>
            <w:noWrap/>
            <w:vAlign w:val="bottom"/>
            <w:hideMark/>
          </w:tcPr>
          <w:p w14:paraId="1DFDC1BD"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hideMark/>
          </w:tcPr>
          <w:p w14:paraId="2AFE21CA"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hideMark/>
          </w:tcPr>
          <w:p w14:paraId="726309B6"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shd w:val="clear" w:color="auto" w:fill="auto"/>
            <w:noWrap/>
            <w:vAlign w:val="bottom"/>
            <w:hideMark/>
          </w:tcPr>
          <w:p w14:paraId="5C78885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tcPr>
          <w:p w14:paraId="17129FB6"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tcPr>
          <w:p w14:paraId="4085CE80"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tcPr>
          <w:p w14:paraId="684FE5FB"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shd w:val="clear" w:color="auto" w:fill="auto"/>
            <w:noWrap/>
            <w:vAlign w:val="bottom"/>
            <w:hideMark/>
          </w:tcPr>
          <w:p w14:paraId="5C36B416"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hideMark/>
          </w:tcPr>
          <w:p w14:paraId="39A78B0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hideMark/>
          </w:tcPr>
          <w:p w14:paraId="6B8D7FFB"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hideMark/>
          </w:tcPr>
          <w:p w14:paraId="2E73A45D"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shd w:val="clear" w:color="auto" w:fill="auto"/>
            <w:noWrap/>
            <w:vAlign w:val="bottom"/>
            <w:hideMark/>
          </w:tcPr>
          <w:p w14:paraId="25755815"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hideMark/>
          </w:tcPr>
          <w:p w14:paraId="21C0DE5E"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hideMark/>
          </w:tcPr>
          <w:p w14:paraId="7F1F9396"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hideMark/>
          </w:tcPr>
          <w:p w14:paraId="796DE0B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shd w:val="clear" w:color="auto" w:fill="auto"/>
            <w:noWrap/>
            <w:vAlign w:val="bottom"/>
            <w:hideMark/>
          </w:tcPr>
          <w:p w14:paraId="0752DD2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840" w:type="dxa"/>
            <w:shd w:val="clear" w:color="auto" w:fill="auto"/>
            <w:noWrap/>
            <w:vAlign w:val="bottom"/>
            <w:hideMark/>
          </w:tcPr>
          <w:p w14:paraId="10FB8ADF"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4" w:type="dxa"/>
            <w:shd w:val="clear" w:color="auto" w:fill="auto"/>
            <w:noWrap/>
            <w:vAlign w:val="bottom"/>
            <w:hideMark/>
          </w:tcPr>
          <w:p w14:paraId="1D0B551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7" w:type="dxa"/>
            <w:shd w:val="clear" w:color="auto" w:fill="auto"/>
            <w:noWrap/>
            <w:vAlign w:val="bottom"/>
            <w:hideMark/>
          </w:tcPr>
          <w:p w14:paraId="56CC498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r>
      <w:tr w:rsidR="0045296A" w:rsidRPr="004D4FE5" w14:paraId="63AF77EB" w14:textId="77777777" w:rsidTr="006D5746">
        <w:trPr>
          <w:trHeight w:val="315"/>
        </w:trPr>
        <w:tc>
          <w:tcPr>
            <w:tcW w:w="4018" w:type="dxa"/>
            <w:gridSpan w:val="3"/>
            <w:shd w:val="clear" w:color="auto" w:fill="auto"/>
            <w:noWrap/>
            <w:vAlign w:val="bottom"/>
            <w:hideMark/>
          </w:tcPr>
          <w:p w14:paraId="3FC84DCD"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Model 2 (Date PET-CT and HOMA-IR)</w:t>
            </w:r>
          </w:p>
        </w:tc>
        <w:tc>
          <w:tcPr>
            <w:tcW w:w="666" w:type="dxa"/>
            <w:shd w:val="clear" w:color="auto" w:fill="auto"/>
            <w:noWrap/>
            <w:vAlign w:val="bottom"/>
            <w:hideMark/>
          </w:tcPr>
          <w:p w14:paraId="025D9A4D"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shd w:val="clear" w:color="auto" w:fill="auto"/>
            <w:noWrap/>
            <w:vAlign w:val="bottom"/>
            <w:hideMark/>
          </w:tcPr>
          <w:p w14:paraId="5BF533DE"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tcPr>
          <w:p w14:paraId="68D3B8D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tcPr>
          <w:p w14:paraId="1D6633B9"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tcPr>
          <w:p w14:paraId="74DAF51A"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shd w:val="clear" w:color="auto" w:fill="auto"/>
            <w:noWrap/>
            <w:vAlign w:val="bottom"/>
            <w:hideMark/>
          </w:tcPr>
          <w:p w14:paraId="0EF9EFCB"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hideMark/>
          </w:tcPr>
          <w:p w14:paraId="2570F047"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hideMark/>
          </w:tcPr>
          <w:p w14:paraId="78BE89BD"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hideMark/>
          </w:tcPr>
          <w:p w14:paraId="40B70F79"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shd w:val="clear" w:color="auto" w:fill="auto"/>
            <w:noWrap/>
            <w:vAlign w:val="bottom"/>
            <w:hideMark/>
          </w:tcPr>
          <w:p w14:paraId="49D9598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hideMark/>
          </w:tcPr>
          <w:p w14:paraId="324BFE83"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hideMark/>
          </w:tcPr>
          <w:p w14:paraId="286FAE19"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hideMark/>
          </w:tcPr>
          <w:p w14:paraId="5F76CBFF"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shd w:val="clear" w:color="auto" w:fill="auto"/>
            <w:noWrap/>
            <w:vAlign w:val="bottom"/>
            <w:hideMark/>
          </w:tcPr>
          <w:p w14:paraId="6B7CEA73"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840" w:type="dxa"/>
            <w:shd w:val="clear" w:color="auto" w:fill="auto"/>
            <w:noWrap/>
            <w:vAlign w:val="bottom"/>
            <w:hideMark/>
          </w:tcPr>
          <w:p w14:paraId="323B1E70"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4" w:type="dxa"/>
            <w:shd w:val="clear" w:color="auto" w:fill="auto"/>
            <w:noWrap/>
            <w:vAlign w:val="bottom"/>
            <w:hideMark/>
          </w:tcPr>
          <w:p w14:paraId="210B6E7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7" w:type="dxa"/>
            <w:shd w:val="clear" w:color="auto" w:fill="auto"/>
            <w:noWrap/>
            <w:vAlign w:val="bottom"/>
            <w:hideMark/>
          </w:tcPr>
          <w:p w14:paraId="4E9921B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r>
      <w:tr w:rsidR="0045296A" w:rsidRPr="00F732F7" w14:paraId="223DBFEE" w14:textId="77777777" w:rsidTr="006D5746">
        <w:trPr>
          <w:trHeight w:val="315"/>
        </w:trPr>
        <w:tc>
          <w:tcPr>
            <w:tcW w:w="2504" w:type="dxa"/>
            <w:shd w:val="clear" w:color="auto" w:fill="auto"/>
            <w:vAlign w:val="center"/>
            <w:hideMark/>
          </w:tcPr>
          <w:p w14:paraId="5D9857A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BAT volume</w:t>
            </w:r>
          </w:p>
        </w:tc>
        <w:tc>
          <w:tcPr>
            <w:tcW w:w="813" w:type="dxa"/>
            <w:shd w:val="clear" w:color="auto" w:fill="auto"/>
            <w:noWrap/>
            <w:vAlign w:val="center"/>
            <w:hideMark/>
          </w:tcPr>
          <w:p w14:paraId="3868518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0.003</w:t>
            </w:r>
          </w:p>
        </w:tc>
        <w:tc>
          <w:tcPr>
            <w:tcW w:w="701" w:type="dxa"/>
            <w:shd w:val="clear" w:color="auto" w:fill="auto"/>
            <w:noWrap/>
            <w:vAlign w:val="center"/>
            <w:hideMark/>
          </w:tcPr>
          <w:p w14:paraId="150B8A8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0.183</w:t>
            </w:r>
          </w:p>
        </w:tc>
        <w:tc>
          <w:tcPr>
            <w:tcW w:w="666" w:type="dxa"/>
            <w:shd w:val="clear" w:color="auto" w:fill="auto"/>
            <w:noWrap/>
            <w:vAlign w:val="center"/>
            <w:hideMark/>
          </w:tcPr>
          <w:p w14:paraId="76CED7A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0.712</w:t>
            </w:r>
          </w:p>
        </w:tc>
        <w:tc>
          <w:tcPr>
            <w:tcW w:w="236" w:type="dxa"/>
            <w:shd w:val="clear" w:color="auto" w:fill="auto"/>
            <w:noWrap/>
            <w:vAlign w:val="center"/>
            <w:hideMark/>
          </w:tcPr>
          <w:p w14:paraId="7834F83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tcPr>
          <w:p w14:paraId="232427A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0.035</w:t>
            </w:r>
          </w:p>
        </w:tc>
        <w:tc>
          <w:tcPr>
            <w:tcW w:w="701" w:type="dxa"/>
            <w:shd w:val="clear" w:color="auto" w:fill="auto"/>
            <w:noWrap/>
            <w:vAlign w:val="center"/>
          </w:tcPr>
          <w:p w14:paraId="3D13313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0.212</w:t>
            </w:r>
          </w:p>
        </w:tc>
        <w:tc>
          <w:tcPr>
            <w:tcW w:w="666" w:type="dxa"/>
            <w:shd w:val="clear" w:color="auto" w:fill="auto"/>
            <w:noWrap/>
            <w:vAlign w:val="center"/>
          </w:tcPr>
          <w:p w14:paraId="245450F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0.111</w:t>
            </w:r>
          </w:p>
        </w:tc>
        <w:tc>
          <w:tcPr>
            <w:tcW w:w="222" w:type="dxa"/>
            <w:shd w:val="clear" w:color="auto" w:fill="auto"/>
            <w:noWrap/>
            <w:vAlign w:val="center"/>
            <w:hideMark/>
          </w:tcPr>
          <w:p w14:paraId="51B2035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hideMark/>
          </w:tcPr>
          <w:p w14:paraId="35371FF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0.010</w:t>
            </w:r>
          </w:p>
        </w:tc>
        <w:tc>
          <w:tcPr>
            <w:tcW w:w="701" w:type="dxa"/>
            <w:shd w:val="clear" w:color="auto" w:fill="auto"/>
            <w:noWrap/>
            <w:vAlign w:val="center"/>
            <w:hideMark/>
          </w:tcPr>
          <w:p w14:paraId="1ED2D84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0.134</w:t>
            </w:r>
          </w:p>
        </w:tc>
        <w:tc>
          <w:tcPr>
            <w:tcW w:w="666" w:type="dxa"/>
            <w:shd w:val="clear" w:color="auto" w:fill="auto"/>
            <w:noWrap/>
            <w:vAlign w:val="center"/>
            <w:hideMark/>
          </w:tcPr>
          <w:p w14:paraId="19C0959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0.555</w:t>
            </w:r>
          </w:p>
        </w:tc>
        <w:tc>
          <w:tcPr>
            <w:tcW w:w="222" w:type="dxa"/>
            <w:shd w:val="clear" w:color="auto" w:fill="auto"/>
            <w:noWrap/>
            <w:vAlign w:val="center"/>
            <w:hideMark/>
          </w:tcPr>
          <w:p w14:paraId="0C38256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hideMark/>
          </w:tcPr>
          <w:p w14:paraId="61001FA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0.012</w:t>
            </w:r>
          </w:p>
        </w:tc>
        <w:tc>
          <w:tcPr>
            <w:tcW w:w="701" w:type="dxa"/>
            <w:shd w:val="clear" w:color="auto" w:fill="auto"/>
            <w:noWrap/>
            <w:vAlign w:val="center"/>
            <w:hideMark/>
          </w:tcPr>
          <w:p w14:paraId="5CCA78A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0.103</w:t>
            </w:r>
          </w:p>
        </w:tc>
        <w:tc>
          <w:tcPr>
            <w:tcW w:w="666" w:type="dxa"/>
            <w:shd w:val="clear" w:color="auto" w:fill="auto"/>
            <w:noWrap/>
            <w:vAlign w:val="center"/>
            <w:hideMark/>
          </w:tcPr>
          <w:p w14:paraId="5E842AC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0.349</w:t>
            </w:r>
          </w:p>
        </w:tc>
        <w:tc>
          <w:tcPr>
            <w:tcW w:w="236" w:type="dxa"/>
            <w:shd w:val="clear" w:color="auto" w:fill="auto"/>
            <w:noWrap/>
            <w:vAlign w:val="center"/>
            <w:hideMark/>
          </w:tcPr>
          <w:p w14:paraId="0F69513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840" w:type="dxa"/>
            <w:shd w:val="clear" w:color="auto" w:fill="auto"/>
            <w:noWrap/>
            <w:vAlign w:val="center"/>
            <w:hideMark/>
          </w:tcPr>
          <w:p w14:paraId="565E2ED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0.384</w:t>
            </w:r>
          </w:p>
        </w:tc>
        <w:tc>
          <w:tcPr>
            <w:tcW w:w="704" w:type="dxa"/>
            <w:shd w:val="clear" w:color="auto" w:fill="auto"/>
            <w:noWrap/>
            <w:vAlign w:val="center"/>
            <w:hideMark/>
          </w:tcPr>
          <w:p w14:paraId="7637788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0.211</w:t>
            </w:r>
          </w:p>
        </w:tc>
        <w:tc>
          <w:tcPr>
            <w:tcW w:w="667" w:type="dxa"/>
            <w:shd w:val="clear" w:color="auto" w:fill="auto"/>
            <w:noWrap/>
            <w:vAlign w:val="center"/>
            <w:hideMark/>
          </w:tcPr>
          <w:p w14:paraId="491769A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0.229</w:t>
            </w:r>
          </w:p>
        </w:tc>
      </w:tr>
      <w:tr w:rsidR="0045296A" w:rsidRPr="00F732F7" w14:paraId="56ACC4FB" w14:textId="77777777" w:rsidTr="006D5746">
        <w:trPr>
          <w:trHeight w:val="315"/>
        </w:trPr>
        <w:tc>
          <w:tcPr>
            <w:tcW w:w="2504" w:type="dxa"/>
            <w:shd w:val="clear" w:color="auto" w:fill="auto"/>
            <w:vAlign w:val="center"/>
            <w:hideMark/>
          </w:tcPr>
          <w:p w14:paraId="35F8DC23"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BAT SUVmean</w:t>
            </w:r>
          </w:p>
        </w:tc>
        <w:tc>
          <w:tcPr>
            <w:tcW w:w="813" w:type="dxa"/>
            <w:shd w:val="clear" w:color="auto" w:fill="auto"/>
            <w:noWrap/>
            <w:vAlign w:val="center"/>
            <w:hideMark/>
          </w:tcPr>
          <w:p w14:paraId="2721F9E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-0.772</w:t>
            </w:r>
          </w:p>
        </w:tc>
        <w:tc>
          <w:tcPr>
            <w:tcW w:w="701" w:type="dxa"/>
            <w:shd w:val="clear" w:color="auto" w:fill="auto"/>
            <w:noWrap/>
            <w:vAlign w:val="center"/>
            <w:hideMark/>
          </w:tcPr>
          <w:p w14:paraId="5D7D5F9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0.239</w:t>
            </w:r>
          </w:p>
        </w:tc>
        <w:tc>
          <w:tcPr>
            <w:tcW w:w="666" w:type="dxa"/>
            <w:shd w:val="clear" w:color="auto" w:fill="auto"/>
            <w:noWrap/>
            <w:vAlign w:val="center"/>
            <w:hideMark/>
          </w:tcPr>
          <w:p w14:paraId="2DCA39E5"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0.018</w:t>
            </w:r>
          </w:p>
        </w:tc>
        <w:tc>
          <w:tcPr>
            <w:tcW w:w="236" w:type="dxa"/>
            <w:shd w:val="clear" w:color="auto" w:fill="auto"/>
            <w:noWrap/>
            <w:vAlign w:val="center"/>
            <w:hideMark/>
          </w:tcPr>
          <w:p w14:paraId="421BC595"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shd w:val="clear" w:color="auto" w:fill="auto"/>
            <w:noWrap/>
            <w:vAlign w:val="center"/>
          </w:tcPr>
          <w:p w14:paraId="3E77B23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-0.978</w:t>
            </w:r>
          </w:p>
        </w:tc>
        <w:tc>
          <w:tcPr>
            <w:tcW w:w="701" w:type="dxa"/>
            <w:shd w:val="clear" w:color="auto" w:fill="auto"/>
            <w:noWrap/>
            <w:vAlign w:val="center"/>
          </w:tcPr>
          <w:p w14:paraId="10FD57C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0.197</w:t>
            </w:r>
          </w:p>
        </w:tc>
        <w:tc>
          <w:tcPr>
            <w:tcW w:w="666" w:type="dxa"/>
            <w:shd w:val="clear" w:color="auto" w:fill="auto"/>
            <w:noWrap/>
            <w:vAlign w:val="center"/>
          </w:tcPr>
          <w:p w14:paraId="621C442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0.303</w:t>
            </w:r>
          </w:p>
        </w:tc>
        <w:tc>
          <w:tcPr>
            <w:tcW w:w="222" w:type="dxa"/>
            <w:shd w:val="clear" w:color="auto" w:fill="auto"/>
            <w:noWrap/>
            <w:vAlign w:val="center"/>
            <w:hideMark/>
          </w:tcPr>
          <w:p w14:paraId="717073F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hideMark/>
          </w:tcPr>
          <w:p w14:paraId="021DFA7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-1.358</w:t>
            </w:r>
          </w:p>
        </w:tc>
        <w:tc>
          <w:tcPr>
            <w:tcW w:w="701" w:type="dxa"/>
            <w:shd w:val="clear" w:color="auto" w:fill="auto"/>
            <w:noWrap/>
            <w:vAlign w:val="center"/>
            <w:hideMark/>
          </w:tcPr>
          <w:p w14:paraId="531D729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0.174</w:t>
            </w:r>
          </w:p>
        </w:tc>
        <w:tc>
          <w:tcPr>
            <w:tcW w:w="666" w:type="dxa"/>
            <w:shd w:val="clear" w:color="auto" w:fill="auto"/>
            <w:noWrap/>
            <w:vAlign w:val="center"/>
            <w:hideMark/>
          </w:tcPr>
          <w:p w14:paraId="2BC17415"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0.047</w:t>
            </w:r>
          </w:p>
        </w:tc>
        <w:tc>
          <w:tcPr>
            <w:tcW w:w="222" w:type="dxa"/>
            <w:shd w:val="clear" w:color="auto" w:fill="auto"/>
            <w:noWrap/>
            <w:vAlign w:val="center"/>
            <w:hideMark/>
          </w:tcPr>
          <w:p w14:paraId="378F0BB7"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shd w:val="clear" w:color="auto" w:fill="auto"/>
            <w:noWrap/>
            <w:vAlign w:val="center"/>
            <w:hideMark/>
          </w:tcPr>
          <w:p w14:paraId="05C14D4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-0.821</w:t>
            </w:r>
          </w:p>
        </w:tc>
        <w:tc>
          <w:tcPr>
            <w:tcW w:w="701" w:type="dxa"/>
            <w:shd w:val="clear" w:color="auto" w:fill="auto"/>
            <w:noWrap/>
            <w:vAlign w:val="center"/>
            <w:hideMark/>
          </w:tcPr>
          <w:p w14:paraId="63BDDEC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0.119</w:t>
            </w:r>
          </w:p>
        </w:tc>
        <w:tc>
          <w:tcPr>
            <w:tcW w:w="666" w:type="dxa"/>
            <w:shd w:val="clear" w:color="auto" w:fill="auto"/>
            <w:noWrap/>
            <w:vAlign w:val="center"/>
            <w:hideMark/>
          </w:tcPr>
          <w:p w14:paraId="06175CA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0.131</w:t>
            </w:r>
          </w:p>
        </w:tc>
        <w:tc>
          <w:tcPr>
            <w:tcW w:w="236" w:type="dxa"/>
            <w:shd w:val="clear" w:color="auto" w:fill="auto"/>
            <w:noWrap/>
            <w:vAlign w:val="center"/>
            <w:hideMark/>
          </w:tcPr>
          <w:p w14:paraId="494ADBB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840" w:type="dxa"/>
            <w:shd w:val="clear" w:color="auto" w:fill="auto"/>
            <w:noWrap/>
            <w:vAlign w:val="center"/>
            <w:hideMark/>
          </w:tcPr>
          <w:p w14:paraId="57DB11C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-28.781</w:t>
            </w:r>
          </w:p>
        </w:tc>
        <w:tc>
          <w:tcPr>
            <w:tcW w:w="704" w:type="dxa"/>
            <w:shd w:val="clear" w:color="auto" w:fill="auto"/>
            <w:noWrap/>
            <w:vAlign w:val="center"/>
            <w:hideMark/>
          </w:tcPr>
          <w:p w14:paraId="0A450E0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0.242</w:t>
            </w:r>
          </w:p>
        </w:tc>
        <w:tc>
          <w:tcPr>
            <w:tcW w:w="667" w:type="dxa"/>
            <w:shd w:val="clear" w:color="auto" w:fill="auto"/>
            <w:noWrap/>
            <w:vAlign w:val="center"/>
            <w:hideMark/>
          </w:tcPr>
          <w:p w14:paraId="1636FDA1"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0.033</w:t>
            </w:r>
          </w:p>
        </w:tc>
      </w:tr>
      <w:tr w:rsidR="0045296A" w:rsidRPr="00F732F7" w14:paraId="46F9182C" w14:textId="77777777" w:rsidTr="006D5746">
        <w:trPr>
          <w:trHeight w:val="315"/>
        </w:trPr>
        <w:tc>
          <w:tcPr>
            <w:tcW w:w="2504" w:type="dxa"/>
            <w:shd w:val="clear" w:color="auto" w:fill="auto"/>
            <w:vAlign w:val="center"/>
            <w:hideMark/>
          </w:tcPr>
          <w:p w14:paraId="3D0DB39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BAT SUVpeak</w:t>
            </w:r>
          </w:p>
        </w:tc>
        <w:tc>
          <w:tcPr>
            <w:tcW w:w="813" w:type="dxa"/>
            <w:shd w:val="clear" w:color="auto" w:fill="auto"/>
            <w:noWrap/>
            <w:vAlign w:val="center"/>
            <w:hideMark/>
          </w:tcPr>
          <w:p w14:paraId="51AE881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-0.154</w:t>
            </w:r>
          </w:p>
        </w:tc>
        <w:tc>
          <w:tcPr>
            <w:tcW w:w="701" w:type="dxa"/>
            <w:shd w:val="clear" w:color="auto" w:fill="auto"/>
            <w:noWrap/>
            <w:vAlign w:val="center"/>
            <w:hideMark/>
          </w:tcPr>
          <w:p w14:paraId="2FA86A1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0.217</w:t>
            </w:r>
          </w:p>
        </w:tc>
        <w:tc>
          <w:tcPr>
            <w:tcW w:w="666" w:type="dxa"/>
            <w:shd w:val="clear" w:color="auto" w:fill="auto"/>
            <w:noWrap/>
            <w:vAlign w:val="center"/>
            <w:hideMark/>
          </w:tcPr>
          <w:p w14:paraId="6AFBF9D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0.064</w:t>
            </w:r>
          </w:p>
        </w:tc>
        <w:tc>
          <w:tcPr>
            <w:tcW w:w="236" w:type="dxa"/>
            <w:shd w:val="clear" w:color="auto" w:fill="auto"/>
            <w:noWrap/>
            <w:vAlign w:val="center"/>
            <w:hideMark/>
          </w:tcPr>
          <w:p w14:paraId="5FAC40A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tcPr>
          <w:p w14:paraId="6E397CF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-0.171</w:t>
            </w:r>
          </w:p>
        </w:tc>
        <w:tc>
          <w:tcPr>
            <w:tcW w:w="701" w:type="dxa"/>
            <w:shd w:val="clear" w:color="auto" w:fill="auto"/>
            <w:noWrap/>
            <w:vAlign w:val="center"/>
          </w:tcPr>
          <w:p w14:paraId="2E7C0D5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0.191</w:t>
            </w:r>
          </w:p>
        </w:tc>
        <w:tc>
          <w:tcPr>
            <w:tcW w:w="666" w:type="dxa"/>
            <w:shd w:val="clear" w:color="auto" w:fill="auto"/>
            <w:noWrap/>
            <w:vAlign w:val="center"/>
          </w:tcPr>
          <w:p w14:paraId="68177A0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0.483</w:t>
            </w:r>
          </w:p>
        </w:tc>
        <w:tc>
          <w:tcPr>
            <w:tcW w:w="222" w:type="dxa"/>
            <w:shd w:val="clear" w:color="auto" w:fill="auto"/>
            <w:noWrap/>
            <w:vAlign w:val="center"/>
            <w:hideMark/>
          </w:tcPr>
          <w:p w14:paraId="67B1085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hideMark/>
          </w:tcPr>
          <w:p w14:paraId="0D9A4C2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-0.238</w:t>
            </w:r>
          </w:p>
        </w:tc>
        <w:tc>
          <w:tcPr>
            <w:tcW w:w="701" w:type="dxa"/>
            <w:shd w:val="clear" w:color="auto" w:fill="auto"/>
            <w:noWrap/>
            <w:vAlign w:val="center"/>
            <w:hideMark/>
          </w:tcPr>
          <w:p w14:paraId="736907E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0.151</w:t>
            </w:r>
          </w:p>
        </w:tc>
        <w:tc>
          <w:tcPr>
            <w:tcW w:w="666" w:type="dxa"/>
            <w:shd w:val="clear" w:color="auto" w:fill="auto"/>
            <w:noWrap/>
            <w:vAlign w:val="center"/>
            <w:hideMark/>
          </w:tcPr>
          <w:p w14:paraId="1F61138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0.172</w:t>
            </w:r>
          </w:p>
        </w:tc>
        <w:tc>
          <w:tcPr>
            <w:tcW w:w="222" w:type="dxa"/>
            <w:shd w:val="clear" w:color="auto" w:fill="auto"/>
            <w:noWrap/>
            <w:vAlign w:val="center"/>
            <w:hideMark/>
          </w:tcPr>
          <w:p w14:paraId="6A37814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hideMark/>
          </w:tcPr>
          <w:p w14:paraId="6E66789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-0.137</w:t>
            </w:r>
          </w:p>
        </w:tc>
        <w:tc>
          <w:tcPr>
            <w:tcW w:w="701" w:type="dxa"/>
            <w:shd w:val="clear" w:color="auto" w:fill="auto"/>
            <w:noWrap/>
            <w:vAlign w:val="center"/>
            <w:hideMark/>
          </w:tcPr>
          <w:p w14:paraId="6C2C70B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0.104</w:t>
            </w:r>
          </w:p>
        </w:tc>
        <w:tc>
          <w:tcPr>
            <w:tcW w:w="666" w:type="dxa"/>
            <w:shd w:val="clear" w:color="auto" w:fill="auto"/>
            <w:noWrap/>
            <w:vAlign w:val="center"/>
            <w:hideMark/>
          </w:tcPr>
          <w:p w14:paraId="7FEC600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0.323</w:t>
            </w:r>
          </w:p>
        </w:tc>
        <w:tc>
          <w:tcPr>
            <w:tcW w:w="236" w:type="dxa"/>
            <w:shd w:val="clear" w:color="auto" w:fill="auto"/>
            <w:noWrap/>
            <w:vAlign w:val="center"/>
            <w:hideMark/>
          </w:tcPr>
          <w:p w14:paraId="2A2C3CF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840" w:type="dxa"/>
            <w:shd w:val="clear" w:color="auto" w:fill="auto"/>
            <w:noWrap/>
            <w:vAlign w:val="center"/>
            <w:hideMark/>
          </w:tcPr>
          <w:p w14:paraId="7E2B9C8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-5.636</w:t>
            </w:r>
          </w:p>
        </w:tc>
        <w:tc>
          <w:tcPr>
            <w:tcW w:w="704" w:type="dxa"/>
            <w:shd w:val="clear" w:color="auto" w:fill="auto"/>
            <w:noWrap/>
            <w:vAlign w:val="center"/>
            <w:hideMark/>
          </w:tcPr>
          <w:p w14:paraId="6A20EE3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0.223</w:t>
            </w:r>
          </w:p>
        </w:tc>
        <w:tc>
          <w:tcPr>
            <w:tcW w:w="667" w:type="dxa"/>
            <w:shd w:val="clear" w:color="auto" w:fill="auto"/>
            <w:noWrap/>
            <w:vAlign w:val="center"/>
            <w:hideMark/>
          </w:tcPr>
          <w:p w14:paraId="0C5F818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0.102</w:t>
            </w:r>
          </w:p>
        </w:tc>
      </w:tr>
      <w:tr w:rsidR="0045296A" w:rsidRPr="00F732F7" w14:paraId="0BC5DE57" w14:textId="77777777" w:rsidTr="006D5746">
        <w:trPr>
          <w:trHeight w:val="315"/>
        </w:trPr>
        <w:tc>
          <w:tcPr>
            <w:tcW w:w="2504" w:type="dxa"/>
            <w:shd w:val="clear" w:color="auto" w:fill="auto"/>
            <w:vAlign w:val="center"/>
            <w:hideMark/>
          </w:tcPr>
          <w:p w14:paraId="5D211AB0"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BAT radiodensity (HU)</w:t>
            </w:r>
          </w:p>
        </w:tc>
        <w:tc>
          <w:tcPr>
            <w:tcW w:w="813" w:type="dxa"/>
            <w:shd w:val="clear" w:color="auto" w:fill="auto"/>
            <w:noWrap/>
            <w:vAlign w:val="center"/>
          </w:tcPr>
          <w:p w14:paraId="5A09AF7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-0.079</w:t>
            </w:r>
          </w:p>
        </w:tc>
        <w:tc>
          <w:tcPr>
            <w:tcW w:w="701" w:type="dxa"/>
            <w:shd w:val="clear" w:color="auto" w:fill="auto"/>
            <w:noWrap/>
            <w:vAlign w:val="center"/>
          </w:tcPr>
          <w:p w14:paraId="409C9CA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0.223</w:t>
            </w:r>
          </w:p>
        </w:tc>
        <w:tc>
          <w:tcPr>
            <w:tcW w:w="666" w:type="dxa"/>
            <w:shd w:val="clear" w:color="auto" w:fill="auto"/>
            <w:noWrap/>
            <w:vAlign w:val="center"/>
          </w:tcPr>
          <w:p w14:paraId="53319BC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0.064</w:t>
            </w:r>
          </w:p>
        </w:tc>
        <w:tc>
          <w:tcPr>
            <w:tcW w:w="236" w:type="dxa"/>
            <w:shd w:val="clear" w:color="auto" w:fill="auto"/>
            <w:noWrap/>
            <w:vAlign w:val="center"/>
          </w:tcPr>
          <w:p w14:paraId="3131686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tcPr>
          <w:p w14:paraId="4F7FD63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-0.178</w:t>
            </w:r>
          </w:p>
        </w:tc>
        <w:tc>
          <w:tcPr>
            <w:tcW w:w="701" w:type="dxa"/>
            <w:shd w:val="clear" w:color="auto" w:fill="auto"/>
            <w:noWrap/>
            <w:vAlign w:val="center"/>
          </w:tcPr>
          <w:p w14:paraId="764AEEA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0.154</w:t>
            </w:r>
          </w:p>
        </w:tc>
        <w:tc>
          <w:tcPr>
            <w:tcW w:w="666" w:type="dxa"/>
            <w:shd w:val="clear" w:color="auto" w:fill="auto"/>
            <w:noWrap/>
            <w:vAlign w:val="center"/>
          </w:tcPr>
          <w:p w14:paraId="33B2464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0.164</w:t>
            </w:r>
          </w:p>
        </w:tc>
        <w:tc>
          <w:tcPr>
            <w:tcW w:w="222" w:type="dxa"/>
            <w:shd w:val="clear" w:color="auto" w:fill="auto"/>
            <w:noWrap/>
            <w:vAlign w:val="center"/>
          </w:tcPr>
          <w:p w14:paraId="593DC71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tcPr>
          <w:p w14:paraId="320C706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-0.200</w:t>
            </w:r>
          </w:p>
        </w:tc>
        <w:tc>
          <w:tcPr>
            <w:tcW w:w="701" w:type="dxa"/>
            <w:shd w:val="clear" w:color="auto" w:fill="auto"/>
            <w:noWrap/>
            <w:vAlign w:val="center"/>
          </w:tcPr>
          <w:p w14:paraId="224153E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0.191</w:t>
            </w:r>
          </w:p>
        </w:tc>
        <w:tc>
          <w:tcPr>
            <w:tcW w:w="666" w:type="dxa"/>
            <w:shd w:val="clear" w:color="auto" w:fill="auto"/>
            <w:noWrap/>
            <w:vAlign w:val="center"/>
          </w:tcPr>
          <w:p w14:paraId="3F3D4E2A"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0.027</w:t>
            </w:r>
          </w:p>
        </w:tc>
        <w:tc>
          <w:tcPr>
            <w:tcW w:w="222" w:type="dxa"/>
            <w:shd w:val="clear" w:color="auto" w:fill="auto"/>
            <w:noWrap/>
            <w:vAlign w:val="center"/>
          </w:tcPr>
          <w:p w14:paraId="2DEC7B6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tcPr>
          <w:p w14:paraId="6446BF3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-0.209</w:t>
            </w:r>
          </w:p>
        </w:tc>
        <w:tc>
          <w:tcPr>
            <w:tcW w:w="701" w:type="dxa"/>
            <w:shd w:val="clear" w:color="auto" w:fill="auto"/>
            <w:noWrap/>
            <w:vAlign w:val="center"/>
          </w:tcPr>
          <w:p w14:paraId="0923501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0.206</w:t>
            </w:r>
          </w:p>
        </w:tc>
        <w:tc>
          <w:tcPr>
            <w:tcW w:w="666" w:type="dxa"/>
            <w:shd w:val="clear" w:color="auto" w:fill="auto"/>
            <w:noWrap/>
            <w:vAlign w:val="center"/>
          </w:tcPr>
          <w:p w14:paraId="2AC36BE7"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0.003</w:t>
            </w:r>
          </w:p>
        </w:tc>
        <w:tc>
          <w:tcPr>
            <w:tcW w:w="236" w:type="dxa"/>
            <w:shd w:val="clear" w:color="auto" w:fill="auto"/>
            <w:noWrap/>
            <w:vAlign w:val="center"/>
          </w:tcPr>
          <w:p w14:paraId="260F3A9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840" w:type="dxa"/>
            <w:shd w:val="clear" w:color="auto" w:fill="auto"/>
            <w:noWrap/>
            <w:vAlign w:val="center"/>
          </w:tcPr>
          <w:p w14:paraId="314752C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-3.692</w:t>
            </w:r>
          </w:p>
        </w:tc>
        <w:tc>
          <w:tcPr>
            <w:tcW w:w="704" w:type="dxa"/>
            <w:shd w:val="clear" w:color="auto" w:fill="auto"/>
            <w:noWrap/>
            <w:vAlign w:val="center"/>
          </w:tcPr>
          <w:p w14:paraId="183F5E4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0.206</w:t>
            </w:r>
          </w:p>
        </w:tc>
        <w:tc>
          <w:tcPr>
            <w:tcW w:w="667" w:type="dxa"/>
            <w:shd w:val="clear" w:color="auto" w:fill="auto"/>
            <w:noWrap/>
            <w:vAlign w:val="center"/>
          </w:tcPr>
          <w:p w14:paraId="5211B126"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0.034</w:t>
            </w:r>
          </w:p>
        </w:tc>
      </w:tr>
      <w:tr w:rsidR="0045296A" w:rsidRPr="00F732F7" w14:paraId="32D728F9" w14:textId="77777777" w:rsidTr="006D5746">
        <w:trPr>
          <w:trHeight w:val="95"/>
        </w:trPr>
        <w:tc>
          <w:tcPr>
            <w:tcW w:w="2504" w:type="dxa"/>
            <w:shd w:val="clear" w:color="auto" w:fill="auto"/>
            <w:vAlign w:val="center"/>
            <w:hideMark/>
          </w:tcPr>
          <w:p w14:paraId="40EF79C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813" w:type="dxa"/>
            <w:shd w:val="clear" w:color="auto" w:fill="auto"/>
            <w:noWrap/>
            <w:vAlign w:val="bottom"/>
            <w:hideMark/>
          </w:tcPr>
          <w:p w14:paraId="3E1FE71E"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hideMark/>
          </w:tcPr>
          <w:p w14:paraId="68F22E3B"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hideMark/>
          </w:tcPr>
          <w:p w14:paraId="2DE48073"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shd w:val="clear" w:color="auto" w:fill="auto"/>
            <w:noWrap/>
            <w:vAlign w:val="bottom"/>
            <w:hideMark/>
          </w:tcPr>
          <w:p w14:paraId="32208EA6"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tcPr>
          <w:p w14:paraId="260D4C19"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tcPr>
          <w:p w14:paraId="672D341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tcPr>
          <w:p w14:paraId="4C3474D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shd w:val="clear" w:color="auto" w:fill="auto"/>
            <w:noWrap/>
            <w:vAlign w:val="bottom"/>
            <w:hideMark/>
          </w:tcPr>
          <w:p w14:paraId="1372C960"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hideMark/>
          </w:tcPr>
          <w:p w14:paraId="35A431FB"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hideMark/>
          </w:tcPr>
          <w:p w14:paraId="771E364F"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hideMark/>
          </w:tcPr>
          <w:p w14:paraId="5D16638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shd w:val="clear" w:color="auto" w:fill="auto"/>
            <w:noWrap/>
            <w:vAlign w:val="bottom"/>
            <w:hideMark/>
          </w:tcPr>
          <w:p w14:paraId="3EF4B1AB"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hideMark/>
          </w:tcPr>
          <w:p w14:paraId="4C50CA7B"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hideMark/>
          </w:tcPr>
          <w:p w14:paraId="5274B6F6"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hideMark/>
          </w:tcPr>
          <w:p w14:paraId="629BD2E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shd w:val="clear" w:color="auto" w:fill="auto"/>
            <w:noWrap/>
            <w:vAlign w:val="bottom"/>
            <w:hideMark/>
          </w:tcPr>
          <w:p w14:paraId="0EF607F0"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840" w:type="dxa"/>
            <w:shd w:val="clear" w:color="auto" w:fill="auto"/>
            <w:noWrap/>
            <w:vAlign w:val="bottom"/>
            <w:hideMark/>
          </w:tcPr>
          <w:p w14:paraId="0F9B41E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4" w:type="dxa"/>
            <w:shd w:val="clear" w:color="auto" w:fill="auto"/>
            <w:noWrap/>
            <w:vAlign w:val="bottom"/>
            <w:hideMark/>
          </w:tcPr>
          <w:p w14:paraId="523B1759"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7" w:type="dxa"/>
            <w:shd w:val="clear" w:color="auto" w:fill="auto"/>
            <w:noWrap/>
            <w:vAlign w:val="bottom"/>
            <w:hideMark/>
          </w:tcPr>
          <w:p w14:paraId="3FFB9D87"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r>
      <w:tr w:rsidR="0045296A" w:rsidRPr="004D4FE5" w14:paraId="569F2FC2" w14:textId="77777777" w:rsidTr="006D5746">
        <w:trPr>
          <w:trHeight w:val="315"/>
        </w:trPr>
        <w:tc>
          <w:tcPr>
            <w:tcW w:w="3317" w:type="dxa"/>
            <w:gridSpan w:val="2"/>
            <w:shd w:val="clear" w:color="auto" w:fill="auto"/>
            <w:noWrap/>
            <w:vAlign w:val="bottom"/>
            <w:hideMark/>
          </w:tcPr>
          <w:p w14:paraId="034BA5A3"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Model 3 (Date PET-CT and BSA)</w:t>
            </w:r>
          </w:p>
        </w:tc>
        <w:tc>
          <w:tcPr>
            <w:tcW w:w="701" w:type="dxa"/>
            <w:shd w:val="clear" w:color="auto" w:fill="auto"/>
            <w:noWrap/>
            <w:vAlign w:val="bottom"/>
            <w:hideMark/>
          </w:tcPr>
          <w:p w14:paraId="081E152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hideMark/>
          </w:tcPr>
          <w:p w14:paraId="051DBF0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shd w:val="clear" w:color="auto" w:fill="auto"/>
            <w:noWrap/>
            <w:vAlign w:val="bottom"/>
            <w:hideMark/>
          </w:tcPr>
          <w:p w14:paraId="61363BCF"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tcPr>
          <w:p w14:paraId="78A161B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tcPr>
          <w:p w14:paraId="622DD96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tcPr>
          <w:p w14:paraId="13F957DA"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shd w:val="clear" w:color="auto" w:fill="auto"/>
            <w:noWrap/>
            <w:vAlign w:val="bottom"/>
            <w:hideMark/>
          </w:tcPr>
          <w:p w14:paraId="5FABF21A"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hideMark/>
          </w:tcPr>
          <w:p w14:paraId="6273BA37"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hideMark/>
          </w:tcPr>
          <w:p w14:paraId="0CBBC9F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hideMark/>
          </w:tcPr>
          <w:p w14:paraId="1B3FD77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shd w:val="clear" w:color="auto" w:fill="auto"/>
            <w:noWrap/>
            <w:vAlign w:val="bottom"/>
            <w:hideMark/>
          </w:tcPr>
          <w:p w14:paraId="7B3A5FD9"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hideMark/>
          </w:tcPr>
          <w:p w14:paraId="097C03B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hideMark/>
          </w:tcPr>
          <w:p w14:paraId="75A65A8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hideMark/>
          </w:tcPr>
          <w:p w14:paraId="09EB632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shd w:val="clear" w:color="auto" w:fill="auto"/>
            <w:noWrap/>
            <w:vAlign w:val="bottom"/>
            <w:hideMark/>
          </w:tcPr>
          <w:p w14:paraId="2647A9E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840" w:type="dxa"/>
            <w:shd w:val="clear" w:color="auto" w:fill="auto"/>
            <w:noWrap/>
            <w:vAlign w:val="bottom"/>
            <w:hideMark/>
          </w:tcPr>
          <w:p w14:paraId="264E01D9"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4" w:type="dxa"/>
            <w:shd w:val="clear" w:color="auto" w:fill="auto"/>
            <w:noWrap/>
            <w:vAlign w:val="bottom"/>
            <w:hideMark/>
          </w:tcPr>
          <w:p w14:paraId="19A9B02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7" w:type="dxa"/>
            <w:shd w:val="clear" w:color="auto" w:fill="auto"/>
            <w:noWrap/>
            <w:vAlign w:val="bottom"/>
            <w:hideMark/>
          </w:tcPr>
          <w:p w14:paraId="1DD6DB13"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r>
      <w:tr w:rsidR="0045296A" w:rsidRPr="00F732F7" w14:paraId="18EBF8A1" w14:textId="77777777" w:rsidTr="006D5746">
        <w:trPr>
          <w:trHeight w:val="315"/>
        </w:trPr>
        <w:tc>
          <w:tcPr>
            <w:tcW w:w="2504" w:type="dxa"/>
            <w:shd w:val="clear" w:color="auto" w:fill="auto"/>
            <w:vAlign w:val="center"/>
            <w:hideMark/>
          </w:tcPr>
          <w:p w14:paraId="33F806B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BAT volume</w:t>
            </w:r>
          </w:p>
        </w:tc>
        <w:tc>
          <w:tcPr>
            <w:tcW w:w="813" w:type="dxa"/>
            <w:shd w:val="clear" w:color="auto" w:fill="auto"/>
            <w:noWrap/>
            <w:vAlign w:val="center"/>
            <w:hideMark/>
          </w:tcPr>
          <w:p w14:paraId="4D272B4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0.004</w:t>
            </w:r>
          </w:p>
        </w:tc>
        <w:tc>
          <w:tcPr>
            <w:tcW w:w="701" w:type="dxa"/>
            <w:shd w:val="clear" w:color="auto" w:fill="auto"/>
            <w:noWrap/>
            <w:vAlign w:val="center"/>
            <w:hideMark/>
          </w:tcPr>
          <w:p w14:paraId="72B4C3A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0.537</w:t>
            </w:r>
          </w:p>
        </w:tc>
        <w:tc>
          <w:tcPr>
            <w:tcW w:w="666" w:type="dxa"/>
            <w:shd w:val="clear" w:color="auto" w:fill="auto"/>
            <w:noWrap/>
            <w:vAlign w:val="center"/>
            <w:hideMark/>
          </w:tcPr>
          <w:p w14:paraId="1BC2844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0.505</w:t>
            </w:r>
          </w:p>
        </w:tc>
        <w:tc>
          <w:tcPr>
            <w:tcW w:w="236" w:type="dxa"/>
            <w:shd w:val="clear" w:color="auto" w:fill="auto"/>
            <w:noWrap/>
            <w:vAlign w:val="center"/>
            <w:hideMark/>
          </w:tcPr>
          <w:p w14:paraId="1058A06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tcPr>
          <w:p w14:paraId="330F8E9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0.038</w:t>
            </w:r>
          </w:p>
        </w:tc>
        <w:tc>
          <w:tcPr>
            <w:tcW w:w="701" w:type="dxa"/>
            <w:shd w:val="clear" w:color="auto" w:fill="auto"/>
            <w:noWrap/>
            <w:vAlign w:val="center"/>
          </w:tcPr>
          <w:p w14:paraId="76DE805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0.529</w:t>
            </w:r>
          </w:p>
        </w:tc>
        <w:tc>
          <w:tcPr>
            <w:tcW w:w="666" w:type="dxa"/>
            <w:shd w:val="clear" w:color="auto" w:fill="auto"/>
            <w:noWrap/>
            <w:vAlign w:val="center"/>
          </w:tcPr>
          <w:p w14:paraId="50EE4DA4"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0.025</w:t>
            </w:r>
          </w:p>
        </w:tc>
        <w:tc>
          <w:tcPr>
            <w:tcW w:w="222" w:type="dxa"/>
            <w:shd w:val="clear" w:color="auto" w:fill="auto"/>
            <w:noWrap/>
            <w:vAlign w:val="center"/>
            <w:hideMark/>
          </w:tcPr>
          <w:p w14:paraId="612563B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hideMark/>
          </w:tcPr>
          <w:p w14:paraId="726F6D3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0.010</w:t>
            </w:r>
          </w:p>
        </w:tc>
        <w:tc>
          <w:tcPr>
            <w:tcW w:w="701" w:type="dxa"/>
            <w:shd w:val="clear" w:color="auto" w:fill="auto"/>
            <w:noWrap/>
            <w:vAlign w:val="center"/>
            <w:hideMark/>
          </w:tcPr>
          <w:p w14:paraId="37BD11D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0.733</w:t>
            </w:r>
          </w:p>
        </w:tc>
        <w:tc>
          <w:tcPr>
            <w:tcW w:w="666" w:type="dxa"/>
            <w:shd w:val="clear" w:color="auto" w:fill="auto"/>
            <w:noWrap/>
            <w:vAlign w:val="center"/>
            <w:hideMark/>
          </w:tcPr>
          <w:p w14:paraId="6B618C7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0.259</w:t>
            </w:r>
          </w:p>
        </w:tc>
        <w:tc>
          <w:tcPr>
            <w:tcW w:w="222" w:type="dxa"/>
            <w:shd w:val="clear" w:color="auto" w:fill="auto"/>
            <w:noWrap/>
            <w:vAlign w:val="center"/>
            <w:hideMark/>
          </w:tcPr>
          <w:p w14:paraId="18568FA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hideMark/>
          </w:tcPr>
          <w:p w14:paraId="4BD15B5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0.013</w:t>
            </w:r>
          </w:p>
        </w:tc>
        <w:tc>
          <w:tcPr>
            <w:tcW w:w="701" w:type="dxa"/>
            <w:shd w:val="clear" w:color="auto" w:fill="auto"/>
            <w:noWrap/>
            <w:vAlign w:val="center"/>
            <w:hideMark/>
          </w:tcPr>
          <w:p w14:paraId="39A9435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0.341</w:t>
            </w:r>
          </w:p>
        </w:tc>
        <w:tc>
          <w:tcPr>
            <w:tcW w:w="666" w:type="dxa"/>
            <w:shd w:val="clear" w:color="auto" w:fill="auto"/>
            <w:noWrap/>
            <w:vAlign w:val="center"/>
            <w:hideMark/>
          </w:tcPr>
          <w:p w14:paraId="2D891F5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0.226</w:t>
            </w:r>
          </w:p>
        </w:tc>
        <w:tc>
          <w:tcPr>
            <w:tcW w:w="236" w:type="dxa"/>
            <w:shd w:val="clear" w:color="auto" w:fill="auto"/>
            <w:noWrap/>
            <w:vAlign w:val="center"/>
            <w:hideMark/>
          </w:tcPr>
          <w:p w14:paraId="008367E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840" w:type="dxa"/>
            <w:shd w:val="clear" w:color="auto" w:fill="auto"/>
            <w:noWrap/>
            <w:vAlign w:val="center"/>
            <w:hideMark/>
          </w:tcPr>
          <w:p w14:paraId="4C35DDF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0.425</w:t>
            </w:r>
          </w:p>
        </w:tc>
        <w:tc>
          <w:tcPr>
            <w:tcW w:w="704" w:type="dxa"/>
            <w:shd w:val="clear" w:color="auto" w:fill="auto"/>
            <w:noWrap/>
            <w:vAlign w:val="center"/>
            <w:hideMark/>
          </w:tcPr>
          <w:p w14:paraId="4991066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0.468</w:t>
            </w:r>
          </w:p>
        </w:tc>
        <w:tc>
          <w:tcPr>
            <w:tcW w:w="667" w:type="dxa"/>
            <w:shd w:val="clear" w:color="auto" w:fill="auto"/>
            <w:noWrap/>
            <w:vAlign w:val="center"/>
            <w:hideMark/>
          </w:tcPr>
          <w:p w14:paraId="5BB063A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0.107</w:t>
            </w:r>
          </w:p>
        </w:tc>
      </w:tr>
      <w:tr w:rsidR="0045296A" w:rsidRPr="00F732F7" w14:paraId="01B6C73A" w14:textId="77777777" w:rsidTr="006D5746">
        <w:trPr>
          <w:trHeight w:val="315"/>
        </w:trPr>
        <w:tc>
          <w:tcPr>
            <w:tcW w:w="2504" w:type="dxa"/>
            <w:shd w:val="clear" w:color="auto" w:fill="auto"/>
            <w:vAlign w:val="center"/>
            <w:hideMark/>
          </w:tcPr>
          <w:p w14:paraId="2FADEEBD"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 xml:space="preserve">BAT SUVmean </w:t>
            </w:r>
          </w:p>
        </w:tc>
        <w:tc>
          <w:tcPr>
            <w:tcW w:w="813" w:type="dxa"/>
            <w:shd w:val="clear" w:color="auto" w:fill="auto"/>
            <w:noWrap/>
            <w:vAlign w:val="center"/>
            <w:hideMark/>
          </w:tcPr>
          <w:p w14:paraId="3EAC8F9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-0.311</w:t>
            </w:r>
          </w:p>
        </w:tc>
        <w:tc>
          <w:tcPr>
            <w:tcW w:w="701" w:type="dxa"/>
            <w:shd w:val="clear" w:color="auto" w:fill="auto"/>
            <w:noWrap/>
            <w:vAlign w:val="center"/>
            <w:hideMark/>
          </w:tcPr>
          <w:p w14:paraId="7D0E7AC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0.543</w:t>
            </w:r>
          </w:p>
        </w:tc>
        <w:tc>
          <w:tcPr>
            <w:tcW w:w="666" w:type="dxa"/>
            <w:shd w:val="clear" w:color="auto" w:fill="auto"/>
            <w:noWrap/>
            <w:vAlign w:val="center"/>
            <w:hideMark/>
          </w:tcPr>
          <w:p w14:paraId="2F8866E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0.217</w:t>
            </w:r>
          </w:p>
        </w:tc>
        <w:tc>
          <w:tcPr>
            <w:tcW w:w="236" w:type="dxa"/>
            <w:shd w:val="clear" w:color="auto" w:fill="auto"/>
            <w:noWrap/>
            <w:vAlign w:val="center"/>
            <w:hideMark/>
          </w:tcPr>
          <w:p w14:paraId="1EE1751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tcPr>
          <w:p w14:paraId="4A55581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0.448</w:t>
            </w:r>
          </w:p>
        </w:tc>
        <w:tc>
          <w:tcPr>
            <w:tcW w:w="701" w:type="dxa"/>
            <w:shd w:val="clear" w:color="auto" w:fill="auto"/>
            <w:noWrap/>
            <w:vAlign w:val="center"/>
          </w:tcPr>
          <w:p w14:paraId="4720F2F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0.500</w:t>
            </w:r>
          </w:p>
        </w:tc>
        <w:tc>
          <w:tcPr>
            <w:tcW w:w="666" w:type="dxa"/>
            <w:shd w:val="clear" w:color="auto" w:fill="auto"/>
            <w:noWrap/>
            <w:vAlign w:val="center"/>
          </w:tcPr>
          <w:p w14:paraId="5616100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0.561</w:t>
            </w:r>
          </w:p>
        </w:tc>
        <w:tc>
          <w:tcPr>
            <w:tcW w:w="222" w:type="dxa"/>
            <w:shd w:val="clear" w:color="auto" w:fill="auto"/>
            <w:noWrap/>
            <w:vAlign w:val="center"/>
            <w:hideMark/>
          </w:tcPr>
          <w:p w14:paraId="2771A0A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hideMark/>
          </w:tcPr>
          <w:p w14:paraId="4D2D04C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-0.234</w:t>
            </w:r>
          </w:p>
        </w:tc>
        <w:tc>
          <w:tcPr>
            <w:tcW w:w="701" w:type="dxa"/>
            <w:shd w:val="clear" w:color="auto" w:fill="auto"/>
            <w:noWrap/>
            <w:vAlign w:val="center"/>
            <w:hideMark/>
          </w:tcPr>
          <w:p w14:paraId="531D258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0.730</w:t>
            </w:r>
          </w:p>
        </w:tc>
        <w:tc>
          <w:tcPr>
            <w:tcW w:w="666" w:type="dxa"/>
            <w:shd w:val="clear" w:color="auto" w:fill="auto"/>
            <w:noWrap/>
            <w:vAlign w:val="center"/>
            <w:hideMark/>
          </w:tcPr>
          <w:p w14:paraId="203580B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0.549</w:t>
            </w:r>
          </w:p>
        </w:tc>
        <w:tc>
          <w:tcPr>
            <w:tcW w:w="222" w:type="dxa"/>
            <w:shd w:val="clear" w:color="auto" w:fill="auto"/>
            <w:noWrap/>
            <w:vAlign w:val="center"/>
            <w:hideMark/>
          </w:tcPr>
          <w:p w14:paraId="3F97A9B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hideMark/>
          </w:tcPr>
          <w:p w14:paraId="3855FAD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-0.230</w:t>
            </w:r>
          </w:p>
        </w:tc>
        <w:tc>
          <w:tcPr>
            <w:tcW w:w="701" w:type="dxa"/>
            <w:shd w:val="clear" w:color="auto" w:fill="auto"/>
            <w:noWrap/>
            <w:vAlign w:val="center"/>
            <w:hideMark/>
          </w:tcPr>
          <w:p w14:paraId="5585CB0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0.330</w:t>
            </w:r>
          </w:p>
        </w:tc>
        <w:tc>
          <w:tcPr>
            <w:tcW w:w="666" w:type="dxa"/>
            <w:shd w:val="clear" w:color="auto" w:fill="auto"/>
            <w:noWrap/>
            <w:vAlign w:val="center"/>
            <w:hideMark/>
          </w:tcPr>
          <w:p w14:paraId="08CA7DC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0.630</w:t>
            </w:r>
          </w:p>
        </w:tc>
        <w:tc>
          <w:tcPr>
            <w:tcW w:w="236" w:type="dxa"/>
            <w:shd w:val="clear" w:color="auto" w:fill="auto"/>
            <w:noWrap/>
            <w:vAlign w:val="center"/>
            <w:hideMark/>
          </w:tcPr>
          <w:p w14:paraId="5B46D6A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840" w:type="dxa"/>
            <w:shd w:val="clear" w:color="auto" w:fill="auto"/>
            <w:noWrap/>
            <w:vAlign w:val="center"/>
            <w:hideMark/>
          </w:tcPr>
          <w:p w14:paraId="47A6F0A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-12.100</w:t>
            </w:r>
          </w:p>
        </w:tc>
        <w:tc>
          <w:tcPr>
            <w:tcW w:w="704" w:type="dxa"/>
            <w:shd w:val="clear" w:color="auto" w:fill="auto"/>
            <w:noWrap/>
            <w:vAlign w:val="center"/>
            <w:hideMark/>
          </w:tcPr>
          <w:p w14:paraId="6A6B4B4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0.457</w:t>
            </w:r>
          </w:p>
        </w:tc>
        <w:tc>
          <w:tcPr>
            <w:tcW w:w="667" w:type="dxa"/>
            <w:shd w:val="clear" w:color="auto" w:fill="auto"/>
            <w:noWrap/>
            <w:vAlign w:val="center"/>
            <w:hideMark/>
          </w:tcPr>
          <w:p w14:paraId="3132B78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0.297</w:t>
            </w:r>
          </w:p>
        </w:tc>
      </w:tr>
      <w:tr w:rsidR="0045296A" w:rsidRPr="00F732F7" w14:paraId="5368308F" w14:textId="77777777" w:rsidTr="006D5746">
        <w:trPr>
          <w:trHeight w:val="315"/>
        </w:trPr>
        <w:tc>
          <w:tcPr>
            <w:tcW w:w="2504" w:type="dxa"/>
            <w:shd w:val="clear" w:color="auto" w:fill="auto"/>
            <w:vAlign w:val="center"/>
            <w:hideMark/>
          </w:tcPr>
          <w:p w14:paraId="5C05BD1B"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 xml:space="preserve">BAT SUVpeak </w:t>
            </w:r>
          </w:p>
        </w:tc>
        <w:tc>
          <w:tcPr>
            <w:tcW w:w="813" w:type="dxa"/>
            <w:shd w:val="clear" w:color="auto" w:fill="auto"/>
            <w:noWrap/>
            <w:vAlign w:val="center"/>
            <w:hideMark/>
          </w:tcPr>
          <w:p w14:paraId="6334A82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-0.069</w:t>
            </w:r>
          </w:p>
        </w:tc>
        <w:tc>
          <w:tcPr>
            <w:tcW w:w="701" w:type="dxa"/>
            <w:shd w:val="clear" w:color="auto" w:fill="auto"/>
            <w:noWrap/>
            <w:vAlign w:val="center"/>
            <w:hideMark/>
          </w:tcPr>
          <w:p w14:paraId="7622B30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0.541</w:t>
            </w:r>
          </w:p>
        </w:tc>
        <w:tc>
          <w:tcPr>
            <w:tcW w:w="666" w:type="dxa"/>
            <w:shd w:val="clear" w:color="auto" w:fill="auto"/>
            <w:noWrap/>
            <w:vAlign w:val="center"/>
            <w:hideMark/>
          </w:tcPr>
          <w:p w14:paraId="2C3A365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0.277</w:t>
            </w:r>
          </w:p>
        </w:tc>
        <w:tc>
          <w:tcPr>
            <w:tcW w:w="236" w:type="dxa"/>
            <w:shd w:val="clear" w:color="auto" w:fill="auto"/>
            <w:noWrap/>
            <w:vAlign w:val="center"/>
            <w:hideMark/>
          </w:tcPr>
          <w:p w14:paraId="5043363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tcPr>
          <w:p w14:paraId="3D83C5E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0.090</w:t>
            </w:r>
          </w:p>
        </w:tc>
        <w:tc>
          <w:tcPr>
            <w:tcW w:w="701" w:type="dxa"/>
            <w:shd w:val="clear" w:color="auto" w:fill="auto"/>
            <w:noWrap/>
            <w:vAlign w:val="center"/>
          </w:tcPr>
          <w:p w14:paraId="034D0F2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0.499</w:t>
            </w:r>
          </w:p>
        </w:tc>
        <w:tc>
          <w:tcPr>
            <w:tcW w:w="666" w:type="dxa"/>
            <w:shd w:val="clear" w:color="auto" w:fill="auto"/>
            <w:noWrap/>
            <w:vAlign w:val="center"/>
          </w:tcPr>
          <w:p w14:paraId="3E4B474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0.643</w:t>
            </w:r>
          </w:p>
        </w:tc>
        <w:tc>
          <w:tcPr>
            <w:tcW w:w="222" w:type="dxa"/>
            <w:shd w:val="clear" w:color="auto" w:fill="auto"/>
            <w:noWrap/>
            <w:vAlign w:val="center"/>
            <w:hideMark/>
          </w:tcPr>
          <w:p w14:paraId="68F9344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hideMark/>
          </w:tcPr>
          <w:p w14:paraId="3B58347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-0.039</w:t>
            </w:r>
          </w:p>
        </w:tc>
        <w:tc>
          <w:tcPr>
            <w:tcW w:w="701" w:type="dxa"/>
            <w:shd w:val="clear" w:color="auto" w:fill="auto"/>
            <w:noWrap/>
            <w:vAlign w:val="center"/>
            <w:hideMark/>
          </w:tcPr>
          <w:p w14:paraId="41E2299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0.729</w:t>
            </w:r>
          </w:p>
        </w:tc>
        <w:tc>
          <w:tcPr>
            <w:tcW w:w="666" w:type="dxa"/>
            <w:shd w:val="clear" w:color="auto" w:fill="auto"/>
            <w:noWrap/>
            <w:vAlign w:val="center"/>
            <w:hideMark/>
          </w:tcPr>
          <w:p w14:paraId="1C62C76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0.690</w:t>
            </w:r>
          </w:p>
        </w:tc>
        <w:tc>
          <w:tcPr>
            <w:tcW w:w="222" w:type="dxa"/>
            <w:shd w:val="clear" w:color="auto" w:fill="auto"/>
            <w:noWrap/>
            <w:vAlign w:val="center"/>
            <w:hideMark/>
          </w:tcPr>
          <w:p w14:paraId="14884E5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hideMark/>
          </w:tcPr>
          <w:p w14:paraId="4C32924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-0.027</w:t>
            </w:r>
          </w:p>
        </w:tc>
        <w:tc>
          <w:tcPr>
            <w:tcW w:w="701" w:type="dxa"/>
            <w:shd w:val="clear" w:color="auto" w:fill="auto"/>
            <w:noWrap/>
            <w:vAlign w:val="center"/>
            <w:hideMark/>
          </w:tcPr>
          <w:p w14:paraId="4B23C2B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0.329</w:t>
            </w:r>
          </w:p>
        </w:tc>
        <w:tc>
          <w:tcPr>
            <w:tcW w:w="666" w:type="dxa"/>
            <w:shd w:val="clear" w:color="auto" w:fill="auto"/>
            <w:noWrap/>
            <w:vAlign w:val="center"/>
            <w:hideMark/>
          </w:tcPr>
          <w:p w14:paraId="35F163B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0.822</w:t>
            </w:r>
          </w:p>
        </w:tc>
        <w:tc>
          <w:tcPr>
            <w:tcW w:w="236" w:type="dxa"/>
            <w:shd w:val="clear" w:color="auto" w:fill="auto"/>
            <w:noWrap/>
            <w:vAlign w:val="center"/>
            <w:hideMark/>
          </w:tcPr>
          <w:p w14:paraId="088AFB5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840" w:type="dxa"/>
            <w:shd w:val="clear" w:color="auto" w:fill="auto"/>
            <w:noWrap/>
            <w:vAlign w:val="center"/>
            <w:hideMark/>
          </w:tcPr>
          <w:p w14:paraId="56D7D66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-2.377</w:t>
            </w:r>
          </w:p>
        </w:tc>
        <w:tc>
          <w:tcPr>
            <w:tcW w:w="704" w:type="dxa"/>
            <w:shd w:val="clear" w:color="auto" w:fill="auto"/>
            <w:noWrap/>
            <w:vAlign w:val="center"/>
            <w:hideMark/>
          </w:tcPr>
          <w:p w14:paraId="3148D29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0.454</w:t>
            </w:r>
          </w:p>
        </w:tc>
        <w:tc>
          <w:tcPr>
            <w:tcW w:w="667" w:type="dxa"/>
            <w:shd w:val="clear" w:color="auto" w:fill="auto"/>
            <w:noWrap/>
            <w:vAlign w:val="center"/>
            <w:hideMark/>
          </w:tcPr>
          <w:p w14:paraId="51C37B9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0.414</w:t>
            </w:r>
          </w:p>
        </w:tc>
      </w:tr>
      <w:tr w:rsidR="0045296A" w:rsidRPr="00F732F7" w14:paraId="66D75FC0" w14:textId="77777777" w:rsidTr="006D5746">
        <w:trPr>
          <w:trHeight w:val="315"/>
        </w:trPr>
        <w:tc>
          <w:tcPr>
            <w:tcW w:w="2504" w:type="dxa"/>
            <w:shd w:val="clear" w:color="auto" w:fill="auto"/>
            <w:vAlign w:val="center"/>
            <w:hideMark/>
          </w:tcPr>
          <w:p w14:paraId="5F1BB15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BAT radiodensity (HU)</w:t>
            </w:r>
          </w:p>
        </w:tc>
        <w:tc>
          <w:tcPr>
            <w:tcW w:w="813" w:type="dxa"/>
            <w:shd w:val="clear" w:color="auto" w:fill="auto"/>
            <w:noWrap/>
            <w:vAlign w:val="center"/>
          </w:tcPr>
          <w:p w14:paraId="446F5D2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-0.061</w:t>
            </w:r>
          </w:p>
        </w:tc>
        <w:tc>
          <w:tcPr>
            <w:tcW w:w="701" w:type="dxa"/>
            <w:shd w:val="clear" w:color="auto" w:fill="auto"/>
            <w:noWrap/>
            <w:vAlign w:val="center"/>
          </w:tcPr>
          <w:p w14:paraId="7F5669E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0.630</w:t>
            </w:r>
          </w:p>
        </w:tc>
        <w:tc>
          <w:tcPr>
            <w:tcW w:w="666" w:type="dxa"/>
            <w:shd w:val="clear" w:color="auto" w:fill="auto"/>
            <w:noWrap/>
            <w:vAlign w:val="center"/>
          </w:tcPr>
          <w:p w14:paraId="3128B11C"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0.035</w:t>
            </w:r>
          </w:p>
        </w:tc>
        <w:tc>
          <w:tcPr>
            <w:tcW w:w="236" w:type="dxa"/>
            <w:shd w:val="clear" w:color="auto" w:fill="auto"/>
            <w:noWrap/>
            <w:vAlign w:val="center"/>
          </w:tcPr>
          <w:p w14:paraId="011F4708"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shd w:val="clear" w:color="auto" w:fill="auto"/>
            <w:noWrap/>
            <w:vAlign w:val="center"/>
          </w:tcPr>
          <w:p w14:paraId="27F4B8C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-0.133</w:t>
            </w:r>
          </w:p>
        </w:tc>
        <w:tc>
          <w:tcPr>
            <w:tcW w:w="701" w:type="dxa"/>
            <w:shd w:val="clear" w:color="auto" w:fill="auto"/>
            <w:noWrap/>
            <w:vAlign w:val="center"/>
          </w:tcPr>
          <w:p w14:paraId="7262617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0.481</w:t>
            </w:r>
          </w:p>
        </w:tc>
        <w:tc>
          <w:tcPr>
            <w:tcW w:w="666" w:type="dxa"/>
            <w:shd w:val="clear" w:color="auto" w:fill="auto"/>
            <w:noWrap/>
            <w:vAlign w:val="center"/>
          </w:tcPr>
          <w:p w14:paraId="43422B7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0.181</w:t>
            </w:r>
          </w:p>
        </w:tc>
        <w:tc>
          <w:tcPr>
            <w:tcW w:w="222" w:type="dxa"/>
            <w:shd w:val="clear" w:color="auto" w:fill="auto"/>
            <w:noWrap/>
            <w:vAlign w:val="center"/>
          </w:tcPr>
          <w:p w14:paraId="5C8B82C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tcPr>
          <w:p w14:paraId="6F24C56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-0.141</w:t>
            </w:r>
          </w:p>
        </w:tc>
        <w:tc>
          <w:tcPr>
            <w:tcW w:w="701" w:type="dxa"/>
            <w:shd w:val="clear" w:color="auto" w:fill="auto"/>
            <w:noWrap/>
            <w:vAlign w:val="center"/>
          </w:tcPr>
          <w:p w14:paraId="70B5508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0.791</w:t>
            </w:r>
          </w:p>
        </w:tc>
        <w:tc>
          <w:tcPr>
            <w:tcW w:w="666" w:type="dxa"/>
            <w:shd w:val="clear" w:color="auto" w:fill="auto"/>
            <w:noWrap/>
            <w:vAlign w:val="center"/>
          </w:tcPr>
          <w:p w14:paraId="76DF956C"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0.002</w:t>
            </w:r>
          </w:p>
        </w:tc>
        <w:tc>
          <w:tcPr>
            <w:tcW w:w="222" w:type="dxa"/>
            <w:shd w:val="clear" w:color="auto" w:fill="auto"/>
            <w:noWrap/>
            <w:vAlign w:val="center"/>
          </w:tcPr>
          <w:p w14:paraId="7A744199"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shd w:val="clear" w:color="auto" w:fill="auto"/>
            <w:noWrap/>
            <w:vAlign w:val="center"/>
          </w:tcPr>
          <w:p w14:paraId="5905840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-0.180</w:t>
            </w:r>
          </w:p>
        </w:tc>
        <w:tc>
          <w:tcPr>
            <w:tcW w:w="701" w:type="dxa"/>
            <w:shd w:val="clear" w:color="auto" w:fill="auto"/>
            <w:noWrap/>
            <w:vAlign w:val="center"/>
          </w:tcPr>
          <w:p w14:paraId="43A75E68"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0.459</w:t>
            </w:r>
          </w:p>
        </w:tc>
        <w:tc>
          <w:tcPr>
            <w:tcW w:w="666" w:type="dxa"/>
            <w:shd w:val="clear" w:color="auto" w:fill="auto"/>
            <w:noWrap/>
            <w:vAlign w:val="center"/>
          </w:tcPr>
          <w:p w14:paraId="06DD8F68"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0.002</w:t>
            </w:r>
          </w:p>
        </w:tc>
        <w:tc>
          <w:tcPr>
            <w:tcW w:w="236" w:type="dxa"/>
            <w:shd w:val="clear" w:color="auto" w:fill="auto"/>
            <w:noWrap/>
            <w:vAlign w:val="center"/>
          </w:tcPr>
          <w:p w14:paraId="7CD3312A"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840" w:type="dxa"/>
            <w:shd w:val="clear" w:color="auto" w:fill="auto"/>
            <w:noWrap/>
            <w:vAlign w:val="center"/>
          </w:tcPr>
          <w:p w14:paraId="4D1214C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-3.400</w:t>
            </w:r>
          </w:p>
        </w:tc>
        <w:tc>
          <w:tcPr>
            <w:tcW w:w="704" w:type="dxa"/>
            <w:shd w:val="clear" w:color="auto" w:fill="auto"/>
            <w:noWrap/>
            <w:vAlign w:val="center"/>
          </w:tcPr>
          <w:p w14:paraId="49B45F0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0.467</w:t>
            </w:r>
          </w:p>
        </w:tc>
        <w:tc>
          <w:tcPr>
            <w:tcW w:w="667" w:type="dxa"/>
            <w:shd w:val="clear" w:color="auto" w:fill="auto"/>
            <w:noWrap/>
            <w:vAlign w:val="center"/>
          </w:tcPr>
          <w:p w14:paraId="27AE5A9F"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0.018</w:t>
            </w:r>
          </w:p>
        </w:tc>
      </w:tr>
      <w:tr w:rsidR="0045296A" w:rsidRPr="00F732F7" w14:paraId="5A34EE5B" w14:textId="77777777" w:rsidTr="006D5746">
        <w:trPr>
          <w:trHeight w:val="95"/>
        </w:trPr>
        <w:tc>
          <w:tcPr>
            <w:tcW w:w="2504" w:type="dxa"/>
            <w:shd w:val="clear" w:color="auto" w:fill="auto"/>
            <w:vAlign w:val="center"/>
            <w:hideMark/>
          </w:tcPr>
          <w:p w14:paraId="6F81285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813" w:type="dxa"/>
            <w:shd w:val="clear" w:color="auto" w:fill="auto"/>
            <w:noWrap/>
            <w:vAlign w:val="bottom"/>
            <w:hideMark/>
          </w:tcPr>
          <w:p w14:paraId="48F6229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hideMark/>
          </w:tcPr>
          <w:p w14:paraId="25990A17"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hideMark/>
          </w:tcPr>
          <w:p w14:paraId="7B24E00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shd w:val="clear" w:color="auto" w:fill="auto"/>
            <w:noWrap/>
            <w:vAlign w:val="bottom"/>
            <w:hideMark/>
          </w:tcPr>
          <w:p w14:paraId="50B37E47"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tcPr>
          <w:p w14:paraId="11004EE0"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tcPr>
          <w:p w14:paraId="53DE9C20"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tcPr>
          <w:p w14:paraId="1E184CA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shd w:val="clear" w:color="auto" w:fill="auto"/>
            <w:noWrap/>
            <w:vAlign w:val="bottom"/>
            <w:hideMark/>
          </w:tcPr>
          <w:p w14:paraId="25421C2E"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hideMark/>
          </w:tcPr>
          <w:p w14:paraId="743FE54D"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hideMark/>
          </w:tcPr>
          <w:p w14:paraId="524CBDF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hideMark/>
          </w:tcPr>
          <w:p w14:paraId="651FDA3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shd w:val="clear" w:color="auto" w:fill="auto"/>
            <w:noWrap/>
            <w:vAlign w:val="bottom"/>
            <w:hideMark/>
          </w:tcPr>
          <w:p w14:paraId="12040A2A"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hideMark/>
          </w:tcPr>
          <w:p w14:paraId="4006A2FB"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hideMark/>
          </w:tcPr>
          <w:p w14:paraId="59A75A16"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hideMark/>
          </w:tcPr>
          <w:p w14:paraId="0437F535"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shd w:val="clear" w:color="auto" w:fill="auto"/>
            <w:noWrap/>
            <w:vAlign w:val="bottom"/>
            <w:hideMark/>
          </w:tcPr>
          <w:p w14:paraId="71C6A55A"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840" w:type="dxa"/>
            <w:shd w:val="clear" w:color="auto" w:fill="auto"/>
            <w:noWrap/>
            <w:vAlign w:val="bottom"/>
            <w:hideMark/>
          </w:tcPr>
          <w:p w14:paraId="6CC26940"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4" w:type="dxa"/>
            <w:shd w:val="clear" w:color="auto" w:fill="auto"/>
            <w:noWrap/>
            <w:vAlign w:val="bottom"/>
            <w:hideMark/>
          </w:tcPr>
          <w:p w14:paraId="794CAA5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7" w:type="dxa"/>
            <w:shd w:val="clear" w:color="auto" w:fill="auto"/>
            <w:noWrap/>
            <w:vAlign w:val="bottom"/>
            <w:hideMark/>
          </w:tcPr>
          <w:p w14:paraId="0D2EDF30"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r>
      <w:tr w:rsidR="0045296A" w:rsidRPr="004D4FE5" w14:paraId="70A29B9B" w14:textId="77777777" w:rsidTr="006D5746">
        <w:trPr>
          <w:trHeight w:val="315"/>
        </w:trPr>
        <w:tc>
          <w:tcPr>
            <w:tcW w:w="4018" w:type="dxa"/>
            <w:gridSpan w:val="3"/>
            <w:shd w:val="clear" w:color="auto" w:fill="auto"/>
            <w:noWrap/>
            <w:vAlign w:val="bottom"/>
            <w:hideMark/>
          </w:tcPr>
          <w:p w14:paraId="3BA9028F"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Model 4 (Date PET-CT and vest Tª)</w:t>
            </w:r>
          </w:p>
        </w:tc>
        <w:tc>
          <w:tcPr>
            <w:tcW w:w="666" w:type="dxa"/>
            <w:shd w:val="clear" w:color="auto" w:fill="auto"/>
            <w:noWrap/>
            <w:vAlign w:val="bottom"/>
            <w:hideMark/>
          </w:tcPr>
          <w:p w14:paraId="5DD3F83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shd w:val="clear" w:color="auto" w:fill="auto"/>
            <w:noWrap/>
            <w:vAlign w:val="bottom"/>
            <w:hideMark/>
          </w:tcPr>
          <w:p w14:paraId="27E5849C"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tcPr>
          <w:p w14:paraId="2B1D2479"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tcPr>
          <w:p w14:paraId="180CFA9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tcPr>
          <w:p w14:paraId="44F65B61"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shd w:val="clear" w:color="auto" w:fill="auto"/>
            <w:noWrap/>
            <w:vAlign w:val="bottom"/>
            <w:hideMark/>
          </w:tcPr>
          <w:p w14:paraId="3A1C80FD"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hideMark/>
          </w:tcPr>
          <w:p w14:paraId="728D4133"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hideMark/>
          </w:tcPr>
          <w:p w14:paraId="300B32D2"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hideMark/>
          </w:tcPr>
          <w:p w14:paraId="38A96E5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22" w:type="dxa"/>
            <w:shd w:val="clear" w:color="auto" w:fill="auto"/>
            <w:noWrap/>
            <w:vAlign w:val="bottom"/>
            <w:hideMark/>
          </w:tcPr>
          <w:p w14:paraId="56FAE77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99" w:type="dxa"/>
            <w:shd w:val="clear" w:color="auto" w:fill="auto"/>
            <w:noWrap/>
            <w:vAlign w:val="bottom"/>
            <w:hideMark/>
          </w:tcPr>
          <w:p w14:paraId="728E43E6"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1" w:type="dxa"/>
            <w:shd w:val="clear" w:color="auto" w:fill="auto"/>
            <w:noWrap/>
            <w:vAlign w:val="bottom"/>
            <w:hideMark/>
          </w:tcPr>
          <w:p w14:paraId="56CFCAEF"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6" w:type="dxa"/>
            <w:shd w:val="clear" w:color="auto" w:fill="auto"/>
            <w:noWrap/>
            <w:vAlign w:val="bottom"/>
            <w:hideMark/>
          </w:tcPr>
          <w:p w14:paraId="7CA920BE"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236" w:type="dxa"/>
            <w:shd w:val="clear" w:color="auto" w:fill="auto"/>
            <w:noWrap/>
            <w:vAlign w:val="bottom"/>
            <w:hideMark/>
          </w:tcPr>
          <w:p w14:paraId="7F5A04C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840" w:type="dxa"/>
            <w:shd w:val="clear" w:color="auto" w:fill="auto"/>
            <w:noWrap/>
            <w:vAlign w:val="bottom"/>
            <w:hideMark/>
          </w:tcPr>
          <w:p w14:paraId="3B75DB33"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704" w:type="dxa"/>
            <w:shd w:val="clear" w:color="auto" w:fill="auto"/>
            <w:noWrap/>
            <w:vAlign w:val="bottom"/>
            <w:hideMark/>
          </w:tcPr>
          <w:p w14:paraId="3367011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c>
          <w:tcPr>
            <w:tcW w:w="667" w:type="dxa"/>
            <w:shd w:val="clear" w:color="auto" w:fill="auto"/>
            <w:noWrap/>
            <w:vAlign w:val="bottom"/>
            <w:hideMark/>
          </w:tcPr>
          <w:p w14:paraId="11A13608"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p>
        </w:tc>
      </w:tr>
      <w:tr w:rsidR="0045296A" w:rsidRPr="00F732F7" w14:paraId="495849FB" w14:textId="77777777" w:rsidTr="006D5746">
        <w:trPr>
          <w:trHeight w:val="315"/>
        </w:trPr>
        <w:tc>
          <w:tcPr>
            <w:tcW w:w="2504" w:type="dxa"/>
            <w:shd w:val="clear" w:color="auto" w:fill="auto"/>
            <w:vAlign w:val="center"/>
            <w:hideMark/>
          </w:tcPr>
          <w:p w14:paraId="29388D2F"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BAT volume</w:t>
            </w:r>
          </w:p>
        </w:tc>
        <w:tc>
          <w:tcPr>
            <w:tcW w:w="813" w:type="dxa"/>
            <w:shd w:val="clear" w:color="auto" w:fill="auto"/>
            <w:noWrap/>
            <w:vAlign w:val="center"/>
            <w:hideMark/>
          </w:tcPr>
          <w:p w14:paraId="798D11E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-0.006</w:t>
            </w:r>
          </w:p>
        </w:tc>
        <w:tc>
          <w:tcPr>
            <w:tcW w:w="701" w:type="dxa"/>
            <w:shd w:val="clear" w:color="auto" w:fill="auto"/>
            <w:noWrap/>
            <w:vAlign w:val="center"/>
            <w:hideMark/>
          </w:tcPr>
          <w:p w14:paraId="33F5805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0.112</w:t>
            </w:r>
          </w:p>
        </w:tc>
        <w:tc>
          <w:tcPr>
            <w:tcW w:w="666" w:type="dxa"/>
            <w:shd w:val="clear" w:color="auto" w:fill="auto"/>
            <w:noWrap/>
            <w:vAlign w:val="center"/>
            <w:hideMark/>
          </w:tcPr>
          <w:p w14:paraId="6C4A9D3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0.621</w:t>
            </w:r>
          </w:p>
        </w:tc>
        <w:tc>
          <w:tcPr>
            <w:tcW w:w="236" w:type="dxa"/>
            <w:shd w:val="clear" w:color="auto" w:fill="auto"/>
            <w:noWrap/>
            <w:vAlign w:val="center"/>
            <w:hideMark/>
          </w:tcPr>
          <w:p w14:paraId="057F407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tcPr>
          <w:p w14:paraId="7DD919A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0.030</w:t>
            </w:r>
          </w:p>
        </w:tc>
        <w:tc>
          <w:tcPr>
            <w:tcW w:w="701" w:type="dxa"/>
            <w:shd w:val="clear" w:color="auto" w:fill="auto"/>
            <w:noWrap/>
            <w:vAlign w:val="center"/>
          </w:tcPr>
          <w:p w14:paraId="0CB90DC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0.080</w:t>
            </w:r>
          </w:p>
        </w:tc>
        <w:tc>
          <w:tcPr>
            <w:tcW w:w="666" w:type="dxa"/>
            <w:shd w:val="clear" w:color="auto" w:fill="auto"/>
            <w:noWrap/>
            <w:vAlign w:val="center"/>
          </w:tcPr>
          <w:p w14:paraId="32517E0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0.364</w:t>
            </w:r>
          </w:p>
        </w:tc>
        <w:tc>
          <w:tcPr>
            <w:tcW w:w="222" w:type="dxa"/>
            <w:shd w:val="clear" w:color="auto" w:fill="auto"/>
            <w:noWrap/>
            <w:vAlign w:val="center"/>
            <w:hideMark/>
          </w:tcPr>
          <w:p w14:paraId="7B5DA9D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hideMark/>
          </w:tcPr>
          <w:p w14:paraId="534A67C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-0.013</w:t>
            </w:r>
          </w:p>
        </w:tc>
        <w:tc>
          <w:tcPr>
            <w:tcW w:w="701" w:type="dxa"/>
            <w:shd w:val="clear" w:color="auto" w:fill="auto"/>
            <w:noWrap/>
            <w:vAlign w:val="center"/>
            <w:hideMark/>
          </w:tcPr>
          <w:p w14:paraId="687B940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0.161</w:t>
            </w:r>
          </w:p>
        </w:tc>
        <w:tc>
          <w:tcPr>
            <w:tcW w:w="666" w:type="dxa"/>
            <w:shd w:val="clear" w:color="auto" w:fill="auto"/>
            <w:noWrap/>
            <w:vAlign w:val="center"/>
            <w:hideMark/>
          </w:tcPr>
          <w:p w14:paraId="67E9E75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0.568</w:t>
            </w:r>
          </w:p>
        </w:tc>
        <w:tc>
          <w:tcPr>
            <w:tcW w:w="222" w:type="dxa"/>
            <w:shd w:val="clear" w:color="auto" w:fill="auto"/>
            <w:noWrap/>
            <w:vAlign w:val="center"/>
            <w:hideMark/>
          </w:tcPr>
          <w:p w14:paraId="135CF3E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hideMark/>
          </w:tcPr>
          <w:p w14:paraId="7005FC6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-0.010</w:t>
            </w:r>
          </w:p>
        </w:tc>
        <w:tc>
          <w:tcPr>
            <w:tcW w:w="701" w:type="dxa"/>
            <w:shd w:val="clear" w:color="auto" w:fill="auto"/>
            <w:noWrap/>
            <w:vAlign w:val="center"/>
            <w:hideMark/>
          </w:tcPr>
          <w:p w14:paraId="30B19FB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0.095</w:t>
            </w:r>
          </w:p>
        </w:tc>
        <w:tc>
          <w:tcPr>
            <w:tcW w:w="666" w:type="dxa"/>
            <w:shd w:val="clear" w:color="auto" w:fill="auto"/>
            <w:noWrap/>
            <w:vAlign w:val="center"/>
            <w:hideMark/>
          </w:tcPr>
          <w:p w14:paraId="2948F94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0.583</w:t>
            </w:r>
          </w:p>
        </w:tc>
        <w:tc>
          <w:tcPr>
            <w:tcW w:w="236" w:type="dxa"/>
            <w:shd w:val="clear" w:color="auto" w:fill="auto"/>
            <w:noWrap/>
            <w:vAlign w:val="center"/>
            <w:hideMark/>
          </w:tcPr>
          <w:p w14:paraId="6F903C2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840" w:type="dxa"/>
            <w:shd w:val="clear" w:color="auto" w:fill="auto"/>
            <w:noWrap/>
            <w:vAlign w:val="center"/>
            <w:hideMark/>
          </w:tcPr>
          <w:p w14:paraId="0B5FE3A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-0.279</w:t>
            </w:r>
          </w:p>
        </w:tc>
        <w:tc>
          <w:tcPr>
            <w:tcW w:w="704" w:type="dxa"/>
            <w:shd w:val="clear" w:color="auto" w:fill="auto"/>
            <w:noWrap/>
            <w:vAlign w:val="center"/>
            <w:hideMark/>
          </w:tcPr>
          <w:p w14:paraId="78AD6EE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0.172</w:t>
            </w:r>
          </w:p>
        </w:tc>
        <w:tc>
          <w:tcPr>
            <w:tcW w:w="667" w:type="dxa"/>
            <w:shd w:val="clear" w:color="auto" w:fill="auto"/>
            <w:noWrap/>
            <w:vAlign w:val="center"/>
            <w:hideMark/>
          </w:tcPr>
          <w:p w14:paraId="3083BF8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0.562</w:t>
            </w:r>
          </w:p>
        </w:tc>
      </w:tr>
      <w:tr w:rsidR="0045296A" w:rsidRPr="00F732F7" w14:paraId="08B9053D" w14:textId="77777777" w:rsidTr="006D5746">
        <w:trPr>
          <w:trHeight w:val="315"/>
        </w:trPr>
        <w:tc>
          <w:tcPr>
            <w:tcW w:w="2504" w:type="dxa"/>
            <w:shd w:val="clear" w:color="auto" w:fill="auto"/>
            <w:vAlign w:val="center"/>
            <w:hideMark/>
          </w:tcPr>
          <w:p w14:paraId="5B1B0024"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 xml:space="preserve">BAT SUVmean </w:t>
            </w:r>
          </w:p>
        </w:tc>
        <w:tc>
          <w:tcPr>
            <w:tcW w:w="813" w:type="dxa"/>
            <w:shd w:val="clear" w:color="auto" w:fill="auto"/>
            <w:noWrap/>
            <w:vAlign w:val="center"/>
            <w:hideMark/>
          </w:tcPr>
          <w:p w14:paraId="35E15CB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-1.561</w:t>
            </w:r>
          </w:p>
        </w:tc>
        <w:tc>
          <w:tcPr>
            <w:tcW w:w="701" w:type="dxa"/>
            <w:shd w:val="clear" w:color="auto" w:fill="auto"/>
            <w:noWrap/>
            <w:vAlign w:val="center"/>
            <w:hideMark/>
          </w:tcPr>
          <w:p w14:paraId="21AF9B9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0.277</w:t>
            </w:r>
          </w:p>
        </w:tc>
        <w:tc>
          <w:tcPr>
            <w:tcW w:w="666" w:type="dxa"/>
            <w:shd w:val="clear" w:color="auto" w:fill="auto"/>
            <w:noWrap/>
            <w:vAlign w:val="center"/>
            <w:hideMark/>
          </w:tcPr>
          <w:p w14:paraId="68F012DE"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0.004</w:t>
            </w:r>
          </w:p>
        </w:tc>
        <w:tc>
          <w:tcPr>
            <w:tcW w:w="236" w:type="dxa"/>
            <w:shd w:val="clear" w:color="auto" w:fill="auto"/>
            <w:noWrap/>
            <w:vAlign w:val="center"/>
            <w:hideMark/>
          </w:tcPr>
          <w:p w14:paraId="5D10BEE4"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shd w:val="clear" w:color="auto" w:fill="auto"/>
            <w:noWrap/>
            <w:vAlign w:val="center"/>
          </w:tcPr>
          <w:p w14:paraId="66780E6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-2.223</w:t>
            </w:r>
          </w:p>
        </w:tc>
        <w:tc>
          <w:tcPr>
            <w:tcW w:w="701" w:type="dxa"/>
            <w:shd w:val="clear" w:color="auto" w:fill="auto"/>
            <w:noWrap/>
            <w:vAlign w:val="center"/>
          </w:tcPr>
          <w:p w14:paraId="26CDCD5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0.109</w:t>
            </w:r>
          </w:p>
        </w:tc>
        <w:tc>
          <w:tcPr>
            <w:tcW w:w="666" w:type="dxa"/>
            <w:shd w:val="clear" w:color="auto" w:fill="auto"/>
            <w:noWrap/>
            <w:vAlign w:val="center"/>
          </w:tcPr>
          <w:p w14:paraId="404ADAAB"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0.149</w:t>
            </w:r>
          </w:p>
        </w:tc>
        <w:tc>
          <w:tcPr>
            <w:tcW w:w="222" w:type="dxa"/>
            <w:shd w:val="clear" w:color="auto" w:fill="auto"/>
            <w:noWrap/>
            <w:vAlign w:val="center"/>
            <w:hideMark/>
          </w:tcPr>
          <w:p w14:paraId="12B3B31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hideMark/>
          </w:tcPr>
          <w:p w14:paraId="12E9E1C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-2.586</w:t>
            </w:r>
          </w:p>
        </w:tc>
        <w:tc>
          <w:tcPr>
            <w:tcW w:w="701" w:type="dxa"/>
            <w:shd w:val="clear" w:color="auto" w:fill="auto"/>
            <w:noWrap/>
            <w:vAlign w:val="center"/>
            <w:hideMark/>
          </w:tcPr>
          <w:p w14:paraId="31867AA3"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0.280</w:t>
            </w:r>
          </w:p>
        </w:tc>
        <w:tc>
          <w:tcPr>
            <w:tcW w:w="666" w:type="dxa"/>
            <w:shd w:val="clear" w:color="auto" w:fill="auto"/>
            <w:noWrap/>
            <w:vAlign w:val="center"/>
            <w:hideMark/>
          </w:tcPr>
          <w:p w14:paraId="0F1B8AAC"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0.012</w:t>
            </w:r>
          </w:p>
        </w:tc>
        <w:tc>
          <w:tcPr>
            <w:tcW w:w="222" w:type="dxa"/>
            <w:shd w:val="clear" w:color="auto" w:fill="auto"/>
            <w:noWrap/>
            <w:vAlign w:val="center"/>
            <w:hideMark/>
          </w:tcPr>
          <w:p w14:paraId="2EA39897"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shd w:val="clear" w:color="auto" w:fill="auto"/>
            <w:noWrap/>
            <w:vAlign w:val="center"/>
            <w:hideMark/>
          </w:tcPr>
          <w:p w14:paraId="5521A3D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-1.871</w:t>
            </w:r>
          </w:p>
        </w:tc>
        <w:tc>
          <w:tcPr>
            <w:tcW w:w="701" w:type="dxa"/>
            <w:shd w:val="clear" w:color="auto" w:fill="auto"/>
            <w:noWrap/>
            <w:vAlign w:val="center"/>
            <w:hideMark/>
          </w:tcPr>
          <w:p w14:paraId="069801F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0.193</w:t>
            </w:r>
          </w:p>
        </w:tc>
        <w:tc>
          <w:tcPr>
            <w:tcW w:w="666" w:type="dxa"/>
            <w:shd w:val="clear" w:color="auto" w:fill="auto"/>
            <w:noWrap/>
            <w:vAlign w:val="center"/>
            <w:hideMark/>
          </w:tcPr>
          <w:p w14:paraId="108F5E49"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0.028</w:t>
            </w:r>
          </w:p>
        </w:tc>
        <w:tc>
          <w:tcPr>
            <w:tcW w:w="236" w:type="dxa"/>
            <w:shd w:val="clear" w:color="auto" w:fill="auto"/>
            <w:noWrap/>
            <w:vAlign w:val="center"/>
            <w:hideMark/>
          </w:tcPr>
          <w:p w14:paraId="6720C0ED"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840" w:type="dxa"/>
            <w:shd w:val="clear" w:color="auto" w:fill="auto"/>
            <w:noWrap/>
            <w:vAlign w:val="center"/>
            <w:hideMark/>
          </w:tcPr>
          <w:p w14:paraId="6E963CF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-72.890</w:t>
            </w:r>
          </w:p>
        </w:tc>
        <w:tc>
          <w:tcPr>
            <w:tcW w:w="704" w:type="dxa"/>
            <w:shd w:val="clear" w:color="auto" w:fill="auto"/>
            <w:noWrap/>
            <w:vAlign w:val="center"/>
            <w:hideMark/>
          </w:tcPr>
          <w:p w14:paraId="14AD5C52"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0.383</w:t>
            </w:r>
          </w:p>
        </w:tc>
        <w:tc>
          <w:tcPr>
            <w:tcW w:w="667" w:type="dxa"/>
            <w:shd w:val="clear" w:color="auto" w:fill="auto"/>
            <w:noWrap/>
            <w:vAlign w:val="center"/>
            <w:hideMark/>
          </w:tcPr>
          <w:p w14:paraId="59BB7D0B"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0.001</w:t>
            </w:r>
          </w:p>
        </w:tc>
      </w:tr>
      <w:tr w:rsidR="0045296A" w:rsidRPr="00F732F7" w14:paraId="2A83A855" w14:textId="77777777" w:rsidTr="006D5746">
        <w:trPr>
          <w:trHeight w:val="315"/>
        </w:trPr>
        <w:tc>
          <w:tcPr>
            <w:tcW w:w="2504" w:type="dxa"/>
            <w:shd w:val="clear" w:color="auto" w:fill="auto"/>
            <w:vAlign w:val="center"/>
            <w:hideMark/>
          </w:tcPr>
          <w:p w14:paraId="3D0A9A66"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 xml:space="preserve">BAT SUVpeak </w:t>
            </w:r>
          </w:p>
        </w:tc>
        <w:tc>
          <w:tcPr>
            <w:tcW w:w="813" w:type="dxa"/>
            <w:shd w:val="clear" w:color="auto" w:fill="auto"/>
            <w:noWrap/>
            <w:vAlign w:val="center"/>
            <w:hideMark/>
          </w:tcPr>
          <w:p w14:paraId="5AD21F7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-0.279</w:t>
            </w:r>
          </w:p>
        </w:tc>
        <w:tc>
          <w:tcPr>
            <w:tcW w:w="701" w:type="dxa"/>
            <w:shd w:val="clear" w:color="auto" w:fill="auto"/>
            <w:noWrap/>
            <w:vAlign w:val="center"/>
            <w:hideMark/>
          </w:tcPr>
          <w:p w14:paraId="4A0DB4A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0.210</w:t>
            </w:r>
          </w:p>
        </w:tc>
        <w:tc>
          <w:tcPr>
            <w:tcW w:w="666" w:type="dxa"/>
            <w:shd w:val="clear" w:color="auto" w:fill="auto"/>
            <w:noWrap/>
            <w:vAlign w:val="center"/>
            <w:hideMark/>
          </w:tcPr>
          <w:p w14:paraId="0AD75843"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0.028</w:t>
            </w:r>
          </w:p>
        </w:tc>
        <w:tc>
          <w:tcPr>
            <w:tcW w:w="236" w:type="dxa"/>
            <w:shd w:val="clear" w:color="auto" w:fill="auto"/>
            <w:noWrap/>
            <w:vAlign w:val="center"/>
            <w:hideMark/>
          </w:tcPr>
          <w:p w14:paraId="0261B8AB"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shd w:val="clear" w:color="auto" w:fill="auto"/>
            <w:noWrap/>
            <w:vAlign w:val="center"/>
          </w:tcPr>
          <w:p w14:paraId="79F61FA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-0.333</w:t>
            </w:r>
          </w:p>
        </w:tc>
        <w:tc>
          <w:tcPr>
            <w:tcW w:w="701" w:type="dxa"/>
            <w:shd w:val="clear" w:color="auto" w:fill="auto"/>
            <w:noWrap/>
            <w:vAlign w:val="center"/>
          </w:tcPr>
          <w:p w14:paraId="722A52D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0.081</w:t>
            </w:r>
          </w:p>
        </w:tc>
        <w:tc>
          <w:tcPr>
            <w:tcW w:w="666" w:type="dxa"/>
            <w:shd w:val="clear" w:color="auto" w:fill="auto"/>
            <w:noWrap/>
            <w:vAlign w:val="center"/>
          </w:tcPr>
          <w:p w14:paraId="5CB80F6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0.353</w:t>
            </w:r>
          </w:p>
        </w:tc>
        <w:tc>
          <w:tcPr>
            <w:tcW w:w="222" w:type="dxa"/>
            <w:shd w:val="clear" w:color="auto" w:fill="auto"/>
            <w:noWrap/>
            <w:vAlign w:val="center"/>
            <w:hideMark/>
          </w:tcPr>
          <w:p w14:paraId="1C3345B9"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hideMark/>
          </w:tcPr>
          <w:p w14:paraId="76068E3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-0.411</w:t>
            </w:r>
          </w:p>
        </w:tc>
        <w:tc>
          <w:tcPr>
            <w:tcW w:w="701" w:type="dxa"/>
            <w:shd w:val="clear" w:color="auto" w:fill="auto"/>
            <w:noWrap/>
            <w:vAlign w:val="center"/>
            <w:hideMark/>
          </w:tcPr>
          <w:p w14:paraId="748BB7A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0.214</w:t>
            </w:r>
          </w:p>
        </w:tc>
        <w:tc>
          <w:tcPr>
            <w:tcW w:w="666" w:type="dxa"/>
            <w:shd w:val="clear" w:color="auto" w:fill="auto"/>
            <w:noWrap/>
            <w:vAlign w:val="center"/>
            <w:hideMark/>
          </w:tcPr>
          <w:p w14:paraId="2F11D83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0.087</w:t>
            </w:r>
          </w:p>
        </w:tc>
        <w:tc>
          <w:tcPr>
            <w:tcW w:w="222" w:type="dxa"/>
            <w:shd w:val="clear" w:color="auto" w:fill="auto"/>
            <w:noWrap/>
            <w:vAlign w:val="center"/>
            <w:hideMark/>
          </w:tcPr>
          <w:p w14:paraId="5A9F84C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hideMark/>
          </w:tcPr>
          <w:p w14:paraId="34B589E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-0.297</w:t>
            </w:r>
          </w:p>
        </w:tc>
        <w:tc>
          <w:tcPr>
            <w:tcW w:w="701" w:type="dxa"/>
            <w:shd w:val="clear" w:color="auto" w:fill="auto"/>
            <w:noWrap/>
            <w:vAlign w:val="center"/>
            <w:hideMark/>
          </w:tcPr>
          <w:p w14:paraId="3377506F"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0.138</w:t>
            </w:r>
          </w:p>
        </w:tc>
        <w:tc>
          <w:tcPr>
            <w:tcW w:w="666" w:type="dxa"/>
            <w:shd w:val="clear" w:color="auto" w:fill="auto"/>
            <w:noWrap/>
            <w:vAlign w:val="center"/>
            <w:hideMark/>
          </w:tcPr>
          <w:p w14:paraId="0355880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0.136</w:t>
            </w:r>
          </w:p>
        </w:tc>
        <w:tc>
          <w:tcPr>
            <w:tcW w:w="236" w:type="dxa"/>
            <w:shd w:val="clear" w:color="auto" w:fill="auto"/>
            <w:noWrap/>
            <w:vAlign w:val="center"/>
            <w:hideMark/>
          </w:tcPr>
          <w:p w14:paraId="0350E00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840" w:type="dxa"/>
            <w:shd w:val="clear" w:color="auto" w:fill="auto"/>
            <w:noWrap/>
            <w:vAlign w:val="center"/>
            <w:hideMark/>
          </w:tcPr>
          <w:p w14:paraId="50AFDBD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-13.231</w:t>
            </w:r>
          </w:p>
        </w:tc>
        <w:tc>
          <w:tcPr>
            <w:tcW w:w="704" w:type="dxa"/>
            <w:shd w:val="clear" w:color="auto" w:fill="auto"/>
            <w:noWrap/>
            <w:vAlign w:val="center"/>
            <w:hideMark/>
          </w:tcPr>
          <w:p w14:paraId="05928D4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0.301</w:t>
            </w:r>
          </w:p>
        </w:tc>
        <w:tc>
          <w:tcPr>
            <w:tcW w:w="667" w:type="dxa"/>
            <w:shd w:val="clear" w:color="auto" w:fill="auto"/>
            <w:noWrap/>
            <w:vAlign w:val="center"/>
            <w:hideMark/>
          </w:tcPr>
          <w:p w14:paraId="624274B1"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0.008</w:t>
            </w:r>
          </w:p>
        </w:tc>
      </w:tr>
      <w:tr w:rsidR="0045296A" w:rsidRPr="00F732F7" w14:paraId="27BBBEA5" w14:textId="77777777" w:rsidTr="006D5746">
        <w:trPr>
          <w:trHeight w:val="315"/>
        </w:trPr>
        <w:tc>
          <w:tcPr>
            <w:tcW w:w="2504" w:type="dxa"/>
            <w:shd w:val="clear" w:color="auto" w:fill="auto"/>
            <w:vAlign w:val="center"/>
            <w:hideMark/>
          </w:tcPr>
          <w:p w14:paraId="17DD8C4A" w14:textId="77777777" w:rsidR="0045296A" w:rsidRPr="00C24FCF" w:rsidRDefault="0045296A" w:rsidP="006D5746">
            <w:pPr>
              <w:spacing w:after="0" w:line="240" w:lineRule="auto"/>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BAT radiodensity (HU)</w:t>
            </w:r>
          </w:p>
        </w:tc>
        <w:tc>
          <w:tcPr>
            <w:tcW w:w="813" w:type="dxa"/>
            <w:shd w:val="clear" w:color="auto" w:fill="auto"/>
            <w:noWrap/>
            <w:vAlign w:val="center"/>
          </w:tcPr>
          <w:p w14:paraId="295BAA55"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-0.163</w:t>
            </w:r>
          </w:p>
        </w:tc>
        <w:tc>
          <w:tcPr>
            <w:tcW w:w="701" w:type="dxa"/>
            <w:shd w:val="clear" w:color="auto" w:fill="auto"/>
            <w:noWrap/>
            <w:vAlign w:val="center"/>
          </w:tcPr>
          <w:p w14:paraId="3CA2423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0.285</w:t>
            </w:r>
          </w:p>
        </w:tc>
        <w:tc>
          <w:tcPr>
            <w:tcW w:w="666" w:type="dxa"/>
            <w:shd w:val="clear" w:color="auto" w:fill="auto"/>
            <w:noWrap/>
            <w:vAlign w:val="center"/>
          </w:tcPr>
          <w:p w14:paraId="37D40350"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0.005</w:t>
            </w:r>
          </w:p>
        </w:tc>
        <w:tc>
          <w:tcPr>
            <w:tcW w:w="236" w:type="dxa"/>
            <w:shd w:val="clear" w:color="auto" w:fill="auto"/>
            <w:noWrap/>
            <w:vAlign w:val="center"/>
          </w:tcPr>
          <w:p w14:paraId="5B8FF624"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shd w:val="clear" w:color="auto" w:fill="auto"/>
            <w:noWrap/>
            <w:vAlign w:val="center"/>
          </w:tcPr>
          <w:p w14:paraId="3CE2BA5D"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-0.290</w:t>
            </w:r>
          </w:p>
        </w:tc>
        <w:tc>
          <w:tcPr>
            <w:tcW w:w="701" w:type="dxa"/>
            <w:shd w:val="clear" w:color="auto" w:fill="auto"/>
            <w:noWrap/>
            <w:vAlign w:val="center"/>
          </w:tcPr>
          <w:p w14:paraId="61146237"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0.136</w:t>
            </w:r>
          </w:p>
        </w:tc>
        <w:tc>
          <w:tcPr>
            <w:tcW w:w="666" w:type="dxa"/>
            <w:shd w:val="clear" w:color="auto" w:fill="auto"/>
            <w:noWrap/>
            <w:vAlign w:val="center"/>
          </w:tcPr>
          <w:p w14:paraId="6608CF6A"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0.104</w:t>
            </w:r>
          </w:p>
        </w:tc>
        <w:tc>
          <w:tcPr>
            <w:tcW w:w="222" w:type="dxa"/>
            <w:shd w:val="clear" w:color="auto" w:fill="auto"/>
            <w:noWrap/>
            <w:vAlign w:val="center"/>
          </w:tcPr>
          <w:p w14:paraId="7B0A03E0"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p>
        </w:tc>
        <w:tc>
          <w:tcPr>
            <w:tcW w:w="799" w:type="dxa"/>
            <w:shd w:val="clear" w:color="auto" w:fill="auto"/>
            <w:noWrap/>
            <w:vAlign w:val="center"/>
          </w:tcPr>
          <w:p w14:paraId="4A43979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-0.297</w:t>
            </w:r>
          </w:p>
        </w:tc>
        <w:tc>
          <w:tcPr>
            <w:tcW w:w="701" w:type="dxa"/>
            <w:shd w:val="clear" w:color="auto" w:fill="auto"/>
            <w:noWrap/>
            <w:vAlign w:val="center"/>
          </w:tcPr>
          <w:p w14:paraId="1E1A84CC"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0.305</w:t>
            </w:r>
          </w:p>
        </w:tc>
        <w:tc>
          <w:tcPr>
            <w:tcW w:w="666" w:type="dxa"/>
            <w:shd w:val="clear" w:color="auto" w:fill="auto"/>
            <w:noWrap/>
            <w:vAlign w:val="center"/>
          </w:tcPr>
          <w:p w14:paraId="7A6547E5"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0.010</w:t>
            </w:r>
          </w:p>
        </w:tc>
        <w:tc>
          <w:tcPr>
            <w:tcW w:w="222" w:type="dxa"/>
            <w:shd w:val="clear" w:color="auto" w:fill="auto"/>
            <w:noWrap/>
            <w:vAlign w:val="center"/>
          </w:tcPr>
          <w:p w14:paraId="1A840877"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799" w:type="dxa"/>
            <w:shd w:val="clear" w:color="auto" w:fill="auto"/>
            <w:noWrap/>
            <w:vAlign w:val="center"/>
          </w:tcPr>
          <w:p w14:paraId="564582D6"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-0.250</w:t>
            </w:r>
          </w:p>
        </w:tc>
        <w:tc>
          <w:tcPr>
            <w:tcW w:w="701" w:type="dxa"/>
            <w:shd w:val="clear" w:color="auto" w:fill="auto"/>
            <w:noWrap/>
            <w:vAlign w:val="center"/>
          </w:tcPr>
          <w:p w14:paraId="43B94221"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0.257</w:t>
            </w:r>
          </w:p>
        </w:tc>
        <w:tc>
          <w:tcPr>
            <w:tcW w:w="666" w:type="dxa"/>
            <w:shd w:val="clear" w:color="auto" w:fill="auto"/>
            <w:noWrap/>
            <w:vAlign w:val="center"/>
          </w:tcPr>
          <w:p w14:paraId="352AC587"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0.007</w:t>
            </w:r>
          </w:p>
        </w:tc>
        <w:tc>
          <w:tcPr>
            <w:tcW w:w="236" w:type="dxa"/>
            <w:shd w:val="clear" w:color="auto" w:fill="auto"/>
            <w:noWrap/>
            <w:vAlign w:val="center"/>
          </w:tcPr>
          <w:p w14:paraId="44E8A834"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p>
        </w:tc>
        <w:tc>
          <w:tcPr>
            <w:tcW w:w="840" w:type="dxa"/>
            <w:shd w:val="clear" w:color="auto" w:fill="auto"/>
            <w:noWrap/>
            <w:vAlign w:val="center"/>
          </w:tcPr>
          <w:p w14:paraId="2C89BCC4"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-5.313</w:t>
            </w:r>
          </w:p>
        </w:tc>
        <w:tc>
          <w:tcPr>
            <w:tcW w:w="704" w:type="dxa"/>
            <w:shd w:val="clear" w:color="auto" w:fill="auto"/>
            <w:noWrap/>
            <w:vAlign w:val="center"/>
          </w:tcPr>
          <w:p w14:paraId="3B1B77EE" w14:textId="77777777" w:rsidR="0045296A" w:rsidRPr="00C24FCF" w:rsidRDefault="0045296A" w:rsidP="006D5746">
            <w:pPr>
              <w:spacing w:after="0" w:line="240" w:lineRule="auto"/>
              <w:jc w:val="center"/>
              <w:rPr>
                <w:rFonts w:ascii="Times New Roman" w:eastAsia="Times New Roman" w:hAnsi="Times New Roman" w:cs="Times New Roman"/>
                <w:sz w:val="20"/>
                <w:szCs w:val="20"/>
                <w:lang w:val="en-US"/>
              </w:rPr>
            </w:pPr>
            <w:r w:rsidRPr="00C24FCF">
              <w:rPr>
                <w:rFonts w:ascii="Times New Roman" w:eastAsia="Times New Roman" w:hAnsi="Times New Roman" w:cs="Times New Roman"/>
                <w:sz w:val="20"/>
                <w:szCs w:val="20"/>
                <w:lang w:val="en-US"/>
              </w:rPr>
              <w:t>0.340</w:t>
            </w:r>
          </w:p>
        </w:tc>
        <w:tc>
          <w:tcPr>
            <w:tcW w:w="667" w:type="dxa"/>
            <w:shd w:val="clear" w:color="auto" w:fill="auto"/>
            <w:noWrap/>
            <w:vAlign w:val="center"/>
          </w:tcPr>
          <w:p w14:paraId="27D4BF4D" w14:textId="77777777" w:rsidR="0045296A" w:rsidRPr="00C24FCF" w:rsidRDefault="0045296A" w:rsidP="006D5746">
            <w:pPr>
              <w:spacing w:after="0" w:line="240" w:lineRule="auto"/>
              <w:jc w:val="center"/>
              <w:rPr>
                <w:rFonts w:ascii="Times New Roman" w:eastAsia="Times New Roman" w:hAnsi="Times New Roman" w:cs="Times New Roman"/>
                <w:b/>
                <w:bCs/>
                <w:sz w:val="20"/>
                <w:szCs w:val="20"/>
                <w:lang w:val="en-US"/>
              </w:rPr>
            </w:pPr>
            <w:r w:rsidRPr="00C24FCF">
              <w:rPr>
                <w:rFonts w:ascii="Times New Roman" w:eastAsia="Times New Roman" w:hAnsi="Times New Roman" w:cs="Times New Roman"/>
                <w:b/>
                <w:bCs/>
                <w:sz w:val="20"/>
                <w:szCs w:val="20"/>
                <w:lang w:val="en-US"/>
              </w:rPr>
              <w:t>0.016</w:t>
            </w:r>
          </w:p>
        </w:tc>
      </w:tr>
    </w:tbl>
    <w:p w14:paraId="0B3AC840" w14:textId="7620FE9D" w:rsidR="00802C93" w:rsidRDefault="00802C93" w:rsidP="00802C93">
      <w:pPr>
        <w:spacing w:line="240" w:lineRule="auto"/>
        <w:jc w:val="both"/>
        <w:rPr>
          <w:rFonts w:ascii="Times New Roman" w:hAnsi="Times New Roman" w:cs="Times New Roman"/>
          <w:sz w:val="22"/>
          <w:szCs w:val="24"/>
          <w:lang w:val="en-US"/>
        </w:rPr>
        <w:sectPr w:rsidR="00802C93" w:rsidSect="00802C93">
          <w:pgSz w:w="16838" w:h="11906" w:orient="landscape"/>
          <w:pgMar w:top="1701" w:right="1417" w:bottom="993" w:left="1417" w:header="708" w:footer="708" w:gutter="0"/>
          <w:cols w:space="708"/>
          <w:docGrid w:linePitch="360"/>
        </w:sectPr>
      </w:pPr>
      <w:r w:rsidRPr="00D82583">
        <w:rPr>
          <w:rFonts w:ascii="Times New Roman" w:hAnsi="Times New Roman" w:cs="Times New Roman"/>
          <w:sz w:val="22"/>
          <w:szCs w:val="24"/>
          <w:lang w:val="en-US"/>
        </w:rPr>
        <w:t>Unstandardized β, R</w:t>
      </w:r>
      <w:r w:rsidRPr="00D82583">
        <w:rPr>
          <w:rFonts w:ascii="Times New Roman" w:hAnsi="Times New Roman" w:cs="Times New Roman"/>
          <w:sz w:val="22"/>
          <w:szCs w:val="24"/>
          <w:vertAlign w:val="superscript"/>
          <w:lang w:val="en-US"/>
        </w:rPr>
        <w:t>2</w:t>
      </w:r>
      <w:r w:rsidRPr="00D82583">
        <w:rPr>
          <w:rFonts w:ascii="Times New Roman" w:hAnsi="Times New Roman" w:cs="Times New Roman"/>
          <w:sz w:val="22"/>
          <w:szCs w:val="24"/>
          <w:lang w:val="en-US"/>
        </w:rPr>
        <w:t xml:space="preserve">, and P from multiple linear regressions. Model 1: Adjusted by date when BAT assessment was performed. Model 2: Model 1 and </w:t>
      </w:r>
      <w:r>
        <w:rPr>
          <w:rFonts w:ascii="Times New Roman" w:hAnsi="Times New Roman" w:cs="Times New Roman"/>
          <w:sz w:val="22"/>
          <w:szCs w:val="24"/>
          <w:lang w:val="en-US"/>
        </w:rPr>
        <w:t xml:space="preserve">the </w:t>
      </w:r>
      <w:r w:rsidRPr="00D82583">
        <w:rPr>
          <w:rFonts w:ascii="Times New Roman" w:hAnsi="Times New Roman" w:cs="Times New Roman"/>
          <w:sz w:val="22"/>
          <w:szCs w:val="24"/>
          <w:lang w:val="en-US"/>
        </w:rPr>
        <w:t>homeostasis model assessment</w:t>
      </w:r>
      <w:r>
        <w:rPr>
          <w:rFonts w:ascii="Times New Roman" w:hAnsi="Times New Roman" w:cs="Times New Roman"/>
          <w:sz w:val="22"/>
          <w:szCs w:val="24"/>
          <w:lang w:val="en-US"/>
        </w:rPr>
        <w:t xml:space="preserve"> of insulin resistance (HOMA-IR)</w:t>
      </w:r>
      <w:r w:rsidRPr="00D82583">
        <w:rPr>
          <w:rFonts w:ascii="Times New Roman" w:hAnsi="Times New Roman" w:cs="Times New Roman"/>
          <w:sz w:val="22"/>
          <w:szCs w:val="24"/>
          <w:lang w:val="en-US"/>
        </w:rPr>
        <w:t xml:space="preserve">. Model 3: Model 2 and </w:t>
      </w:r>
      <w:r>
        <w:rPr>
          <w:rFonts w:ascii="Times New Roman" w:hAnsi="Times New Roman" w:cs="Times New Roman"/>
          <w:sz w:val="22"/>
          <w:szCs w:val="24"/>
          <w:lang w:val="en-US"/>
        </w:rPr>
        <w:t xml:space="preserve">body surface area (BSA); Model 4: </w:t>
      </w:r>
      <w:r w:rsidRPr="00D82583">
        <w:rPr>
          <w:rFonts w:ascii="Times New Roman" w:hAnsi="Times New Roman" w:cs="Times New Roman"/>
          <w:sz w:val="22"/>
          <w:szCs w:val="24"/>
          <w:lang w:val="en-US"/>
        </w:rPr>
        <w:t xml:space="preserve">Model 2 and </w:t>
      </w:r>
      <w:r>
        <w:rPr>
          <w:rFonts w:ascii="Times New Roman" w:hAnsi="Times New Roman" w:cs="Times New Roman"/>
          <w:sz w:val="22"/>
          <w:szCs w:val="24"/>
          <w:lang w:val="en-US"/>
        </w:rPr>
        <w:t>the water temperature at the cooling vest prior to the PET-CT.</w:t>
      </w:r>
      <w:r w:rsidRPr="00D82583">
        <w:rPr>
          <w:rFonts w:ascii="Times New Roman" w:hAnsi="Times New Roman" w:cs="Times New Roman"/>
          <w:sz w:val="22"/>
          <w:szCs w:val="24"/>
          <w:lang w:val="en-US"/>
        </w:rPr>
        <w:t xml:space="preserve"> BMI: Body mass index; </w:t>
      </w:r>
      <w:r w:rsidR="00CB0738">
        <w:rPr>
          <w:rFonts w:ascii="Times New Roman" w:hAnsi="Times New Roman" w:cs="Times New Roman"/>
          <w:sz w:val="24"/>
          <w:szCs w:val="24"/>
          <w:lang w:val="en-US"/>
        </w:rPr>
        <w:t xml:space="preserve">HU: Hounsfield units; </w:t>
      </w:r>
      <w:r w:rsidRPr="00D82583">
        <w:rPr>
          <w:rFonts w:ascii="Times New Roman" w:hAnsi="Times New Roman" w:cs="Times New Roman"/>
          <w:sz w:val="22"/>
          <w:szCs w:val="24"/>
          <w:lang w:val="en-US"/>
        </w:rPr>
        <w:t>SUV: Standardized uptake value; VAT: Visceral adipose tissue.</w:t>
      </w:r>
    </w:p>
    <w:p w14:paraId="093E750F" w14:textId="3E0D3D90" w:rsidR="003B6975" w:rsidRPr="003B6975" w:rsidRDefault="003B6975" w:rsidP="00397714">
      <w:pPr>
        <w:spacing w:line="240" w:lineRule="auto"/>
        <w:contextualSpacing/>
        <w:jc w:val="both"/>
        <w:rPr>
          <w:rFonts w:ascii="Times New Roman" w:hAnsi="Times New Roman" w:cs="Times New Roman"/>
          <w:b/>
          <w:bCs/>
          <w:sz w:val="24"/>
          <w:szCs w:val="24"/>
          <w:lang w:val="en-US"/>
        </w:rPr>
      </w:pPr>
      <w:r w:rsidRPr="003B6975">
        <w:rPr>
          <w:rFonts w:ascii="Times New Roman" w:hAnsi="Times New Roman" w:cs="Times New Roman"/>
          <w:b/>
          <w:bCs/>
          <w:sz w:val="24"/>
          <w:szCs w:val="24"/>
          <w:lang w:val="en-US"/>
        </w:rPr>
        <w:lastRenderedPageBreak/>
        <w:t>FIGURE</w:t>
      </w:r>
      <w:r w:rsidR="00397714">
        <w:rPr>
          <w:rFonts w:ascii="Times New Roman" w:hAnsi="Times New Roman" w:cs="Times New Roman"/>
          <w:b/>
          <w:bCs/>
          <w:sz w:val="24"/>
          <w:szCs w:val="24"/>
          <w:lang w:val="en-US"/>
        </w:rPr>
        <w:t xml:space="preserve"> LEGENDS</w:t>
      </w:r>
    </w:p>
    <w:p w14:paraId="2389EE37" w14:textId="63936D9C" w:rsidR="00802C93" w:rsidRDefault="00802C93" w:rsidP="00397714">
      <w:pPr>
        <w:spacing w:line="240" w:lineRule="auto"/>
        <w:contextualSpacing/>
        <w:jc w:val="both"/>
        <w:rPr>
          <w:rFonts w:ascii="Times New Roman" w:hAnsi="Times New Roman" w:cs="Times New Roman"/>
          <w:sz w:val="24"/>
          <w:szCs w:val="24"/>
          <w:lang w:val="en-US"/>
        </w:rPr>
      </w:pPr>
    </w:p>
    <w:p w14:paraId="7D847A2F" w14:textId="496AB742" w:rsidR="00802C93" w:rsidRPr="001417BE" w:rsidRDefault="00802C93" w:rsidP="00297B42">
      <w:pPr>
        <w:spacing w:line="480" w:lineRule="auto"/>
        <w:jc w:val="both"/>
        <w:rPr>
          <w:rFonts w:ascii="Times New Roman" w:hAnsi="Times New Roman" w:cs="Times New Roman"/>
          <w:sz w:val="24"/>
          <w:szCs w:val="24"/>
          <w:lang w:val="en-US"/>
        </w:rPr>
      </w:pPr>
      <w:r w:rsidRPr="001417BE">
        <w:rPr>
          <w:rFonts w:ascii="Times New Roman" w:hAnsi="Times New Roman" w:cs="Times New Roman"/>
          <w:b/>
          <w:sz w:val="24"/>
          <w:szCs w:val="24"/>
          <w:lang w:val="en-US"/>
        </w:rPr>
        <w:t xml:space="preserve">Figure 1. </w:t>
      </w:r>
      <w:r w:rsidRPr="001417BE">
        <w:rPr>
          <w:rFonts w:ascii="Times New Roman" w:hAnsi="Times New Roman" w:cs="Times New Roman"/>
          <w:sz w:val="24"/>
          <w:szCs w:val="24"/>
          <w:lang w:val="en-US"/>
        </w:rPr>
        <w:t xml:space="preserve">Associations between brown adipose tissue (BAT) volume and </w:t>
      </w:r>
      <w:r w:rsidR="001F1399">
        <w:rPr>
          <w:rFonts w:ascii="Times New Roman" w:hAnsi="Times New Roman" w:cs="Times New Roman"/>
          <w:sz w:val="24"/>
          <w:szCs w:val="24"/>
          <w:lang w:val="en-US"/>
        </w:rPr>
        <w:t>whole-</w:t>
      </w:r>
      <w:r w:rsidRPr="001417BE">
        <w:rPr>
          <w:rFonts w:ascii="Times New Roman" w:hAnsi="Times New Roman" w:cs="Times New Roman"/>
          <w:sz w:val="24"/>
          <w:szCs w:val="24"/>
          <w:lang w:val="en-US"/>
        </w:rPr>
        <w:t xml:space="preserve">body </w:t>
      </w:r>
      <w:r w:rsidR="001F1399">
        <w:rPr>
          <w:rFonts w:ascii="Times New Roman" w:hAnsi="Times New Roman" w:cs="Times New Roman"/>
          <w:sz w:val="24"/>
          <w:szCs w:val="24"/>
          <w:lang w:val="en-US"/>
        </w:rPr>
        <w:t>adiposity</w:t>
      </w:r>
      <w:r w:rsidRPr="001417BE">
        <w:rPr>
          <w:rFonts w:ascii="Times New Roman" w:hAnsi="Times New Roman" w:cs="Times New Roman"/>
          <w:sz w:val="24"/>
          <w:szCs w:val="24"/>
          <w:lang w:val="en-US"/>
        </w:rPr>
        <w:t xml:space="preserve">. β </w:t>
      </w:r>
      <w:r>
        <w:rPr>
          <w:rFonts w:ascii="Times New Roman" w:hAnsi="Times New Roman" w:cs="Times New Roman"/>
          <w:sz w:val="24"/>
          <w:szCs w:val="24"/>
          <w:lang w:val="en-US"/>
        </w:rPr>
        <w:t>= u</w:t>
      </w:r>
      <w:r w:rsidRPr="001417BE">
        <w:rPr>
          <w:rFonts w:ascii="Times New Roman" w:hAnsi="Times New Roman" w:cs="Times New Roman"/>
          <w:sz w:val="24"/>
          <w:szCs w:val="24"/>
          <w:lang w:val="en-US"/>
        </w:rPr>
        <w:t>nstandardized simple regression coefficient</w:t>
      </w:r>
      <w:r>
        <w:rPr>
          <w:rFonts w:ascii="Times New Roman" w:hAnsi="Times New Roman" w:cs="Times New Roman"/>
          <w:sz w:val="24"/>
          <w:szCs w:val="24"/>
          <w:lang w:val="en-US"/>
        </w:rPr>
        <w:t>;</w:t>
      </w:r>
      <w:r w:rsidRPr="001417BE">
        <w:rPr>
          <w:rFonts w:ascii="Times New Roman" w:hAnsi="Times New Roman" w:cs="Times New Roman"/>
          <w:sz w:val="24"/>
          <w:szCs w:val="24"/>
          <w:lang w:val="en-US"/>
        </w:rPr>
        <w:t xml:space="preserve"> R</w:t>
      </w:r>
      <w:r w:rsidRPr="001417BE">
        <w:rPr>
          <w:rFonts w:ascii="Times New Roman" w:hAnsi="Times New Roman" w:cs="Times New Roman"/>
          <w:sz w:val="24"/>
          <w:szCs w:val="24"/>
          <w:vertAlign w:val="superscript"/>
          <w:lang w:val="en-US"/>
        </w:rPr>
        <w:t>2</w:t>
      </w:r>
      <w:r w:rsidRPr="001417BE">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1417BE">
        <w:rPr>
          <w:rFonts w:ascii="Times New Roman" w:hAnsi="Times New Roman" w:cs="Times New Roman"/>
          <w:sz w:val="24"/>
          <w:szCs w:val="24"/>
          <w:lang w:val="en-US"/>
        </w:rPr>
        <w:t xml:space="preserve"> standardiz</w:t>
      </w:r>
      <w:r>
        <w:rPr>
          <w:rFonts w:ascii="Times New Roman" w:hAnsi="Times New Roman" w:cs="Times New Roman"/>
          <w:sz w:val="24"/>
          <w:szCs w:val="24"/>
          <w:lang w:val="en-US"/>
        </w:rPr>
        <w:t>ed coefficient of determination</w:t>
      </w:r>
      <w:r w:rsidRPr="001417BE">
        <w:rPr>
          <w:rFonts w:ascii="Times New Roman" w:hAnsi="Times New Roman" w:cs="Times New Roman"/>
          <w:sz w:val="24"/>
          <w:szCs w:val="24"/>
          <w:lang w:val="en-US"/>
        </w:rPr>
        <w:t>. BMI: Body mass index; VAT: Visceral adipose tissue.</w:t>
      </w:r>
    </w:p>
    <w:p w14:paraId="4D399167" w14:textId="6EDF37CF" w:rsidR="00802C93" w:rsidRPr="001417BE" w:rsidRDefault="00802C93" w:rsidP="00297B42">
      <w:pPr>
        <w:spacing w:line="480" w:lineRule="auto"/>
        <w:jc w:val="both"/>
        <w:rPr>
          <w:rFonts w:ascii="Times New Roman" w:hAnsi="Times New Roman" w:cs="Times New Roman"/>
          <w:sz w:val="24"/>
          <w:szCs w:val="24"/>
          <w:lang w:val="en-US"/>
        </w:rPr>
      </w:pPr>
      <w:r w:rsidRPr="001417BE">
        <w:rPr>
          <w:rFonts w:ascii="Times New Roman" w:hAnsi="Times New Roman" w:cs="Times New Roman"/>
          <w:b/>
          <w:sz w:val="24"/>
          <w:szCs w:val="24"/>
          <w:lang w:val="en-US"/>
        </w:rPr>
        <w:t xml:space="preserve">Figure </w:t>
      </w:r>
      <w:r>
        <w:rPr>
          <w:rFonts w:ascii="Times New Roman" w:hAnsi="Times New Roman" w:cs="Times New Roman"/>
          <w:b/>
          <w:sz w:val="24"/>
          <w:szCs w:val="24"/>
          <w:lang w:val="en-US"/>
        </w:rPr>
        <w:t>2</w:t>
      </w:r>
      <w:r w:rsidRPr="001417BE">
        <w:rPr>
          <w:rFonts w:ascii="Times New Roman" w:hAnsi="Times New Roman" w:cs="Times New Roman"/>
          <w:b/>
          <w:sz w:val="24"/>
          <w:szCs w:val="24"/>
          <w:lang w:val="en-US"/>
        </w:rPr>
        <w:t xml:space="preserve">. </w:t>
      </w:r>
      <w:r w:rsidRPr="001417BE">
        <w:rPr>
          <w:rFonts w:ascii="Times New Roman" w:hAnsi="Times New Roman" w:cs="Times New Roman"/>
          <w:sz w:val="24"/>
          <w:szCs w:val="24"/>
          <w:lang w:val="en-US"/>
        </w:rPr>
        <w:t>Associations between brown adipose tissue (BAT)</w:t>
      </w:r>
      <w:r w:rsidR="001F1399">
        <w:rPr>
          <w:rFonts w:ascii="Times New Roman" w:hAnsi="Times New Roman" w:cs="Times New Roman"/>
          <w:sz w:val="24"/>
          <w:szCs w:val="24"/>
          <w:lang w:val="en-US"/>
        </w:rPr>
        <w:t xml:space="preserve"> </w:t>
      </w:r>
      <w:r w:rsidRPr="001417BE">
        <w:rPr>
          <w:rFonts w:ascii="Times New Roman" w:hAnsi="Times New Roman" w:cs="Times New Roman"/>
          <w:sz w:val="24"/>
          <w:szCs w:val="24"/>
          <w:lang w:val="en-US"/>
        </w:rPr>
        <w:t xml:space="preserve">mean </w:t>
      </w:r>
      <w:r w:rsidRPr="00911716">
        <w:rPr>
          <w:rFonts w:ascii="Times New Roman" w:hAnsi="Times New Roman" w:cs="Times New Roman"/>
          <w:sz w:val="24"/>
          <w:szCs w:val="24"/>
          <w:vertAlign w:val="superscript"/>
          <w:lang w:val="en-US"/>
        </w:rPr>
        <w:t>18</w:t>
      </w:r>
      <w:r>
        <w:rPr>
          <w:rFonts w:ascii="Times New Roman" w:hAnsi="Times New Roman" w:cs="Times New Roman"/>
          <w:sz w:val="24"/>
          <w:szCs w:val="24"/>
          <w:lang w:val="en-US"/>
        </w:rPr>
        <w:t xml:space="preserve">F-Fluorodexoyglucose uptake </w:t>
      </w:r>
      <w:r w:rsidRPr="001417BE">
        <w:rPr>
          <w:rFonts w:ascii="Times New Roman" w:hAnsi="Times New Roman" w:cs="Times New Roman"/>
          <w:sz w:val="24"/>
          <w:szCs w:val="24"/>
          <w:lang w:val="en-US"/>
        </w:rPr>
        <w:t xml:space="preserve">and </w:t>
      </w:r>
      <w:r w:rsidR="001F1399">
        <w:rPr>
          <w:rFonts w:ascii="Times New Roman" w:hAnsi="Times New Roman" w:cs="Times New Roman"/>
          <w:sz w:val="24"/>
          <w:szCs w:val="24"/>
          <w:lang w:val="en-US"/>
        </w:rPr>
        <w:t>whole-</w:t>
      </w:r>
      <w:r w:rsidRPr="001417BE">
        <w:rPr>
          <w:rFonts w:ascii="Times New Roman" w:hAnsi="Times New Roman" w:cs="Times New Roman"/>
          <w:sz w:val="24"/>
          <w:szCs w:val="24"/>
          <w:lang w:val="en-US"/>
        </w:rPr>
        <w:t xml:space="preserve">body </w:t>
      </w:r>
      <w:r w:rsidR="001F1399">
        <w:rPr>
          <w:rFonts w:ascii="Times New Roman" w:hAnsi="Times New Roman" w:cs="Times New Roman"/>
          <w:sz w:val="24"/>
          <w:szCs w:val="24"/>
          <w:lang w:val="en-US"/>
        </w:rPr>
        <w:t>adiposity</w:t>
      </w:r>
      <w:r w:rsidRPr="001417BE">
        <w:rPr>
          <w:rFonts w:ascii="Times New Roman" w:hAnsi="Times New Roman" w:cs="Times New Roman"/>
          <w:sz w:val="24"/>
          <w:szCs w:val="24"/>
          <w:lang w:val="en-US"/>
        </w:rPr>
        <w:t xml:space="preserve">. β </w:t>
      </w:r>
      <w:r>
        <w:rPr>
          <w:rFonts w:ascii="Times New Roman" w:hAnsi="Times New Roman" w:cs="Times New Roman"/>
          <w:sz w:val="24"/>
          <w:szCs w:val="24"/>
          <w:lang w:val="en-US"/>
        </w:rPr>
        <w:t>= u</w:t>
      </w:r>
      <w:r w:rsidRPr="001417BE">
        <w:rPr>
          <w:rFonts w:ascii="Times New Roman" w:hAnsi="Times New Roman" w:cs="Times New Roman"/>
          <w:sz w:val="24"/>
          <w:szCs w:val="24"/>
          <w:lang w:val="en-US"/>
        </w:rPr>
        <w:t>nstandardized simple regression coefficient</w:t>
      </w:r>
      <w:r>
        <w:rPr>
          <w:rFonts w:ascii="Times New Roman" w:hAnsi="Times New Roman" w:cs="Times New Roman"/>
          <w:sz w:val="24"/>
          <w:szCs w:val="24"/>
          <w:lang w:val="en-US"/>
        </w:rPr>
        <w:t>;</w:t>
      </w:r>
      <w:r w:rsidRPr="001417BE">
        <w:rPr>
          <w:rFonts w:ascii="Times New Roman" w:hAnsi="Times New Roman" w:cs="Times New Roman"/>
          <w:sz w:val="24"/>
          <w:szCs w:val="24"/>
          <w:lang w:val="en-US"/>
        </w:rPr>
        <w:t xml:space="preserve"> R</w:t>
      </w:r>
      <w:r w:rsidRPr="001417BE">
        <w:rPr>
          <w:rFonts w:ascii="Times New Roman" w:hAnsi="Times New Roman" w:cs="Times New Roman"/>
          <w:sz w:val="24"/>
          <w:szCs w:val="24"/>
          <w:vertAlign w:val="superscript"/>
          <w:lang w:val="en-US"/>
        </w:rPr>
        <w:t>2</w:t>
      </w:r>
      <w:r w:rsidRPr="001417BE">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1417BE">
        <w:rPr>
          <w:rFonts w:ascii="Times New Roman" w:hAnsi="Times New Roman" w:cs="Times New Roman"/>
          <w:sz w:val="24"/>
          <w:szCs w:val="24"/>
          <w:lang w:val="en-US"/>
        </w:rPr>
        <w:t xml:space="preserve"> standardiz</w:t>
      </w:r>
      <w:r>
        <w:rPr>
          <w:rFonts w:ascii="Times New Roman" w:hAnsi="Times New Roman" w:cs="Times New Roman"/>
          <w:sz w:val="24"/>
          <w:szCs w:val="24"/>
          <w:lang w:val="en-US"/>
        </w:rPr>
        <w:t>ed coefficient of determination</w:t>
      </w:r>
      <w:r w:rsidRPr="001417BE">
        <w:rPr>
          <w:rFonts w:ascii="Times New Roman" w:hAnsi="Times New Roman" w:cs="Times New Roman"/>
          <w:sz w:val="24"/>
          <w:szCs w:val="24"/>
          <w:lang w:val="en-US"/>
        </w:rPr>
        <w:t>. BMI: Body mass index; SUV</w:t>
      </w:r>
      <w:r>
        <w:rPr>
          <w:rFonts w:ascii="Times New Roman" w:hAnsi="Times New Roman" w:cs="Times New Roman"/>
          <w:sz w:val="24"/>
          <w:szCs w:val="24"/>
          <w:lang w:val="en-US"/>
        </w:rPr>
        <w:t>: S</w:t>
      </w:r>
      <w:r w:rsidRPr="001417BE">
        <w:rPr>
          <w:rFonts w:ascii="Times New Roman" w:hAnsi="Times New Roman" w:cs="Times New Roman"/>
          <w:sz w:val="24"/>
          <w:szCs w:val="24"/>
          <w:lang w:val="en-US"/>
        </w:rPr>
        <w:t>tandardized uptake value</w:t>
      </w:r>
      <w:r>
        <w:rPr>
          <w:rFonts w:ascii="Times New Roman" w:hAnsi="Times New Roman" w:cs="Times New Roman"/>
          <w:sz w:val="24"/>
          <w:szCs w:val="24"/>
          <w:lang w:val="en-US"/>
        </w:rPr>
        <w:t>;</w:t>
      </w:r>
      <w:r w:rsidRPr="001417BE">
        <w:rPr>
          <w:rFonts w:ascii="Times New Roman" w:hAnsi="Times New Roman" w:cs="Times New Roman"/>
          <w:sz w:val="24"/>
          <w:szCs w:val="24"/>
          <w:lang w:val="en-US"/>
        </w:rPr>
        <w:t xml:space="preserve"> VAT: Visceral adipose tissue</w:t>
      </w:r>
      <w:r w:rsidR="001F1399">
        <w:rPr>
          <w:rFonts w:ascii="Times New Roman" w:hAnsi="Times New Roman" w:cs="Times New Roman"/>
          <w:sz w:val="24"/>
          <w:szCs w:val="24"/>
          <w:lang w:val="en-US"/>
        </w:rPr>
        <w:t>.</w:t>
      </w:r>
    </w:p>
    <w:p w14:paraId="793F2A77" w14:textId="703978B9" w:rsidR="00802C93" w:rsidRPr="001417BE" w:rsidRDefault="00802C93" w:rsidP="00297B42">
      <w:pPr>
        <w:spacing w:line="480" w:lineRule="auto"/>
        <w:jc w:val="both"/>
        <w:rPr>
          <w:rFonts w:ascii="Times New Roman" w:hAnsi="Times New Roman" w:cs="Times New Roman"/>
          <w:sz w:val="24"/>
          <w:szCs w:val="24"/>
          <w:lang w:val="en-US"/>
        </w:rPr>
      </w:pPr>
      <w:r w:rsidRPr="001417BE">
        <w:rPr>
          <w:rFonts w:ascii="Times New Roman" w:hAnsi="Times New Roman" w:cs="Times New Roman"/>
          <w:b/>
          <w:sz w:val="24"/>
          <w:szCs w:val="24"/>
          <w:lang w:val="en-US"/>
        </w:rPr>
        <w:t xml:space="preserve">Figure </w:t>
      </w:r>
      <w:r>
        <w:rPr>
          <w:rFonts w:ascii="Times New Roman" w:hAnsi="Times New Roman" w:cs="Times New Roman"/>
          <w:b/>
          <w:sz w:val="24"/>
          <w:szCs w:val="24"/>
          <w:lang w:val="en-US"/>
        </w:rPr>
        <w:t>3</w:t>
      </w:r>
      <w:r w:rsidRPr="001417BE">
        <w:rPr>
          <w:rFonts w:ascii="Times New Roman" w:hAnsi="Times New Roman" w:cs="Times New Roman"/>
          <w:b/>
          <w:sz w:val="24"/>
          <w:szCs w:val="24"/>
          <w:lang w:val="en-US"/>
        </w:rPr>
        <w:t xml:space="preserve">. </w:t>
      </w:r>
      <w:r w:rsidRPr="001417BE">
        <w:rPr>
          <w:rFonts w:ascii="Times New Roman" w:hAnsi="Times New Roman" w:cs="Times New Roman"/>
          <w:sz w:val="24"/>
          <w:szCs w:val="24"/>
          <w:lang w:val="en-US"/>
        </w:rPr>
        <w:t xml:space="preserve">Associations between brown adipose tissue (BAT) peak </w:t>
      </w:r>
      <w:r w:rsidRPr="00911716">
        <w:rPr>
          <w:rFonts w:ascii="Times New Roman" w:hAnsi="Times New Roman" w:cs="Times New Roman"/>
          <w:sz w:val="24"/>
          <w:szCs w:val="24"/>
          <w:vertAlign w:val="superscript"/>
          <w:lang w:val="en-US"/>
        </w:rPr>
        <w:t>18</w:t>
      </w:r>
      <w:r>
        <w:rPr>
          <w:rFonts w:ascii="Times New Roman" w:hAnsi="Times New Roman" w:cs="Times New Roman"/>
          <w:sz w:val="24"/>
          <w:szCs w:val="24"/>
          <w:lang w:val="en-US"/>
        </w:rPr>
        <w:t xml:space="preserve">F-Fluorodexoyglucose uptake </w:t>
      </w:r>
      <w:r w:rsidRPr="001417BE">
        <w:rPr>
          <w:rFonts w:ascii="Times New Roman" w:hAnsi="Times New Roman" w:cs="Times New Roman"/>
          <w:sz w:val="24"/>
          <w:szCs w:val="24"/>
          <w:lang w:val="en-US"/>
        </w:rPr>
        <w:t xml:space="preserve">and </w:t>
      </w:r>
      <w:r w:rsidR="001F1399">
        <w:rPr>
          <w:rFonts w:ascii="Times New Roman" w:hAnsi="Times New Roman" w:cs="Times New Roman"/>
          <w:sz w:val="24"/>
          <w:szCs w:val="24"/>
          <w:lang w:val="en-US"/>
        </w:rPr>
        <w:t>whole-</w:t>
      </w:r>
      <w:r w:rsidR="001F1399" w:rsidRPr="001417BE">
        <w:rPr>
          <w:rFonts w:ascii="Times New Roman" w:hAnsi="Times New Roman" w:cs="Times New Roman"/>
          <w:sz w:val="24"/>
          <w:szCs w:val="24"/>
          <w:lang w:val="en-US"/>
        </w:rPr>
        <w:t xml:space="preserve">body </w:t>
      </w:r>
      <w:r w:rsidR="001F1399">
        <w:rPr>
          <w:rFonts w:ascii="Times New Roman" w:hAnsi="Times New Roman" w:cs="Times New Roman"/>
          <w:sz w:val="24"/>
          <w:szCs w:val="24"/>
          <w:lang w:val="en-US"/>
        </w:rPr>
        <w:t>adiposity</w:t>
      </w:r>
      <w:r w:rsidRPr="001417BE">
        <w:rPr>
          <w:rFonts w:ascii="Times New Roman" w:hAnsi="Times New Roman" w:cs="Times New Roman"/>
          <w:sz w:val="24"/>
          <w:szCs w:val="24"/>
          <w:lang w:val="en-US"/>
        </w:rPr>
        <w:t xml:space="preserve">. β </w:t>
      </w:r>
      <w:r>
        <w:rPr>
          <w:rFonts w:ascii="Times New Roman" w:hAnsi="Times New Roman" w:cs="Times New Roman"/>
          <w:sz w:val="24"/>
          <w:szCs w:val="24"/>
          <w:lang w:val="en-US"/>
        </w:rPr>
        <w:t>= u</w:t>
      </w:r>
      <w:r w:rsidRPr="001417BE">
        <w:rPr>
          <w:rFonts w:ascii="Times New Roman" w:hAnsi="Times New Roman" w:cs="Times New Roman"/>
          <w:sz w:val="24"/>
          <w:szCs w:val="24"/>
          <w:lang w:val="en-US"/>
        </w:rPr>
        <w:t>nstandardized simple regression coefficient</w:t>
      </w:r>
      <w:r>
        <w:rPr>
          <w:rFonts w:ascii="Times New Roman" w:hAnsi="Times New Roman" w:cs="Times New Roman"/>
          <w:sz w:val="24"/>
          <w:szCs w:val="24"/>
          <w:lang w:val="en-US"/>
        </w:rPr>
        <w:t>;</w:t>
      </w:r>
      <w:r w:rsidRPr="001417BE">
        <w:rPr>
          <w:rFonts w:ascii="Times New Roman" w:hAnsi="Times New Roman" w:cs="Times New Roman"/>
          <w:sz w:val="24"/>
          <w:szCs w:val="24"/>
          <w:lang w:val="en-US"/>
        </w:rPr>
        <w:t xml:space="preserve"> R</w:t>
      </w:r>
      <w:r w:rsidRPr="001417BE">
        <w:rPr>
          <w:rFonts w:ascii="Times New Roman" w:hAnsi="Times New Roman" w:cs="Times New Roman"/>
          <w:sz w:val="24"/>
          <w:szCs w:val="24"/>
          <w:vertAlign w:val="superscript"/>
          <w:lang w:val="en-US"/>
        </w:rPr>
        <w:t>2</w:t>
      </w:r>
      <w:r w:rsidRPr="001417BE">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1417BE">
        <w:rPr>
          <w:rFonts w:ascii="Times New Roman" w:hAnsi="Times New Roman" w:cs="Times New Roman"/>
          <w:sz w:val="24"/>
          <w:szCs w:val="24"/>
          <w:lang w:val="en-US"/>
        </w:rPr>
        <w:t xml:space="preserve"> standardiz</w:t>
      </w:r>
      <w:r>
        <w:rPr>
          <w:rFonts w:ascii="Times New Roman" w:hAnsi="Times New Roman" w:cs="Times New Roman"/>
          <w:sz w:val="24"/>
          <w:szCs w:val="24"/>
          <w:lang w:val="en-US"/>
        </w:rPr>
        <w:t>ed coefficient of determination</w:t>
      </w:r>
      <w:r w:rsidRPr="001417BE">
        <w:rPr>
          <w:rFonts w:ascii="Times New Roman" w:hAnsi="Times New Roman" w:cs="Times New Roman"/>
          <w:sz w:val="24"/>
          <w:szCs w:val="24"/>
          <w:lang w:val="en-US"/>
        </w:rPr>
        <w:t xml:space="preserve">. BMI: Body mass index; </w:t>
      </w:r>
      <w:bookmarkStart w:id="18" w:name="_Hlk47456045"/>
      <w:r w:rsidR="001F1399" w:rsidRPr="001417BE">
        <w:rPr>
          <w:rFonts w:ascii="Times New Roman" w:hAnsi="Times New Roman" w:cs="Times New Roman"/>
          <w:sz w:val="24"/>
          <w:szCs w:val="24"/>
          <w:lang w:val="en-US"/>
        </w:rPr>
        <w:t>SUV: Standardized uptake value</w:t>
      </w:r>
      <w:r w:rsidR="001F1399">
        <w:rPr>
          <w:rFonts w:ascii="Times New Roman" w:hAnsi="Times New Roman" w:cs="Times New Roman"/>
          <w:sz w:val="24"/>
          <w:szCs w:val="24"/>
          <w:lang w:val="en-US"/>
        </w:rPr>
        <w:t>;</w:t>
      </w:r>
      <w:r w:rsidR="001F1399" w:rsidRPr="001417BE">
        <w:rPr>
          <w:rFonts w:ascii="Times New Roman" w:hAnsi="Times New Roman" w:cs="Times New Roman"/>
          <w:sz w:val="24"/>
          <w:szCs w:val="24"/>
          <w:lang w:val="en-US"/>
        </w:rPr>
        <w:t xml:space="preserve"> </w:t>
      </w:r>
      <w:bookmarkEnd w:id="18"/>
      <w:r w:rsidRPr="001417BE">
        <w:rPr>
          <w:rFonts w:ascii="Times New Roman" w:hAnsi="Times New Roman" w:cs="Times New Roman"/>
          <w:sz w:val="24"/>
          <w:szCs w:val="24"/>
          <w:lang w:val="en-US"/>
        </w:rPr>
        <w:t>VAT: Visceral adipose tissue.</w:t>
      </w:r>
    </w:p>
    <w:p w14:paraId="1F72EA14" w14:textId="3BAEF63F" w:rsidR="00906990" w:rsidRPr="001417BE" w:rsidRDefault="00802C93" w:rsidP="00297B42">
      <w:pPr>
        <w:spacing w:line="480" w:lineRule="auto"/>
        <w:contextualSpacing/>
        <w:jc w:val="both"/>
        <w:rPr>
          <w:rFonts w:ascii="Times New Roman" w:hAnsi="Times New Roman" w:cs="Times New Roman"/>
          <w:sz w:val="24"/>
          <w:szCs w:val="24"/>
          <w:lang w:val="en-US"/>
        </w:rPr>
      </w:pPr>
      <w:r w:rsidRPr="001417BE">
        <w:rPr>
          <w:rFonts w:ascii="Times New Roman" w:hAnsi="Times New Roman" w:cs="Times New Roman"/>
          <w:b/>
          <w:sz w:val="24"/>
          <w:szCs w:val="24"/>
          <w:lang w:val="en-US"/>
        </w:rPr>
        <w:t xml:space="preserve">Figure </w:t>
      </w:r>
      <w:r>
        <w:rPr>
          <w:rFonts w:ascii="Times New Roman" w:hAnsi="Times New Roman" w:cs="Times New Roman"/>
          <w:b/>
          <w:sz w:val="24"/>
          <w:szCs w:val="24"/>
          <w:lang w:val="en-US"/>
        </w:rPr>
        <w:t>4</w:t>
      </w:r>
      <w:r w:rsidRPr="001417BE">
        <w:rPr>
          <w:rFonts w:ascii="Times New Roman" w:hAnsi="Times New Roman" w:cs="Times New Roman"/>
          <w:b/>
          <w:sz w:val="24"/>
          <w:szCs w:val="24"/>
          <w:lang w:val="en-US"/>
        </w:rPr>
        <w:t xml:space="preserve">. </w:t>
      </w:r>
      <w:r w:rsidRPr="001417BE">
        <w:rPr>
          <w:rFonts w:ascii="Times New Roman" w:hAnsi="Times New Roman" w:cs="Times New Roman"/>
          <w:sz w:val="24"/>
          <w:szCs w:val="24"/>
          <w:lang w:val="en-US"/>
        </w:rPr>
        <w:t xml:space="preserve">Associations between brown adipose tissue (BAT) mean radiodensity and </w:t>
      </w:r>
      <w:r w:rsidR="001F1399">
        <w:rPr>
          <w:rFonts w:ascii="Times New Roman" w:hAnsi="Times New Roman" w:cs="Times New Roman"/>
          <w:sz w:val="24"/>
          <w:szCs w:val="24"/>
          <w:lang w:val="en-US"/>
        </w:rPr>
        <w:t>whole-</w:t>
      </w:r>
      <w:r w:rsidRPr="001417BE">
        <w:rPr>
          <w:rFonts w:ascii="Times New Roman" w:hAnsi="Times New Roman" w:cs="Times New Roman"/>
          <w:sz w:val="24"/>
          <w:szCs w:val="24"/>
          <w:lang w:val="en-US"/>
        </w:rPr>
        <w:t xml:space="preserve">body </w:t>
      </w:r>
      <w:r w:rsidR="001F1399">
        <w:rPr>
          <w:rFonts w:ascii="Times New Roman" w:hAnsi="Times New Roman" w:cs="Times New Roman"/>
          <w:sz w:val="24"/>
          <w:szCs w:val="24"/>
          <w:lang w:val="en-US"/>
        </w:rPr>
        <w:t>adiposity</w:t>
      </w:r>
      <w:r w:rsidRPr="001417BE">
        <w:rPr>
          <w:rFonts w:ascii="Times New Roman" w:hAnsi="Times New Roman" w:cs="Times New Roman"/>
          <w:sz w:val="24"/>
          <w:szCs w:val="24"/>
          <w:lang w:val="en-US"/>
        </w:rPr>
        <w:t xml:space="preserve">. </w:t>
      </w:r>
      <w:bookmarkStart w:id="19" w:name="_Hlk39775210"/>
      <w:r w:rsidRPr="001417BE">
        <w:rPr>
          <w:rFonts w:ascii="Times New Roman" w:hAnsi="Times New Roman" w:cs="Times New Roman"/>
          <w:sz w:val="24"/>
          <w:szCs w:val="24"/>
          <w:lang w:val="en-US"/>
        </w:rPr>
        <w:t xml:space="preserve">β </w:t>
      </w:r>
      <w:r>
        <w:rPr>
          <w:rFonts w:ascii="Times New Roman" w:hAnsi="Times New Roman" w:cs="Times New Roman"/>
          <w:sz w:val="24"/>
          <w:szCs w:val="24"/>
          <w:lang w:val="en-US"/>
        </w:rPr>
        <w:t>= u</w:t>
      </w:r>
      <w:r w:rsidRPr="001417BE">
        <w:rPr>
          <w:rFonts w:ascii="Times New Roman" w:hAnsi="Times New Roman" w:cs="Times New Roman"/>
          <w:sz w:val="24"/>
          <w:szCs w:val="24"/>
          <w:lang w:val="en-US"/>
        </w:rPr>
        <w:t>nstandardized simple regression coefficient</w:t>
      </w:r>
      <w:r>
        <w:rPr>
          <w:rFonts w:ascii="Times New Roman" w:hAnsi="Times New Roman" w:cs="Times New Roman"/>
          <w:sz w:val="24"/>
          <w:szCs w:val="24"/>
          <w:lang w:val="en-US"/>
        </w:rPr>
        <w:t>;</w:t>
      </w:r>
      <w:r w:rsidRPr="001417BE">
        <w:rPr>
          <w:rFonts w:ascii="Times New Roman" w:hAnsi="Times New Roman" w:cs="Times New Roman"/>
          <w:sz w:val="24"/>
          <w:szCs w:val="24"/>
          <w:lang w:val="en-US"/>
        </w:rPr>
        <w:t xml:space="preserve"> R</w:t>
      </w:r>
      <w:r w:rsidRPr="001417BE">
        <w:rPr>
          <w:rFonts w:ascii="Times New Roman" w:hAnsi="Times New Roman" w:cs="Times New Roman"/>
          <w:sz w:val="24"/>
          <w:szCs w:val="24"/>
          <w:vertAlign w:val="superscript"/>
          <w:lang w:val="en-US"/>
        </w:rPr>
        <w:t>2</w:t>
      </w:r>
      <w:r w:rsidRPr="001417BE">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1417BE">
        <w:rPr>
          <w:rFonts w:ascii="Times New Roman" w:hAnsi="Times New Roman" w:cs="Times New Roman"/>
          <w:sz w:val="24"/>
          <w:szCs w:val="24"/>
          <w:lang w:val="en-US"/>
        </w:rPr>
        <w:t xml:space="preserve"> standardiz</w:t>
      </w:r>
      <w:r>
        <w:rPr>
          <w:rFonts w:ascii="Times New Roman" w:hAnsi="Times New Roman" w:cs="Times New Roman"/>
          <w:sz w:val="24"/>
          <w:szCs w:val="24"/>
          <w:lang w:val="en-US"/>
        </w:rPr>
        <w:t>ed coefficient of determination</w:t>
      </w:r>
      <w:r w:rsidRPr="001417BE">
        <w:rPr>
          <w:rFonts w:ascii="Times New Roman" w:hAnsi="Times New Roman" w:cs="Times New Roman"/>
          <w:sz w:val="24"/>
          <w:szCs w:val="24"/>
          <w:lang w:val="en-US"/>
        </w:rPr>
        <w:t xml:space="preserve">. </w:t>
      </w:r>
      <w:bookmarkEnd w:id="19"/>
      <w:r w:rsidRPr="001417BE">
        <w:rPr>
          <w:rFonts w:ascii="Times New Roman" w:hAnsi="Times New Roman" w:cs="Times New Roman"/>
          <w:sz w:val="24"/>
          <w:szCs w:val="24"/>
          <w:lang w:val="en-US"/>
        </w:rPr>
        <w:t xml:space="preserve">BMI: Body mass index; </w:t>
      </w:r>
      <w:r>
        <w:rPr>
          <w:rFonts w:ascii="Times New Roman" w:hAnsi="Times New Roman" w:cs="Times New Roman"/>
          <w:sz w:val="24"/>
          <w:szCs w:val="24"/>
          <w:lang w:val="en-US"/>
        </w:rPr>
        <w:t xml:space="preserve">HU: Hounsfield units; </w:t>
      </w:r>
      <w:r w:rsidRPr="001417BE">
        <w:rPr>
          <w:rFonts w:ascii="Times New Roman" w:hAnsi="Times New Roman" w:cs="Times New Roman"/>
          <w:sz w:val="24"/>
          <w:szCs w:val="24"/>
          <w:lang w:val="en-US"/>
        </w:rPr>
        <w:t>VAT: Visceral adipose tissue.</w:t>
      </w:r>
    </w:p>
    <w:sectPr w:rsidR="00906990" w:rsidRPr="001417BE" w:rsidSect="00397714">
      <w:pgSz w:w="11906" w:h="16838"/>
      <w:pgMar w:top="1411" w:right="994" w:bottom="1411" w:left="1699"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FD47E7" w14:textId="77777777" w:rsidR="00FD2A0F" w:rsidRDefault="00FD2A0F" w:rsidP="00031CE4">
      <w:pPr>
        <w:spacing w:after="0" w:line="240" w:lineRule="auto"/>
      </w:pPr>
      <w:r>
        <w:separator/>
      </w:r>
    </w:p>
  </w:endnote>
  <w:endnote w:type="continuationSeparator" w:id="0">
    <w:p w14:paraId="16DC68E7" w14:textId="77777777" w:rsidR="00FD2A0F" w:rsidRDefault="00FD2A0F" w:rsidP="00031C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BBAA39" w14:textId="77777777" w:rsidR="005F124F" w:rsidRDefault="005F124F" w:rsidP="00031CE4">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77E3215" w14:textId="77777777" w:rsidR="005F124F" w:rsidRDefault="005F124F" w:rsidP="00031CE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25DFF6" w14:textId="308148C8" w:rsidR="005F124F" w:rsidRDefault="005F124F" w:rsidP="00031CE4">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25</w:t>
    </w:r>
    <w:r>
      <w:rPr>
        <w:rStyle w:val="PageNumber"/>
      </w:rPr>
      <w:fldChar w:fldCharType="end"/>
    </w:r>
  </w:p>
  <w:p w14:paraId="0B0D9B90" w14:textId="77777777" w:rsidR="005F124F" w:rsidRDefault="005F124F" w:rsidP="00031CE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228DAC" w14:textId="77777777" w:rsidR="00FD2A0F" w:rsidRDefault="00FD2A0F" w:rsidP="00031CE4">
      <w:pPr>
        <w:spacing w:after="0" w:line="240" w:lineRule="auto"/>
      </w:pPr>
      <w:r>
        <w:separator/>
      </w:r>
    </w:p>
  </w:footnote>
  <w:footnote w:type="continuationSeparator" w:id="0">
    <w:p w14:paraId="1EE21BF1" w14:textId="77777777" w:rsidR="00FD2A0F" w:rsidRDefault="00FD2A0F" w:rsidP="00031CE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183D82"/>
    <w:multiLevelType w:val="hybridMultilevel"/>
    <w:tmpl w:val="C154324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B073D48"/>
    <w:multiLevelType w:val="hybridMultilevel"/>
    <w:tmpl w:val="7C6824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2945A25"/>
    <w:multiLevelType w:val="hybridMultilevel"/>
    <w:tmpl w:val="3166730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94470F9"/>
    <w:multiLevelType w:val="hybridMultilevel"/>
    <w:tmpl w:val="CFD25C44"/>
    <w:lvl w:ilvl="0" w:tplc="F8C4359A">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E2B1FE7"/>
    <w:multiLevelType w:val="hybridMultilevel"/>
    <w:tmpl w:val="90D47A5E"/>
    <w:lvl w:ilvl="0" w:tplc="0C0A0001">
      <w:start w:val="1"/>
      <w:numFmt w:val="bullet"/>
      <w:lvlText w:val=""/>
      <w:lvlJc w:val="left"/>
      <w:pPr>
        <w:ind w:left="502"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2100909"/>
    <w:multiLevelType w:val="hybridMultilevel"/>
    <w:tmpl w:val="C1F0B8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2BF3C04"/>
    <w:multiLevelType w:val="hybridMultilevel"/>
    <w:tmpl w:val="61EC28E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65366E8"/>
    <w:multiLevelType w:val="hybridMultilevel"/>
    <w:tmpl w:val="51B281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BDF35A8"/>
    <w:multiLevelType w:val="hybridMultilevel"/>
    <w:tmpl w:val="D7B24C42"/>
    <w:lvl w:ilvl="0" w:tplc="34B0C812">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EB93299"/>
    <w:multiLevelType w:val="hybridMultilevel"/>
    <w:tmpl w:val="C1B6E08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6B214E1"/>
    <w:multiLevelType w:val="hybridMultilevel"/>
    <w:tmpl w:val="435ECF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37DE7A4B"/>
    <w:multiLevelType w:val="hybridMultilevel"/>
    <w:tmpl w:val="2988C95C"/>
    <w:lvl w:ilvl="0" w:tplc="EF5A11B8">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386B1F64"/>
    <w:multiLevelType w:val="hybridMultilevel"/>
    <w:tmpl w:val="CA06F8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3C0559C9"/>
    <w:multiLevelType w:val="hybridMultilevel"/>
    <w:tmpl w:val="7B8E8F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3E1272A2"/>
    <w:multiLevelType w:val="hybridMultilevel"/>
    <w:tmpl w:val="E97609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41AC3204"/>
    <w:multiLevelType w:val="multilevel"/>
    <w:tmpl w:val="27A06A5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2922BD3"/>
    <w:multiLevelType w:val="hybridMultilevel"/>
    <w:tmpl w:val="FDB6CD2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7" w15:restartNumberingAfterBreak="0">
    <w:nsid w:val="4B71650D"/>
    <w:multiLevelType w:val="hybridMultilevel"/>
    <w:tmpl w:val="7B9EEC8A"/>
    <w:lvl w:ilvl="0" w:tplc="5622ACA4">
      <w:start w:val="4"/>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D542EB4"/>
    <w:multiLevelType w:val="hybridMultilevel"/>
    <w:tmpl w:val="BE262D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9A0379F"/>
    <w:multiLevelType w:val="hybridMultilevel"/>
    <w:tmpl w:val="6F7AFA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6"/>
  </w:num>
  <w:num w:numId="2">
    <w:abstractNumId w:val="2"/>
  </w:num>
  <w:num w:numId="3">
    <w:abstractNumId w:val="14"/>
  </w:num>
  <w:num w:numId="4">
    <w:abstractNumId w:val="9"/>
  </w:num>
  <w:num w:numId="5">
    <w:abstractNumId w:val="18"/>
  </w:num>
  <w:num w:numId="6">
    <w:abstractNumId w:val="19"/>
  </w:num>
  <w:num w:numId="7">
    <w:abstractNumId w:val="4"/>
  </w:num>
  <w:num w:numId="8">
    <w:abstractNumId w:val="7"/>
  </w:num>
  <w:num w:numId="9">
    <w:abstractNumId w:val="12"/>
  </w:num>
  <w:num w:numId="10">
    <w:abstractNumId w:val="1"/>
  </w:num>
  <w:num w:numId="11">
    <w:abstractNumId w:val="6"/>
  </w:num>
  <w:num w:numId="12">
    <w:abstractNumId w:val="0"/>
  </w:num>
  <w:num w:numId="13">
    <w:abstractNumId w:val="8"/>
  </w:num>
  <w:num w:numId="14">
    <w:abstractNumId w:val="11"/>
  </w:num>
  <w:num w:numId="15">
    <w:abstractNumId w:val="3"/>
  </w:num>
  <w:num w:numId="16">
    <w:abstractNumId w:val="17"/>
  </w:num>
  <w:num w:numId="17">
    <w:abstractNumId w:val="15"/>
  </w:num>
  <w:num w:numId="18">
    <w:abstractNumId w:val="5"/>
  </w:num>
  <w:num w:numId="19">
    <w:abstractNumId w:val="10"/>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3160"/>
    <w:rsid w:val="000155D9"/>
    <w:rsid w:val="0001716E"/>
    <w:rsid w:val="00021E1E"/>
    <w:rsid w:val="00023BC5"/>
    <w:rsid w:val="0002582C"/>
    <w:rsid w:val="00030A12"/>
    <w:rsid w:val="00031CE4"/>
    <w:rsid w:val="00032A14"/>
    <w:rsid w:val="000348F1"/>
    <w:rsid w:val="0003512C"/>
    <w:rsid w:val="0003616C"/>
    <w:rsid w:val="0003648B"/>
    <w:rsid w:val="00041385"/>
    <w:rsid w:val="00041578"/>
    <w:rsid w:val="00041AC2"/>
    <w:rsid w:val="00041C53"/>
    <w:rsid w:val="00042C92"/>
    <w:rsid w:val="000446AC"/>
    <w:rsid w:val="0004722B"/>
    <w:rsid w:val="000537C9"/>
    <w:rsid w:val="0006474E"/>
    <w:rsid w:val="0006549D"/>
    <w:rsid w:val="0006742D"/>
    <w:rsid w:val="0007094C"/>
    <w:rsid w:val="00072AAE"/>
    <w:rsid w:val="00074479"/>
    <w:rsid w:val="0007560B"/>
    <w:rsid w:val="00075D0E"/>
    <w:rsid w:val="0007625D"/>
    <w:rsid w:val="000764CD"/>
    <w:rsid w:val="00077C95"/>
    <w:rsid w:val="0008114F"/>
    <w:rsid w:val="00081F28"/>
    <w:rsid w:val="00083E4E"/>
    <w:rsid w:val="00085432"/>
    <w:rsid w:val="00087E98"/>
    <w:rsid w:val="00091D9E"/>
    <w:rsid w:val="00092663"/>
    <w:rsid w:val="000947F8"/>
    <w:rsid w:val="000952D4"/>
    <w:rsid w:val="000A0480"/>
    <w:rsid w:val="000A0DB7"/>
    <w:rsid w:val="000A4086"/>
    <w:rsid w:val="000A7352"/>
    <w:rsid w:val="000B202D"/>
    <w:rsid w:val="000B63C3"/>
    <w:rsid w:val="000B6A05"/>
    <w:rsid w:val="000C040F"/>
    <w:rsid w:val="000C2D8C"/>
    <w:rsid w:val="000C2DE0"/>
    <w:rsid w:val="000C4CE9"/>
    <w:rsid w:val="000C554C"/>
    <w:rsid w:val="000D0838"/>
    <w:rsid w:val="000D396A"/>
    <w:rsid w:val="000D4512"/>
    <w:rsid w:val="000D4E3C"/>
    <w:rsid w:val="000D6527"/>
    <w:rsid w:val="000D6B19"/>
    <w:rsid w:val="000D71B8"/>
    <w:rsid w:val="000D742C"/>
    <w:rsid w:val="000E5813"/>
    <w:rsid w:val="000E75AF"/>
    <w:rsid w:val="000F033A"/>
    <w:rsid w:val="000F13FE"/>
    <w:rsid w:val="000F1713"/>
    <w:rsid w:val="000F4610"/>
    <w:rsid w:val="000F4B41"/>
    <w:rsid w:val="00102D62"/>
    <w:rsid w:val="00103DC3"/>
    <w:rsid w:val="0010635E"/>
    <w:rsid w:val="00106696"/>
    <w:rsid w:val="00107A6C"/>
    <w:rsid w:val="00110D52"/>
    <w:rsid w:val="001123D7"/>
    <w:rsid w:val="00112E13"/>
    <w:rsid w:val="00112EE2"/>
    <w:rsid w:val="00114346"/>
    <w:rsid w:val="00116161"/>
    <w:rsid w:val="00117D21"/>
    <w:rsid w:val="001237A8"/>
    <w:rsid w:val="001239F9"/>
    <w:rsid w:val="0012492D"/>
    <w:rsid w:val="00124A28"/>
    <w:rsid w:val="00126850"/>
    <w:rsid w:val="0013210B"/>
    <w:rsid w:val="00135340"/>
    <w:rsid w:val="00136248"/>
    <w:rsid w:val="00136375"/>
    <w:rsid w:val="00140967"/>
    <w:rsid w:val="001417BE"/>
    <w:rsid w:val="00150D91"/>
    <w:rsid w:val="00153756"/>
    <w:rsid w:val="00155AF8"/>
    <w:rsid w:val="0015712A"/>
    <w:rsid w:val="00161911"/>
    <w:rsid w:val="001631CA"/>
    <w:rsid w:val="001647E9"/>
    <w:rsid w:val="001667EB"/>
    <w:rsid w:val="001673E1"/>
    <w:rsid w:val="00171EF0"/>
    <w:rsid w:val="00177D92"/>
    <w:rsid w:val="001825F5"/>
    <w:rsid w:val="00186BD2"/>
    <w:rsid w:val="0019082A"/>
    <w:rsid w:val="00191501"/>
    <w:rsid w:val="00191690"/>
    <w:rsid w:val="00191FF7"/>
    <w:rsid w:val="001921E4"/>
    <w:rsid w:val="00196ED2"/>
    <w:rsid w:val="00196EFD"/>
    <w:rsid w:val="001A1B18"/>
    <w:rsid w:val="001A1D04"/>
    <w:rsid w:val="001A4FEC"/>
    <w:rsid w:val="001A6EC1"/>
    <w:rsid w:val="001B1FCD"/>
    <w:rsid w:val="001B43F6"/>
    <w:rsid w:val="001B72D2"/>
    <w:rsid w:val="001C1C22"/>
    <w:rsid w:val="001C1F6F"/>
    <w:rsid w:val="001C2DED"/>
    <w:rsid w:val="001C3698"/>
    <w:rsid w:val="001D50FD"/>
    <w:rsid w:val="001D7088"/>
    <w:rsid w:val="001D7BE2"/>
    <w:rsid w:val="001E14D0"/>
    <w:rsid w:val="001F1399"/>
    <w:rsid w:val="001F1964"/>
    <w:rsid w:val="001F369B"/>
    <w:rsid w:val="001F77ED"/>
    <w:rsid w:val="002048BF"/>
    <w:rsid w:val="00206B68"/>
    <w:rsid w:val="0021019B"/>
    <w:rsid w:val="00213129"/>
    <w:rsid w:val="002219CA"/>
    <w:rsid w:val="00222635"/>
    <w:rsid w:val="00225C2E"/>
    <w:rsid w:val="00225CBE"/>
    <w:rsid w:val="00243167"/>
    <w:rsid w:val="00243B06"/>
    <w:rsid w:val="00244C49"/>
    <w:rsid w:val="00245D52"/>
    <w:rsid w:val="00250AD0"/>
    <w:rsid w:val="00251EB5"/>
    <w:rsid w:val="00253F01"/>
    <w:rsid w:val="00255776"/>
    <w:rsid w:val="00260E46"/>
    <w:rsid w:val="00261A78"/>
    <w:rsid w:val="0026248F"/>
    <w:rsid w:val="00265D7E"/>
    <w:rsid w:val="00266430"/>
    <w:rsid w:val="00266E8C"/>
    <w:rsid w:val="00266F81"/>
    <w:rsid w:val="002704D2"/>
    <w:rsid w:val="00270AD7"/>
    <w:rsid w:val="00273095"/>
    <w:rsid w:val="00275CEB"/>
    <w:rsid w:val="00292D7F"/>
    <w:rsid w:val="002933CA"/>
    <w:rsid w:val="0029361C"/>
    <w:rsid w:val="0029436A"/>
    <w:rsid w:val="00294EA6"/>
    <w:rsid w:val="00296449"/>
    <w:rsid w:val="00297B42"/>
    <w:rsid w:val="002A0946"/>
    <w:rsid w:val="002A21CF"/>
    <w:rsid w:val="002B6D79"/>
    <w:rsid w:val="002B7CD2"/>
    <w:rsid w:val="002C0E3D"/>
    <w:rsid w:val="002C3B2F"/>
    <w:rsid w:val="002C4BE7"/>
    <w:rsid w:val="002C5977"/>
    <w:rsid w:val="002C7012"/>
    <w:rsid w:val="002C7A5B"/>
    <w:rsid w:val="002D23C2"/>
    <w:rsid w:val="002D3336"/>
    <w:rsid w:val="002D4BED"/>
    <w:rsid w:val="002D7356"/>
    <w:rsid w:val="002D7FFC"/>
    <w:rsid w:val="002E5789"/>
    <w:rsid w:val="002F3F8B"/>
    <w:rsid w:val="002F615B"/>
    <w:rsid w:val="0030333D"/>
    <w:rsid w:val="00306C6E"/>
    <w:rsid w:val="00313672"/>
    <w:rsid w:val="00315E3F"/>
    <w:rsid w:val="0031613E"/>
    <w:rsid w:val="003163CD"/>
    <w:rsid w:val="00320218"/>
    <w:rsid w:val="003207BB"/>
    <w:rsid w:val="003215DD"/>
    <w:rsid w:val="003240AC"/>
    <w:rsid w:val="00324B23"/>
    <w:rsid w:val="003303E2"/>
    <w:rsid w:val="00331491"/>
    <w:rsid w:val="00333F3A"/>
    <w:rsid w:val="003363C6"/>
    <w:rsid w:val="00340DC6"/>
    <w:rsid w:val="00345AA7"/>
    <w:rsid w:val="0034682D"/>
    <w:rsid w:val="00347FC5"/>
    <w:rsid w:val="0035145C"/>
    <w:rsid w:val="0035637E"/>
    <w:rsid w:val="003615E8"/>
    <w:rsid w:val="00364F45"/>
    <w:rsid w:val="00370845"/>
    <w:rsid w:val="00371957"/>
    <w:rsid w:val="00371A12"/>
    <w:rsid w:val="00372571"/>
    <w:rsid w:val="00375601"/>
    <w:rsid w:val="00380E85"/>
    <w:rsid w:val="00381798"/>
    <w:rsid w:val="00384969"/>
    <w:rsid w:val="003912A4"/>
    <w:rsid w:val="0039175B"/>
    <w:rsid w:val="00391E45"/>
    <w:rsid w:val="00397714"/>
    <w:rsid w:val="003979E5"/>
    <w:rsid w:val="003A20C7"/>
    <w:rsid w:val="003A2EF7"/>
    <w:rsid w:val="003A43D6"/>
    <w:rsid w:val="003A4DFF"/>
    <w:rsid w:val="003A6730"/>
    <w:rsid w:val="003B0FC1"/>
    <w:rsid w:val="003B4798"/>
    <w:rsid w:val="003B539A"/>
    <w:rsid w:val="003B6197"/>
    <w:rsid w:val="003B635D"/>
    <w:rsid w:val="003B6975"/>
    <w:rsid w:val="003C367E"/>
    <w:rsid w:val="003C6D15"/>
    <w:rsid w:val="003E7F33"/>
    <w:rsid w:val="003F158B"/>
    <w:rsid w:val="003F2B75"/>
    <w:rsid w:val="003F3CFB"/>
    <w:rsid w:val="003F3D3C"/>
    <w:rsid w:val="003F656B"/>
    <w:rsid w:val="00401884"/>
    <w:rsid w:val="00402200"/>
    <w:rsid w:val="00402BF7"/>
    <w:rsid w:val="00404E3E"/>
    <w:rsid w:val="00407200"/>
    <w:rsid w:val="0041655C"/>
    <w:rsid w:val="004172D5"/>
    <w:rsid w:val="004200CE"/>
    <w:rsid w:val="0042232B"/>
    <w:rsid w:val="00425500"/>
    <w:rsid w:val="004261D8"/>
    <w:rsid w:val="004267C0"/>
    <w:rsid w:val="004278A4"/>
    <w:rsid w:val="00431EB7"/>
    <w:rsid w:val="004323BD"/>
    <w:rsid w:val="004337F4"/>
    <w:rsid w:val="00440C81"/>
    <w:rsid w:val="00442220"/>
    <w:rsid w:val="00442703"/>
    <w:rsid w:val="00442826"/>
    <w:rsid w:val="00444803"/>
    <w:rsid w:val="00450E01"/>
    <w:rsid w:val="0045296A"/>
    <w:rsid w:val="00452E32"/>
    <w:rsid w:val="00453B64"/>
    <w:rsid w:val="00455470"/>
    <w:rsid w:val="00455CBA"/>
    <w:rsid w:val="00457376"/>
    <w:rsid w:val="004622C5"/>
    <w:rsid w:val="0046280C"/>
    <w:rsid w:val="00471920"/>
    <w:rsid w:val="00471E34"/>
    <w:rsid w:val="00472C48"/>
    <w:rsid w:val="004733B7"/>
    <w:rsid w:val="00473BE9"/>
    <w:rsid w:val="00474904"/>
    <w:rsid w:val="00484404"/>
    <w:rsid w:val="00485020"/>
    <w:rsid w:val="00486BC8"/>
    <w:rsid w:val="00491C7B"/>
    <w:rsid w:val="004923C1"/>
    <w:rsid w:val="00493E05"/>
    <w:rsid w:val="00494DD8"/>
    <w:rsid w:val="00495ACB"/>
    <w:rsid w:val="00497D1D"/>
    <w:rsid w:val="004A2381"/>
    <w:rsid w:val="004A35CB"/>
    <w:rsid w:val="004A5F16"/>
    <w:rsid w:val="004A72DC"/>
    <w:rsid w:val="004B049E"/>
    <w:rsid w:val="004B192D"/>
    <w:rsid w:val="004B49EE"/>
    <w:rsid w:val="004C322B"/>
    <w:rsid w:val="004C53FB"/>
    <w:rsid w:val="004D08D9"/>
    <w:rsid w:val="004D2961"/>
    <w:rsid w:val="004D2E5B"/>
    <w:rsid w:val="004D3445"/>
    <w:rsid w:val="004D38C5"/>
    <w:rsid w:val="004D4FE5"/>
    <w:rsid w:val="004D5E41"/>
    <w:rsid w:val="004D6629"/>
    <w:rsid w:val="004D67C0"/>
    <w:rsid w:val="004D75A3"/>
    <w:rsid w:val="004E7D43"/>
    <w:rsid w:val="004F19E5"/>
    <w:rsid w:val="004F3504"/>
    <w:rsid w:val="0050052E"/>
    <w:rsid w:val="00502295"/>
    <w:rsid w:val="005032B1"/>
    <w:rsid w:val="00506728"/>
    <w:rsid w:val="00510DE0"/>
    <w:rsid w:val="00510F0B"/>
    <w:rsid w:val="00512B2B"/>
    <w:rsid w:val="00513717"/>
    <w:rsid w:val="00517361"/>
    <w:rsid w:val="00517737"/>
    <w:rsid w:val="005219DB"/>
    <w:rsid w:val="00522CE6"/>
    <w:rsid w:val="005237EE"/>
    <w:rsid w:val="00526ED2"/>
    <w:rsid w:val="0053119E"/>
    <w:rsid w:val="00540089"/>
    <w:rsid w:val="00542AEA"/>
    <w:rsid w:val="00544079"/>
    <w:rsid w:val="005475D9"/>
    <w:rsid w:val="0054772F"/>
    <w:rsid w:val="00554805"/>
    <w:rsid w:val="005550B9"/>
    <w:rsid w:val="00555897"/>
    <w:rsid w:val="00557517"/>
    <w:rsid w:val="00571D28"/>
    <w:rsid w:val="00572532"/>
    <w:rsid w:val="00572B71"/>
    <w:rsid w:val="00574BD3"/>
    <w:rsid w:val="0057721A"/>
    <w:rsid w:val="00580C48"/>
    <w:rsid w:val="00580EA8"/>
    <w:rsid w:val="00581182"/>
    <w:rsid w:val="00583219"/>
    <w:rsid w:val="00585784"/>
    <w:rsid w:val="00593DB3"/>
    <w:rsid w:val="00594F9B"/>
    <w:rsid w:val="005A0CF3"/>
    <w:rsid w:val="005A1FAD"/>
    <w:rsid w:val="005A6D4A"/>
    <w:rsid w:val="005B0D11"/>
    <w:rsid w:val="005B1E7B"/>
    <w:rsid w:val="005B35A1"/>
    <w:rsid w:val="005C002C"/>
    <w:rsid w:val="005C070C"/>
    <w:rsid w:val="005C0C18"/>
    <w:rsid w:val="005C15D8"/>
    <w:rsid w:val="005C4AEC"/>
    <w:rsid w:val="005C600E"/>
    <w:rsid w:val="005C74F0"/>
    <w:rsid w:val="005D081E"/>
    <w:rsid w:val="005D5317"/>
    <w:rsid w:val="005D73BD"/>
    <w:rsid w:val="005E0565"/>
    <w:rsid w:val="005E05F6"/>
    <w:rsid w:val="005E0E01"/>
    <w:rsid w:val="005E1405"/>
    <w:rsid w:val="005E2373"/>
    <w:rsid w:val="005E255E"/>
    <w:rsid w:val="005E2DEA"/>
    <w:rsid w:val="005E2E64"/>
    <w:rsid w:val="005E46E7"/>
    <w:rsid w:val="005E6D57"/>
    <w:rsid w:val="005F124F"/>
    <w:rsid w:val="006010C0"/>
    <w:rsid w:val="00602572"/>
    <w:rsid w:val="00602581"/>
    <w:rsid w:val="00615245"/>
    <w:rsid w:val="006163F0"/>
    <w:rsid w:val="0062434F"/>
    <w:rsid w:val="00625CFB"/>
    <w:rsid w:val="006326C2"/>
    <w:rsid w:val="006357BF"/>
    <w:rsid w:val="00635E3E"/>
    <w:rsid w:val="00641C59"/>
    <w:rsid w:val="006439BF"/>
    <w:rsid w:val="00647088"/>
    <w:rsid w:val="0065321B"/>
    <w:rsid w:val="00653A77"/>
    <w:rsid w:val="00661E33"/>
    <w:rsid w:val="006652F8"/>
    <w:rsid w:val="00670460"/>
    <w:rsid w:val="0067119E"/>
    <w:rsid w:val="00675FAB"/>
    <w:rsid w:val="00684A3C"/>
    <w:rsid w:val="00691E23"/>
    <w:rsid w:val="006924D1"/>
    <w:rsid w:val="006934CA"/>
    <w:rsid w:val="00694181"/>
    <w:rsid w:val="00696A3A"/>
    <w:rsid w:val="0069729D"/>
    <w:rsid w:val="006A2485"/>
    <w:rsid w:val="006A4BCA"/>
    <w:rsid w:val="006B07C3"/>
    <w:rsid w:val="006B1A86"/>
    <w:rsid w:val="006B1D39"/>
    <w:rsid w:val="006B2212"/>
    <w:rsid w:val="006B47B9"/>
    <w:rsid w:val="006B7708"/>
    <w:rsid w:val="006C25C2"/>
    <w:rsid w:val="006D43B5"/>
    <w:rsid w:val="006D4631"/>
    <w:rsid w:val="006D5746"/>
    <w:rsid w:val="006D5E48"/>
    <w:rsid w:val="006D5ED9"/>
    <w:rsid w:val="006E1F71"/>
    <w:rsid w:val="006E1FFF"/>
    <w:rsid w:val="006E3642"/>
    <w:rsid w:val="006E795B"/>
    <w:rsid w:val="006F0378"/>
    <w:rsid w:val="006F133A"/>
    <w:rsid w:val="006F484B"/>
    <w:rsid w:val="006F48EC"/>
    <w:rsid w:val="00701C5A"/>
    <w:rsid w:val="00701D45"/>
    <w:rsid w:val="007034CB"/>
    <w:rsid w:val="00707ABF"/>
    <w:rsid w:val="00710E29"/>
    <w:rsid w:val="00714DFE"/>
    <w:rsid w:val="007174D4"/>
    <w:rsid w:val="0071792A"/>
    <w:rsid w:val="00724FF1"/>
    <w:rsid w:val="00726124"/>
    <w:rsid w:val="00730B66"/>
    <w:rsid w:val="0073298B"/>
    <w:rsid w:val="00734D35"/>
    <w:rsid w:val="00740D74"/>
    <w:rsid w:val="00742728"/>
    <w:rsid w:val="007433A4"/>
    <w:rsid w:val="00745812"/>
    <w:rsid w:val="00746CA8"/>
    <w:rsid w:val="00750100"/>
    <w:rsid w:val="00750EE9"/>
    <w:rsid w:val="0075211D"/>
    <w:rsid w:val="007543EC"/>
    <w:rsid w:val="00754F48"/>
    <w:rsid w:val="0075547C"/>
    <w:rsid w:val="00755546"/>
    <w:rsid w:val="007569E7"/>
    <w:rsid w:val="007607FB"/>
    <w:rsid w:val="0076094E"/>
    <w:rsid w:val="00760DF6"/>
    <w:rsid w:val="00761702"/>
    <w:rsid w:val="00761F20"/>
    <w:rsid w:val="00764222"/>
    <w:rsid w:val="00764467"/>
    <w:rsid w:val="00764E2C"/>
    <w:rsid w:val="0077191A"/>
    <w:rsid w:val="0077243F"/>
    <w:rsid w:val="00774755"/>
    <w:rsid w:val="00777AD3"/>
    <w:rsid w:val="007805E4"/>
    <w:rsid w:val="00780879"/>
    <w:rsid w:val="00782943"/>
    <w:rsid w:val="00782D3B"/>
    <w:rsid w:val="007848B9"/>
    <w:rsid w:val="00785342"/>
    <w:rsid w:val="0079006B"/>
    <w:rsid w:val="00793193"/>
    <w:rsid w:val="00793B6D"/>
    <w:rsid w:val="00795402"/>
    <w:rsid w:val="007A16EA"/>
    <w:rsid w:val="007A35F2"/>
    <w:rsid w:val="007A4621"/>
    <w:rsid w:val="007A533B"/>
    <w:rsid w:val="007A721A"/>
    <w:rsid w:val="007A723E"/>
    <w:rsid w:val="007B21B1"/>
    <w:rsid w:val="007B3CCC"/>
    <w:rsid w:val="007B66EA"/>
    <w:rsid w:val="007C23B4"/>
    <w:rsid w:val="007C23EA"/>
    <w:rsid w:val="007C4FFE"/>
    <w:rsid w:val="007D3368"/>
    <w:rsid w:val="007D7F5D"/>
    <w:rsid w:val="007E2AF3"/>
    <w:rsid w:val="007E7E28"/>
    <w:rsid w:val="007F136F"/>
    <w:rsid w:val="007F1C00"/>
    <w:rsid w:val="007F3EAD"/>
    <w:rsid w:val="007F5E6D"/>
    <w:rsid w:val="007F62F0"/>
    <w:rsid w:val="00802B8C"/>
    <w:rsid w:val="00802C93"/>
    <w:rsid w:val="00803E98"/>
    <w:rsid w:val="008102E8"/>
    <w:rsid w:val="00810E57"/>
    <w:rsid w:val="008114AB"/>
    <w:rsid w:val="00816096"/>
    <w:rsid w:val="0081794E"/>
    <w:rsid w:val="00824050"/>
    <w:rsid w:val="008318F1"/>
    <w:rsid w:val="00831C3A"/>
    <w:rsid w:val="00833ACD"/>
    <w:rsid w:val="00841F74"/>
    <w:rsid w:val="008458EA"/>
    <w:rsid w:val="0084679F"/>
    <w:rsid w:val="00846D40"/>
    <w:rsid w:val="0085304F"/>
    <w:rsid w:val="00857D9B"/>
    <w:rsid w:val="00861434"/>
    <w:rsid w:val="00861668"/>
    <w:rsid w:val="00862637"/>
    <w:rsid w:val="00862C65"/>
    <w:rsid w:val="00863088"/>
    <w:rsid w:val="00867B17"/>
    <w:rsid w:val="0087173A"/>
    <w:rsid w:val="008725AE"/>
    <w:rsid w:val="00874CE7"/>
    <w:rsid w:val="00881307"/>
    <w:rsid w:val="008815AA"/>
    <w:rsid w:val="00882A98"/>
    <w:rsid w:val="00883342"/>
    <w:rsid w:val="00891A9F"/>
    <w:rsid w:val="00891D3A"/>
    <w:rsid w:val="00892F20"/>
    <w:rsid w:val="00896431"/>
    <w:rsid w:val="008A130C"/>
    <w:rsid w:val="008A20DC"/>
    <w:rsid w:val="008A36E2"/>
    <w:rsid w:val="008A68DA"/>
    <w:rsid w:val="008B1B9B"/>
    <w:rsid w:val="008B2BA0"/>
    <w:rsid w:val="008B4A6E"/>
    <w:rsid w:val="008B50ED"/>
    <w:rsid w:val="008B556C"/>
    <w:rsid w:val="008B5A6C"/>
    <w:rsid w:val="008C09C0"/>
    <w:rsid w:val="008C270C"/>
    <w:rsid w:val="008C41CF"/>
    <w:rsid w:val="008C6594"/>
    <w:rsid w:val="008C6D7E"/>
    <w:rsid w:val="008D04C2"/>
    <w:rsid w:val="008D0DC2"/>
    <w:rsid w:val="008D2C45"/>
    <w:rsid w:val="008D5F54"/>
    <w:rsid w:val="008D600B"/>
    <w:rsid w:val="008D7DBF"/>
    <w:rsid w:val="008F100C"/>
    <w:rsid w:val="008F18F4"/>
    <w:rsid w:val="008F1CF4"/>
    <w:rsid w:val="008F35F7"/>
    <w:rsid w:val="0090145F"/>
    <w:rsid w:val="00902DE8"/>
    <w:rsid w:val="00903C8C"/>
    <w:rsid w:val="00905A08"/>
    <w:rsid w:val="00906990"/>
    <w:rsid w:val="0091167A"/>
    <w:rsid w:val="009122B9"/>
    <w:rsid w:val="009130B9"/>
    <w:rsid w:val="009245D1"/>
    <w:rsid w:val="00924FC3"/>
    <w:rsid w:val="009306AA"/>
    <w:rsid w:val="00930897"/>
    <w:rsid w:val="00933521"/>
    <w:rsid w:val="0093662C"/>
    <w:rsid w:val="009402FC"/>
    <w:rsid w:val="0094365A"/>
    <w:rsid w:val="00944AC7"/>
    <w:rsid w:val="00944C9C"/>
    <w:rsid w:val="00955122"/>
    <w:rsid w:val="00955250"/>
    <w:rsid w:val="00955689"/>
    <w:rsid w:val="00955725"/>
    <w:rsid w:val="00956B43"/>
    <w:rsid w:val="0096104C"/>
    <w:rsid w:val="00961286"/>
    <w:rsid w:val="00974D61"/>
    <w:rsid w:val="009763B3"/>
    <w:rsid w:val="00976492"/>
    <w:rsid w:val="00977CE8"/>
    <w:rsid w:val="0098100A"/>
    <w:rsid w:val="0098285D"/>
    <w:rsid w:val="0098466A"/>
    <w:rsid w:val="0098644F"/>
    <w:rsid w:val="00986A69"/>
    <w:rsid w:val="00986BE7"/>
    <w:rsid w:val="00986EC4"/>
    <w:rsid w:val="00995782"/>
    <w:rsid w:val="00996338"/>
    <w:rsid w:val="00997FB4"/>
    <w:rsid w:val="009A2164"/>
    <w:rsid w:val="009A51AE"/>
    <w:rsid w:val="009A64A3"/>
    <w:rsid w:val="009B2112"/>
    <w:rsid w:val="009B4D28"/>
    <w:rsid w:val="009B5C1B"/>
    <w:rsid w:val="009B7140"/>
    <w:rsid w:val="009B7731"/>
    <w:rsid w:val="009B79C1"/>
    <w:rsid w:val="009C4E40"/>
    <w:rsid w:val="009C4FC1"/>
    <w:rsid w:val="009D0670"/>
    <w:rsid w:val="009D186E"/>
    <w:rsid w:val="009D3026"/>
    <w:rsid w:val="009D63F1"/>
    <w:rsid w:val="009D701A"/>
    <w:rsid w:val="009E1447"/>
    <w:rsid w:val="009E280E"/>
    <w:rsid w:val="009E3720"/>
    <w:rsid w:val="009E57C6"/>
    <w:rsid w:val="009E6CF1"/>
    <w:rsid w:val="009F00E4"/>
    <w:rsid w:val="009F0A3A"/>
    <w:rsid w:val="009F2A7F"/>
    <w:rsid w:val="009F54E3"/>
    <w:rsid w:val="00A008D3"/>
    <w:rsid w:val="00A021A3"/>
    <w:rsid w:val="00A05CC8"/>
    <w:rsid w:val="00A07933"/>
    <w:rsid w:val="00A17E59"/>
    <w:rsid w:val="00A232E9"/>
    <w:rsid w:val="00A257CD"/>
    <w:rsid w:val="00A2758A"/>
    <w:rsid w:val="00A3172C"/>
    <w:rsid w:val="00A33567"/>
    <w:rsid w:val="00A429FD"/>
    <w:rsid w:val="00A44EA3"/>
    <w:rsid w:val="00A463F8"/>
    <w:rsid w:val="00A46F68"/>
    <w:rsid w:val="00A514FE"/>
    <w:rsid w:val="00A60587"/>
    <w:rsid w:val="00A630BF"/>
    <w:rsid w:val="00A64EA6"/>
    <w:rsid w:val="00A66C59"/>
    <w:rsid w:val="00A72485"/>
    <w:rsid w:val="00A7308D"/>
    <w:rsid w:val="00A73DE3"/>
    <w:rsid w:val="00A73E15"/>
    <w:rsid w:val="00A761C7"/>
    <w:rsid w:val="00A76B4A"/>
    <w:rsid w:val="00A778B0"/>
    <w:rsid w:val="00A82305"/>
    <w:rsid w:val="00A82C3C"/>
    <w:rsid w:val="00A96EE3"/>
    <w:rsid w:val="00A97D6C"/>
    <w:rsid w:val="00AA04DA"/>
    <w:rsid w:val="00AA09DF"/>
    <w:rsid w:val="00AA3108"/>
    <w:rsid w:val="00AA3160"/>
    <w:rsid w:val="00AB5D4E"/>
    <w:rsid w:val="00AC14A7"/>
    <w:rsid w:val="00AC1709"/>
    <w:rsid w:val="00AC2374"/>
    <w:rsid w:val="00AC2D14"/>
    <w:rsid w:val="00AC6252"/>
    <w:rsid w:val="00AD1CC1"/>
    <w:rsid w:val="00AD473A"/>
    <w:rsid w:val="00AD52C8"/>
    <w:rsid w:val="00AD7E28"/>
    <w:rsid w:val="00AE00AC"/>
    <w:rsid w:val="00AE3AFB"/>
    <w:rsid w:val="00AE4E9C"/>
    <w:rsid w:val="00AF0823"/>
    <w:rsid w:val="00AF2464"/>
    <w:rsid w:val="00AF29B7"/>
    <w:rsid w:val="00AF4442"/>
    <w:rsid w:val="00AF470E"/>
    <w:rsid w:val="00AF7FCF"/>
    <w:rsid w:val="00B04EAE"/>
    <w:rsid w:val="00B07622"/>
    <w:rsid w:val="00B116BB"/>
    <w:rsid w:val="00B1498F"/>
    <w:rsid w:val="00B16509"/>
    <w:rsid w:val="00B2259E"/>
    <w:rsid w:val="00B22E4F"/>
    <w:rsid w:val="00B26215"/>
    <w:rsid w:val="00B27338"/>
    <w:rsid w:val="00B2763B"/>
    <w:rsid w:val="00B312A4"/>
    <w:rsid w:val="00B31869"/>
    <w:rsid w:val="00B325C1"/>
    <w:rsid w:val="00B408A1"/>
    <w:rsid w:val="00B477DA"/>
    <w:rsid w:val="00B50154"/>
    <w:rsid w:val="00B50AB9"/>
    <w:rsid w:val="00B53E1D"/>
    <w:rsid w:val="00B541FA"/>
    <w:rsid w:val="00B55BA5"/>
    <w:rsid w:val="00B5622D"/>
    <w:rsid w:val="00B566F2"/>
    <w:rsid w:val="00B57A66"/>
    <w:rsid w:val="00B61E52"/>
    <w:rsid w:val="00B651B7"/>
    <w:rsid w:val="00B6542B"/>
    <w:rsid w:val="00B67235"/>
    <w:rsid w:val="00B67589"/>
    <w:rsid w:val="00B70E6F"/>
    <w:rsid w:val="00B741D0"/>
    <w:rsid w:val="00B773F5"/>
    <w:rsid w:val="00B83AE8"/>
    <w:rsid w:val="00B860D9"/>
    <w:rsid w:val="00B86303"/>
    <w:rsid w:val="00B87BB4"/>
    <w:rsid w:val="00B91AAB"/>
    <w:rsid w:val="00BA7204"/>
    <w:rsid w:val="00BB47E0"/>
    <w:rsid w:val="00BB5DB5"/>
    <w:rsid w:val="00BC02F0"/>
    <w:rsid w:val="00BC280A"/>
    <w:rsid w:val="00BC4D48"/>
    <w:rsid w:val="00BC63F4"/>
    <w:rsid w:val="00BD603D"/>
    <w:rsid w:val="00BD6DE2"/>
    <w:rsid w:val="00BD79B5"/>
    <w:rsid w:val="00BE06CD"/>
    <w:rsid w:val="00BE1273"/>
    <w:rsid w:val="00BE4697"/>
    <w:rsid w:val="00BF2FBF"/>
    <w:rsid w:val="00BF7D33"/>
    <w:rsid w:val="00C0719E"/>
    <w:rsid w:val="00C1128E"/>
    <w:rsid w:val="00C11FB6"/>
    <w:rsid w:val="00C17866"/>
    <w:rsid w:val="00C2012A"/>
    <w:rsid w:val="00C20462"/>
    <w:rsid w:val="00C232DF"/>
    <w:rsid w:val="00C2680A"/>
    <w:rsid w:val="00C272E7"/>
    <w:rsid w:val="00C34274"/>
    <w:rsid w:val="00C34462"/>
    <w:rsid w:val="00C3457A"/>
    <w:rsid w:val="00C347D7"/>
    <w:rsid w:val="00C43924"/>
    <w:rsid w:val="00C43A7E"/>
    <w:rsid w:val="00C469FD"/>
    <w:rsid w:val="00C52D65"/>
    <w:rsid w:val="00C5761D"/>
    <w:rsid w:val="00C62368"/>
    <w:rsid w:val="00C64C56"/>
    <w:rsid w:val="00C65BCD"/>
    <w:rsid w:val="00C7158F"/>
    <w:rsid w:val="00C8353A"/>
    <w:rsid w:val="00C85E47"/>
    <w:rsid w:val="00C86ADE"/>
    <w:rsid w:val="00C90C8C"/>
    <w:rsid w:val="00C955FD"/>
    <w:rsid w:val="00C97F5B"/>
    <w:rsid w:val="00CA0BC5"/>
    <w:rsid w:val="00CA5B0F"/>
    <w:rsid w:val="00CA668A"/>
    <w:rsid w:val="00CA7000"/>
    <w:rsid w:val="00CA7AF4"/>
    <w:rsid w:val="00CB0738"/>
    <w:rsid w:val="00CB1348"/>
    <w:rsid w:val="00CB6B4A"/>
    <w:rsid w:val="00CC0913"/>
    <w:rsid w:val="00CC0946"/>
    <w:rsid w:val="00CC0D78"/>
    <w:rsid w:val="00CC337D"/>
    <w:rsid w:val="00CC3F2E"/>
    <w:rsid w:val="00CC49E5"/>
    <w:rsid w:val="00CD3214"/>
    <w:rsid w:val="00CD37FD"/>
    <w:rsid w:val="00CD400E"/>
    <w:rsid w:val="00CD4091"/>
    <w:rsid w:val="00CD5B1C"/>
    <w:rsid w:val="00CE00EE"/>
    <w:rsid w:val="00CE56D9"/>
    <w:rsid w:val="00CE6A77"/>
    <w:rsid w:val="00CF0F14"/>
    <w:rsid w:val="00CF2D34"/>
    <w:rsid w:val="00D03804"/>
    <w:rsid w:val="00D05641"/>
    <w:rsid w:val="00D066F4"/>
    <w:rsid w:val="00D06BEB"/>
    <w:rsid w:val="00D116AE"/>
    <w:rsid w:val="00D14ED6"/>
    <w:rsid w:val="00D1796E"/>
    <w:rsid w:val="00D21F9B"/>
    <w:rsid w:val="00D242CF"/>
    <w:rsid w:val="00D25703"/>
    <w:rsid w:val="00D25C33"/>
    <w:rsid w:val="00D2617F"/>
    <w:rsid w:val="00D30096"/>
    <w:rsid w:val="00D31234"/>
    <w:rsid w:val="00D33E67"/>
    <w:rsid w:val="00D34432"/>
    <w:rsid w:val="00D37D68"/>
    <w:rsid w:val="00D4104E"/>
    <w:rsid w:val="00D435A0"/>
    <w:rsid w:val="00D45FC5"/>
    <w:rsid w:val="00D478AC"/>
    <w:rsid w:val="00D525CD"/>
    <w:rsid w:val="00D53FAF"/>
    <w:rsid w:val="00D54CC0"/>
    <w:rsid w:val="00D5567B"/>
    <w:rsid w:val="00D57E59"/>
    <w:rsid w:val="00D6372E"/>
    <w:rsid w:val="00D70050"/>
    <w:rsid w:val="00D74231"/>
    <w:rsid w:val="00D7590F"/>
    <w:rsid w:val="00D75C57"/>
    <w:rsid w:val="00D82583"/>
    <w:rsid w:val="00D84D85"/>
    <w:rsid w:val="00D96E85"/>
    <w:rsid w:val="00D9726D"/>
    <w:rsid w:val="00DA091A"/>
    <w:rsid w:val="00DA4D2A"/>
    <w:rsid w:val="00DA518C"/>
    <w:rsid w:val="00DB0116"/>
    <w:rsid w:val="00DB0A36"/>
    <w:rsid w:val="00DB1BEB"/>
    <w:rsid w:val="00DB42E8"/>
    <w:rsid w:val="00DB5FD1"/>
    <w:rsid w:val="00DB6EDB"/>
    <w:rsid w:val="00DB793C"/>
    <w:rsid w:val="00DC19E8"/>
    <w:rsid w:val="00DC3067"/>
    <w:rsid w:val="00DC3524"/>
    <w:rsid w:val="00DC5F7F"/>
    <w:rsid w:val="00DD2C56"/>
    <w:rsid w:val="00DE1493"/>
    <w:rsid w:val="00DE1662"/>
    <w:rsid w:val="00DE4B7A"/>
    <w:rsid w:val="00DE7690"/>
    <w:rsid w:val="00DE7FBC"/>
    <w:rsid w:val="00DF21CF"/>
    <w:rsid w:val="00DF2D6B"/>
    <w:rsid w:val="00DF7B6A"/>
    <w:rsid w:val="00E00A19"/>
    <w:rsid w:val="00E013D8"/>
    <w:rsid w:val="00E02879"/>
    <w:rsid w:val="00E05C8F"/>
    <w:rsid w:val="00E06AFC"/>
    <w:rsid w:val="00E06C35"/>
    <w:rsid w:val="00E1149C"/>
    <w:rsid w:val="00E12359"/>
    <w:rsid w:val="00E13890"/>
    <w:rsid w:val="00E15394"/>
    <w:rsid w:val="00E153D9"/>
    <w:rsid w:val="00E16005"/>
    <w:rsid w:val="00E20526"/>
    <w:rsid w:val="00E20A19"/>
    <w:rsid w:val="00E215FD"/>
    <w:rsid w:val="00E2352D"/>
    <w:rsid w:val="00E25817"/>
    <w:rsid w:val="00E37EC1"/>
    <w:rsid w:val="00E54C4B"/>
    <w:rsid w:val="00E55232"/>
    <w:rsid w:val="00E56B20"/>
    <w:rsid w:val="00E61FF9"/>
    <w:rsid w:val="00E67329"/>
    <w:rsid w:val="00E77AB8"/>
    <w:rsid w:val="00E80027"/>
    <w:rsid w:val="00E83404"/>
    <w:rsid w:val="00E83D2C"/>
    <w:rsid w:val="00E8498D"/>
    <w:rsid w:val="00E94843"/>
    <w:rsid w:val="00EA06AC"/>
    <w:rsid w:val="00EA3F60"/>
    <w:rsid w:val="00EA5BFB"/>
    <w:rsid w:val="00EB57FB"/>
    <w:rsid w:val="00EB7C02"/>
    <w:rsid w:val="00EC1CF9"/>
    <w:rsid w:val="00EC2001"/>
    <w:rsid w:val="00EC5DA9"/>
    <w:rsid w:val="00EC682F"/>
    <w:rsid w:val="00EC6C79"/>
    <w:rsid w:val="00ED5911"/>
    <w:rsid w:val="00EE068A"/>
    <w:rsid w:val="00EE223E"/>
    <w:rsid w:val="00EF011C"/>
    <w:rsid w:val="00EF1172"/>
    <w:rsid w:val="00EF16B7"/>
    <w:rsid w:val="00EF359D"/>
    <w:rsid w:val="00EF3D8B"/>
    <w:rsid w:val="00F016F2"/>
    <w:rsid w:val="00F04E46"/>
    <w:rsid w:val="00F073EA"/>
    <w:rsid w:val="00F23363"/>
    <w:rsid w:val="00F26896"/>
    <w:rsid w:val="00F3263B"/>
    <w:rsid w:val="00F37612"/>
    <w:rsid w:val="00F4260B"/>
    <w:rsid w:val="00F42694"/>
    <w:rsid w:val="00F46E53"/>
    <w:rsid w:val="00F53743"/>
    <w:rsid w:val="00F56EB8"/>
    <w:rsid w:val="00F609A5"/>
    <w:rsid w:val="00F621A4"/>
    <w:rsid w:val="00F62909"/>
    <w:rsid w:val="00F653A1"/>
    <w:rsid w:val="00F718CA"/>
    <w:rsid w:val="00F77EBB"/>
    <w:rsid w:val="00F80CD2"/>
    <w:rsid w:val="00F82DBE"/>
    <w:rsid w:val="00F84842"/>
    <w:rsid w:val="00F86712"/>
    <w:rsid w:val="00F90183"/>
    <w:rsid w:val="00F9065F"/>
    <w:rsid w:val="00F96BC9"/>
    <w:rsid w:val="00FA004B"/>
    <w:rsid w:val="00FA1140"/>
    <w:rsid w:val="00FA3924"/>
    <w:rsid w:val="00FA413D"/>
    <w:rsid w:val="00FA46E7"/>
    <w:rsid w:val="00FC0A25"/>
    <w:rsid w:val="00FC2289"/>
    <w:rsid w:val="00FC341D"/>
    <w:rsid w:val="00FC778D"/>
    <w:rsid w:val="00FD08E0"/>
    <w:rsid w:val="00FD1AA3"/>
    <w:rsid w:val="00FD1BA4"/>
    <w:rsid w:val="00FD2A0F"/>
    <w:rsid w:val="00FD7777"/>
    <w:rsid w:val="00FE2E02"/>
    <w:rsid w:val="00FE371B"/>
    <w:rsid w:val="00FE444B"/>
    <w:rsid w:val="00FE5D08"/>
    <w:rsid w:val="00FE6E00"/>
    <w:rsid w:val="00FF1E95"/>
  </w:rsids>
  <m:mathPr>
    <m:mathFont m:val="Cambria Math"/>
    <m:brkBin m:val="before"/>
    <m:brkBinSub m:val="--"/>
    <m:smallFrac m:val="0"/>
    <m:dispDef/>
    <m:lMargin m:val="0"/>
    <m:rMargin m:val="0"/>
    <m:defJc m:val="centerGroup"/>
    <m:wrapIndent m:val="1440"/>
    <m:intLim m:val="subSup"/>
    <m:naryLim m:val="undOvr"/>
  </m:mathPr>
  <w:themeFontLang w:val="es-E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9C911F"/>
  <w15:docId w15:val="{737A184A-7709-4A34-95E5-DA4230366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1"/>
        <w:szCs w:val="21"/>
        <w:lang w:val="es-ES"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2485"/>
  </w:style>
  <w:style w:type="paragraph" w:styleId="Heading1">
    <w:name w:val="heading 1"/>
    <w:basedOn w:val="Normal"/>
    <w:next w:val="Normal"/>
    <w:link w:val="Heading1Char"/>
    <w:uiPriority w:val="9"/>
    <w:qFormat/>
    <w:rsid w:val="006A2485"/>
    <w:pPr>
      <w:keepNext/>
      <w:keepLines/>
      <w:pBdr>
        <w:bottom w:val="single" w:sz="4" w:space="1" w:color="4472C4" w:themeColor="accent1"/>
      </w:pBdr>
      <w:spacing w:before="400" w:after="40" w:line="240" w:lineRule="auto"/>
      <w:outlineLvl w:val="0"/>
    </w:pPr>
    <w:rPr>
      <w:rFonts w:asciiTheme="majorHAnsi" w:eastAsiaTheme="majorEastAsia" w:hAnsiTheme="majorHAnsi" w:cstheme="majorBidi"/>
      <w:color w:val="2F5496" w:themeColor="accent1" w:themeShade="BF"/>
      <w:sz w:val="36"/>
      <w:szCs w:val="36"/>
    </w:rPr>
  </w:style>
  <w:style w:type="paragraph" w:styleId="Heading2">
    <w:name w:val="heading 2"/>
    <w:basedOn w:val="Normal"/>
    <w:next w:val="Normal"/>
    <w:link w:val="Heading2Char"/>
    <w:uiPriority w:val="9"/>
    <w:semiHidden/>
    <w:unhideWhenUsed/>
    <w:qFormat/>
    <w:rsid w:val="006A2485"/>
    <w:pPr>
      <w:keepNext/>
      <w:keepLines/>
      <w:spacing w:before="160" w:after="0" w:line="240" w:lineRule="auto"/>
      <w:outlineLvl w:val="1"/>
    </w:pPr>
    <w:rPr>
      <w:rFonts w:asciiTheme="majorHAnsi" w:eastAsiaTheme="majorEastAsia" w:hAnsiTheme="majorHAnsi" w:cstheme="majorBidi"/>
      <w:color w:val="2F5496" w:themeColor="accent1" w:themeShade="BF"/>
      <w:sz w:val="28"/>
      <w:szCs w:val="28"/>
    </w:rPr>
  </w:style>
  <w:style w:type="paragraph" w:styleId="Heading3">
    <w:name w:val="heading 3"/>
    <w:basedOn w:val="Normal"/>
    <w:next w:val="Normal"/>
    <w:link w:val="Heading3Char"/>
    <w:uiPriority w:val="9"/>
    <w:semiHidden/>
    <w:unhideWhenUsed/>
    <w:qFormat/>
    <w:rsid w:val="006A2485"/>
    <w:pPr>
      <w:keepNext/>
      <w:keepLines/>
      <w:spacing w:before="80" w:after="0" w:line="240" w:lineRule="auto"/>
      <w:outlineLvl w:val="2"/>
    </w:pPr>
    <w:rPr>
      <w:rFonts w:asciiTheme="majorHAnsi" w:eastAsiaTheme="majorEastAsia" w:hAnsiTheme="majorHAnsi" w:cstheme="majorBidi"/>
      <w:color w:val="404040" w:themeColor="text1" w:themeTint="BF"/>
      <w:sz w:val="26"/>
      <w:szCs w:val="26"/>
    </w:rPr>
  </w:style>
  <w:style w:type="paragraph" w:styleId="Heading4">
    <w:name w:val="heading 4"/>
    <w:basedOn w:val="Normal"/>
    <w:next w:val="Normal"/>
    <w:link w:val="Heading4Char"/>
    <w:uiPriority w:val="9"/>
    <w:semiHidden/>
    <w:unhideWhenUsed/>
    <w:qFormat/>
    <w:rsid w:val="006A2485"/>
    <w:pPr>
      <w:keepNext/>
      <w:keepLines/>
      <w:spacing w:before="80" w:after="0"/>
      <w:outlineLvl w:val="3"/>
    </w:pPr>
    <w:rPr>
      <w:rFonts w:asciiTheme="majorHAnsi" w:eastAsiaTheme="majorEastAsia" w:hAnsiTheme="majorHAnsi" w:cstheme="majorBidi"/>
      <w:sz w:val="24"/>
      <w:szCs w:val="24"/>
    </w:rPr>
  </w:style>
  <w:style w:type="paragraph" w:styleId="Heading5">
    <w:name w:val="heading 5"/>
    <w:basedOn w:val="Normal"/>
    <w:next w:val="Normal"/>
    <w:link w:val="Heading5Char"/>
    <w:uiPriority w:val="9"/>
    <w:semiHidden/>
    <w:unhideWhenUsed/>
    <w:qFormat/>
    <w:rsid w:val="006A2485"/>
    <w:pPr>
      <w:keepNext/>
      <w:keepLines/>
      <w:spacing w:before="80" w:after="0"/>
      <w:outlineLvl w:val="4"/>
    </w:pPr>
    <w:rPr>
      <w:rFonts w:asciiTheme="majorHAnsi" w:eastAsiaTheme="majorEastAsia" w:hAnsiTheme="majorHAnsi" w:cstheme="majorBidi"/>
      <w:i/>
      <w:iCs/>
      <w:sz w:val="22"/>
      <w:szCs w:val="22"/>
    </w:rPr>
  </w:style>
  <w:style w:type="paragraph" w:styleId="Heading6">
    <w:name w:val="heading 6"/>
    <w:basedOn w:val="Normal"/>
    <w:next w:val="Normal"/>
    <w:link w:val="Heading6Char"/>
    <w:uiPriority w:val="9"/>
    <w:semiHidden/>
    <w:unhideWhenUsed/>
    <w:qFormat/>
    <w:rsid w:val="006A2485"/>
    <w:pPr>
      <w:keepNext/>
      <w:keepLines/>
      <w:spacing w:before="80" w:after="0"/>
      <w:outlineLvl w:val="5"/>
    </w:pPr>
    <w:rPr>
      <w:rFonts w:asciiTheme="majorHAnsi" w:eastAsiaTheme="majorEastAsia" w:hAnsiTheme="majorHAnsi" w:cstheme="majorBidi"/>
      <w:color w:val="595959" w:themeColor="text1" w:themeTint="A6"/>
    </w:rPr>
  </w:style>
  <w:style w:type="paragraph" w:styleId="Heading7">
    <w:name w:val="heading 7"/>
    <w:basedOn w:val="Normal"/>
    <w:next w:val="Normal"/>
    <w:link w:val="Heading7Char"/>
    <w:uiPriority w:val="9"/>
    <w:semiHidden/>
    <w:unhideWhenUsed/>
    <w:qFormat/>
    <w:rsid w:val="006A2485"/>
    <w:pPr>
      <w:keepNext/>
      <w:keepLines/>
      <w:spacing w:before="80" w:after="0"/>
      <w:outlineLvl w:val="6"/>
    </w:pPr>
    <w:rPr>
      <w:rFonts w:asciiTheme="majorHAnsi" w:eastAsiaTheme="majorEastAsia" w:hAnsiTheme="majorHAnsi" w:cstheme="majorBidi"/>
      <w:i/>
      <w:iCs/>
      <w:color w:val="595959" w:themeColor="text1" w:themeTint="A6"/>
    </w:rPr>
  </w:style>
  <w:style w:type="paragraph" w:styleId="Heading8">
    <w:name w:val="heading 8"/>
    <w:basedOn w:val="Normal"/>
    <w:next w:val="Normal"/>
    <w:link w:val="Heading8Char"/>
    <w:uiPriority w:val="9"/>
    <w:semiHidden/>
    <w:unhideWhenUsed/>
    <w:qFormat/>
    <w:rsid w:val="006A2485"/>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Heading9">
    <w:name w:val="heading 9"/>
    <w:basedOn w:val="Normal"/>
    <w:next w:val="Normal"/>
    <w:link w:val="Heading9Char"/>
    <w:uiPriority w:val="9"/>
    <w:semiHidden/>
    <w:unhideWhenUsed/>
    <w:qFormat/>
    <w:rsid w:val="006A2485"/>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02572"/>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02572"/>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4C322B"/>
    <w:rPr>
      <w:sz w:val="18"/>
      <w:szCs w:val="18"/>
    </w:rPr>
  </w:style>
  <w:style w:type="paragraph" w:styleId="CommentText">
    <w:name w:val="annotation text"/>
    <w:basedOn w:val="Normal"/>
    <w:link w:val="CommentTextChar"/>
    <w:uiPriority w:val="99"/>
    <w:semiHidden/>
    <w:unhideWhenUsed/>
    <w:rsid w:val="004C322B"/>
    <w:pPr>
      <w:spacing w:line="240" w:lineRule="auto"/>
    </w:pPr>
    <w:rPr>
      <w:sz w:val="24"/>
      <w:szCs w:val="24"/>
    </w:rPr>
  </w:style>
  <w:style w:type="character" w:customStyle="1" w:styleId="CommentTextChar">
    <w:name w:val="Comment Text Char"/>
    <w:basedOn w:val="DefaultParagraphFont"/>
    <w:link w:val="CommentText"/>
    <w:uiPriority w:val="99"/>
    <w:semiHidden/>
    <w:rsid w:val="004C322B"/>
    <w:rPr>
      <w:sz w:val="24"/>
      <w:szCs w:val="24"/>
    </w:rPr>
  </w:style>
  <w:style w:type="paragraph" w:styleId="CommentSubject">
    <w:name w:val="annotation subject"/>
    <w:basedOn w:val="CommentText"/>
    <w:next w:val="CommentText"/>
    <w:link w:val="CommentSubjectChar"/>
    <w:uiPriority w:val="99"/>
    <w:semiHidden/>
    <w:unhideWhenUsed/>
    <w:rsid w:val="004C322B"/>
    <w:rPr>
      <w:b/>
      <w:bCs/>
      <w:sz w:val="20"/>
      <w:szCs w:val="20"/>
    </w:rPr>
  </w:style>
  <w:style w:type="character" w:customStyle="1" w:styleId="CommentSubjectChar">
    <w:name w:val="Comment Subject Char"/>
    <w:basedOn w:val="CommentTextChar"/>
    <w:link w:val="CommentSubject"/>
    <w:uiPriority w:val="99"/>
    <w:semiHidden/>
    <w:rsid w:val="004C322B"/>
    <w:rPr>
      <w:b/>
      <w:bCs/>
      <w:sz w:val="20"/>
      <w:szCs w:val="20"/>
    </w:rPr>
  </w:style>
  <w:style w:type="paragraph" w:styleId="Revision">
    <w:name w:val="Revision"/>
    <w:hidden/>
    <w:uiPriority w:val="99"/>
    <w:semiHidden/>
    <w:rsid w:val="000446AC"/>
    <w:pPr>
      <w:spacing w:after="0" w:line="240" w:lineRule="auto"/>
    </w:pPr>
  </w:style>
  <w:style w:type="paragraph" w:styleId="Footer">
    <w:name w:val="footer"/>
    <w:basedOn w:val="Normal"/>
    <w:link w:val="FooterChar"/>
    <w:uiPriority w:val="99"/>
    <w:unhideWhenUsed/>
    <w:rsid w:val="00031CE4"/>
    <w:pPr>
      <w:tabs>
        <w:tab w:val="center" w:pos="4252"/>
        <w:tab w:val="right" w:pos="8504"/>
      </w:tabs>
      <w:spacing w:after="0" w:line="240" w:lineRule="auto"/>
    </w:pPr>
  </w:style>
  <w:style w:type="character" w:customStyle="1" w:styleId="FooterChar">
    <w:name w:val="Footer Char"/>
    <w:basedOn w:val="DefaultParagraphFont"/>
    <w:link w:val="Footer"/>
    <w:uiPriority w:val="99"/>
    <w:rsid w:val="00031CE4"/>
  </w:style>
  <w:style w:type="character" w:styleId="PageNumber">
    <w:name w:val="page number"/>
    <w:basedOn w:val="DefaultParagraphFont"/>
    <w:uiPriority w:val="99"/>
    <w:semiHidden/>
    <w:unhideWhenUsed/>
    <w:rsid w:val="00031CE4"/>
  </w:style>
  <w:style w:type="paragraph" w:styleId="Header">
    <w:name w:val="header"/>
    <w:basedOn w:val="Normal"/>
    <w:link w:val="HeaderChar"/>
    <w:uiPriority w:val="99"/>
    <w:unhideWhenUsed/>
    <w:rsid w:val="00D21F9B"/>
    <w:pPr>
      <w:tabs>
        <w:tab w:val="center" w:pos="4252"/>
        <w:tab w:val="right" w:pos="8504"/>
      </w:tabs>
      <w:spacing w:after="0" w:line="240" w:lineRule="auto"/>
    </w:pPr>
  </w:style>
  <w:style w:type="character" w:customStyle="1" w:styleId="HeaderChar">
    <w:name w:val="Header Char"/>
    <w:basedOn w:val="DefaultParagraphFont"/>
    <w:link w:val="Header"/>
    <w:uiPriority w:val="99"/>
    <w:rsid w:val="00D21F9B"/>
  </w:style>
  <w:style w:type="table" w:styleId="TableGrid">
    <w:name w:val="Table Grid"/>
    <w:basedOn w:val="TableNormal"/>
    <w:uiPriority w:val="39"/>
    <w:rsid w:val="00D21F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43B06"/>
    <w:pPr>
      <w:ind w:left="720"/>
      <w:contextualSpacing/>
    </w:pPr>
  </w:style>
  <w:style w:type="paragraph" w:styleId="NormalWeb">
    <w:name w:val="Normal (Web)"/>
    <w:basedOn w:val="Normal"/>
    <w:uiPriority w:val="99"/>
    <w:semiHidden/>
    <w:unhideWhenUsed/>
    <w:rsid w:val="0075547C"/>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yperlink">
    <w:name w:val="Hyperlink"/>
    <w:basedOn w:val="DefaultParagraphFont"/>
    <w:uiPriority w:val="99"/>
    <w:unhideWhenUsed/>
    <w:rsid w:val="00891A9F"/>
    <w:rPr>
      <w:color w:val="0563C1" w:themeColor="hyperlink"/>
      <w:u w:val="single"/>
    </w:rPr>
  </w:style>
  <w:style w:type="character" w:styleId="FollowedHyperlink">
    <w:name w:val="FollowedHyperlink"/>
    <w:basedOn w:val="DefaultParagraphFont"/>
    <w:uiPriority w:val="99"/>
    <w:semiHidden/>
    <w:unhideWhenUsed/>
    <w:rsid w:val="00B53E1D"/>
    <w:rPr>
      <w:color w:val="954F72" w:themeColor="followedHyperlink"/>
      <w:u w:val="single"/>
    </w:rPr>
  </w:style>
  <w:style w:type="character" w:customStyle="1" w:styleId="Heading1Char">
    <w:name w:val="Heading 1 Char"/>
    <w:basedOn w:val="DefaultParagraphFont"/>
    <w:link w:val="Heading1"/>
    <w:uiPriority w:val="9"/>
    <w:rsid w:val="006A2485"/>
    <w:rPr>
      <w:rFonts w:asciiTheme="majorHAnsi" w:eastAsiaTheme="majorEastAsia" w:hAnsiTheme="majorHAnsi" w:cstheme="majorBidi"/>
      <w:color w:val="2F5496" w:themeColor="accent1" w:themeShade="BF"/>
      <w:sz w:val="36"/>
      <w:szCs w:val="36"/>
    </w:rPr>
  </w:style>
  <w:style w:type="character" w:customStyle="1" w:styleId="Heading2Char">
    <w:name w:val="Heading 2 Char"/>
    <w:basedOn w:val="DefaultParagraphFont"/>
    <w:link w:val="Heading2"/>
    <w:uiPriority w:val="9"/>
    <w:semiHidden/>
    <w:rsid w:val="006A2485"/>
    <w:rPr>
      <w:rFonts w:asciiTheme="majorHAnsi" w:eastAsiaTheme="majorEastAsia" w:hAnsiTheme="majorHAnsi" w:cstheme="majorBidi"/>
      <w:color w:val="2F5496" w:themeColor="accent1" w:themeShade="BF"/>
      <w:sz w:val="28"/>
      <w:szCs w:val="28"/>
    </w:rPr>
  </w:style>
  <w:style w:type="character" w:customStyle="1" w:styleId="Heading3Char">
    <w:name w:val="Heading 3 Char"/>
    <w:basedOn w:val="DefaultParagraphFont"/>
    <w:link w:val="Heading3"/>
    <w:uiPriority w:val="9"/>
    <w:semiHidden/>
    <w:rsid w:val="006A2485"/>
    <w:rPr>
      <w:rFonts w:asciiTheme="majorHAnsi" w:eastAsiaTheme="majorEastAsia" w:hAnsiTheme="majorHAnsi" w:cstheme="majorBidi"/>
      <w:color w:val="404040" w:themeColor="text1" w:themeTint="BF"/>
      <w:sz w:val="26"/>
      <w:szCs w:val="26"/>
    </w:rPr>
  </w:style>
  <w:style w:type="character" w:customStyle="1" w:styleId="Heading4Char">
    <w:name w:val="Heading 4 Char"/>
    <w:basedOn w:val="DefaultParagraphFont"/>
    <w:link w:val="Heading4"/>
    <w:uiPriority w:val="9"/>
    <w:semiHidden/>
    <w:rsid w:val="006A2485"/>
    <w:rPr>
      <w:rFonts w:asciiTheme="majorHAnsi" w:eastAsiaTheme="majorEastAsia" w:hAnsiTheme="majorHAnsi" w:cstheme="majorBidi"/>
      <w:sz w:val="24"/>
      <w:szCs w:val="24"/>
    </w:rPr>
  </w:style>
  <w:style w:type="character" w:customStyle="1" w:styleId="Heading5Char">
    <w:name w:val="Heading 5 Char"/>
    <w:basedOn w:val="DefaultParagraphFont"/>
    <w:link w:val="Heading5"/>
    <w:uiPriority w:val="9"/>
    <w:semiHidden/>
    <w:rsid w:val="006A2485"/>
    <w:rPr>
      <w:rFonts w:asciiTheme="majorHAnsi" w:eastAsiaTheme="majorEastAsia" w:hAnsiTheme="majorHAnsi" w:cstheme="majorBidi"/>
      <w:i/>
      <w:iCs/>
      <w:sz w:val="22"/>
      <w:szCs w:val="22"/>
    </w:rPr>
  </w:style>
  <w:style w:type="character" w:customStyle="1" w:styleId="Heading6Char">
    <w:name w:val="Heading 6 Char"/>
    <w:basedOn w:val="DefaultParagraphFont"/>
    <w:link w:val="Heading6"/>
    <w:uiPriority w:val="9"/>
    <w:semiHidden/>
    <w:rsid w:val="006A2485"/>
    <w:rPr>
      <w:rFonts w:asciiTheme="majorHAnsi" w:eastAsiaTheme="majorEastAsia" w:hAnsiTheme="majorHAnsi" w:cstheme="majorBidi"/>
      <w:color w:val="595959" w:themeColor="text1" w:themeTint="A6"/>
    </w:rPr>
  </w:style>
  <w:style w:type="character" w:customStyle="1" w:styleId="Heading7Char">
    <w:name w:val="Heading 7 Char"/>
    <w:basedOn w:val="DefaultParagraphFont"/>
    <w:link w:val="Heading7"/>
    <w:uiPriority w:val="9"/>
    <w:semiHidden/>
    <w:rsid w:val="006A2485"/>
    <w:rPr>
      <w:rFonts w:asciiTheme="majorHAnsi" w:eastAsiaTheme="majorEastAsia" w:hAnsiTheme="majorHAnsi" w:cstheme="majorBidi"/>
      <w:i/>
      <w:iCs/>
      <w:color w:val="595959" w:themeColor="text1" w:themeTint="A6"/>
    </w:rPr>
  </w:style>
  <w:style w:type="character" w:customStyle="1" w:styleId="Heading8Char">
    <w:name w:val="Heading 8 Char"/>
    <w:basedOn w:val="DefaultParagraphFont"/>
    <w:link w:val="Heading8"/>
    <w:uiPriority w:val="9"/>
    <w:semiHidden/>
    <w:rsid w:val="006A2485"/>
    <w:rPr>
      <w:rFonts w:asciiTheme="majorHAnsi" w:eastAsiaTheme="majorEastAsia" w:hAnsiTheme="majorHAnsi" w:cstheme="majorBidi"/>
      <w:smallCaps/>
      <w:color w:val="595959" w:themeColor="text1" w:themeTint="A6"/>
    </w:rPr>
  </w:style>
  <w:style w:type="character" w:customStyle="1" w:styleId="Heading9Char">
    <w:name w:val="Heading 9 Char"/>
    <w:basedOn w:val="DefaultParagraphFont"/>
    <w:link w:val="Heading9"/>
    <w:uiPriority w:val="9"/>
    <w:semiHidden/>
    <w:rsid w:val="006A2485"/>
    <w:rPr>
      <w:rFonts w:asciiTheme="majorHAnsi" w:eastAsiaTheme="majorEastAsia" w:hAnsiTheme="majorHAnsi" w:cstheme="majorBidi"/>
      <w:i/>
      <w:iCs/>
      <w:smallCaps/>
      <w:color w:val="595959" w:themeColor="text1" w:themeTint="A6"/>
    </w:rPr>
  </w:style>
  <w:style w:type="paragraph" w:styleId="Caption">
    <w:name w:val="caption"/>
    <w:basedOn w:val="Normal"/>
    <w:next w:val="Normal"/>
    <w:uiPriority w:val="35"/>
    <w:semiHidden/>
    <w:unhideWhenUsed/>
    <w:qFormat/>
    <w:rsid w:val="006A2485"/>
    <w:pPr>
      <w:spacing w:line="240" w:lineRule="auto"/>
    </w:pPr>
    <w:rPr>
      <w:b/>
      <w:bCs/>
      <w:color w:val="404040" w:themeColor="text1" w:themeTint="BF"/>
      <w:sz w:val="20"/>
      <w:szCs w:val="20"/>
    </w:rPr>
  </w:style>
  <w:style w:type="paragraph" w:styleId="Title">
    <w:name w:val="Title"/>
    <w:basedOn w:val="Normal"/>
    <w:next w:val="Normal"/>
    <w:link w:val="TitleChar"/>
    <w:uiPriority w:val="10"/>
    <w:qFormat/>
    <w:rsid w:val="006A2485"/>
    <w:pPr>
      <w:spacing w:after="0" w:line="240" w:lineRule="auto"/>
      <w:contextualSpacing/>
    </w:pPr>
    <w:rPr>
      <w:rFonts w:asciiTheme="majorHAnsi" w:eastAsiaTheme="majorEastAsia" w:hAnsiTheme="majorHAnsi" w:cstheme="majorBidi"/>
      <w:color w:val="2F5496" w:themeColor="accent1" w:themeShade="BF"/>
      <w:spacing w:val="-7"/>
      <w:sz w:val="80"/>
      <w:szCs w:val="80"/>
    </w:rPr>
  </w:style>
  <w:style w:type="character" w:customStyle="1" w:styleId="TitleChar">
    <w:name w:val="Title Char"/>
    <w:basedOn w:val="DefaultParagraphFont"/>
    <w:link w:val="Title"/>
    <w:uiPriority w:val="10"/>
    <w:rsid w:val="006A2485"/>
    <w:rPr>
      <w:rFonts w:asciiTheme="majorHAnsi" w:eastAsiaTheme="majorEastAsia" w:hAnsiTheme="majorHAnsi" w:cstheme="majorBidi"/>
      <w:color w:val="2F5496" w:themeColor="accent1" w:themeShade="BF"/>
      <w:spacing w:val="-7"/>
      <w:sz w:val="80"/>
      <w:szCs w:val="80"/>
    </w:rPr>
  </w:style>
  <w:style w:type="paragraph" w:styleId="Subtitle">
    <w:name w:val="Subtitle"/>
    <w:basedOn w:val="Normal"/>
    <w:next w:val="Normal"/>
    <w:link w:val="SubtitleChar"/>
    <w:uiPriority w:val="11"/>
    <w:qFormat/>
    <w:rsid w:val="006A2485"/>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SubtitleChar">
    <w:name w:val="Subtitle Char"/>
    <w:basedOn w:val="DefaultParagraphFont"/>
    <w:link w:val="Subtitle"/>
    <w:uiPriority w:val="11"/>
    <w:rsid w:val="006A2485"/>
    <w:rPr>
      <w:rFonts w:asciiTheme="majorHAnsi" w:eastAsiaTheme="majorEastAsia" w:hAnsiTheme="majorHAnsi" w:cstheme="majorBidi"/>
      <w:color w:val="404040" w:themeColor="text1" w:themeTint="BF"/>
      <w:sz w:val="30"/>
      <w:szCs w:val="30"/>
    </w:rPr>
  </w:style>
  <w:style w:type="character" w:styleId="Strong">
    <w:name w:val="Strong"/>
    <w:basedOn w:val="DefaultParagraphFont"/>
    <w:uiPriority w:val="22"/>
    <w:qFormat/>
    <w:rsid w:val="006A2485"/>
    <w:rPr>
      <w:b/>
      <w:bCs/>
    </w:rPr>
  </w:style>
  <w:style w:type="character" w:styleId="Emphasis">
    <w:name w:val="Emphasis"/>
    <w:basedOn w:val="DefaultParagraphFont"/>
    <w:uiPriority w:val="20"/>
    <w:qFormat/>
    <w:rsid w:val="006A2485"/>
    <w:rPr>
      <w:i/>
      <w:iCs/>
    </w:rPr>
  </w:style>
  <w:style w:type="paragraph" w:styleId="NoSpacing">
    <w:name w:val="No Spacing"/>
    <w:uiPriority w:val="1"/>
    <w:qFormat/>
    <w:rsid w:val="006A2485"/>
    <w:pPr>
      <w:spacing w:after="0" w:line="240" w:lineRule="auto"/>
    </w:pPr>
  </w:style>
  <w:style w:type="paragraph" w:styleId="Quote">
    <w:name w:val="Quote"/>
    <w:basedOn w:val="Normal"/>
    <w:next w:val="Normal"/>
    <w:link w:val="QuoteChar"/>
    <w:uiPriority w:val="29"/>
    <w:qFormat/>
    <w:rsid w:val="006A2485"/>
    <w:pPr>
      <w:spacing w:before="240" w:after="240" w:line="252" w:lineRule="auto"/>
      <w:ind w:left="864" w:right="864"/>
      <w:jc w:val="center"/>
    </w:pPr>
    <w:rPr>
      <w:i/>
      <w:iCs/>
    </w:rPr>
  </w:style>
  <w:style w:type="character" w:customStyle="1" w:styleId="QuoteChar">
    <w:name w:val="Quote Char"/>
    <w:basedOn w:val="DefaultParagraphFont"/>
    <w:link w:val="Quote"/>
    <w:uiPriority w:val="29"/>
    <w:rsid w:val="006A2485"/>
    <w:rPr>
      <w:i/>
      <w:iCs/>
    </w:rPr>
  </w:style>
  <w:style w:type="paragraph" w:styleId="IntenseQuote">
    <w:name w:val="Intense Quote"/>
    <w:basedOn w:val="Normal"/>
    <w:next w:val="Normal"/>
    <w:link w:val="IntenseQuoteChar"/>
    <w:uiPriority w:val="30"/>
    <w:qFormat/>
    <w:rsid w:val="006A2485"/>
    <w:pPr>
      <w:spacing w:before="100" w:beforeAutospacing="1" w:after="240"/>
      <w:ind w:left="864" w:right="864"/>
      <w:jc w:val="center"/>
    </w:pPr>
    <w:rPr>
      <w:rFonts w:asciiTheme="majorHAnsi" w:eastAsiaTheme="majorEastAsia" w:hAnsiTheme="majorHAnsi" w:cstheme="majorBidi"/>
      <w:color w:val="4472C4" w:themeColor="accent1"/>
      <w:sz w:val="28"/>
      <w:szCs w:val="28"/>
    </w:rPr>
  </w:style>
  <w:style w:type="character" w:customStyle="1" w:styleId="IntenseQuoteChar">
    <w:name w:val="Intense Quote Char"/>
    <w:basedOn w:val="DefaultParagraphFont"/>
    <w:link w:val="IntenseQuote"/>
    <w:uiPriority w:val="30"/>
    <w:rsid w:val="006A2485"/>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6A2485"/>
    <w:rPr>
      <w:i/>
      <w:iCs/>
      <w:color w:val="595959" w:themeColor="text1" w:themeTint="A6"/>
    </w:rPr>
  </w:style>
  <w:style w:type="character" w:styleId="IntenseEmphasis">
    <w:name w:val="Intense Emphasis"/>
    <w:basedOn w:val="DefaultParagraphFont"/>
    <w:uiPriority w:val="21"/>
    <w:qFormat/>
    <w:rsid w:val="006A2485"/>
    <w:rPr>
      <w:b/>
      <w:bCs/>
      <w:i/>
      <w:iCs/>
    </w:rPr>
  </w:style>
  <w:style w:type="character" w:styleId="SubtleReference">
    <w:name w:val="Subtle Reference"/>
    <w:basedOn w:val="DefaultParagraphFont"/>
    <w:uiPriority w:val="31"/>
    <w:qFormat/>
    <w:rsid w:val="006A2485"/>
    <w:rPr>
      <w:smallCaps/>
      <w:color w:val="404040" w:themeColor="text1" w:themeTint="BF"/>
    </w:rPr>
  </w:style>
  <w:style w:type="character" w:styleId="IntenseReference">
    <w:name w:val="Intense Reference"/>
    <w:basedOn w:val="DefaultParagraphFont"/>
    <w:uiPriority w:val="32"/>
    <w:qFormat/>
    <w:rsid w:val="006A2485"/>
    <w:rPr>
      <w:b/>
      <w:bCs/>
      <w:smallCaps/>
      <w:u w:val="single"/>
    </w:rPr>
  </w:style>
  <w:style w:type="character" w:styleId="BookTitle">
    <w:name w:val="Book Title"/>
    <w:basedOn w:val="DefaultParagraphFont"/>
    <w:uiPriority w:val="33"/>
    <w:qFormat/>
    <w:rsid w:val="006A2485"/>
    <w:rPr>
      <w:b/>
      <w:bCs/>
      <w:smallCaps/>
    </w:rPr>
  </w:style>
  <w:style w:type="paragraph" w:styleId="TOCHeading">
    <w:name w:val="TOC Heading"/>
    <w:basedOn w:val="Heading1"/>
    <w:next w:val="Normal"/>
    <w:uiPriority w:val="39"/>
    <w:semiHidden/>
    <w:unhideWhenUsed/>
    <w:qFormat/>
    <w:rsid w:val="006A2485"/>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6338321">
      <w:bodyDiv w:val="1"/>
      <w:marLeft w:val="0"/>
      <w:marRight w:val="0"/>
      <w:marTop w:val="0"/>
      <w:marBottom w:val="0"/>
      <w:divBdr>
        <w:top w:val="none" w:sz="0" w:space="0" w:color="auto"/>
        <w:left w:val="none" w:sz="0" w:space="0" w:color="auto"/>
        <w:bottom w:val="none" w:sz="0" w:space="0" w:color="auto"/>
        <w:right w:val="none" w:sz="0" w:space="0" w:color="auto"/>
      </w:divBdr>
    </w:div>
    <w:div w:id="293606831">
      <w:bodyDiv w:val="1"/>
      <w:marLeft w:val="0"/>
      <w:marRight w:val="0"/>
      <w:marTop w:val="0"/>
      <w:marBottom w:val="0"/>
      <w:divBdr>
        <w:top w:val="none" w:sz="0" w:space="0" w:color="auto"/>
        <w:left w:val="none" w:sz="0" w:space="0" w:color="auto"/>
        <w:bottom w:val="none" w:sz="0" w:space="0" w:color="auto"/>
        <w:right w:val="none" w:sz="0" w:space="0" w:color="auto"/>
      </w:divBdr>
    </w:div>
    <w:div w:id="294679375">
      <w:bodyDiv w:val="1"/>
      <w:marLeft w:val="0"/>
      <w:marRight w:val="0"/>
      <w:marTop w:val="0"/>
      <w:marBottom w:val="0"/>
      <w:divBdr>
        <w:top w:val="none" w:sz="0" w:space="0" w:color="auto"/>
        <w:left w:val="none" w:sz="0" w:space="0" w:color="auto"/>
        <w:bottom w:val="none" w:sz="0" w:space="0" w:color="auto"/>
        <w:right w:val="none" w:sz="0" w:space="0" w:color="auto"/>
      </w:divBdr>
    </w:div>
    <w:div w:id="407072084">
      <w:bodyDiv w:val="1"/>
      <w:marLeft w:val="0"/>
      <w:marRight w:val="0"/>
      <w:marTop w:val="0"/>
      <w:marBottom w:val="0"/>
      <w:divBdr>
        <w:top w:val="none" w:sz="0" w:space="0" w:color="auto"/>
        <w:left w:val="none" w:sz="0" w:space="0" w:color="auto"/>
        <w:bottom w:val="none" w:sz="0" w:space="0" w:color="auto"/>
        <w:right w:val="none" w:sz="0" w:space="0" w:color="auto"/>
      </w:divBdr>
    </w:div>
    <w:div w:id="427771122">
      <w:bodyDiv w:val="1"/>
      <w:marLeft w:val="0"/>
      <w:marRight w:val="0"/>
      <w:marTop w:val="0"/>
      <w:marBottom w:val="0"/>
      <w:divBdr>
        <w:top w:val="none" w:sz="0" w:space="0" w:color="auto"/>
        <w:left w:val="none" w:sz="0" w:space="0" w:color="auto"/>
        <w:bottom w:val="none" w:sz="0" w:space="0" w:color="auto"/>
        <w:right w:val="none" w:sz="0" w:space="0" w:color="auto"/>
      </w:divBdr>
    </w:div>
    <w:div w:id="434911204">
      <w:bodyDiv w:val="1"/>
      <w:marLeft w:val="0"/>
      <w:marRight w:val="0"/>
      <w:marTop w:val="0"/>
      <w:marBottom w:val="0"/>
      <w:divBdr>
        <w:top w:val="none" w:sz="0" w:space="0" w:color="auto"/>
        <w:left w:val="none" w:sz="0" w:space="0" w:color="auto"/>
        <w:bottom w:val="none" w:sz="0" w:space="0" w:color="auto"/>
        <w:right w:val="none" w:sz="0" w:space="0" w:color="auto"/>
      </w:divBdr>
    </w:div>
    <w:div w:id="473721400">
      <w:bodyDiv w:val="1"/>
      <w:marLeft w:val="0"/>
      <w:marRight w:val="0"/>
      <w:marTop w:val="0"/>
      <w:marBottom w:val="0"/>
      <w:divBdr>
        <w:top w:val="none" w:sz="0" w:space="0" w:color="auto"/>
        <w:left w:val="none" w:sz="0" w:space="0" w:color="auto"/>
        <w:bottom w:val="none" w:sz="0" w:space="0" w:color="auto"/>
        <w:right w:val="none" w:sz="0" w:space="0" w:color="auto"/>
      </w:divBdr>
    </w:div>
    <w:div w:id="603923269">
      <w:bodyDiv w:val="1"/>
      <w:marLeft w:val="0"/>
      <w:marRight w:val="0"/>
      <w:marTop w:val="0"/>
      <w:marBottom w:val="0"/>
      <w:divBdr>
        <w:top w:val="none" w:sz="0" w:space="0" w:color="auto"/>
        <w:left w:val="none" w:sz="0" w:space="0" w:color="auto"/>
        <w:bottom w:val="none" w:sz="0" w:space="0" w:color="auto"/>
        <w:right w:val="none" w:sz="0" w:space="0" w:color="auto"/>
      </w:divBdr>
    </w:div>
    <w:div w:id="734624657">
      <w:bodyDiv w:val="1"/>
      <w:marLeft w:val="0"/>
      <w:marRight w:val="0"/>
      <w:marTop w:val="0"/>
      <w:marBottom w:val="0"/>
      <w:divBdr>
        <w:top w:val="none" w:sz="0" w:space="0" w:color="auto"/>
        <w:left w:val="none" w:sz="0" w:space="0" w:color="auto"/>
        <w:bottom w:val="none" w:sz="0" w:space="0" w:color="auto"/>
        <w:right w:val="none" w:sz="0" w:space="0" w:color="auto"/>
      </w:divBdr>
    </w:div>
    <w:div w:id="747994681">
      <w:bodyDiv w:val="1"/>
      <w:marLeft w:val="0"/>
      <w:marRight w:val="0"/>
      <w:marTop w:val="0"/>
      <w:marBottom w:val="0"/>
      <w:divBdr>
        <w:top w:val="none" w:sz="0" w:space="0" w:color="auto"/>
        <w:left w:val="none" w:sz="0" w:space="0" w:color="auto"/>
        <w:bottom w:val="none" w:sz="0" w:space="0" w:color="auto"/>
        <w:right w:val="none" w:sz="0" w:space="0" w:color="auto"/>
      </w:divBdr>
    </w:div>
    <w:div w:id="758790861">
      <w:bodyDiv w:val="1"/>
      <w:marLeft w:val="0"/>
      <w:marRight w:val="0"/>
      <w:marTop w:val="0"/>
      <w:marBottom w:val="0"/>
      <w:divBdr>
        <w:top w:val="none" w:sz="0" w:space="0" w:color="auto"/>
        <w:left w:val="none" w:sz="0" w:space="0" w:color="auto"/>
        <w:bottom w:val="none" w:sz="0" w:space="0" w:color="auto"/>
        <w:right w:val="none" w:sz="0" w:space="0" w:color="auto"/>
      </w:divBdr>
    </w:div>
    <w:div w:id="770315479">
      <w:bodyDiv w:val="1"/>
      <w:marLeft w:val="0"/>
      <w:marRight w:val="0"/>
      <w:marTop w:val="0"/>
      <w:marBottom w:val="0"/>
      <w:divBdr>
        <w:top w:val="none" w:sz="0" w:space="0" w:color="auto"/>
        <w:left w:val="none" w:sz="0" w:space="0" w:color="auto"/>
        <w:bottom w:val="none" w:sz="0" w:space="0" w:color="auto"/>
        <w:right w:val="none" w:sz="0" w:space="0" w:color="auto"/>
      </w:divBdr>
    </w:div>
    <w:div w:id="834615844">
      <w:bodyDiv w:val="1"/>
      <w:marLeft w:val="0"/>
      <w:marRight w:val="0"/>
      <w:marTop w:val="0"/>
      <w:marBottom w:val="0"/>
      <w:divBdr>
        <w:top w:val="none" w:sz="0" w:space="0" w:color="auto"/>
        <w:left w:val="none" w:sz="0" w:space="0" w:color="auto"/>
        <w:bottom w:val="none" w:sz="0" w:space="0" w:color="auto"/>
        <w:right w:val="none" w:sz="0" w:space="0" w:color="auto"/>
      </w:divBdr>
    </w:div>
    <w:div w:id="838347545">
      <w:bodyDiv w:val="1"/>
      <w:marLeft w:val="0"/>
      <w:marRight w:val="0"/>
      <w:marTop w:val="0"/>
      <w:marBottom w:val="0"/>
      <w:divBdr>
        <w:top w:val="none" w:sz="0" w:space="0" w:color="auto"/>
        <w:left w:val="none" w:sz="0" w:space="0" w:color="auto"/>
        <w:bottom w:val="none" w:sz="0" w:space="0" w:color="auto"/>
        <w:right w:val="none" w:sz="0" w:space="0" w:color="auto"/>
      </w:divBdr>
    </w:div>
    <w:div w:id="931858781">
      <w:bodyDiv w:val="1"/>
      <w:marLeft w:val="0"/>
      <w:marRight w:val="0"/>
      <w:marTop w:val="0"/>
      <w:marBottom w:val="0"/>
      <w:divBdr>
        <w:top w:val="none" w:sz="0" w:space="0" w:color="auto"/>
        <w:left w:val="none" w:sz="0" w:space="0" w:color="auto"/>
        <w:bottom w:val="none" w:sz="0" w:space="0" w:color="auto"/>
        <w:right w:val="none" w:sz="0" w:space="0" w:color="auto"/>
      </w:divBdr>
    </w:div>
    <w:div w:id="1223950824">
      <w:bodyDiv w:val="1"/>
      <w:marLeft w:val="0"/>
      <w:marRight w:val="0"/>
      <w:marTop w:val="0"/>
      <w:marBottom w:val="0"/>
      <w:divBdr>
        <w:top w:val="none" w:sz="0" w:space="0" w:color="auto"/>
        <w:left w:val="none" w:sz="0" w:space="0" w:color="auto"/>
        <w:bottom w:val="none" w:sz="0" w:space="0" w:color="auto"/>
        <w:right w:val="none" w:sz="0" w:space="0" w:color="auto"/>
      </w:divBdr>
    </w:div>
    <w:div w:id="1273584589">
      <w:bodyDiv w:val="1"/>
      <w:marLeft w:val="0"/>
      <w:marRight w:val="0"/>
      <w:marTop w:val="0"/>
      <w:marBottom w:val="0"/>
      <w:divBdr>
        <w:top w:val="none" w:sz="0" w:space="0" w:color="auto"/>
        <w:left w:val="none" w:sz="0" w:space="0" w:color="auto"/>
        <w:bottom w:val="none" w:sz="0" w:space="0" w:color="auto"/>
        <w:right w:val="none" w:sz="0" w:space="0" w:color="auto"/>
      </w:divBdr>
    </w:div>
    <w:div w:id="1275862665">
      <w:bodyDiv w:val="1"/>
      <w:marLeft w:val="0"/>
      <w:marRight w:val="0"/>
      <w:marTop w:val="0"/>
      <w:marBottom w:val="0"/>
      <w:divBdr>
        <w:top w:val="none" w:sz="0" w:space="0" w:color="auto"/>
        <w:left w:val="none" w:sz="0" w:space="0" w:color="auto"/>
        <w:bottom w:val="none" w:sz="0" w:space="0" w:color="auto"/>
        <w:right w:val="none" w:sz="0" w:space="0" w:color="auto"/>
      </w:divBdr>
    </w:div>
    <w:div w:id="1417289295">
      <w:bodyDiv w:val="1"/>
      <w:marLeft w:val="0"/>
      <w:marRight w:val="0"/>
      <w:marTop w:val="0"/>
      <w:marBottom w:val="0"/>
      <w:divBdr>
        <w:top w:val="none" w:sz="0" w:space="0" w:color="auto"/>
        <w:left w:val="none" w:sz="0" w:space="0" w:color="auto"/>
        <w:bottom w:val="none" w:sz="0" w:space="0" w:color="auto"/>
        <w:right w:val="none" w:sz="0" w:space="0" w:color="auto"/>
      </w:divBdr>
    </w:div>
    <w:div w:id="1484128718">
      <w:bodyDiv w:val="1"/>
      <w:marLeft w:val="0"/>
      <w:marRight w:val="0"/>
      <w:marTop w:val="0"/>
      <w:marBottom w:val="0"/>
      <w:divBdr>
        <w:top w:val="none" w:sz="0" w:space="0" w:color="auto"/>
        <w:left w:val="none" w:sz="0" w:space="0" w:color="auto"/>
        <w:bottom w:val="none" w:sz="0" w:space="0" w:color="auto"/>
        <w:right w:val="none" w:sz="0" w:space="0" w:color="auto"/>
      </w:divBdr>
    </w:div>
    <w:div w:id="1511019852">
      <w:bodyDiv w:val="1"/>
      <w:marLeft w:val="0"/>
      <w:marRight w:val="0"/>
      <w:marTop w:val="0"/>
      <w:marBottom w:val="0"/>
      <w:divBdr>
        <w:top w:val="none" w:sz="0" w:space="0" w:color="auto"/>
        <w:left w:val="none" w:sz="0" w:space="0" w:color="auto"/>
        <w:bottom w:val="none" w:sz="0" w:space="0" w:color="auto"/>
        <w:right w:val="none" w:sz="0" w:space="0" w:color="auto"/>
      </w:divBdr>
    </w:div>
    <w:div w:id="1870755703">
      <w:bodyDiv w:val="1"/>
      <w:marLeft w:val="0"/>
      <w:marRight w:val="0"/>
      <w:marTop w:val="0"/>
      <w:marBottom w:val="0"/>
      <w:divBdr>
        <w:top w:val="none" w:sz="0" w:space="0" w:color="auto"/>
        <w:left w:val="none" w:sz="0" w:space="0" w:color="auto"/>
        <w:bottom w:val="none" w:sz="0" w:space="0" w:color="auto"/>
        <w:right w:val="none" w:sz="0" w:space="0" w:color="auto"/>
      </w:divBdr>
    </w:div>
    <w:div w:id="1875268925">
      <w:bodyDiv w:val="1"/>
      <w:marLeft w:val="0"/>
      <w:marRight w:val="0"/>
      <w:marTop w:val="0"/>
      <w:marBottom w:val="0"/>
      <w:divBdr>
        <w:top w:val="none" w:sz="0" w:space="0" w:color="auto"/>
        <w:left w:val="none" w:sz="0" w:space="0" w:color="auto"/>
        <w:bottom w:val="none" w:sz="0" w:space="0" w:color="auto"/>
        <w:right w:val="none" w:sz="0" w:space="0" w:color="auto"/>
      </w:divBdr>
    </w:div>
    <w:div w:id="1961691735">
      <w:bodyDiv w:val="1"/>
      <w:marLeft w:val="0"/>
      <w:marRight w:val="0"/>
      <w:marTop w:val="0"/>
      <w:marBottom w:val="0"/>
      <w:divBdr>
        <w:top w:val="none" w:sz="0" w:space="0" w:color="auto"/>
        <w:left w:val="none" w:sz="0" w:space="0" w:color="auto"/>
        <w:bottom w:val="none" w:sz="0" w:space="0" w:color="auto"/>
        <w:right w:val="none" w:sz="0" w:space="0" w:color="auto"/>
      </w:divBdr>
    </w:div>
    <w:div w:id="2128162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E3A46C-F2E8-4025-92FB-BBA65EFE8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50058</Words>
  <Characters>285333</Characters>
  <Application>Microsoft Office Word</Application>
  <DocSecurity>0</DocSecurity>
  <Lines>2377</Lines>
  <Paragraphs>669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334722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Guillermo Sánchez Delgado</dc:creator>
  <cp:lastModifiedBy>Katie Fisher</cp:lastModifiedBy>
  <cp:revision>2</cp:revision>
  <cp:lastPrinted>2019-10-03T09:06:00Z</cp:lastPrinted>
  <dcterms:created xsi:type="dcterms:W3CDTF">2021-04-22T12:02:00Z</dcterms:created>
  <dcterms:modified xsi:type="dcterms:W3CDTF">2021-04-22T12:02:00Z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http://www.zotero.org/styles/cell-metabolism</vt:lpwstr>
  </property>
  <property fmtid="{D5CDD505-2E9C-101B-9397-08002B2CF9AE}" pid="5" name="Mendeley Recent Style Name 1_1">
    <vt:lpwstr>Cell Metabolism</vt:lpwstr>
  </property>
  <property fmtid="{D5CDD505-2E9C-101B-9397-08002B2CF9AE}" pid="6" name="Mendeley Recent Style Id 2_1">
    <vt:lpwstr>http://www.zotero.org/styles/diabetes</vt:lpwstr>
  </property>
  <property fmtid="{D5CDD505-2E9C-101B-9397-08002B2CF9AE}" pid="7" name="Mendeley Recent Style Name 2_1">
    <vt:lpwstr>Diabetes</vt:lpwstr>
  </property>
  <property fmtid="{D5CDD505-2E9C-101B-9397-08002B2CF9AE}" pid="8" name="Mendeley Recent Style Id 3_1">
    <vt:lpwstr>http://www.zotero.org/styles/diabetes-care</vt:lpwstr>
  </property>
  <property fmtid="{D5CDD505-2E9C-101B-9397-08002B2CF9AE}" pid="9" name="Mendeley Recent Style Name 3_1">
    <vt:lpwstr>Diabetes Care</vt:lpwstr>
  </property>
  <property fmtid="{D5CDD505-2E9C-101B-9397-08002B2CF9AE}" pid="10" name="Mendeley Recent Style Id 4_1">
    <vt:lpwstr>http://www.zotero.org/styles/diabetologia</vt:lpwstr>
  </property>
  <property fmtid="{D5CDD505-2E9C-101B-9397-08002B2CF9AE}" pid="11" name="Mendeley Recent Style Name 4_1">
    <vt:lpwstr>Diabetologia</vt:lpwstr>
  </property>
  <property fmtid="{D5CDD505-2E9C-101B-9397-08002B2CF9AE}" pid="12" name="Mendeley Recent Style Id 5_1">
    <vt:lpwstr>http://csl.mendeley.com/styles/27085291/IEEE-GSD</vt:lpwstr>
  </property>
  <property fmtid="{D5CDD505-2E9C-101B-9397-08002B2CF9AE}" pid="13" name="Mendeley Recent Style Name 5_1">
    <vt:lpwstr>IEEE - GSD</vt:lpwstr>
  </property>
  <property fmtid="{D5CDD505-2E9C-101B-9397-08002B2CF9AE}" pid="14" name="Mendeley Recent Style Id 6_1">
    <vt:lpwstr>https://csl.mendeley.com/styles/27085291/IEEE-GSD2</vt:lpwstr>
  </property>
  <property fmtid="{D5CDD505-2E9C-101B-9397-08002B2CF9AE}" pid="15" name="Mendeley Recent Style Name 6_1">
    <vt:lpwstr>IEEE - GSD2</vt:lpwstr>
  </property>
  <property fmtid="{D5CDD505-2E9C-101B-9397-08002B2CF9AE}" pid="16" name="Mendeley Recent Style Id 7_1">
    <vt:lpwstr>http://csl.mendeley.com/styles/27085291/Diabetes-GSD-3</vt:lpwstr>
  </property>
  <property fmtid="{D5CDD505-2E9C-101B-9397-08002B2CF9AE}" pid="17" name="Mendeley Recent Style Name 7_1">
    <vt:lpwstr>Vancouver - Guillermo Sanchez-Delgado</vt:lpwstr>
  </property>
  <property fmtid="{D5CDD505-2E9C-101B-9397-08002B2CF9AE}" pid="18" name="Mendeley Recent Style Id 8_1">
    <vt:lpwstr>http://csl.mendeley.com/styles/27085291/Diabetes-GSD</vt:lpwstr>
  </property>
  <property fmtid="{D5CDD505-2E9C-101B-9397-08002B2CF9AE}" pid="19" name="Mendeley Recent Style Name 8_1">
    <vt:lpwstr>Vancouver - Guillermo Sanchez-Delgado</vt:lpwstr>
  </property>
  <property fmtid="{D5CDD505-2E9C-101B-9397-08002B2CF9AE}" pid="20" name="Mendeley Recent Style Id 9_1">
    <vt:lpwstr>https://csl.mendeley.com/styles/27085291/Diabetes-GSD</vt:lpwstr>
  </property>
  <property fmtid="{D5CDD505-2E9C-101B-9397-08002B2CF9AE}" pid="21" name="Mendeley Recent Style Name 9_1">
    <vt:lpwstr>Vancouver - Guillermo Sanchez-Delgado</vt:lpwstr>
  </property>
  <property fmtid="{D5CDD505-2E9C-101B-9397-08002B2CF9AE}" pid="22" name="Mendeley Document_1">
    <vt:lpwstr>True</vt:lpwstr>
  </property>
  <property fmtid="{D5CDD505-2E9C-101B-9397-08002B2CF9AE}" pid="23" name="Mendeley Unique User Id_1">
    <vt:lpwstr>b2d2cf20-a7d2-3108-ae55-e4955733eeb7</vt:lpwstr>
  </property>
  <property fmtid="{D5CDD505-2E9C-101B-9397-08002B2CF9AE}" pid="24" name="Mendeley Citation Style_1">
    <vt:lpwstr>https://csl.mendeley.com/styles/27085291/Diabetes-GSD</vt:lpwstr>
  </property>
</Properties>
</file>