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Default Extension="ti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E52DE" w:rsidRPr="00DD0ED2" w:rsidRDefault="003E52DE" w:rsidP="003E52DE">
      <w:pPr>
        <w:pStyle w:val="NoSpacing"/>
        <w:jc w:val="both"/>
        <w:rPr>
          <w:rFonts w:ascii="Calibri Light" w:hAnsi="Calibri Light"/>
          <w:sz w:val="52"/>
          <w:szCs w:val="52"/>
        </w:rPr>
      </w:pPr>
      <w:bookmarkStart w:id="0" w:name="_GoBack"/>
      <w:bookmarkEnd w:id="0"/>
      <w:r w:rsidRPr="00DD0ED2">
        <w:rPr>
          <w:rFonts w:ascii="Calibri Light" w:hAnsi="Calibri Light"/>
          <w:sz w:val="52"/>
          <w:szCs w:val="52"/>
        </w:rPr>
        <w:t xml:space="preserve">Elevated high-density lipoprotein in adolescents with type 1 diabetes is associated with endothelial dysfunction in the presence of systemic inflammation </w:t>
      </w:r>
    </w:p>
    <w:p w:rsidR="003E52DE" w:rsidRPr="00DD0ED2" w:rsidRDefault="003E52DE" w:rsidP="003E52DE">
      <w:pPr>
        <w:pStyle w:val="NoSpacing"/>
        <w:jc w:val="both"/>
        <w:rPr>
          <w:rFonts w:ascii="Calibri Light" w:hAnsi="Calibri Light"/>
          <w:sz w:val="56"/>
          <w:szCs w:val="56"/>
        </w:rPr>
      </w:pPr>
    </w:p>
    <w:p w:rsidR="003E52DE" w:rsidRPr="00DD0ED2" w:rsidRDefault="003E52DE" w:rsidP="003E52DE">
      <w:pPr>
        <w:pStyle w:val="NoSpacing"/>
        <w:rPr>
          <w:rFonts w:asciiTheme="minorHAnsi" w:hAnsiTheme="minorHAnsi" w:cs="Arial"/>
        </w:rPr>
      </w:pPr>
      <w:r w:rsidRPr="00DD0ED2">
        <w:rPr>
          <w:rFonts w:asciiTheme="minorHAnsi" w:hAnsiTheme="minorHAnsi" w:cs="Arial"/>
        </w:rPr>
        <w:t>Scott T. Chiesa</w:t>
      </w:r>
      <w:r w:rsidRPr="00DD0ED2">
        <w:rPr>
          <w:rFonts w:asciiTheme="minorHAnsi" w:hAnsiTheme="minorHAnsi" w:cs="Arial"/>
          <w:vertAlign w:val="superscript"/>
        </w:rPr>
        <w:t>1</w:t>
      </w:r>
      <w:r w:rsidRPr="00DD0ED2">
        <w:rPr>
          <w:rFonts w:asciiTheme="minorHAnsi" w:hAnsiTheme="minorHAnsi" w:cs="Arial"/>
        </w:rPr>
        <w:t>, Marietta Charakida</w:t>
      </w:r>
      <w:r w:rsidRPr="00DD0ED2">
        <w:rPr>
          <w:rFonts w:asciiTheme="minorHAnsi" w:hAnsiTheme="minorHAnsi" w:cs="Arial"/>
          <w:vertAlign w:val="superscript"/>
        </w:rPr>
        <w:t>1</w:t>
      </w:r>
      <w:r w:rsidRPr="00DD0ED2">
        <w:rPr>
          <w:rFonts w:asciiTheme="minorHAnsi" w:hAnsiTheme="minorHAnsi" w:cs="Arial"/>
        </w:rPr>
        <w:t>, Eve McLoughlin</w:t>
      </w:r>
      <w:r w:rsidRPr="00DD0ED2">
        <w:rPr>
          <w:rFonts w:asciiTheme="minorHAnsi" w:hAnsiTheme="minorHAnsi" w:cs="Arial"/>
          <w:vertAlign w:val="superscript"/>
        </w:rPr>
        <w:t>1</w:t>
      </w:r>
      <w:r w:rsidRPr="00DD0ED2">
        <w:rPr>
          <w:rFonts w:asciiTheme="minorHAnsi" w:hAnsiTheme="minorHAnsi" w:cs="Arial"/>
        </w:rPr>
        <w:t>, Helen C. Nguyen</w:t>
      </w:r>
      <w:r w:rsidRPr="00DD0ED2">
        <w:rPr>
          <w:rFonts w:asciiTheme="minorHAnsi" w:hAnsiTheme="minorHAnsi" w:cs="Arial"/>
          <w:vertAlign w:val="superscript"/>
        </w:rPr>
        <w:t>1</w:t>
      </w:r>
      <w:r w:rsidRPr="00DD0ED2">
        <w:rPr>
          <w:rFonts w:asciiTheme="minorHAnsi" w:hAnsiTheme="minorHAnsi" w:cs="Arial"/>
        </w:rPr>
        <w:t>, Georgios Georgiopoulos</w:t>
      </w:r>
      <w:r w:rsidRPr="00DD0ED2">
        <w:rPr>
          <w:rFonts w:asciiTheme="minorHAnsi" w:hAnsiTheme="minorHAnsi" w:cs="Arial"/>
          <w:vertAlign w:val="superscript"/>
        </w:rPr>
        <w:t>2</w:t>
      </w:r>
      <w:r w:rsidRPr="00DD0ED2">
        <w:rPr>
          <w:rFonts w:asciiTheme="minorHAnsi" w:hAnsiTheme="minorHAnsi" w:cs="Arial"/>
        </w:rPr>
        <w:t>, Laura Motran</w:t>
      </w:r>
      <w:r w:rsidRPr="00DD0ED2">
        <w:rPr>
          <w:rFonts w:asciiTheme="minorHAnsi" w:hAnsiTheme="minorHAnsi" w:cs="Arial"/>
          <w:vertAlign w:val="superscript"/>
        </w:rPr>
        <w:t>3</w:t>
      </w:r>
      <w:r w:rsidRPr="00DD0ED2">
        <w:rPr>
          <w:rFonts w:asciiTheme="minorHAnsi" w:hAnsiTheme="minorHAnsi" w:cs="Arial"/>
        </w:rPr>
        <w:t>, Yesmino Elia</w:t>
      </w:r>
      <w:r w:rsidRPr="00DD0ED2">
        <w:rPr>
          <w:rFonts w:asciiTheme="minorHAnsi" w:hAnsiTheme="minorHAnsi" w:cs="Arial"/>
          <w:vertAlign w:val="superscript"/>
        </w:rPr>
        <w:t>3</w:t>
      </w:r>
      <w:r w:rsidRPr="00DD0ED2">
        <w:rPr>
          <w:rFonts w:asciiTheme="minorHAnsi" w:hAnsiTheme="minorHAnsi" w:cs="Arial"/>
        </w:rPr>
        <w:t>, M. Loredana Marcovecchio</w:t>
      </w:r>
      <w:r w:rsidRPr="00DD0ED2">
        <w:rPr>
          <w:rFonts w:asciiTheme="minorHAnsi" w:hAnsiTheme="minorHAnsi" w:cs="Arial"/>
          <w:vertAlign w:val="superscript"/>
        </w:rPr>
        <w:t>4</w:t>
      </w:r>
      <w:r w:rsidRPr="00DD0ED2">
        <w:rPr>
          <w:rFonts w:asciiTheme="minorHAnsi" w:hAnsiTheme="minorHAnsi" w:cs="Arial"/>
        </w:rPr>
        <w:t>, David B. Dunger</w:t>
      </w:r>
      <w:r w:rsidRPr="00DD0ED2">
        <w:rPr>
          <w:rFonts w:asciiTheme="minorHAnsi" w:hAnsiTheme="minorHAnsi" w:cs="Arial"/>
          <w:vertAlign w:val="superscript"/>
        </w:rPr>
        <w:t>4,5</w:t>
      </w:r>
      <w:r w:rsidRPr="00DD0ED2">
        <w:rPr>
          <w:rFonts w:asciiTheme="minorHAnsi" w:hAnsiTheme="minorHAnsi" w:cs="Arial"/>
        </w:rPr>
        <w:t>, R. Neil Dalton</w:t>
      </w:r>
      <w:r w:rsidRPr="00DD0ED2">
        <w:rPr>
          <w:rFonts w:asciiTheme="minorHAnsi" w:hAnsiTheme="minorHAnsi" w:cs="Arial"/>
          <w:vertAlign w:val="superscript"/>
        </w:rPr>
        <w:t>6</w:t>
      </w:r>
      <w:r w:rsidRPr="00DD0ED2">
        <w:rPr>
          <w:rFonts w:asciiTheme="minorHAnsi" w:hAnsiTheme="minorHAnsi" w:cs="Arial"/>
        </w:rPr>
        <w:t>, Denis Daneman</w:t>
      </w:r>
      <w:r w:rsidRPr="00DD0ED2">
        <w:rPr>
          <w:rFonts w:asciiTheme="minorHAnsi" w:hAnsiTheme="minorHAnsi" w:cs="Arial"/>
          <w:vertAlign w:val="superscript"/>
        </w:rPr>
        <w:t>3</w:t>
      </w:r>
      <w:r w:rsidRPr="00DD0ED2">
        <w:rPr>
          <w:rFonts w:asciiTheme="minorHAnsi" w:hAnsiTheme="minorHAnsi" w:cs="Arial"/>
        </w:rPr>
        <w:t>, Etienne Sochett</w:t>
      </w:r>
      <w:r w:rsidRPr="00DD0ED2">
        <w:rPr>
          <w:rFonts w:asciiTheme="minorHAnsi" w:hAnsiTheme="minorHAnsi" w:cs="Arial"/>
          <w:vertAlign w:val="superscript"/>
        </w:rPr>
        <w:t>3</w:t>
      </w:r>
      <w:r w:rsidRPr="00DD0ED2">
        <w:rPr>
          <w:rFonts w:asciiTheme="minorHAnsi" w:hAnsiTheme="minorHAnsi" w:cs="Arial"/>
        </w:rPr>
        <w:t>, Farid H. Mahmud</w:t>
      </w:r>
      <w:r w:rsidRPr="00DD0ED2">
        <w:rPr>
          <w:rFonts w:asciiTheme="minorHAnsi" w:hAnsiTheme="minorHAnsi" w:cs="Arial"/>
          <w:vertAlign w:val="superscript"/>
        </w:rPr>
        <w:t>3</w:t>
      </w:r>
      <w:r w:rsidRPr="00DD0ED2">
        <w:rPr>
          <w:rFonts w:asciiTheme="minorHAnsi" w:hAnsiTheme="minorHAnsi" w:cs="Arial"/>
        </w:rPr>
        <w:t>, and John E. Deanfield</w:t>
      </w:r>
      <w:r w:rsidRPr="00DD0ED2">
        <w:rPr>
          <w:rFonts w:asciiTheme="minorHAnsi" w:hAnsiTheme="minorHAnsi" w:cs="Arial"/>
          <w:vertAlign w:val="superscript"/>
        </w:rPr>
        <w:t>1</w:t>
      </w:r>
    </w:p>
    <w:p w:rsidR="003E52DE" w:rsidRPr="00DD0ED2" w:rsidRDefault="003E52DE" w:rsidP="003E52DE">
      <w:pPr>
        <w:pStyle w:val="NoSpacing"/>
        <w:jc w:val="both"/>
        <w:rPr>
          <w:rFonts w:asciiTheme="minorHAnsi" w:hAnsiTheme="minorHAnsi" w:cs="Arial"/>
        </w:rPr>
      </w:pPr>
    </w:p>
    <w:p w:rsidR="003E52DE" w:rsidRPr="00DD0ED2" w:rsidRDefault="003E52DE" w:rsidP="003E52DE">
      <w:pPr>
        <w:pStyle w:val="NoSpacing"/>
        <w:jc w:val="both"/>
        <w:rPr>
          <w:rFonts w:asciiTheme="minorHAnsi" w:hAnsiTheme="minorHAnsi" w:cs="Arial"/>
          <w:i/>
        </w:rPr>
      </w:pPr>
      <w:r w:rsidRPr="00DD0ED2">
        <w:rPr>
          <w:rFonts w:asciiTheme="minorHAnsi" w:hAnsiTheme="minorHAnsi" w:cs="Arial"/>
          <w:i/>
          <w:vertAlign w:val="superscript"/>
        </w:rPr>
        <w:t xml:space="preserve">1 </w:t>
      </w:r>
      <w:r w:rsidRPr="00DD0ED2">
        <w:rPr>
          <w:rFonts w:asciiTheme="minorHAnsi" w:hAnsiTheme="minorHAnsi" w:cs="Arial"/>
          <w:i/>
        </w:rPr>
        <w:t>Vascular Physiology Unit, UCL Institute of Cardiovascular Science, London, UK</w:t>
      </w:r>
    </w:p>
    <w:p w:rsidR="003E52DE" w:rsidRPr="00DD0ED2" w:rsidRDefault="003E52DE" w:rsidP="003E52DE">
      <w:pPr>
        <w:pStyle w:val="NoSpacing"/>
        <w:jc w:val="both"/>
        <w:rPr>
          <w:rFonts w:asciiTheme="minorHAnsi" w:hAnsiTheme="minorHAnsi" w:cs="Arial"/>
          <w:i/>
          <w:vertAlign w:val="superscript"/>
        </w:rPr>
      </w:pPr>
      <w:r w:rsidRPr="00DD0ED2">
        <w:rPr>
          <w:rFonts w:asciiTheme="minorHAnsi" w:hAnsiTheme="minorHAnsi" w:cs="Arial"/>
          <w:i/>
          <w:vertAlign w:val="superscript"/>
        </w:rPr>
        <w:t>2</w:t>
      </w:r>
      <w:r w:rsidRPr="00DD0ED2">
        <w:rPr>
          <w:rFonts w:asciiTheme="minorHAnsi" w:hAnsiTheme="minorHAnsi" w:cs="Arial"/>
          <w:i/>
        </w:rPr>
        <w:t xml:space="preserve"> 1</w:t>
      </w:r>
      <w:r w:rsidRPr="00DD0ED2">
        <w:rPr>
          <w:rFonts w:asciiTheme="minorHAnsi" w:hAnsiTheme="minorHAnsi" w:cs="Arial"/>
          <w:i/>
          <w:vertAlign w:val="superscript"/>
        </w:rPr>
        <w:t>st</w:t>
      </w:r>
      <w:r w:rsidRPr="00DD0ED2">
        <w:rPr>
          <w:rFonts w:asciiTheme="minorHAnsi" w:hAnsiTheme="minorHAnsi" w:cs="Arial"/>
          <w:i/>
        </w:rPr>
        <w:t xml:space="preserve"> Cardiology Clinic, University of Athens, Hippokratio Hospital, Athens, Greece</w:t>
      </w:r>
      <w:r w:rsidRPr="00DD0ED2">
        <w:rPr>
          <w:rFonts w:asciiTheme="minorHAnsi" w:hAnsiTheme="minorHAnsi" w:cs="Arial"/>
          <w:i/>
          <w:vertAlign w:val="superscript"/>
        </w:rPr>
        <w:t xml:space="preserve"> </w:t>
      </w:r>
    </w:p>
    <w:p w:rsidR="003E52DE" w:rsidRPr="00DD0ED2" w:rsidRDefault="003E52DE" w:rsidP="003E52DE">
      <w:pPr>
        <w:pStyle w:val="NoSpacing"/>
        <w:jc w:val="both"/>
        <w:rPr>
          <w:rFonts w:asciiTheme="minorHAnsi" w:hAnsiTheme="minorHAnsi" w:cs="Arial"/>
          <w:i/>
          <w:lang w:val="en-US"/>
        </w:rPr>
      </w:pPr>
      <w:r w:rsidRPr="00DD0ED2">
        <w:rPr>
          <w:rFonts w:asciiTheme="minorHAnsi" w:hAnsiTheme="minorHAnsi" w:cs="Arial"/>
          <w:i/>
          <w:vertAlign w:val="superscript"/>
          <w:lang w:val="en-US"/>
        </w:rPr>
        <w:t>3</w:t>
      </w:r>
      <w:r w:rsidRPr="00DD0ED2">
        <w:rPr>
          <w:rFonts w:asciiTheme="minorHAnsi" w:hAnsiTheme="minorHAnsi" w:cs="Arial"/>
          <w:i/>
          <w:lang w:val="en-US"/>
        </w:rPr>
        <w:t xml:space="preserve"> Department of Pediatrics, Hospital for Sick Children, University of Toronto, Canada</w:t>
      </w:r>
    </w:p>
    <w:p w:rsidR="003E52DE" w:rsidRPr="00DD0ED2" w:rsidRDefault="003E52DE" w:rsidP="003E52DE">
      <w:pPr>
        <w:pStyle w:val="NoSpacing"/>
        <w:jc w:val="both"/>
        <w:rPr>
          <w:rFonts w:asciiTheme="minorHAnsi" w:hAnsiTheme="minorHAnsi" w:cs="Arial"/>
          <w:i/>
          <w:lang w:val="en-US"/>
        </w:rPr>
      </w:pPr>
      <w:r w:rsidRPr="00DD0ED2">
        <w:rPr>
          <w:rFonts w:asciiTheme="minorHAnsi" w:hAnsiTheme="minorHAnsi" w:cs="Arial"/>
          <w:i/>
          <w:vertAlign w:val="superscript"/>
          <w:lang w:val="en-US"/>
        </w:rPr>
        <w:t>4</w:t>
      </w:r>
      <w:r w:rsidRPr="00DD0ED2">
        <w:rPr>
          <w:rFonts w:asciiTheme="minorHAnsi" w:hAnsiTheme="minorHAnsi" w:cs="Arial"/>
          <w:i/>
          <w:lang w:val="en-US"/>
        </w:rPr>
        <w:t xml:space="preserve"> Department of Paediatrics, University of Cambridge, UK</w:t>
      </w:r>
    </w:p>
    <w:p w:rsidR="003E52DE" w:rsidRPr="00DD0ED2" w:rsidRDefault="003E52DE" w:rsidP="003E52DE">
      <w:pPr>
        <w:pStyle w:val="NoSpacing"/>
        <w:jc w:val="both"/>
        <w:rPr>
          <w:rFonts w:asciiTheme="minorHAnsi" w:hAnsiTheme="minorHAnsi" w:cs="Arial"/>
          <w:i/>
          <w:lang w:val="en-US"/>
        </w:rPr>
      </w:pPr>
      <w:r w:rsidRPr="00DD0ED2">
        <w:rPr>
          <w:rFonts w:asciiTheme="minorHAnsi" w:hAnsiTheme="minorHAnsi" w:cs="Arial"/>
          <w:i/>
          <w:vertAlign w:val="superscript"/>
          <w:lang w:val="en-US"/>
        </w:rPr>
        <w:t>5</w:t>
      </w:r>
      <w:r w:rsidRPr="00DD0ED2">
        <w:rPr>
          <w:rFonts w:asciiTheme="minorHAnsi" w:hAnsiTheme="minorHAnsi" w:cs="Arial"/>
          <w:i/>
          <w:lang w:val="en-US"/>
        </w:rPr>
        <w:t xml:space="preserve"> Institute of Metabolic Science, University of Cambridge, UK</w:t>
      </w:r>
    </w:p>
    <w:p w:rsidR="003E52DE" w:rsidRPr="00DD0ED2" w:rsidRDefault="003E52DE" w:rsidP="003E52DE">
      <w:pPr>
        <w:pStyle w:val="NoSpacing"/>
        <w:jc w:val="both"/>
        <w:rPr>
          <w:rFonts w:asciiTheme="minorHAnsi" w:hAnsiTheme="minorHAnsi" w:cs="Arial"/>
          <w:i/>
          <w:lang w:val="en-US"/>
        </w:rPr>
      </w:pPr>
      <w:r w:rsidRPr="00DD0ED2">
        <w:rPr>
          <w:rFonts w:asciiTheme="minorHAnsi" w:hAnsiTheme="minorHAnsi" w:cs="Arial"/>
          <w:i/>
          <w:vertAlign w:val="superscript"/>
          <w:lang w:val="en-US"/>
        </w:rPr>
        <w:t>6</w:t>
      </w:r>
      <w:r w:rsidRPr="00DD0ED2">
        <w:rPr>
          <w:rFonts w:asciiTheme="minorHAnsi" w:hAnsiTheme="minorHAnsi" w:cs="Arial"/>
          <w:i/>
          <w:lang w:val="en-US"/>
        </w:rPr>
        <w:t xml:space="preserve"> WellChild Laboratory, St. Thomas’ Hospital, King’s College London, UK</w:t>
      </w:r>
    </w:p>
    <w:p w:rsidR="003E52DE" w:rsidRPr="00DD0ED2" w:rsidRDefault="003E52DE" w:rsidP="003E52DE">
      <w:pPr>
        <w:pStyle w:val="NoSpacing"/>
        <w:rPr>
          <w:rFonts w:asciiTheme="minorHAnsi" w:hAnsiTheme="minorHAnsi" w:cs="Arial"/>
          <w:lang w:val="en-US"/>
        </w:rPr>
      </w:pPr>
    </w:p>
    <w:p w:rsidR="003E52DE" w:rsidRPr="00DD0ED2" w:rsidRDefault="003E52DE" w:rsidP="003E52DE">
      <w:pPr>
        <w:pStyle w:val="NoSpacing"/>
        <w:rPr>
          <w:rFonts w:asciiTheme="minorHAnsi" w:hAnsiTheme="minorHAnsi" w:cs="Arial"/>
        </w:rPr>
      </w:pPr>
    </w:p>
    <w:p w:rsidR="003E52DE" w:rsidRPr="00DD0ED2" w:rsidRDefault="003E52DE" w:rsidP="003E52DE">
      <w:pPr>
        <w:rPr>
          <w:rFonts w:cs="Arial"/>
        </w:rPr>
      </w:pPr>
      <w:r w:rsidRPr="00DD0ED2">
        <w:rPr>
          <w:rFonts w:cs="Arial"/>
          <w:b/>
        </w:rPr>
        <w:t>Running head:</w:t>
      </w:r>
      <w:r w:rsidRPr="00DD0ED2">
        <w:rPr>
          <w:rFonts w:cs="Arial"/>
        </w:rPr>
        <w:t xml:space="preserve"> HDL and endothelial function in adolescent type 1 diabetes</w:t>
      </w:r>
    </w:p>
    <w:p w:rsidR="003E52DE" w:rsidRPr="00DD0ED2" w:rsidRDefault="003E52DE" w:rsidP="003E52DE">
      <w:pPr>
        <w:rPr>
          <w:rFonts w:cs="Arial"/>
        </w:rPr>
      </w:pPr>
      <w:r w:rsidRPr="00DD0ED2">
        <w:rPr>
          <w:rFonts w:cs="Arial"/>
          <w:b/>
        </w:rPr>
        <w:t>Keywords:</w:t>
      </w:r>
      <w:r w:rsidRPr="00DD0ED2">
        <w:rPr>
          <w:rFonts w:cs="Arial"/>
        </w:rPr>
        <w:t xml:space="preserve"> type 1 diabetes; adolescents; HDL function; endothelial function; inflammation</w:t>
      </w:r>
    </w:p>
    <w:p w:rsidR="003E52DE" w:rsidRPr="00DD0ED2" w:rsidRDefault="003E52DE" w:rsidP="003E52DE">
      <w:pPr>
        <w:jc w:val="both"/>
        <w:rPr>
          <w:rFonts w:cs="Arial"/>
          <w:b/>
          <w:color w:val="000000" w:themeColor="text1"/>
          <w:szCs w:val="24"/>
        </w:rPr>
      </w:pPr>
      <w:r w:rsidRPr="00DD0ED2">
        <w:rPr>
          <w:rFonts w:cs="Arial"/>
          <w:b/>
          <w:color w:val="000000" w:themeColor="text1"/>
          <w:szCs w:val="24"/>
        </w:rPr>
        <w:t>Word Count:</w:t>
      </w:r>
    </w:p>
    <w:p w:rsidR="003E52DE" w:rsidRPr="00DD0ED2" w:rsidRDefault="003E52DE" w:rsidP="003E52DE">
      <w:pPr>
        <w:pStyle w:val="NoSpacing"/>
        <w:rPr>
          <w:rFonts w:asciiTheme="minorHAnsi" w:hAnsiTheme="minorHAnsi" w:cs="Arial"/>
          <w:color w:val="000000" w:themeColor="text1"/>
          <w:szCs w:val="24"/>
        </w:rPr>
      </w:pPr>
      <w:r w:rsidRPr="00DD0ED2">
        <w:rPr>
          <w:rFonts w:asciiTheme="minorHAnsi" w:hAnsiTheme="minorHAnsi" w:cs="Arial"/>
          <w:color w:val="000000" w:themeColor="text1"/>
          <w:szCs w:val="24"/>
        </w:rPr>
        <w:t>Abstract: 23</w:t>
      </w:r>
      <w:r w:rsidR="00664AAF" w:rsidRPr="00DD0ED2">
        <w:rPr>
          <w:rFonts w:asciiTheme="minorHAnsi" w:hAnsiTheme="minorHAnsi" w:cs="Arial"/>
          <w:color w:val="000000" w:themeColor="text1"/>
          <w:szCs w:val="24"/>
        </w:rPr>
        <w:t>6</w:t>
      </w:r>
    </w:p>
    <w:p w:rsidR="003E52DE" w:rsidRPr="00DD0ED2" w:rsidRDefault="003E52DE" w:rsidP="003E52DE">
      <w:pPr>
        <w:pStyle w:val="NoSpacing"/>
        <w:rPr>
          <w:rFonts w:asciiTheme="minorHAnsi" w:hAnsiTheme="minorHAnsi" w:cs="Arial"/>
          <w:color w:val="000000" w:themeColor="text1"/>
          <w:szCs w:val="24"/>
        </w:rPr>
      </w:pPr>
      <w:r w:rsidRPr="00DD0ED2">
        <w:rPr>
          <w:rFonts w:asciiTheme="minorHAnsi" w:hAnsiTheme="minorHAnsi" w:cs="Arial"/>
          <w:color w:val="000000" w:themeColor="text1"/>
          <w:szCs w:val="24"/>
        </w:rPr>
        <w:t xml:space="preserve">Manuscript: </w:t>
      </w:r>
      <w:r w:rsidR="00EE1BCD" w:rsidRPr="00DD0ED2">
        <w:rPr>
          <w:rFonts w:asciiTheme="minorHAnsi" w:hAnsiTheme="minorHAnsi" w:cs="Arial"/>
          <w:color w:val="000000" w:themeColor="text1"/>
          <w:szCs w:val="24"/>
        </w:rPr>
        <w:t>50</w:t>
      </w:r>
      <w:r w:rsidR="00AB5591" w:rsidRPr="00DD0ED2">
        <w:rPr>
          <w:rFonts w:asciiTheme="minorHAnsi" w:hAnsiTheme="minorHAnsi" w:cs="Arial"/>
          <w:color w:val="000000" w:themeColor="text1"/>
          <w:szCs w:val="24"/>
        </w:rPr>
        <w:t>4</w:t>
      </w:r>
      <w:r w:rsidR="00D8258E">
        <w:rPr>
          <w:rFonts w:asciiTheme="minorHAnsi" w:hAnsiTheme="minorHAnsi" w:cs="Arial"/>
          <w:color w:val="000000" w:themeColor="text1"/>
          <w:szCs w:val="24"/>
        </w:rPr>
        <w:t>8</w:t>
      </w:r>
    </w:p>
    <w:p w:rsidR="003E52DE" w:rsidRPr="00DD0ED2" w:rsidRDefault="00D8258E" w:rsidP="003E52DE">
      <w:pPr>
        <w:pStyle w:val="NoSpacing"/>
        <w:rPr>
          <w:rFonts w:asciiTheme="minorHAnsi" w:hAnsiTheme="minorHAnsi" w:cs="Arial"/>
          <w:color w:val="FF0000"/>
          <w:szCs w:val="24"/>
        </w:rPr>
      </w:pPr>
      <w:r>
        <w:rPr>
          <w:rFonts w:asciiTheme="minorHAnsi" w:hAnsiTheme="minorHAnsi" w:cs="Arial"/>
          <w:color w:val="000000" w:themeColor="text1"/>
          <w:szCs w:val="24"/>
        </w:rPr>
        <w:t>References: 42</w:t>
      </w:r>
    </w:p>
    <w:p w:rsidR="003E52DE" w:rsidRPr="00DD0ED2" w:rsidRDefault="003E52DE" w:rsidP="003E52DE">
      <w:pPr>
        <w:rPr>
          <w:rFonts w:cs="Arial"/>
          <w:b/>
        </w:rPr>
      </w:pPr>
    </w:p>
    <w:p w:rsidR="003E52DE" w:rsidRPr="00DD0ED2" w:rsidRDefault="003E52DE" w:rsidP="003E52DE">
      <w:pPr>
        <w:rPr>
          <w:rFonts w:cs="Arial"/>
          <w:b/>
        </w:rPr>
      </w:pPr>
      <w:r w:rsidRPr="00DD0ED2">
        <w:rPr>
          <w:rFonts w:cs="Arial"/>
          <w:b/>
        </w:rPr>
        <w:t>Corresponding author:</w:t>
      </w:r>
    </w:p>
    <w:p w:rsidR="003E52DE" w:rsidRPr="00DD0ED2" w:rsidRDefault="003E52DE" w:rsidP="003E52DE">
      <w:pPr>
        <w:pStyle w:val="NoSpacing"/>
        <w:rPr>
          <w:rFonts w:asciiTheme="minorHAnsi" w:hAnsiTheme="minorHAnsi" w:cs="Arial"/>
        </w:rPr>
      </w:pPr>
      <w:r w:rsidRPr="00DD0ED2">
        <w:rPr>
          <w:rFonts w:asciiTheme="minorHAnsi" w:hAnsiTheme="minorHAnsi" w:cs="Arial"/>
        </w:rPr>
        <w:t>Professor John Deanfield</w:t>
      </w:r>
    </w:p>
    <w:p w:rsidR="003E52DE" w:rsidRPr="00DD0ED2" w:rsidRDefault="003E52DE" w:rsidP="003E52DE">
      <w:pPr>
        <w:pStyle w:val="NoSpacing"/>
        <w:rPr>
          <w:rFonts w:asciiTheme="minorHAnsi" w:hAnsiTheme="minorHAnsi" w:cs="Arial"/>
        </w:rPr>
      </w:pPr>
      <w:r w:rsidRPr="00DD0ED2">
        <w:rPr>
          <w:rFonts w:asciiTheme="minorHAnsi" w:hAnsiTheme="minorHAnsi" w:cs="Arial"/>
        </w:rPr>
        <w:t>UCL Institute of Cardiovascular Science</w:t>
      </w:r>
    </w:p>
    <w:p w:rsidR="003E52DE" w:rsidRPr="00DD0ED2" w:rsidRDefault="003E52DE" w:rsidP="003E52DE">
      <w:pPr>
        <w:pStyle w:val="NoSpacing"/>
        <w:rPr>
          <w:rFonts w:asciiTheme="minorHAnsi" w:hAnsiTheme="minorHAnsi" w:cs="Arial"/>
        </w:rPr>
      </w:pPr>
      <w:r w:rsidRPr="00DD0ED2">
        <w:rPr>
          <w:rFonts w:asciiTheme="minorHAnsi" w:hAnsiTheme="minorHAnsi" w:cs="Arial"/>
        </w:rPr>
        <w:t>1 St. Martin’s Le Grand</w:t>
      </w:r>
    </w:p>
    <w:p w:rsidR="003E52DE" w:rsidRPr="00DD0ED2" w:rsidRDefault="003E52DE" w:rsidP="003E52DE">
      <w:pPr>
        <w:pStyle w:val="NoSpacing"/>
        <w:rPr>
          <w:rFonts w:asciiTheme="minorHAnsi" w:hAnsiTheme="minorHAnsi" w:cs="Arial"/>
        </w:rPr>
      </w:pPr>
      <w:r w:rsidRPr="00DD0ED2">
        <w:rPr>
          <w:rFonts w:asciiTheme="minorHAnsi" w:hAnsiTheme="minorHAnsi" w:cs="Arial"/>
        </w:rPr>
        <w:t xml:space="preserve">London, UK </w:t>
      </w:r>
    </w:p>
    <w:p w:rsidR="003E52DE" w:rsidRPr="00DD0ED2" w:rsidRDefault="003E52DE" w:rsidP="003E52DE">
      <w:pPr>
        <w:pStyle w:val="NoSpacing"/>
        <w:rPr>
          <w:rFonts w:asciiTheme="minorHAnsi" w:hAnsiTheme="minorHAnsi" w:cs="Arial"/>
        </w:rPr>
      </w:pPr>
      <w:r w:rsidRPr="00DD0ED2">
        <w:rPr>
          <w:rFonts w:asciiTheme="minorHAnsi" w:hAnsiTheme="minorHAnsi" w:cs="Arial"/>
        </w:rPr>
        <w:t>EC1A 4NP</w:t>
      </w:r>
    </w:p>
    <w:p w:rsidR="003E52DE" w:rsidRPr="00DD0ED2" w:rsidRDefault="003E52DE" w:rsidP="003E52DE">
      <w:pPr>
        <w:pStyle w:val="NoSpacing"/>
        <w:rPr>
          <w:rFonts w:asciiTheme="minorHAnsi" w:hAnsiTheme="minorHAnsi" w:cs="Arial"/>
        </w:rPr>
      </w:pPr>
    </w:p>
    <w:p w:rsidR="003E52DE" w:rsidRPr="00DD0ED2" w:rsidRDefault="003E52DE" w:rsidP="003E52DE">
      <w:pPr>
        <w:pStyle w:val="NoSpacing"/>
        <w:rPr>
          <w:rFonts w:asciiTheme="minorHAnsi" w:hAnsiTheme="minorHAnsi" w:cs="Arial"/>
        </w:rPr>
      </w:pPr>
      <w:r w:rsidRPr="00DD0ED2">
        <w:rPr>
          <w:rFonts w:asciiTheme="minorHAnsi" w:hAnsiTheme="minorHAnsi" w:cs="Arial"/>
        </w:rPr>
        <w:t xml:space="preserve">Email: </w:t>
      </w:r>
      <w:hyperlink r:id="rId8" w:history="1">
        <w:r w:rsidRPr="00DD0ED2">
          <w:rPr>
            <w:rStyle w:val="Hyperlink"/>
            <w:rFonts w:asciiTheme="minorHAnsi" w:hAnsiTheme="minorHAnsi" w:cs="Arial"/>
          </w:rPr>
          <w:t>j.deanfield@ucl.ac.uk</w:t>
        </w:r>
      </w:hyperlink>
    </w:p>
    <w:p w:rsidR="00077566" w:rsidRDefault="00077566" w:rsidP="00077566">
      <w:pPr>
        <w:pStyle w:val="Heading1"/>
        <w:rPr>
          <w:rFonts w:asciiTheme="minorHAnsi" w:hAnsiTheme="minorHAnsi" w:cs="Arial"/>
        </w:rPr>
      </w:pPr>
      <w:r w:rsidRPr="000F2AD9">
        <w:rPr>
          <w:rFonts w:asciiTheme="minorHAnsi" w:hAnsiTheme="minorHAnsi" w:cs="Arial"/>
        </w:rPr>
        <w:lastRenderedPageBreak/>
        <w:t>ABSTRACT</w:t>
      </w:r>
    </w:p>
    <w:p w:rsidR="00077566" w:rsidRPr="00FD03CB" w:rsidRDefault="00077566" w:rsidP="00077566">
      <w:pPr>
        <w:jc w:val="both"/>
        <w:rPr>
          <w:sz w:val="22"/>
        </w:rPr>
      </w:pPr>
      <w:r w:rsidRPr="00FD03CB">
        <w:rPr>
          <w:b/>
          <w:sz w:val="22"/>
        </w:rPr>
        <w:t>Background:</w:t>
      </w:r>
      <w:r w:rsidRPr="00FD03CB">
        <w:rPr>
          <w:sz w:val="22"/>
        </w:rPr>
        <w:t xml:space="preserve"> High-density lipoprotein (HDL) function may be altered in patients with chronic disease, transforming the particle from </w:t>
      </w:r>
      <w:r>
        <w:rPr>
          <w:sz w:val="22"/>
        </w:rPr>
        <w:t>a beneficial</w:t>
      </w:r>
      <w:r w:rsidRPr="00FD03CB">
        <w:rPr>
          <w:sz w:val="22"/>
        </w:rPr>
        <w:t xml:space="preserve"> vasoprotective molecule to a noxious pro-inflammatory equivalent. Adolescents with type 1 diabetes often have elevated HDL, but its vasoprotective properties and relationship to endothelial function ha</w:t>
      </w:r>
      <w:r>
        <w:rPr>
          <w:sz w:val="22"/>
        </w:rPr>
        <w:t>ve</w:t>
      </w:r>
      <w:r w:rsidRPr="00FD03CB">
        <w:rPr>
          <w:sz w:val="22"/>
        </w:rPr>
        <w:t xml:space="preserve"> </w:t>
      </w:r>
      <w:r>
        <w:rPr>
          <w:sz w:val="22"/>
        </w:rPr>
        <w:t>not been assessed</w:t>
      </w:r>
      <w:r w:rsidRPr="00FD03CB">
        <w:rPr>
          <w:sz w:val="22"/>
        </w:rPr>
        <w:t>.</w:t>
      </w:r>
    </w:p>
    <w:p w:rsidR="00077566" w:rsidRPr="00FD03CB" w:rsidRDefault="00077566" w:rsidP="00077566">
      <w:pPr>
        <w:jc w:val="both"/>
        <w:rPr>
          <w:sz w:val="22"/>
        </w:rPr>
      </w:pPr>
      <w:r w:rsidRPr="00FD03CB">
        <w:rPr>
          <w:b/>
          <w:sz w:val="22"/>
        </w:rPr>
        <w:t>Methods:</w:t>
      </w:r>
      <w:r w:rsidRPr="00FD03CB">
        <w:rPr>
          <w:sz w:val="22"/>
        </w:rPr>
        <w:t xml:space="preserve"> Seventy adolescents with type 1 diabetes (age 10-17years) and thirty </w:t>
      </w:r>
      <w:r>
        <w:rPr>
          <w:sz w:val="22"/>
        </w:rPr>
        <w:t xml:space="preserve">age-matched </w:t>
      </w:r>
      <w:r w:rsidRPr="00FD03CB">
        <w:rPr>
          <w:sz w:val="22"/>
        </w:rPr>
        <w:t xml:space="preserve">healthy controls supplied urine samples for the measurement of </w:t>
      </w:r>
      <w:r>
        <w:rPr>
          <w:sz w:val="22"/>
        </w:rPr>
        <w:t xml:space="preserve">early </w:t>
      </w:r>
      <w:r w:rsidRPr="00FD03CB">
        <w:rPr>
          <w:sz w:val="22"/>
        </w:rPr>
        <w:t xml:space="preserve">renal </w:t>
      </w:r>
      <w:r>
        <w:rPr>
          <w:sz w:val="22"/>
        </w:rPr>
        <w:t>dys</w:t>
      </w:r>
      <w:r w:rsidRPr="00FD03CB">
        <w:rPr>
          <w:sz w:val="22"/>
        </w:rPr>
        <w:t>function (</w:t>
      </w:r>
      <w:r>
        <w:rPr>
          <w:color w:val="000000" w:themeColor="text1"/>
          <w:sz w:val="22"/>
        </w:rPr>
        <w:t xml:space="preserve">albumin:creatinine ratio; </w:t>
      </w:r>
      <w:r w:rsidRPr="00FD03CB">
        <w:rPr>
          <w:sz w:val="22"/>
        </w:rPr>
        <w:t>ACR)</w:t>
      </w:r>
      <w:r>
        <w:rPr>
          <w:sz w:val="22"/>
        </w:rPr>
        <w:t>,</w:t>
      </w:r>
      <w:r w:rsidRPr="00FD03CB">
        <w:rPr>
          <w:sz w:val="22"/>
        </w:rPr>
        <w:t xml:space="preserve"> blood samples for the assessment of </w:t>
      </w:r>
      <w:r>
        <w:rPr>
          <w:sz w:val="22"/>
        </w:rPr>
        <w:t>cardiovascular risk factors (</w:t>
      </w:r>
      <w:r w:rsidRPr="00FD03CB">
        <w:rPr>
          <w:sz w:val="22"/>
        </w:rPr>
        <w:t xml:space="preserve">lipid profiles, HDL functionality, glycaemic control, and inflammatory </w:t>
      </w:r>
      <w:r>
        <w:rPr>
          <w:sz w:val="22"/>
        </w:rPr>
        <w:t>risk score),</w:t>
      </w:r>
      <w:r w:rsidRPr="00FD03CB">
        <w:rPr>
          <w:sz w:val="22"/>
        </w:rPr>
        <w:t xml:space="preserve"> and had their </w:t>
      </w:r>
      <w:r>
        <w:rPr>
          <w:sz w:val="22"/>
        </w:rPr>
        <w:t xml:space="preserve">conduit artery </w:t>
      </w:r>
      <w:r w:rsidRPr="00FD03CB">
        <w:rPr>
          <w:sz w:val="22"/>
        </w:rPr>
        <w:t xml:space="preserve">endothelial function tested using flow-mediated dilation (FMD). </w:t>
      </w:r>
    </w:p>
    <w:p w:rsidR="00077566" w:rsidRPr="00026353" w:rsidRDefault="00077566" w:rsidP="00077566">
      <w:pPr>
        <w:jc w:val="both"/>
        <w:rPr>
          <w:color w:val="FF0000"/>
          <w:sz w:val="22"/>
        </w:rPr>
      </w:pPr>
      <w:r w:rsidRPr="00FD03CB">
        <w:rPr>
          <w:b/>
          <w:sz w:val="22"/>
        </w:rPr>
        <w:t>Results:</w:t>
      </w:r>
      <w:r w:rsidRPr="00FD03CB">
        <w:rPr>
          <w:sz w:val="22"/>
        </w:rPr>
        <w:t xml:space="preserve"> </w:t>
      </w:r>
      <w:r w:rsidRPr="00F31D95">
        <w:rPr>
          <w:color w:val="000000" w:themeColor="text1"/>
          <w:sz w:val="22"/>
        </w:rPr>
        <w:t>HDL-c levels (1.69</w:t>
      </w:r>
      <w:bookmarkStart w:id="1" w:name="OLE_LINK1"/>
      <w:r w:rsidRPr="00F31D95">
        <w:rPr>
          <w:color w:val="000000" w:themeColor="text1"/>
          <w:sz w:val="22"/>
        </w:rPr>
        <w:t>±</w:t>
      </w:r>
      <w:bookmarkEnd w:id="1"/>
      <w:r w:rsidRPr="00F31D95">
        <w:rPr>
          <w:color w:val="000000" w:themeColor="text1"/>
          <w:sz w:val="22"/>
        </w:rPr>
        <w:t>0.41 vs. 1.44±0.29mmol/l; p&lt;0.001), and HbA1c (8.4±1.2 vs. 5.4±0.2</w:t>
      </w:r>
      <w:r>
        <w:rPr>
          <w:color w:val="000000" w:themeColor="text1"/>
          <w:sz w:val="22"/>
        </w:rPr>
        <w:t>%</w:t>
      </w:r>
      <w:r w:rsidRPr="00F31D95">
        <w:rPr>
          <w:color w:val="000000" w:themeColor="text1"/>
          <w:sz w:val="22"/>
        </w:rPr>
        <w:t xml:space="preserve">; p&lt;0.001) were increased in </w:t>
      </w:r>
      <w:r>
        <w:rPr>
          <w:color w:val="000000" w:themeColor="text1"/>
          <w:sz w:val="22"/>
        </w:rPr>
        <w:t xml:space="preserve">all </w:t>
      </w:r>
      <w:r w:rsidRPr="00F31D95">
        <w:rPr>
          <w:color w:val="000000" w:themeColor="text1"/>
          <w:sz w:val="22"/>
        </w:rPr>
        <w:t xml:space="preserve">patients compared to controls. </w:t>
      </w:r>
      <w:r>
        <w:rPr>
          <w:color w:val="000000" w:themeColor="text1"/>
          <w:sz w:val="22"/>
        </w:rPr>
        <w:t>However, i</w:t>
      </w:r>
      <w:r w:rsidRPr="00F31D95">
        <w:rPr>
          <w:color w:val="000000" w:themeColor="text1"/>
          <w:sz w:val="22"/>
        </w:rPr>
        <w:t xml:space="preserve">ncreased inflammation and HDL dysfunction </w:t>
      </w:r>
      <w:r>
        <w:rPr>
          <w:color w:val="000000" w:themeColor="text1"/>
          <w:sz w:val="22"/>
        </w:rPr>
        <w:t xml:space="preserve">were </w:t>
      </w:r>
      <w:r w:rsidRPr="00F31D95">
        <w:rPr>
          <w:color w:val="000000" w:themeColor="text1"/>
          <w:sz w:val="22"/>
        </w:rPr>
        <w:t xml:space="preserve">evident </w:t>
      </w:r>
      <w:r>
        <w:rPr>
          <w:color w:val="000000" w:themeColor="text1"/>
          <w:sz w:val="22"/>
        </w:rPr>
        <w:t>only</w:t>
      </w:r>
      <w:r w:rsidRPr="00F31D95">
        <w:rPr>
          <w:color w:val="000000" w:themeColor="text1"/>
          <w:sz w:val="22"/>
        </w:rPr>
        <w:t xml:space="preserve"> in patients </w:t>
      </w:r>
      <w:r>
        <w:rPr>
          <w:color w:val="000000" w:themeColor="text1"/>
          <w:sz w:val="22"/>
        </w:rPr>
        <w:t>who also had evidence of early renal dysfunction</w:t>
      </w:r>
      <w:r w:rsidRPr="00F31D95">
        <w:rPr>
          <w:color w:val="000000" w:themeColor="text1"/>
          <w:sz w:val="22"/>
        </w:rPr>
        <w:t xml:space="preserve"> </w:t>
      </w:r>
      <w:r>
        <w:rPr>
          <w:color w:val="000000" w:themeColor="text1"/>
          <w:sz w:val="22"/>
        </w:rPr>
        <w:t>(mean</w:t>
      </w:r>
      <w:r w:rsidRPr="00F31D95">
        <w:rPr>
          <w:color w:val="000000" w:themeColor="text1"/>
          <w:sz w:val="22"/>
        </w:rPr>
        <w:t>±</w:t>
      </w:r>
      <w:r>
        <w:rPr>
          <w:color w:val="000000" w:themeColor="text1"/>
          <w:sz w:val="22"/>
        </w:rPr>
        <w:t>SD for high-ACR vs. low-ACR and healthy controls: i</w:t>
      </w:r>
      <w:r w:rsidRPr="00F31D95">
        <w:rPr>
          <w:color w:val="000000" w:themeColor="text1"/>
          <w:sz w:val="22"/>
        </w:rPr>
        <w:t xml:space="preserve">nflammatory risk score </w:t>
      </w:r>
      <w:r w:rsidRPr="000766DE">
        <w:rPr>
          <w:color w:val="000000" w:themeColor="text1"/>
          <w:sz w:val="22"/>
        </w:rPr>
        <w:t>11.3±2.5</w:t>
      </w:r>
      <w:r>
        <w:rPr>
          <w:color w:val="000000" w:themeColor="text1"/>
          <w:sz w:val="22"/>
        </w:rPr>
        <w:t xml:space="preserve"> vs. </w:t>
      </w:r>
      <w:r w:rsidRPr="000766DE">
        <w:rPr>
          <w:color w:val="000000" w:themeColor="text1"/>
          <w:sz w:val="22"/>
        </w:rPr>
        <w:t>9.</w:t>
      </w:r>
      <w:r>
        <w:rPr>
          <w:color w:val="000000" w:themeColor="text1"/>
          <w:sz w:val="22"/>
        </w:rPr>
        <w:t>5</w:t>
      </w:r>
      <w:r w:rsidRPr="000766DE">
        <w:rPr>
          <w:color w:val="000000" w:themeColor="text1"/>
          <w:sz w:val="22"/>
        </w:rPr>
        <w:t>±2.</w:t>
      </w:r>
      <w:r>
        <w:rPr>
          <w:color w:val="000000" w:themeColor="text1"/>
          <w:sz w:val="22"/>
        </w:rPr>
        <w:t>4 and 9.2</w:t>
      </w:r>
      <w:r w:rsidRPr="000766DE">
        <w:rPr>
          <w:color w:val="000000" w:themeColor="text1"/>
          <w:sz w:val="22"/>
        </w:rPr>
        <w:t>±</w:t>
      </w:r>
      <w:r>
        <w:rPr>
          <w:color w:val="000000" w:themeColor="text1"/>
          <w:sz w:val="22"/>
        </w:rPr>
        <w:t>2.4, p&lt;0.01; HDL-mediated nitric-</w:t>
      </w:r>
      <w:r w:rsidRPr="00F31D95">
        <w:rPr>
          <w:color w:val="000000" w:themeColor="text1"/>
          <w:sz w:val="22"/>
        </w:rPr>
        <w:t>oxide bioavailability 38.0±8.9 vs. 33.3±7.3 and 25.0±7.7%</w:t>
      </w:r>
      <w:r>
        <w:rPr>
          <w:color w:val="000000" w:themeColor="text1"/>
          <w:sz w:val="22"/>
        </w:rPr>
        <w:t xml:space="preserve">, </w:t>
      </w:r>
      <w:r w:rsidRPr="00F31D95">
        <w:rPr>
          <w:color w:val="000000" w:themeColor="text1"/>
          <w:sz w:val="22"/>
        </w:rPr>
        <w:t>p&lt;0.001</w:t>
      </w:r>
      <w:r>
        <w:rPr>
          <w:color w:val="000000" w:themeColor="text1"/>
          <w:sz w:val="22"/>
        </w:rPr>
        <w:t>;</w:t>
      </w:r>
      <w:r w:rsidRPr="00F31D95">
        <w:rPr>
          <w:color w:val="000000" w:themeColor="text1"/>
          <w:sz w:val="22"/>
        </w:rPr>
        <w:t xml:space="preserve"> HDL-mediated </w:t>
      </w:r>
      <w:r>
        <w:rPr>
          <w:color w:val="000000" w:themeColor="text1"/>
          <w:sz w:val="22"/>
        </w:rPr>
        <w:t xml:space="preserve">superoxide </w:t>
      </w:r>
      <w:r w:rsidRPr="00F31D95">
        <w:rPr>
          <w:color w:val="000000" w:themeColor="text1"/>
          <w:sz w:val="22"/>
        </w:rPr>
        <w:t>production 3.71±3.57 vs. 2.11±3.49 and 1.91±2.47nmol O</w:t>
      </w:r>
      <w:r w:rsidRPr="005B45DF">
        <w:rPr>
          <w:color w:val="000000" w:themeColor="text1"/>
          <w:sz w:val="22"/>
          <w:vertAlign w:val="subscript"/>
        </w:rPr>
        <w:t>2</w:t>
      </w:r>
      <w:r w:rsidRPr="00F31D95">
        <w:rPr>
          <w:color w:val="000000" w:themeColor="text1"/>
          <w:sz w:val="22"/>
        </w:rPr>
        <w:t xml:space="preserve"> per 250,000 cells</w:t>
      </w:r>
      <w:r>
        <w:rPr>
          <w:color w:val="000000" w:themeColor="text1"/>
          <w:sz w:val="22"/>
        </w:rPr>
        <w:t>,</w:t>
      </w:r>
      <w:r w:rsidRPr="00F31D95">
        <w:rPr>
          <w:color w:val="000000" w:themeColor="text1"/>
          <w:sz w:val="22"/>
        </w:rPr>
        <w:t xml:space="preserve"> p</w:t>
      </w:r>
      <w:r>
        <w:rPr>
          <w:color w:val="000000" w:themeColor="text1"/>
          <w:sz w:val="22"/>
        </w:rPr>
        <w:t>&lt;0.05</w:t>
      </w:r>
      <w:r w:rsidRPr="00F31D95">
        <w:rPr>
          <w:color w:val="000000" w:themeColor="text1"/>
          <w:sz w:val="22"/>
        </w:rPr>
        <w:t xml:space="preserve">). </w:t>
      </w:r>
      <w:r>
        <w:rPr>
          <w:color w:val="000000" w:themeColor="text1"/>
          <w:sz w:val="22"/>
        </w:rPr>
        <w:t>Endothelial function (flow-mediated dilation; FMD)</w:t>
      </w:r>
      <w:r w:rsidRPr="00F31D95">
        <w:rPr>
          <w:color w:val="000000" w:themeColor="text1"/>
          <w:sz w:val="22"/>
        </w:rPr>
        <w:t xml:space="preserve"> was impaired </w:t>
      </w:r>
      <w:r>
        <w:rPr>
          <w:color w:val="000000" w:themeColor="text1"/>
          <w:sz w:val="22"/>
        </w:rPr>
        <w:t xml:space="preserve">only </w:t>
      </w:r>
      <w:r w:rsidRPr="00F31D95">
        <w:rPr>
          <w:color w:val="000000" w:themeColor="text1"/>
          <w:sz w:val="22"/>
        </w:rPr>
        <w:t xml:space="preserve">in those </w:t>
      </w:r>
      <w:r>
        <w:rPr>
          <w:color w:val="000000" w:themeColor="text1"/>
          <w:sz w:val="22"/>
        </w:rPr>
        <w:t xml:space="preserve">who had both a high inflammatory risk score and </w:t>
      </w:r>
      <w:r w:rsidRPr="00F31D95">
        <w:rPr>
          <w:color w:val="000000" w:themeColor="text1"/>
          <w:sz w:val="22"/>
        </w:rPr>
        <w:t>high levels of</w:t>
      </w:r>
      <w:r>
        <w:rPr>
          <w:color w:val="000000" w:themeColor="text1"/>
          <w:sz w:val="22"/>
        </w:rPr>
        <w:t xml:space="preserve"> </w:t>
      </w:r>
      <w:r w:rsidRPr="00F31D95">
        <w:rPr>
          <w:color w:val="000000" w:themeColor="text1"/>
          <w:sz w:val="22"/>
        </w:rPr>
        <w:t>HDL</w:t>
      </w:r>
      <w:r>
        <w:rPr>
          <w:color w:val="000000" w:themeColor="text1"/>
          <w:sz w:val="22"/>
        </w:rPr>
        <w:t>-c</w:t>
      </w:r>
      <w:r w:rsidRPr="00F31D95">
        <w:rPr>
          <w:color w:val="000000" w:themeColor="text1"/>
          <w:sz w:val="22"/>
        </w:rPr>
        <w:t xml:space="preserve"> (</w:t>
      </w:r>
      <w:r>
        <w:rPr>
          <w:color w:val="000000" w:themeColor="text1"/>
          <w:sz w:val="22"/>
        </w:rPr>
        <w:t>p&lt;0.05</w:t>
      </w:r>
      <w:r w:rsidRPr="00F31D95">
        <w:rPr>
          <w:color w:val="000000" w:themeColor="text1"/>
          <w:sz w:val="22"/>
        </w:rPr>
        <w:t>).</w:t>
      </w:r>
    </w:p>
    <w:p w:rsidR="00077566" w:rsidRDefault="00077566" w:rsidP="00077566">
      <w:pPr>
        <w:jc w:val="both"/>
      </w:pPr>
      <w:r w:rsidRPr="00FD03CB">
        <w:rPr>
          <w:b/>
          <w:sz w:val="22"/>
        </w:rPr>
        <w:t>Conclusions:</w:t>
      </w:r>
      <w:r w:rsidRPr="00FD03CB">
        <w:rPr>
          <w:sz w:val="22"/>
        </w:rPr>
        <w:t xml:space="preserve"> </w:t>
      </w:r>
      <w:r>
        <w:rPr>
          <w:color w:val="000000" w:themeColor="text1"/>
          <w:sz w:val="22"/>
        </w:rPr>
        <w:t>I</w:t>
      </w:r>
      <w:r w:rsidRPr="00FD03CB">
        <w:rPr>
          <w:color w:val="000000" w:themeColor="text1"/>
          <w:sz w:val="22"/>
        </w:rPr>
        <w:t>ncreased levels of HDL</w:t>
      </w:r>
      <w:r>
        <w:rPr>
          <w:color w:val="000000" w:themeColor="text1"/>
          <w:sz w:val="22"/>
        </w:rPr>
        <w:t>-c</w:t>
      </w:r>
      <w:r w:rsidRPr="00FD03CB">
        <w:rPr>
          <w:color w:val="000000" w:themeColor="text1"/>
          <w:sz w:val="22"/>
        </w:rPr>
        <w:t xml:space="preserve"> commonly observed in individuals with </w:t>
      </w:r>
      <w:r>
        <w:rPr>
          <w:color w:val="000000" w:themeColor="text1"/>
          <w:sz w:val="22"/>
        </w:rPr>
        <w:t>type 1 diabetes</w:t>
      </w:r>
      <w:r w:rsidRPr="00FD03CB">
        <w:rPr>
          <w:color w:val="000000" w:themeColor="text1"/>
          <w:sz w:val="22"/>
        </w:rPr>
        <w:t xml:space="preserve"> may be detrimental to endothelial function </w:t>
      </w:r>
      <w:r>
        <w:rPr>
          <w:color w:val="000000" w:themeColor="text1"/>
          <w:sz w:val="22"/>
        </w:rPr>
        <w:t>when accompanied by renal dysfunction and chronic inflammation</w:t>
      </w:r>
      <w:r w:rsidRPr="00FD03CB">
        <w:rPr>
          <w:color w:val="000000" w:themeColor="text1"/>
          <w:sz w:val="22"/>
        </w:rPr>
        <w:t xml:space="preserve">. </w:t>
      </w:r>
    </w:p>
    <w:p w:rsidR="003E52DE" w:rsidRPr="00DD0ED2" w:rsidRDefault="003E52DE" w:rsidP="003E52DE">
      <w:pPr>
        <w:pStyle w:val="Heading1"/>
      </w:pPr>
      <w:r w:rsidRPr="00DD0ED2">
        <w:lastRenderedPageBreak/>
        <w:t>INTRODUCTION</w:t>
      </w:r>
    </w:p>
    <w:p w:rsidR="003E52DE" w:rsidRPr="00DD0ED2" w:rsidRDefault="003E52DE" w:rsidP="003E52DE">
      <w:pPr>
        <w:jc w:val="both"/>
      </w:pPr>
      <w:r w:rsidRPr="00DD0ED2">
        <w:t>Cardiovascular disease (CVD) accounts for more than 60% of all deaths in patients with type 1 diabetes from middle-age onwards</w:t>
      </w:r>
      <w:r w:rsidR="003F0CD7" w:rsidRPr="00DD0ED2">
        <w:t>, with females at particular risk</w:t>
      </w:r>
      <w:r w:rsidRPr="00DD0ED2">
        <w:fldChar w:fldCharType="begin" w:fldLock="1"/>
      </w:r>
      <w:r w:rsidR="00DD0ED2" w:rsidRPr="00DD0ED2">
        <w:instrText>ADDIN CSL_CITATION {"citationItems":[{"id":"ITEM-1","itemData":{"DOI":"10.2337/db10-0862.","author":[{"dropping-particle":"","family":"Secrest","given":"Aaron M","non-dropping-particle":"","parse-names":false,"suffix":""},{"dropping-particle":"","family":"Becker","given":"Dorothy J","non-dropping-particle":"","parse-names":false,"suffix":""},{"dropping-particle":"","family":"Kelsey","given":"Sheryl F","non-dropping-particle":"","parse-names":false,"suffix":""},{"dropping-particle":"","family":"Laporte","given":"Ronald E","non-dropping-particle":"","parse-names":false,"suffix":""},{"dropping-particle":"","family":"Orchard","given":"Trevor J","non-dropping-particle":"","parse-names":false,"suffix":""}],"container-title":"Diabetes","id":"ITEM-1","issued":{"date-parts":[["2010"]]},"page":"3216-3222","title":"Cause-Specific Mortality Trends in a Large Population-Based Cohort with Long-Standing Childhood-Onset Type 1 Diabetes","type":"article-journal","volume":"59"},"uris":["http://www.mendeley.com/documents/?uuid=34f98c06-95c1-4fc5-927f-4a4e153c067d"]}],"mendeley":{"formattedCitation":"&lt;sup&gt;1&lt;/sup&gt;","plainTextFormattedCitation":"1","previouslyFormattedCitation":"&lt;sup&gt;1&lt;/sup&gt;"},"properties":{"noteIndex":0},"schema":"https://github.com/citation-style-language/schema/raw/master/csl-citation.json"}</w:instrText>
      </w:r>
      <w:r w:rsidRPr="00DD0ED2">
        <w:fldChar w:fldCharType="separate"/>
      </w:r>
      <w:r w:rsidR="00DD0ED2" w:rsidRPr="00DD0ED2">
        <w:rPr>
          <w:noProof/>
          <w:vertAlign w:val="superscript"/>
        </w:rPr>
        <w:t>1</w:t>
      </w:r>
      <w:r w:rsidRPr="00DD0ED2">
        <w:fldChar w:fldCharType="end"/>
      </w:r>
      <w:r w:rsidRPr="00DD0ED2">
        <w:t xml:space="preserve">. </w:t>
      </w:r>
      <w:r w:rsidR="00073DDE" w:rsidRPr="00DD0ED2">
        <w:t>The development of type 1 diabetes</w:t>
      </w:r>
      <w:r w:rsidR="00E3262C" w:rsidRPr="00DD0ED2">
        <w:t xml:space="preserve"> </w:t>
      </w:r>
      <w:r w:rsidR="00286D4B" w:rsidRPr="00DD0ED2">
        <w:t>in the first decade of life</w:t>
      </w:r>
      <w:r w:rsidR="00E3262C" w:rsidRPr="00DD0ED2">
        <w:t xml:space="preserve"> </w:t>
      </w:r>
      <w:r w:rsidR="00286D4B" w:rsidRPr="00DD0ED2">
        <w:t>carries</w:t>
      </w:r>
      <w:r w:rsidR="00E3262C" w:rsidRPr="00DD0ED2">
        <w:t xml:space="preserve"> a </w:t>
      </w:r>
      <w:r w:rsidR="003F0CD7" w:rsidRPr="00DD0ED2">
        <w:t>3</w:t>
      </w:r>
      <w:r w:rsidR="00E3262C" w:rsidRPr="00DD0ED2">
        <w:t xml:space="preserve">-fold </w:t>
      </w:r>
      <w:r w:rsidR="00286D4B" w:rsidRPr="00DD0ED2">
        <w:t>greater</w:t>
      </w:r>
      <w:r w:rsidR="00E3262C" w:rsidRPr="00DD0ED2">
        <w:t xml:space="preserve"> risk of </w:t>
      </w:r>
      <w:r w:rsidR="006762E1" w:rsidRPr="00DD0ED2">
        <w:t>CVD</w:t>
      </w:r>
      <w:r w:rsidR="00286D4B" w:rsidRPr="00DD0ED2">
        <w:t xml:space="preserve"> than </w:t>
      </w:r>
      <w:r w:rsidR="00073DDE" w:rsidRPr="00DD0ED2">
        <w:t xml:space="preserve">its diagnosis </w:t>
      </w:r>
      <w:r w:rsidR="00286D4B" w:rsidRPr="00DD0ED2">
        <w:t>in the 3</w:t>
      </w:r>
      <w:r w:rsidR="00286D4B" w:rsidRPr="00DD0ED2">
        <w:rPr>
          <w:vertAlign w:val="superscript"/>
        </w:rPr>
        <w:t>rd</w:t>
      </w:r>
      <w:r w:rsidR="00286D4B" w:rsidRPr="00DD0ED2">
        <w:t xml:space="preserve"> decade</w:t>
      </w:r>
      <w:r w:rsidR="006762E1" w:rsidRPr="00DD0ED2">
        <w:fldChar w:fldCharType="begin" w:fldLock="1"/>
      </w:r>
      <w:r w:rsidR="00DD0ED2" w:rsidRPr="00DD0ED2">
        <w:instrText>ADDIN CSL_CITATION {"citationItems":[{"id":"ITEM-1","itemData":{"abstract":"&lt;h2&gt;Summary&lt;/h2&gt;&lt;h3&gt;Background&lt;/h3&gt;&lt;p&gt;People with type 1 diabetes are at elevated risk of mortality and cardiovascular disease, yet current guidelines do not consider age of onset as an important risk stratifier. We aimed to examine how age at diagnosis of type 1 diabetes relates to excess mortality and cardiovascular risk.&lt;/p&gt;&lt;h3&gt;Methods&lt;/h3&gt;&lt;p&gt;We did a nationwide, register-based cohort study of individuals with type 1 diabetes in the Swedish National Diabetes Register and matched controls from the general population. We included patients with at least one registration between Jan 1, 1998, and Dec 31, 2012. Using Cox regression, and with adjustment for diabetes duration, we estimated the excess risk of all-cause mortality, cardiovascular mortality, non-cardiovascular mortality, acute myocardial infarction, stroke, cardiovascular disease (a composite of acute myocardial infarction and stroke), coronary heart disease, heart failure, and atrial fibrillation. Individuals with type 1 diabetes were categorised into five groups, according to age at diagnosis: 0–10 years, 11–15 years, 16–20 years, 21–25 years, and 26–30 years.&lt;/p&gt;&lt;h3&gt;Findings&lt;/h3&gt;&lt;p&gt;27 195 individuals with type 1 diabetes and 135 178 matched controls were selected for this study. 959 individuals with type 1 diabetes and 1501 controls died during follow-up (median follow-up was 10 years). Patients who developed type 1 diabetes at 0–10 years of age had hazard ratios of 4·11 (95% CI 3·24–5·22) for all-cause mortality, 7·38 (3·65–14·94) for cardiovascular mortality, 3·96 (3·06–5·11) for non-cardiovascular mortality, 11·44 (7·95–16·44) for cardiovascular disease, 30·50 (19·98–46·57) for coronary heart disease, 30·95 (17·59–54·45) for acute myocardial infarction, 6·45 (4·04–10·31) for stroke, 12·90 (7·39–22·51) for heart failure, and 1·17 (0·62–2·20) for atrial fibrillation. Corresponding hazard ratios for individuals who developed type 1 diabetes aged 26–30 years were 2·83 (95% CI 2·38–3·37) for all-cause mortality, 3·64 (2·34–5·66) for cardiovascular mortality, 2·78 (2·29–3·38) for non-cardiovascular mortality, 3·85 (3·05–4·87) for cardiovascular disease, 6·08 (4·71–7·84) for coronary heart disease, 5·77 (4·08–8·16) for acute myocardial infarction, 3·22 (2·35–4·42) for stroke, 5·07 (3·55–7·22) for heart failure, and 1·18 (0·79–1·77) for atrial fibrillation; hence the excess risk differed by up to five times across the diagnosis age groups. The highest overall incidence rate, noted for all-cause mo…","author":[{"dropping-particle":"","family":"Rawshani","given":"Araz","non-dropping-particle":"","parse-names":false,"suffix":""},{"dropping-particle":"","family":"Sattar","given":"Naveed","non-dropping-particle":"","parse-names":false,"suffix":""},{"dropping-particle":"","family":"Franzén","given":"Stefan","non-dropping-particle":"","parse-names":false,"suffix":""},{"dropping-particle":"","family":"Rawshani","given":"Aidin","non-dropping-particle":"","parse-names":false,"suffix":""},{"dropping-particle":"","family":"Hattersley","given":"Andrew T","non-dropping-particle":"","parse-names":false,"suffix":""},{"dropping-particle":"","family":"Svensson","given":"Ann-Marie","non-dropping-particle":"","parse-names":false,"suffix":""},{"dropping-particle":"","family":"Eliasson","given":"Björn","non-dropping-particle":"","parse-names":false,"suffix":""},{"dropping-particle":"","family":"Gudbjörnsdottir","given":"Soffia","non-dropping-particle":"","parse-names":false,"suffix":""}],"container-title":"The Lancet","id":"ITEM-1","issue":"10146","issued":{"date-parts":[["2018"]]},"page":"477-486","title":"Excess mortality and cardiovascular disease in young adults with type 1 diabetes in relation to age at onset: a nationwide, register-based cohort study","type":"article-journal","volume":"392"},"uris":["http://www.mendeley.com/documents/?uuid=f1c671cf-3d5a-3310-867b-c8201186ec7b"]}],"mendeley":{"formattedCitation":"&lt;sup&gt;2&lt;/sup&gt;","plainTextFormattedCitation":"2","previouslyFormattedCitation":"&lt;sup&gt;2&lt;/sup&gt;"},"properties":{"noteIndex":0},"schema":"https://github.com/citation-style-language/schema/raw/master/csl-citation.json"}</w:instrText>
      </w:r>
      <w:r w:rsidR="006762E1" w:rsidRPr="00DD0ED2">
        <w:fldChar w:fldCharType="separate"/>
      </w:r>
      <w:r w:rsidR="00DD0ED2" w:rsidRPr="00DD0ED2">
        <w:rPr>
          <w:noProof/>
          <w:vertAlign w:val="superscript"/>
        </w:rPr>
        <w:t>2</w:t>
      </w:r>
      <w:r w:rsidR="006762E1" w:rsidRPr="00DD0ED2">
        <w:fldChar w:fldCharType="end"/>
      </w:r>
      <w:r w:rsidR="003F0CD7" w:rsidRPr="00DD0ED2">
        <w:t>,</w:t>
      </w:r>
      <w:r w:rsidR="006762E1" w:rsidRPr="00DD0ED2">
        <w:t xml:space="preserve"> </w:t>
      </w:r>
      <w:r w:rsidR="00286D4B" w:rsidRPr="00DD0ED2">
        <w:t>suggesting that</w:t>
      </w:r>
      <w:r w:rsidR="00E3262C" w:rsidRPr="00DD0ED2">
        <w:t xml:space="preserve"> </w:t>
      </w:r>
      <w:r w:rsidR="00286D4B" w:rsidRPr="00DD0ED2">
        <w:t>a</w:t>
      </w:r>
      <w:r w:rsidRPr="00DD0ED2">
        <w:t>dolescence is a critical period in the development of th</w:t>
      </w:r>
      <w:r w:rsidR="00A27157" w:rsidRPr="00DD0ED2">
        <w:t>ese</w:t>
      </w:r>
      <w:r w:rsidRPr="00DD0ED2">
        <w:t xml:space="preserve"> complication</w:t>
      </w:r>
      <w:r w:rsidR="00A27157" w:rsidRPr="00DD0ED2">
        <w:t>s</w:t>
      </w:r>
      <w:r w:rsidR="00286D4B" w:rsidRPr="00DD0ED2">
        <w:t>.</w:t>
      </w:r>
      <w:r w:rsidRPr="00DD0ED2">
        <w:t xml:space="preserve"> </w:t>
      </w:r>
      <w:r w:rsidR="00286D4B" w:rsidRPr="00DD0ED2">
        <w:t>In support of this, previous research has shown t</w:t>
      </w:r>
      <w:r w:rsidRPr="00DD0ED2">
        <w:t xml:space="preserve">he transition through puberty </w:t>
      </w:r>
      <w:r w:rsidR="00286D4B" w:rsidRPr="00DD0ED2">
        <w:t xml:space="preserve">to be </w:t>
      </w:r>
      <w:r w:rsidRPr="00DD0ED2">
        <w:t>accompanied by a deterioration in glycaemic control</w:t>
      </w:r>
      <w:r w:rsidR="00286D4B" w:rsidRPr="00DD0ED2">
        <w:t>,</w:t>
      </w:r>
      <w:r w:rsidRPr="00DD0ED2">
        <w:t xml:space="preserve"> increased exposure to CVD risk factors</w:t>
      </w:r>
      <w:r w:rsidR="00286D4B" w:rsidRPr="00DD0ED2">
        <w:t>,</w:t>
      </w:r>
      <w:r w:rsidRPr="00DD0ED2">
        <w:t xml:space="preserve"> and the appearance of the first signs of subclinical damage</w:t>
      </w:r>
      <w:r w:rsidRPr="00DD0ED2">
        <w:fldChar w:fldCharType="begin" w:fldLock="1"/>
      </w:r>
      <w:r w:rsidR="00DD0ED2" w:rsidRPr="00DD0ED2">
        <w:instrText>ADDIN CSL_CITATION {"citationItems":[{"id":"ITEM-1","itemData":{"author":[{"dropping-particle":"","family":"Urbina","given":"Elaine M.","non-dropping-particle":"","parse-names":false,"suffix":""},{"dropping-particle":"","family":"Wadwa","given":"R. Paul","non-dropping-particle":"","parse-names":false,"suffix":""},{"dropping-particle":"","family":"Davis","given":"Cralen","non-dropping-particle":"","parse-names":false,"suffix":""},{"dropping-particle":"","family":"Snively","given":"Beverly M.","non-dropping-particle":"","parse-names":false,"suffix":""},{"dropping-particle":"","family":"Dolan","given":"Lawrence M.","non-dropping-particle":"","parse-names":false,"suffix":""},{"dropping-particle":"","family":"Daniels","given":"Stephen R.","non-dropping-particle":"","parse-names":false,"suffix":""},{"dropping-particle":"","family":"Hamman","given":"Richard F.","non-dropping-particle":"","parse-names":false,"suffix":""},{"dropping-particle":"","family":"Dabelea","given":"Dana","non-dropping-particle":"","parse-names":false,"suffix":""}],"container-title":"The Journal of Pediatrics","id":"ITEM-1","issue":"5","issued":{"date-parts":[["2010"]]},"page":"731-737","title":"Prevalence of Increased Arterial Stiffness in Children with Type 1 Diabetes Mellitus Differs by Measurement Site and Sex: The SEARCH for Diabetes in Youth Study","type":"article-journal","volume":"156"},"uris":["http://www.mendeley.com/documents/?uuid=3bd82b4e-f25f-3da7-a68c-9bbbeca406e5"]},{"id":"ITEM-2","itemData":{"author":[{"dropping-particle":"","family":"Maftei","given":"Oana","non-dropping-particle":"","parse-names":false,"suffix":""},{"dropping-particle":"","family":"Pena","given":"Alexia S.","non-dropping-particle":"","parse-names":false,"suffix":""},{"dropping-particle":"","family":"Sullivan","given":"Thomas","non-dropping-particle":"","parse-names":false,"suffix":""},{"dropping-particle":"","family":"Jones","given":"Timothy W.","non-dropping-particle":"","parse-names":false,"suffix":""},{"dropping-particle":"","family":"Donaghue","given":"Kim C.","non-dropping-particle":"","parse-names":false,"suffix":""},{"dropping-particle":"","family":"Cameron","given":"Fergus J.","non-dropping-particle":"","parse-names":false,"suffix":""},{"dropping-particle":"","family":"Davis","given":"Elizabeth","non-dropping-particle":"","parse-names":false,"suffix":""},{"dropping-particle":"","family":"Cotterill","given":"Andrew","non-dropping-particle":"","parse-names":false,"suffix":""},{"dropping-particle":"","family":"Craig","given":"Maria E.","non-dropping-particle":"","parse-names":false,"suffix":""},{"dropping-particle":"","family":"Gent","given":"Roger","non-dropping-particle":"","parse-names":false,"suffix":""},{"dropping-particle":"","family":"Dalton","given":"Neil","non-dropping-particle":"","parse-names":false,"suffix":""},{"dropping-particle":"","family":"Daneman","given":"Denis","non-dropping-particle":"","parse-names":false,"suffix":""},{"dropping-particle":"","family":"Dunger","given":"David","non-dropping-particle":"","parse-names":false,"suffix":""},{"dropping-particle":"","family":"Deanfield","given":"John","non-dropping-particle":"","parse-names":false,"suffix":""},{"dropping-particle":"","family":"Couper","given":"Jenny J.","non-dropping-particle":"","parse-names":false,"suffix":""}],"container-title":"Diabetes Care","id":"ITEM-2","issue":"11","issued":{"date-parts":[["2014"]]},"page":"3069-3075","title":"Early Atherosclerosis Relates to Urinary Albumin Excretion and Cardiovascular Risk Factors in Adolescents With Type 1 Diabetes: Adolescent Type 1 Diabetes cardio-renal Intervention Trial (AdDIT)","type":"article-journal","volume":"37"},"uris":["http://www.mendeley.com/documents/?uuid=c1c50156-99bc-303d-bf81-5c85451ada20"]}],"mendeley":{"formattedCitation":"&lt;sup&gt;3,4&lt;/sup&gt;","plainTextFormattedCitation":"3,4","previouslyFormattedCitation":"&lt;sup&gt;3,4&lt;/sup&gt;"},"properties":{"noteIndex":0},"schema":"https://github.com/citation-style-language/schema/raw/master/csl-citation.json"}</w:instrText>
      </w:r>
      <w:r w:rsidRPr="00DD0ED2">
        <w:fldChar w:fldCharType="separate"/>
      </w:r>
      <w:r w:rsidR="00DD0ED2" w:rsidRPr="00DD0ED2">
        <w:rPr>
          <w:noProof/>
          <w:vertAlign w:val="superscript"/>
        </w:rPr>
        <w:t>3,4</w:t>
      </w:r>
      <w:r w:rsidRPr="00DD0ED2">
        <w:fldChar w:fldCharType="end"/>
      </w:r>
      <w:r w:rsidRPr="00DD0ED2">
        <w:t xml:space="preserve">. Identification of the underlying mechanistic pathways responsible for these early vascular changes is </w:t>
      </w:r>
      <w:r w:rsidR="00286D4B" w:rsidRPr="00DD0ED2">
        <w:t xml:space="preserve">therefore </w:t>
      </w:r>
      <w:r w:rsidRPr="00DD0ED2">
        <w:t xml:space="preserve">vital in order to inform </w:t>
      </w:r>
      <w:r w:rsidR="00363062" w:rsidRPr="00DD0ED2">
        <w:t xml:space="preserve">potential </w:t>
      </w:r>
      <w:r w:rsidRPr="00DD0ED2">
        <w:t>intervention strategies.</w:t>
      </w:r>
    </w:p>
    <w:p w:rsidR="003E52DE" w:rsidRPr="00DD0ED2" w:rsidRDefault="003E52DE" w:rsidP="003E52DE">
      <w:pPr>
        <w:jc w:val="both"/>
      </w:pPr>
      <w:r w:rsidRPr="00DD0ED2">
        <w:t>One of the earliest detectable indicators of vascular damage is endothelial dysfunction. This subclinical marker – which can be measured non-invasively using flow-mediated dilation (FMD) – is an established predictor of future adverse CVD outcomes</w:t>
      </w:r>
      <w:r w:rsidRPr="00DD0ED2">
        <w:fldChar w:fldCharType="begin" w:fldLock="1"/>
      </w:r>
      <w:r w:rsidR="00DD0ED2" w:rsidRPr="00DD0ED2">
        <w:instrText>ADDIN CSL_CITATION {"citationItems":[{"id":"ITEM-1","itemData":{"abstract":"Abstract Background Flow-mediated dilation (FMD) is an accepted technique to quantify endothelial function and has shown to have prognostic value for future cardiovascular disease (CVD). The predictive strength of FMD in CVD patients compared to populations not diagnosed for CVD warrants further investigation. We systematically reviewed prospective studies that investigated the association between brachial FMD and future cardiovascular events, with particular focus on the role of underlying health status. Methods To obtain eligible studies, several literature databases were systematically searched through March 2011. Pooled overall risk estimates were calculated separately for continuous risk estimates for CVD (per 1% higher FMD) and for categorical risk estimates for CVD (having high vs. low FMD), based on random-effects models. Results A total of 23 studies including 14,753 subjects were eligible for inclusion in the meta-analysis. For studies reporting continuous risk estimates, the pooled overall CVD risk was 0.92 (95%CI: 0.88; 0.95) per 1% higher FMD. The observed association seemed stronger (P-value Conclusions Our findings show that brachial FMD is inversely associated with future CVD events, with some indications for a stronger relation in diseased populations. Endothelial dysfunction may be considered relevant for classifying subjects in terms of CVD risk.","author":[{"dropping-particle":"","family":"Ras","given":"Rouyanne T.","non-dropping-particle":"","parse-names":false,"suffix":""},{"dropping-particle":"","family":"Streppel","given":"Martinette T.","non-dropping-particle":"","parse-names":false,"suffix":""},{"dropping-particle":"","family":"Draijer","given":"Richard","non-dropping-particle":"","parse-names":false,"suffix":""},{"dropping-particle":"","family":"Zock","given":"Peter L.","non-dropping-particle":"","parse-names":false,"suffix":""}],"container-title":"International Journal of Cardiology","id":"ITEM-1","issue":"1","issued":{"date-parts":[["2013"]]},"page":"344-351","title":"Flow-mediated dilation and cardiovascular risk prediction: A systematic review with meta-analysis","type":"article-journal","volume":"168"},"uris":["http://www.mendeley.com/documents/?uuid=94eeebe2-fdb6-390a-aaf7-c2b22478af92"]}],"mendeley":{"formattedCitation":"&lt;sup&gt;5&lt;/sup&gt;","plainTextFormattedCitation":"5","previouslyFormattedCitation":"&lt;sup&gt;5&lt;/sup&gt;"},"properties":{"noteIndex":0},"schema":"https://github.com/citation-style-language/schema/raw/master/csl-citation.json"}</w:instrText>
      </w:r>
      <w:r w:rsidRPr="00DD0ED2">
        <w:fldChar w:fldCharType="separate"/>
      </w:r>
      <w:r w:rsidR="00DD0ED2" w:rsidRPr="00DD0ED2">
        <w:rPr>
          <w:noProof/>
          <w:vertAlign w:val="superscript"/>
        </w:rPr>
        <w:t>5</w:t>
      </w:r>
      <w:r w:rsidRPr="00DD0ED2">
        <w:fldChar w:fldCharType="end"/>
      </w:r>
      <w:r w:rsidRPr="00DD0ED2">
        <w:t>. In agreement with previous studies</w:t>
      </w:r>
      <w:r w:rsidRPr="00DD0ED2">
        <w:fldChar w:fldCharType="begin" w:fldLock="1"/>
      </w:r>
      <w:r w:rsidR="00DD0ED2" w:rsidRPr="00DD0ED2">
        <w:instrText>ADDIN CSL_CITATION {"citationItems":[{"id":"ITEM-1","itemData":{"abstract":"OBJECTIVES Endothelial dysfunction is a known precursor of atherosclerosis and can be assessed by measuring the brachial artery flow-mediated dilatation (FMD) via ultrasonography. This study investigated endothelial function in young type 1 diabetics without cardiovascular morbidity or diabetes-related pathology. METHODS Young diabetics and healthy controls were recruited, both meeting strict inclusion and exclusion criteria. To prove absence of subclinical atherosclerosis, intima-media thickness (IMT) measurements at the carotid bifurcation were done in all of them. FMD was measured at the brachial artery. The results were compared using the t-test and the influences of different variables on FMD were assessed using multiple linear regression. RESULTS Twenty-six diabetics (23.4±5.8 years) and 36 healthy volunteers (23.1±2.8 years) were recruited. The duration of diabetes was 9.2±5.3 years; metabolic control was moderate (HbA1c 7.6±1.0%) and IMT was normal in both groups. FMD was significantly impaired in type 1 diabetics (7.13±0.43 vs. 8.77±0.43%; p=0.002). The FMD grade was associated with diabetes and age. Patients with a good metabolic control (HbA1c≤7.0%) had a better FMD. CONCLUSIONS In type 1 diabetics, even without preclinical or clinical atherosclerosis, endothelial function is already disturbed and can be detected using ultrasonography.","author":[{"dropping-particle":"","family":"Hurks","given":"R.","non-dropping-particle":"","parse-names":false,"suffix":""},{"dropping-particle":"","family":"Eisinger","given":"M.J.","non-dropping-particle":"","parse-names":false,"suffix":""},{"dropping-particle":"","family":"Goovaerts","given":"I.","non-dropping-particle":"","parse-names":false,"suffix":""},{"dropping-particle":"","family":"Gaal","given":"L.","non-dropping-particle":"van","parse-names":false,"suffix":""},{"dropping-particle":"","family":"Vrints","given":"C.","non-dropping-particle":"","parse-names":false,"suffix":""},{"dropping-particle":"","family":"Weyler","given":"J.","non-dropping-particle":"","parse-names":false,"suffix":""},{"dropping-particle":"","family":"Hendriks","given":"J.","non-dropping-particle":"","parse-names":false,"suffix":""},{"dropping-particle":"","family":"Schil","given":"P.","non-dropping-particle":"van","parse-names":false,"suffix":""},{"dropping-particle":"","family":"Lauwers","given":"P.","non-dropping-particle":"","parse-names":false,"suffix":""}],"container-title":"European Journal of Vascular and Endovascular Surgery","id":"ITEM-1","issue":"5","issued":{"date-parts":[["2009"]]},"page":"611-615","title":"Early Endothelial Dysfunction in Young Type 1 Diabetics","type":"article-journal","volume":"37"},"uris":["http://www.mendeley.com/documents/?uuid=36f7a3fc-f265-3524-b6d0-7c332bad1d24"]},{"id":"ITEM-2","itemData":{"abstract":"OBJECTIVE We evaluated the prevalence of endothelial dysfunction as measured by flow-mediated dilatation (FMD) of the brachial artery and carotid intima-media thickness (c-IMT) in relationship to vascular inflammatory biomarkers in preadolescent children with type 1 diabetes. RESEARCH DESIGN AND METHODS We studied 21 type 1 diabetic children (aged 8.3 ± 0.3 years with diabetes duration of 4.3 ± 0.4 years) and 15 group-matched healthy siblings (aged 7.6 ± 0.3 years). Fasting plasma glucose (FPG), lipid profile, HbA(1c), high-sensitivity C-reactive protein (hs-CRP), fibrinogen, homocysteine, and erythrocyte (red blood cell [RBC]) folate were evaluated in all subjects. Each subject underwent c-IMT and brachial artery FMD percentage (FMD%) measurements using high-resolution vascular ultrasound. RESULTS Type 1 diabetic children had higher FPG (173.4 ± 7.9 mg/dL vs. 81.40 ± 1.7 mg/dL; P &lt; 0.0001), HbA(1c) (8.0 ± 0.2% vs. 5.0 ± 0.1%; P &lt; 0.0001), and hs-CRP (1.8 ± 0.3 vs. 0.70 ± 0.2; P = 0.017) than control children without significant differences in BMI, homocysteine, and fibrinogen levels; RBC folate content; and c-IMT between the groups. Children with type 1 diabetes had lower FMD% than control children (7.1 ± 0.8% vs. 9.8 ± 1.1%; P = 0.04), whereas c-IMT did not differ between groups. CONCLUSIONS Preadolescent children with type 1 diabetes and mean diabetes duration of 4 years displayed evidence of low-intensity vascular inflammation and attenuated FMD measurements. These data suggest that endothelial dysfunction and systemic inflammation, known harbingers of future cardiovascular risk, are present even in preadolescent children.","author":[{"dropping-particle":"","family":"Babar","given":"Ghufran S","non-dropping-particle":"","parse-names":false,"suffix":""},{"dropping-particle":"","family":"Zidan","given":"Hanaa","non-dropping-particle":"","parse-names":false,"suffix":""},{"dropping-particle":"","family":"Widlansky","given":"Michael E","non-dropping-particle":"","parse-names":false,"suffix":""},{"dropping-particle":"","family":"Das","given":"Emon","non-dropping-particle":"","parse-names":false,"suffix":""},{"dropping-particle":"","family":"Hoffmann","given":"Raymond G","non-dropping-particle":"","parse-names":false,"suffix":""},{"dropping-particle":"","family":"Daoud","given":"Marwan","non-dropping-particle":"","parse-names":false,"suffix":""},{"dropping-particle":"","family":"Alemzadeh","given":"Ramin","non-dropping-particle":"","parse-names":false,"suffix":""}],"container-title":"Diabetes care","id":"ITEM-2","issue":"3","issued":{"date-parts":[["2011"]]},"page":"681-5","title":"Impaired endothelial function in preadolescent children with type 1 diabetes.","type":"article-journal","volume":"34"},"uris":["http://www.mendeley.com/documents/?uuid=e99e936f-90a5-35b9-a5e0-57f08eb956f4"]}],"mendeley":{"formattedCitation":"&lt;sup&gt;6,7&lt;/sup&gt;","plainTextFormattedCitation":"6,7","previouslyFormattedCitation":"&lt;sup&gt;6,7&lt;/sup&gt;"},"properties":{"noteIndex":0},"schema":"https://github.com/citation-style-language/schema/raw/master/csl-citation.json"}</w:instrText>
      </w:r>
      <w:r w:rsidRPr="00DD0ED2">
        <w:fldChar w:fldCharType="separate"/>
      </w:r>
      <w:r w:rsidR="00DD0ED2" w:rsidRPr="00DD0ED2">
        <w:rPr>
          <w:noProof/>
          <w:vertAlign w:val="superscript"/>
        </w:rPr>
        <w:t>6,7</w:t>
      </w:r>
      <w:r w:rsidRPr="00DD0ED2">
        <w:fldChar w:fldCharType="end"/>
      </w:r>
      <w:r w:rsidRPr="00DD0ED2">
        <w:t>, recent work from our group, as part of the Adolescent type 1 Diabetes cardio-renal Intervention Trial (AdDIT), has reported the presence of endothelial dysfunction in type 1 diabetes as early as the second decade of life (average age 14 years; duration of disease 7 years)</w:t>
      </w:r>
      <w:r w:rsidRPr="00DD0ED2">
        <w:fldChar w:fldCharType="begin" w:fldLock="1"/>
      </w:r>
      <w:r w:rsidR="00DD0ED2" w:rsidRPr="00DD0ED2">
        <w:instrText>ADDIN CSL_CITATION {"citationItems":[{"id":"ITEM-1","itemData":{"author":[{"dropping-particle":"","family":"Maftei","given":"Oana","non-dropping-particle":"","parse-names":false,"suffix":""},{"dropping-particle":"","family":"Pena","given":"Alexia S.","non-dropping-particle":"","parse-names":false,"suffix":""},{"dropping-particle":"","family":"Sullivan","given":"Thomas","non-dropping-particle":"","parse-names":false,"suffix":""},{"dropping-particle":"","family":"Jones","given":"Timothy W.","non-dropping-particle":"","parse-names":false,"suffix":""},{"dropping-particle":"","family":"Donaghue","given":"Kim C.","non-dropping-particle":"","parse-names":false,"suffix":""},{"dropping-particle":"","family":"Cameron","given":"Fergus J.","non-dropping-particle":"","parse-names":false,"suffix":""},{"dropping-particle":"","family":"Davis","given":"Elizabeth","non-dropping-particle":"","parse-names":false,"suffix":""},{"dropping-particle":"","family":"Cotterill","given":"Andrew","non-dropping-particle":"","parse-names":false,"suffix":""},{"dropping-particle":"","family":"Craig","given":"Maria E.","non-dropping-particle":"","parse-names":false,"suffix":""},{"dropping-particle":"","family":"Gent","given":"Roger","non-dropping-particle":"","parse-names":false,"suffix":""},{"dropping-particle":"","family":"Dalton","given":"Neil","non-dropping-particle":"","parse-names":false,"suffix":""},{"dropping-particle":"","family":"Daneman","given":"Denis","non-dropping-particle":"","parse-names":false,"suffix":""},{"dropping-particle":"","family":"Dunger","given":"David","non-dropping-particle":"","parse-names":false,"suffix":""},{"dropping-particle":"","family":"Deanfield","given":"John","non-dropping-particle":"","parse-names":false,"suffix":""},{"dropping-particle":"","family":"Couper","given":"Jenny J.","non-dropping-particle":"","parse-names":false,"suffix":""}],"container-title":"Diabetes Care","id":"ITEM-1","issue":"11","issued":{"date-parts":[["2014"]]},"page":"3069-3075","title":"Early Atherosclerosis Relates to Urinary Albumin Excretion and Cardiovascular Risk Factors in Adolescents With Type 1 Diabetes: Adolescent Type 1 Diabetes cardio-renal Intervention Trial (AdDIT)","type":"article-journal","volume":"37"},"uris":["http://www.mendeley.com/documents/?uuid=c1c50156-99bc-303d-bf81-5c85451ada20"]}],"mendeley":{"formattedCitation":"&lt;sup&gt;4&lt;/sup&gt;","plainTextFormattedCitation":"4","previouslyFormattedCitation":"&lt;sup&gt;4&lt;/sup&gt;"},"properties":{"noteIndex":0},"schema":"https://github.com/citation-style-language/schema/raw/master/csl-citation.json"}</w:instrText>
      </w:r>
      <w:r w:rsidRPr="00DD0ED2">
        <w:fldChar w:fldCharType="separate"/>
      </w:r>
      <w:r w:rsidR="00DD0ED2" w:rsidRPr="00DD0ED2">
        <w:rPr>
          <w:noProof/>
          <w:vertAlign w:val="superscript"/>
        </w:rPr>
        <w:t>4</w:t>
      </w:r>
      <w:r w:rsidRPr="00DD0ED2">
        <w:fldChar w:fldCharType="end"/>
      </w:r>
      <w:r w:rsidRPr="00DD0ED2">
        <w:t xml:space="preserve">. In addition, we have also noted an increase in the serum concentration of high-density lipoprotein cholesterol (HDL-c), a phenomenon </w:t>
      </w:r>
      <w:r w:rsidR="00363062" w:rsidRPr="00DD0ED2">
        <w:t>common in</w:t>
      </w:r>
      <w:r w:rsidRPr="00DD0ED2">
        <w:t xml:space="preserve"> type 1 diabetes</w:t>
      </w:r>
      <w:r w:rsidRPr="00DD0ED2">
        <w:fldChar w:fldCharType="begin" w:fldLock="1"/>
      </w:r>
      <w:r w:rsidR="00DD0ED2" w:rsidRPr="00DD0ED2">
        <w:instrText>ADDIN CSL_CITATION {"citationItems":[{"id":"ITEM-1","itemData":{"abstract":"Type 1 diabetes (T1D) is a chronic autoimmune disease characterized by absence of insulin secretion due to destruction of the pancreatic beta-cells. Patients with T1D exhibit an increased risk for cardiovascular disease (CVD) compared with non-diabetic subjects. It has been established that low concentration of high-density lipoprotein cholesterol (HDL-C), an independent risk marker of CVD, coincides with a reduced protective capacity against oxidative stress. However, conflicting results have been reported on the prevalence of low HDL-C levels in T1D. Interestingly, changes in composition and function of HDL particles (abnormal ratio of cholesteryl ester-to-triglyceride, reduction in the phospholipid content, reduced capacity to promote cholesterol efflux from macrophages, impaired anti-inflammatory and anti-oxidant activities) have been described in patients with T1D. Hence, exploring HDL function, even in the presence of normal HDL-C levels, might provide additional insight into the underlying pathophysiology associated with increased CV risk in T1D. In the current review, we will provide a detailed overview of the current evidence for a role of HDL function as independent risk factor for the development of CVD in T1D.","author":[{"dropping-particle":"","family":"Ganjali","given":"Shiva","non-dropping-particle":"","parse-names":false,"suffix":""},{"dropping-particle":"","family":"Dallinga-Thie","given":"Geesje M.","non-dropping-particle":"","parse-names":false,"suffix":""},{"dropping-particle":"","family":"Simental-Mendía","given":"Luis E.","non-dropping-particle":"","parse-names":false,"suffix":""},{"dropping-particle":"","family":"Banach","given":"Maciej","non-dropping-particle":"","parse-names":false,"suffix":""},{"dropping-particle":"","family":"Pirro","given":"Matteo","non-dropping-particle":"","parse-names":false,"suffix":""},{"dropping-particle":"","family":"Sahebkar","given":"Amirhossein","non-dropping-particle":"","parse-names":false,"suffix":""}],"container-title":"Atherosclerosis","id":"ITEM-1","issued":{"date-parts":[["2017"]]},"page":"99-109","title":"HDL functionality in type 1 diabetes","type":"article-journal","volume":"267"},"uris":["http://www.mendeley.com/documents/?uuid=6e4a549c-72cd-3e1d-884b-683c1d75b65c"]},{"id":"ITEM-2","itemData":{"author":[{"dropping-particle":"","family":"Nikkilä","given":"E A","non-dropping-particle":"","parse-names":false,"suffix":""},{"dropping-particle":"","family":"Hormila","given":"P","non-dropping-particle":"","parse-names":false,"suffix":""}],"container-title":"Diabetes","id":"ITEM-2","issue":"11","issued":{"date-parts":[["1978"]]},"page":"1078-86","title":"Serum lipids and lipoproteins in insulin-treated diabetes. Demonstration of increased high density lipoprotein concentrations.","type":"article-journal","volume":"27"},"uris":["http://www.mendeley.com/documents/?uuid=e475f3ec-3f0e-3be7-bb4f-7e57beb0bc13"]},{"id":"ITEM-3","itemData":{"abstract":"Patients with type 1 diabetes have greatly increased phospholipid transfer protein (PLTP) activity and have an altered HDL subclass distribution. In 195 patients with type 1 diabetes and in 194 men and women aged 30-55 years, we examined the relationship of PLTP activity to HDL and examined whether PLTP activity contributes to differences in HDL found in type 1 diabetes. PLTP activity was measured using an exogenous substrate assay. Average HDL particle size and HDL subclasses were measured using nuclear magnetic resonance spectroscopy. Apolipoprotein AI (apoAI) and apoAII were measured by immunoturbidimetry. The amount of apoAI present in LpAI was measured using a differential electroimmunoassay, and the amount of apoAI in LpAIAII was inferred from the apoAI and LpAI data. Higher PLTP activity was associated with more large HDL (P &lt; 0.001) and less small HDL (P &lt; 0.01), more apoAI and apoAII (both at P &lt; 0.001), and more apoAI in both LpAI and LpAIAII (P = 0.02 and P &lt; 0.001, respectively). These associations were independent of other lipids and enzyme activities. Adjusting for PLTP activity halved the difference between subjects with and without diabetes in apoA1 (from 10.1 mg/dl higher in subjects with diabetes to 4.6 mg/dl higher) and large HDL (2.4 micro mol/l higher to 1.2 micro mol/l higher) and reduced the difference in HDL size (from 0.31 nm higher to 0.26 nm higher). PLTP activity was also positively associated with apoB, total VLDL and LDL particle number, and IDL level in subjects with diabetes. These data support the idea that PLTP is a major factor in HDL conversion and remodeling in humans and that higher PLTP activity makes an important contribution to the higher apoAI levels and altered HDL subclass distribution in type 1 diabetes. They also support a role for PLTP in the metabolism of apoB-containing lipoproteins.","author":[{"dropping-particle":"","family":"Colhoun","given":"Helen M","non-dropping-particle":"","parse-names":false,"suffix":""},{"dropping-particle":"","family":"Taskinen","given":"Marja-Riitta","non-dropping-particle":"","parse-names":false,"suffix":""},{"dropping-particle":"","family":"Otvos","given":"James D","non-dropping-particle":"","parse-names":false,"suffix":""},{"dropping-particle":"","family":"Berg","given":"Paul","non-dropping-particle":"Van Den","parse-names":false,"suffix":""},{"dropping-particle":"","family":"O'Connor","given":"John","non-dropping-particle":"","parse-names":false,"suffix":""},{"dropping-particle":"","family":"Tol","given":"Arie","non-dropping-particle":"Van","parse-names":false,"suffix":""}],"container-title":"Diabetes","id":"ITEM-3","issue":"11","issued":{"date-parts":[["2002"]]},"page":"3300-5","title":"Relationship of phospholipid transfer protein activity to HDL and apolipoprotein B-containing lipoproteins in subjects with and without type 1 diabetes.","type":"article-journal","volume":"51"},"uris":["http://www.mendeley.com/documents/?uuid=59999d8f-be18-3072-b12e-93327d786869"]},{"id":"ITEM-4","itemData":{"author":[{"dropping-particle":"","family":"Hayashibe","given":"H.","non-dropping-particle":"","parse-names":false,"suffix":""},{"dropping-particle":"","family":"Asayama","given":"K.","non-dropping-particle":"","parse-names":false,"suffix":""},{"dropping-particle":"","family":"Nakane","given":"T.","non-dropping-particle":"","parse-names":false,"suffix":""},{"dropping-particle":"","family":"Kobayashi","given":"K.","non-dropping-particle":"","parse-names":false,"suffix":""},{"dropping-particle":"","family":"Amemiya","given":"S.","non-dropping-particle":"","parse-names":false,"suffix":""},{"dropping-particle":"","family":"Nakazawa","given":"S.","non-dropping-particle":"","parse-names":false,"suffix":""}],"container-title":"Acta Paediatrica","id":"ITEM-4","issue":"10","issued":{"date-parts":[["1999"]]},"page":"1067-1070","title":"Decreased activity of plasma cholesteryl ester transfer protein in children and adolescents with insulin-dependent diabetes mellitus","type":"article-journal","volume":"88"},"uris":["http://www.mendeley.com/documents/?uuid=5b37b1d7-091e-3fe1-b594-46fc7043de92"]}],"mendeley":{"formattedCitation":"&lt;sup&gt;8–11&lt;/sup&gt;","plainTextFormattedCitation":"8–11","previouslyFormattedCitation":"&lt;sup&gt;8–11&lt;/sup&gt;"},"properties":{"noteIndex":0},"schema":"https://github.com/citation-style-language/schema/raw/master/csl-citation.json"}</w:instrText>
      </w:r>
      <w:r w:rsidRPr="00DD0ED2">
        <w:fldChar w:fldCharType="separate"/>
      </w:r>
      <w:r w:rsidR="00DD0ED2" w:rsidRPr="00DD0ED2">
        <w:rPr>
          <w:noProof/>
          <w:vertAlign w:val="superscript"/>
        </w:rPr>
        <w:t>8–11</w:t>
      </w:r>
      <w:r w:rsidRPr="00DD0ED2">
        <w:fldChar w:fldCharType="end"/>
      </w:r>
      <w:r w:rsidRPr="00DD0ED2">
        <w:t xml:space="preserve">.  </w:t>
      </w:r>
    </w:p>
    <w:p w:rsidR="003E52DE" w:rsidRPr="00DD0ED2" w:rsidRDefault="003E52DE" w:rsidP="003E52DE">
      <w:pPr>
        <w:jc w:val="both"/>
      </w:pPr>
      <w:r w:rsidRPr="00DD0ED2">
        <w:t>HDL is widely-considered to be a vasoprotective particle due to its many anti-atherogenic and anti-inflammatory properties, and is associated with improved CVD outcomes in epidemiological studies</w:t>
      </w:r>
      <w:r w:rsidRPr="00DD0ED2">
        <w:fldChar w:fldCharType="begin" w:fldLock="1"/>
      </w:r>
      <w:r w:rsidR="00DD0ED2" w:rsidRPr="00DD0ED2">
        <w:instrText>ADDIN CSL_CITATION {"citationItems":[{"id":"ITEM-1","itemData":{"abstract":"Lipid and lipoprotein values, including fasting triglycerides and high density lipoproteins (HDL), low density lipoproteins (LDL) and total cholesterol levels, were obtained on 2,815 men and women aged 49 to 82 years chiefly between 1969 and 1971 at Framingham. In the approximately four years following the characterization of lipids, coronary heart disease developed in 79 of the 1,025 men and 63 of the 1,445 women free of coronary heart diseases. At these older ages the major potent lipid risk factor was HDL cholesterol, which had an inverse association with the incidence of coronary heart disease (p less than 0.001) in either men or women. This lipid was associated with each major manifestation of coronary heart disease. These associations were equally significant even when other lipids and other standard risk factors for coronary heart disease were taken into consideration. A weaker association with the incidence of coronary heart disease (p less than 0.05) was observed for LDL cholesterol. Triglycerides were associated with the incidence of coronary heart disease only in women and then only when the level of other lipids was not taken into account. At these ages total cholesterol was not associated with the risk of coronary heart disease.","author":[{"dropping-particle":"","family":"Gordon","given":"T","non-dropping-particle":"","parse-names":false,"suffix":""},{"dropping-particle":"","family":"Castelli","given":"W P","non-dropping-particle":"","parse-names":false,"suffix":""},{"dropping-particle":"","family":"Hjortland","given":"M C","non-dropping-particle":"","parse-names":false,"suffix":""},{"dropping-particle":"","family":"Kannel","given":"W B","non-dropping-particle":"","parse-names":false,"suffix":""},{"dropping-particle":"","family":"Dawber","given":"T R","non-dropping-particle":"","parse-names":false,"suffix":""}],"container-title":"The American journal of medicine","id":"ITEM-1","issue":"5","issued":{"date-parts":[["1977"]]},"page":"707-14","title":"High density lipoprotein as a protective factor against coronary heart disease. The Framingham Study.","type":"article-journal","volume":"62"},"uris":["http://www.mendeley.com/documents/?uuid=dc10ce97-b71f-3268-99a3-b7118370c029"]}],"mendeley":{"formattedCitation":"&lt;sup&gt;12&lt;/sup&gt;","plainTextFormattedCitation":"12","previouslyFormattedCitation":"&lt;sup&gt;12&lt;/sup&gt;"},"properties":{"noteIndex":0},"schema":"https://github.com/citation-style-language/schema/raw/master/csl-citation.json"}</w:instrText>
      </w:r>
      <w:r w:rsidRPr="00DD0ED2">
        <w:fldChar w:fldCharType="separate"/>
      </w:r>
      <w:r w:rsidR="00DD0ED2" w:rsidRPr="00DD0ED2">
        <w:rPr>
          <w:noProof/>
          <w:vertAlign w:val="superscript"/>
        </w:rPr>
        <w:t>12</w:t>
      </w:r>
      <w:r w:rsidRPr="00DD0ED2">
        <w:fldChar w:fldCharType="end"/>
      </w:r>
      <w:r w:rsidRPr="00DD0ED2">
        <w:t>. HDL levels in type 1 diabetes are commonly reported to be ~ 0.25 mmol/l higher than those observed in the general population</w:t>
      </w:r>
      <w:r w:rsidRPr="00DD0ED2">
        <w:fldChar w:fldCharType="begin" w:fldLock="1"/>
      </w:r>
      <w:r w:rsidR="00DD0ED2" w:rsidRPr="00DD0ED2">
        <w:instrText>ADDIN CSL_CITATION {"citationItems":[{"id":"ITEM-1","itemData":{"abstract":"Although the increased risk of premature heart disease in type 1 diabetes has been recognized for some time, the underlying pathogenesis is still poorly understood. The most likely factor, a priori, to account for this increased risk is hyperglycemia. However, despite recent evidence from the Diabetes Control and Complications Trial (DCCT)/Epidemiology of Diabetes Interventions and Complications (EDIC) study that prior intensive glycemic control reduces cardiovascular disease (CVD), the epidemiologic association between glycemia and coronary heart disease (CHD) is surprisingly weak. This paradox is a focus of the current review, which also evaluates other major determinants of coronary artery disease (CAD) in type 1 diabetes, including the roles of insulin resistance, cytokines, inflammatory biomarkers, and, briefly, genetic factors. Finally, the clinical implications of this information are discussed.\r\n\r\nA high occurrence of, and mortality from, CHD in type 1 diabetes has been documented since the late 1970s (1,2). A 1984 registry reported a 10-fold or greater CHD mortality compared with that expected from U.S. national data (3). This very high relative risk, partly reflecting the extremely low CHD death rate in the general young-adult population, was subsequently confirmed by Joslin investigators (4), who reported that those with type 1 diabetes by 55 years of age experienced a sixfold greater cumulative CHD mortality compared with the rate expected using Framingham Study data. The Wisconsin Epidemiologic Study of Diabetic Retinopathy (WESDR) also reported a standardized mortality ratio (SMR) from ischemic heart disease of 9.1 (for men) and 13.5 (for women) for those with a diabetes diagnosis before 30 years of age (5).\r\n\r\nTwo recent prospective epidemiologic studies, the Pittsburgh Epidemiology of Diabetes Complications (EDC) study (6) and Eurodiab (7), a multicenter, clinic-based study in Europe, confirmed these earlier reports and reported an incidence of total coronary events (including electrocardiogram [ECG] changes) …","author":[{"dropping-particle":"","family":"Orchard","given":"Trevor J","non-dropping-particle":"","parse-names":false,"suffix":""},{"dropping-particle":"","family":"Costacou","given":"Tina","non-dropping-particle":"","parse-names":false,"suffix":""},{"dropping-particle":"","family":"Kretowski","given":"Adam","non-dropping-particle":"","parse-names":false,"suffix":""},{"dropping-particle":"","family":"Nesto","given":"Richard W","non-dropping-particle":"","parse-names":false,"suffix":""},{"dropping-particle":"","family":"Forrest","given":"Kimberly Y-Z","non-dropping-particle":"","parse-names":false,"suffix":""},{"dropping-particle":"","family":"Smithline Kinder","given":"Leslie","non-dropping-particle":"","parse-names":false,"suffix":""},{"dropping-particle":"","family":"Ellis","given":"Demetrius","non-dropping-particle":"","parse-names":false,"suffix":""},{"dropping-particle":"","family":"Becker","given":"Dorothy J","non-dropping-particle":"","parse-names":false,"suffix":""}],"container-title":"Diabetes care","id":"ITEM-1","issue":"11","issued":{"date-parts":[["2006"]]},"page":"2528-38","title":"Type 1 diabetes and coronary artery disease.","type":"article-journal","volume":"29"},"uris":["http://www.mendeley.com/documents/?uuid=f6083043-bfee-36e0-b9b3-8f191ac4b03e"]}],"mendeley":{"formattedCitation":"&lt;sup&gt;13&lt;/sup&gt;","plainTextFormattedCitation":"13","previouslyFormattedCitation":"&lt;sup&gt;13&lt;/sup&gt;"},"properties":{"noteIndex":0},"schema":"https://github.com/citation-style-language/schema/raw/master/csl-citation.json"}</w:instrText>
      </w:r>
      <w:r w:rsidRPr="00DD0ED2">
        <w:fldChar w:fldCharType="separate"/>
      </w:r>
      <w:r w:rsidR="00DD0ED2" w:rsidRPr="00DD0ED2">
        <w:rPr>
          <w:noProof/>
          <w:vertAlign w:val="superscript"/>
        </w:rPr>
        <w:t>13</w:t>
      </w:r>
      <w:r w:rsidRPr="00DD0ED2">
        <w:fldChar w:fldCharType="end"/>
      </w:r>
      <w:r w:rsidRPr="00DD0ED2">
        <w:t xml:space="preserve">, yet CVD risk in this patient group is </w:t>
      </w:r>
      <w:r w:rsidR="00762389" w:rsidRPr="00DD0ED2">
        <w:t>considerable</w:t>
      </w:r>
      <w:r w:rsidRPr="00DD0ED2">
        <w:t>. We and others have demonstrated the capacity for HDL to transform from a protective anti-inflammatory molecule to a dysfunctional pro-inflammatory equivalent in the presence chronic disease</w:t>
      </w:r>
      <w:r w:rsidRPr="00DD0ED2">
        <w:fldChar w:fldCharType="begin" w:fldLock="1"/>
      </w:r>
      <w:r w:rsidR="00DD0ED2" w:rsidRPr="00DD0ED2">
        <w:instrText>ADDIN CSL_CITATION {"citationItems":[{"id":"ITEM-1","itemData":{"abstract":"Recent studies demonstrate that HDL's ability to promote cholesterol efflux from macrophages associates strongly with cardioprotection in humans independently of HDL-cholesterol (HDL-C) and apoA-I, HDL's major protein. However, the mechanisms that impair cholesterol efflux capacity during vascular disease are unclear. Inflammation, a well-established risk factor for cardiovascular disease, has been shown to impair HDL's cholesterol efflux capacity. We therefore tested the hypothesis that HDL's impaired efflux capacity is mediated by specific changes of its protein cargo. Humans with acute inflammation induced by low-level endotoxin had unchanged HDL-C levels, but their HDL-C efflux capacity was significantly impaired. Proteomic analyses demonstrated that HDL's cholesterol efflux capacity correlated inversely with HDL content of serum amyloid A (SAA)1 and SAA2. In mice, acute inflammation caused a marked impairment of HDL-C efflux capacity that correlated with a large increase in HDL SAA. In striking contrast, the efflux capacity of mouse inflammatory HDL was preserved with genetic ablation of SAA1 and SAA2. Our observations indicate that the inflammatory impairment of HDL-C efflux capacity is due in part to SAA-mediated remodeling of HDL's protein cargo.","author":[{"dropping-particle":"","family":"Vaisar","given":"Tomáš","non-dropping-particle":"","parse-names":false,"suffix":""},{"dropping-particle":"","family":"Tang","given":"Chongren","non-dropping-particle":"","parse-names":false,"suffix":""},{"dropping-particle":"","family":"Babenko","given":"Ilona","non-dropping-particle":"","parse-names":false,"suffix":""},{"dropping-particle":"","family":"Hutchins","given":"Patrick","non-dropping-particle":"","parse-names":false,"suffix":""},{"dropping-particle":"","family":"Wimberger","given":"Jake","non-dropping-particle":"","parse-names":false,"suffix":""},{"dropping-particle":"","family":"Suffredini","given":"Anthony F.","non-dropping-particle":"","parse-names":false,"suffix":""},{"dropping-particle":"","family":"Heinecke","given":"Jay W.","non-dropping-particle":"","parse-names":false,"suffix":""}],"container-title":"Journal of Lipid Research","id":"ITEM-1","issue":"8","issued":{"date-parts":[["2015"]]},"page":"1519-1530","title":"Inflammatory remodeling of the HDL proteome impairs cholesterol efflux capacity","type":"article-journal","volume":"56"},"uris":["http://www.mendeley.com/documents/?uuid=64c35309-a8f6-34a5-88b4-e5064f0da282"]},{"id":"ITEM-2","itemData":{"author":[{"dropping-particle":"","family":"Ohashi","given":"R.","non-dropping-particle":"","parse-names":false,"suffix":""},{"dropping-particle":"","family":"Mu","given":"H.","non-dropping-particle":"","parse-names":false,"suffix":""},{"dropping-particle":"","family":"Wang","given":"X.","non-dropping-particle":"","parse-names":false,"suffix":""},{"dropping-particle":"","family":"Yao","given":"Q.","non-dropping-particle":"","parse-names":false,"suffix":""},{"dropping-particle":"","family":"Chen","given":"C.","non-dropping-particle":"","parse-names":false,"suffix":""}],"container-title":"QJM: An International Journal of Medicine","id":"ITEM-2","issue":"12","issued":{"date-parts":[["2005"]]},"page":"845-856","title":"Reverse cholesterol transport and cholesterol efflux in atherosclerosis","type":"article-journal","volume":"98"},"uris":["http://www.mendeley.com/documents/?uuid=33ff083f-6e81-3550-be49-eee4f6447ec6"]},{"id":"ITEM-3","itemData":{"abstract":"BACKGROUND: High-density lipoprotein (HDL)-raising therapies are currently under intense evaluation, but the effects of HDL may be highly heterogeneous. We therefore compared the endothelial effects of HDL from healthy subjects and from patients with type 2 diabetes mellitus and low HDL (meeting the criteria for metabolic syndrome), who are frequently considered for HDL-raising therapies. Moreover, in diabetic patients, we examined the impact of extended-release (ER) niacin therapy on the endothelial effects of HDL. METHODS AND RESULTS: HDL was isolated from healthy subjects (n=10) and patients with type 2 diabetes (n=33) by sequential ultracentrifugation. Effects of HDL on endothelial nitric oxide and superoxide production were characterized by electron spin resonance spectroscopy analysis. Effects of HDL on endothelium-dependent vasodilation and early endothelial progenitor cell-mediated endothelial repair were examined. Patients with diabetes were randomized to a 3-month therapy with ER niacin (1500 mg/d) or placebo, and endothelial effects of HDL were characterized. HDL from healthy subjects stimulated endothelial nitric oxide production, reduced endothelial oxidant stress, and improved endothelium-dependent vasodilation and early endothelial progenitor cell-mediated endothelial repair. In contrast, these beneficial endothelial effects of HDL were not observed in HDL from diabetic patients, which suggests markedly impaired endothelial-protective properties of HDL. ER niacin therapy improved the capacity of HDL to stimulate endothelial nitric oxide, to reduce superoxide production, and to promote endothelial progenitor cell-mediated endothelial repair. Further measurements suggested increased lipid oxidation of HDL in diabetic patients, and a reduction after ER niacin therapy. CONCLUSIONS: HDL from patients with type 2 diabetes mellitus and metabolic syndrome has substantially impaired endothelial-protective effects compared with HDL from healthy subjects. ER niacin therapy not only increases HDL plasma levels but markedly improves endothelial-protective functions of HDL in these patients, which is potentially more important. CLINICAL TRIAL REGISTRATION: clinicaltrials.gov. Identifier: NCT00346970.","author":[{"dropping-particle":"","family":"Sorrentino","given":"Sajoscha A","non-dropping-particle":"","parse-names":false,"suffix":""},{"dropping-particle":"","family":"Besler","given":"Christian","non-dropping-particle":"","parse-names":false,"suffix":""},{"dropping-particle":"","family":"Rohrer","given":"Lucia","non-dropping-particle":"","parse-names":false,"suffix":""},{"dropping-particle":"","family":"Meyer","given":"Martin","non-dropping-particle":"","parse-names":false,"suffix":""},{"dropping-particle":"","family":"Heinrich","given":"Kathrin","non-dropping-particle":"","parse-names":false,"suffix":""},{"dropping-particle":"","family":"Bahlmann","given":"Ferdinand H","non-dropping-particle":"","parse-names":false,"suffix":""},{"dropping-particle":"","family":"Mueller","given":"Maja","non-dropping-particle":"","parse-names":false,"suffix":""},{"dropping-particle":"","family":"Horváth","given":"Tibor","non-dropping-particle":"","parse-names":false,"suffix":""},{"dropping-particle":"","family":"Doerries","given":"Carola","non-dropping-particle":"","parse-names":false,"suffix":""},{"dropping-particle":"","family":"Heinemann","given":"Mariko","non-dropping-particle":"","parse-names":false,"suffix":""},{"dropping-particle":"","family":"Flemmer","given":"Stella","non-dropping-particle":"","parse-names":false,"suffix":""},{"dropping-particle":"","family":"Markowski","given":"Andrea","non-dropping-particle":"","parse-names":false,"suffix":""},{"dropping-particle":"","family":"Manes","given":"Costantina","non-dropping-particle":"","parse-names":false,"suffix":""},{"dropping-particle":"","family":"Bahr","given":"Matthias J","non-dropping-particle":"","parse-names":false,"suffix":""},{"dropping-particle":"","family":"Haller","given":"Hermann","non-dropping-particle":"","parse-names":false,"suffix":""},{"dropping-particle":"","family":"Eckardstein","given":"Arnold","non-dropping-particle":"von","parse-names":false,"suffix":""},{"dropping-particle":"","family":"Drexler","given":"Helmut","non-dropping-particle":"","parse-names":false,"suffix":""},{"dropping-particle":"","family":"Landmesser","given":"Ulf","non-dropping-particle":"","parse-names":false,"suffix":""}],"container-title":"Circulation","id":"ITEM-3","issue":"1","issued":{"date-parts":[["2010"]]},"page":"110-22","title":"Endothelial-vasoprotective effects of high-density lipoprotein are impaired in patients with type 2 diabetes mellitus but are improved after extended-release niacin therapy.","type":"article-journal","volume":"121"},"uris":["http://www.mendeley.com/documents/?uuid=33c97819-80e9-4ca2-a727-feeed4ebb5ce"]},{"id":"ITEM-4","itemData":{"author":[{"dropping-particle":"","family":"O'Neill","given":"Francis","non-dropping-particle":"","parse-names":false,"suffix":""},{"dropping-particle":"","family":"Riwanto","given":"Meliana","non-dropping-particle":"","parse-names":false,"suffix":""},{"dropping-particle":"","family":"Charakida","given":"Marietta","non-dropping-particle":"","parse-names":false,"suffix":""},{"dropping-particle":"","family":"Colin","given":"Sophie","non-dropping-particle":"","parse-names":false,"suffix":""},{"dropping-particle":"","family":"Manz","given":"Jasmin","non-dropping-particle":"","parse-names":false,"suffix":""},{"dropping-particle":"","family":"McLoughlin","given":"Eve","non-dropping-particle":"","parse-names":false,"suffix":""},{"dropping-particle":"","family":"Khan","given":"Tauseef","non-dropping-particle":"","parse-names":false,"suffix":""},{"dropping-particle":"","family":"Klein","given":"Nigel","non-dropping-particle":"","parse-names":false,"suffix":""},{"dropping-particle":"","family":"Kay","given":"Christopher W.M.","non-dropping-particle":"","parse-names":false,"suffix":""},{"dropping-particle":"","family":"Patel","given":"Kalpesh","non-dropping-particle":"","parse-names":false,"suffix":""},{"dropping-particle":"","family":"Chinetti","given":"Giulia","non-dropping-particle":"","parse-names":false,"suffix":""},{"dropping-particle":"","family":"Staels","given":"Bart","non-dropping-particle":"","parse-names":false,"suffix":""},{"dropping-particle":"","family":"D'Aiuto","given":"Francesco","non-dropping-particle":"","parse-names":false,"suffix":""},{"dropping-particle":"","family":"Landmesser","given":"Ulf","non-dropping-particle":"","parse-names":false,"suffix":""},{"dropping-particle":"","family":"Deanfield","given":"John","non-dropping-particle":"","parse-names":false,"suffix":""}],"container-title":"International Journal of Cardiology","id":"ITEM-4","issued":{"date-parts":[["2015"]]},"page":"111-116","title":"Structural and functional changes in HDL with low grade and chronic inflammation","type":"article-journal","volume":"188"},"uris":["http://www.mendeley.com/documents/?uuid=d69e8556-8ab7-4a9e-9dc6-bd6927405c5b"]}],"mendeley":{"formattedCitation":"&lt;sup&gt;14–17&lt;/sup&gt;","plainTextFormattedCitation":"14–17","previouslyFormattedCitation":"&lt;sup&gt;14–17&lt;/sup&gt;"},"properties":{"noteIndex":0},"schema":"https://github.com/citation-style-language/schema/raw/master/csl-citation.json"}</w:instrText>
      </w:r>
      <w:r w:rsidRPr="00DD0ED2">
        <w:fldChar w:fldCharType="separate"/>
      </w:r>
      <w:r w:rsidR="00DD0ED2" w:rsidRPr="00DD0ED2">
        <w:rPr>
          <w:noProof/>
          <w:vertAlign w:val="superscript"/>
        </w:rPr>
        <w:t>14–17</w:t>
      </w:r>
      <w:r w:rsidRPr="00DD0ED2">
        <w:fldChar w:fldCharType="end"/>
      </w:r>
      <w:r w:rsidRPr="00DD0ED2">
        <w:t>. This effect is mediated through factors such as systemic inflammation</w:t>
      </w:r>
      <w:r w:rsidRPr="00DD0ED2">
        <w:fldChar w:fldCharType="begin" w:fldLock="1"/>
      </w:r>
      <w:r w:rsidR="00DD0ED2" w:rsidRPr="00DD0ED2">
        <w:instrText>ADDIN CSL_CITATION {"citationItems":[{"id":"ITEM-1","itemData":{"author":[{"dropping-particle":"","family":"O'Neill","given":"Francis","non-dropping-particle":"","parse-names":false,"suffix":""},{"dropping-particle":"","family":"Riwanto","given":"Meliana","non-dropping-particle":"","parse-names":false,"suffix":""},{"dropping-particle":"","family":"Charakida","given":"Marietta","non-dropping-particle":"","parse-names":false,"suffix":""},{"dropping-particle":"","family":"Colin","given":"Sophie","non-dropping-particle":"","parse-names":false,"suffix":""},{"dropping-particle":"","family":"Manz","given":"Jasmin","non-dropping-particle":"","parse-names":false,"suffix":""},{"dropping-particle":"","family":"McLoughlin","given":"Eve","non-dropping-particle":"","parse-names":false,"suffix":""},{"dropping-particle":"","family":"Khan","given":"Tauseef","non-dropping-particle":"","parse-names":false,"suffix":""},{"dropping-particle":"","family":"Klein","given":"Nigel","non-dropping-particle":"","parse-names":false,"suffix":""},{"dropping-particle":"","family":"Kay","given":"Christopher W.M.","non-dropping-particle":"","parse-names":false,"suffix":""},{"dropping-particle":"","family":"Patel","given":"Kalpesh","non-dropping-particle":"","parse-names":false,"suffix":""},{"dropping-particle":"","family":"Chinetti","given":"Giulia","non-dropping-particle":"","parse-names":false,"suffix":""},{"dropping-particle":"","family":"Staels","given":"Bart","non-dropping-particle":"","parse-names":false,"suffix":""},{"dropping-particle":"","family":"D'Aiuto","given":"Francesco","non-dropping-particle":"","parse-names":false,"suffix":""},{"dropping-particle":"","family":"Landmesser","given":"Ulf","non-dropping-particle":"","parse-names":false,"suffix":""},{"dropping-particle":"","family":"Deanfield","given":"John","non-dropping-particle":"","parse-names":false,"suffix":""}],"container-title":"International Journal of Cardiology","id":"ITEM-1","issued":{"date-parts":[["2015"]]},"page":"111-116","title":"Structural and functional changes in HDL with low grade and chronic inflammation","type":"article-journal","volume":"188"},"uris":["http://www.mendeley.com/documents/?uuid=d69e8556-8ab7-4a9e-9dc6-bd6927405c5b"]}],"mendeley":{"formattedCitation":"&lt;sup&gt;17&lt;/sup&gt;","plainTextFormattedCitation":"17","previouslyFormattedCitation":"&lt;sup&gt;17&lt;/sup&gt;"},"properties":{"noteIndex":0},"schema":"https://github.com/citation-style-language/schema/raw/master/csl-citation.json"}</w:instrText>
      </w:r>
      <w:r w:rsidRPr="00DD0ED2">
        <w:fldChar w:fldCharType="separate"/>
      </w:r>
      <w:r w:rsidR="00DD0ED2" w:rsidRPr="00DD0ED2">
        <w:rPr>
          <w:noProof/>
          <w:vertAlign w:val="superscript"/>
        </w:rPr>
        <w:t>17</w:t>
      </w:r>
      <w:r w:rsidRPr="00DD0ED2">
        <w:fldChar w:fldCharType="end"/>
      </w:r>
      <w:r w:rsidRPr="00DD0ED2">
        <w:t xml:space="preserve"> or renal dysfunction</w:t>
      </w:r>
      <w:r w:rsidRPr="00DD0ED2">
        <w:fldChar w:fldCharType="begin" w:fldLock="1"/>
      </w:r>
      <w:r w:rsidR="00DD0ED2" w:rsidRPr="00DD0ED2">
        <w:instrText>ADDIN CSL_CITATION {"citationItems":[{"id":"ITEM-1","itemData":{"abstract":"Endothelial dysfunction begins in early CKD and contributes to cardiovascular mortality. HDL is considered antiatherogenic, but may have adverse vascular effects in cardiovascular disease, diabetes, and inflammatory conditions. The effect of renal failure on HDL properties is unknown. We studied the endothelial effects of HDL isolated from 82 children with CKD stages 2-5 (HDL(CKD)), who were free of underlying inflammatory diseases, diabetes, or active infections. Compared with HDL from healthy children, HDL(CKD) strongly inhibited nitric oxide production, promoted superoxide production, and increased vascular cell adhesion molecule-1 expression in human aortic endothelial cells, and reduced cholesterol efflux from macrophages. The effects on endothelial cells correlated with CKD grade, with the most profound changes induced by HDL from patients on dialysis, and partial recovery observed with HDL isolated after kidney transplantation. Furthermore, the in vitro effects on endothelial cells associated with increased aortic pulse wave velocity, carotid intima-media thickness, and circulating markers of endothelial dysfunction in patients. Symmetric dimethylarginine levels were increased in serum and fractions of HDL from children with CKD. In a longitudinal follow-up of eight children undergoing kidney transplantation, HDL-induced production of endothelial nitric oxide, superoxide, and vascular cell adhesion molecule-1 in vitro improved significantly at 3 months after transplantation, but did not reach normal levels. These results suggest that in children with CKD without concomitant disease affecting HDL function, HDL dysfunction begins in early CKD, progressing as renal function declines, and is partially reversed after kidney transplantation.","author":[{"dropping-particle":"","family":"Shroff","given":"Rukshana","non-dropping-particle":"","parse-names":false,"suffix":""},{"dropping-particle":"","family":"Speer","given":"Thimoteus","non-dropping-particle":"","parse-names":false,"suffix":""},{"dropping-particle":"","family":"Colin","given":"Sophie","non-dropping-particle":"","parse-names":false,"suffix":""},{"dropping-particle":"","family":"Charakida","given":"Marietta","non-dropping-particle":"","parse-names":false,"suffix":""},{"dropping-particle":"","family":"Zewinger","given":"Stephen","non-dropping-particle":"","parse-names":false,"suffix":""},{"dropping-particle":"","family":"Staels","given":"Bart","non-dropping-particle":"","parse-names":false,"suffix":""},{"dropping-particle":"","family":"Chinetti-Gbaguidi","given":"Giulia","non-dropping-particle":"","parse-names":false,"suffix":""},{"dropping-particle":"","family":"Hettrich","given":"Inga","non-dropping-particle":"","parse-names":false,"suffix":""},{"dropping-particle":"","family":"Rohrer","given":"Lucia","non-dropping-particle":"","parse-names":false,"suffix":""},{"dropping-particle":"","family":"O'Neill","given":"Francis","non-dropping-particle":"","parse-names":false,"suffix":""},{"dropping-particle":"","family":"McLoughlin","given":"Eve","non-dropping-particle":"","parse-names":false,"suffix":""},{"dropping-particle":"","family":"Long","given":"David","non-dropping-particle":"","parse-names":false,"suffix":""},{"dropping-particle":"","family":"Shanahan","given":"Catherine M","non-dropping-particle":"","parse-names":false,"suffix":""},{"dropping-particle":"","family":"Landmesser","given":"Ulf","non-dropping-particle":"","parse-names":false,"suffix":""},{"dropping-particle":"","family":"Fliser","given":"Danilo","non-dropping-particle":"","parse-names":false,"suffix":""},{"dropping-particle":"","family":"Deanfield","given":"John E","non-dropping-particle":"","parse-names":false,"suffix":""}],"container-title":"Journal of the American Society of Nephrology : JASN","id":"ITEM-1","issue":"11","issued":{"date-parts":[["2014"]]},"page":"2658-2668","title":"HDL in Children with CKD Promotes Endothelial Dysfunction and an Abnormal Vascular Phenotype.","type":"article-journal","volume":"25"},"uris":["http://www.mendeley.com/documents/?uuid=47571dba-043c-476d-b2e7-12c855ed5a77"]}],"mendeley":{"formattedCitation":"&lt;sup&gt;18&lt;/sup&gt;","plainTextFormattedCitation":"18","previouslyFormattedCitation":"&lt;sup&gt;18&lt;/sup&gt;"},"properties":{"noteIndex":0},"schema":"https://github.com/citation-style-language/schema/raw/master/csl-citation.json"}</w:instrText>
      </w:r>
      <w:r w:rsidRPr="00DD0ED2">
        <w:fldChar w:fldCharType="separate"/>
      </w:r>
      <w:r w:rsidR="00DD0ED2" w:rsidRPr="00DD0ED2">
        <w:rPr>
          <w:noProof/>
          <w:vertAlign w:val="superscript"/>
        </w:rPr>
        <w:t>18</w:t>
      </w:r>
      <w:r w:rsidRPr="00DD0ED2">
        <w:fldChar w:fldCharType="end"/>
      </w:r>
      <w:r w:rsidRPr="00DD0ED2">
        <w:t>, and can result in a reversal of the well-documented inverse relationship between circulating HDL levels and adverse cardiovascular (CVD) outcomes</w:t>
      </w:r>
      <w:r w:rsidRPr="00DD0ED2">
        <w:fldChar w:fldCharType="begin" w:fldLock="1"/>
      </w:r>
      <w:r w:rsidR="00DD0ED2" w:rsidRPr="00DD0ED2">
        <w:instrText>ADDIN CSL_CITATION {"citationItems":[{"id":"ITEM-1","itemData":{"author":[{"dropping-particle":"","family":"Zewinger","given":"Stephen","non-dropping-particle":"","parse-names":false,"suffix":""},{"dropping-particle":"","family":"Drechsler","given":"Christiane","non-dropping-particle":"","parse-names":false,"suffix":""},{"dropping-particle":"","family":"Kleber","given":"Marcus E.","non-dropping-particle":"","parse-names":false,"suffix":""},{"dropping-particle":"","family":"Dressel","given":"Alexander","non-dropping-particle":"","parse-names":false,"suffix":""},{"dropping-particle":"","family":"Riffel","given":"Julia","non-dropping-particle":"","parse-names":false,"suffix":""},{"dropping-particle":"","family":"Triem","given":"Sarah","non-dropping-particle":"","parse-names":false,"suffix":""},{"dropping-particle":"","family":"Lehmann","given":"Marlene","non-dropping-particle":"","parse-names":false,"suffix":""},{"dropping-particle":"","family":"Kopecky","given":"Chantal","non-dropping-particle":"","parse-names":false,"suffix":""},{"dropping-particle":"","family":"Säemann","given":"Marcus D.","non-dropping-particle":"","parse-names":false,"suffix":""},{"dropping-particle":"","family":"Lepper","given":"Philipp M.","non-dropping-particle":"","parse-names":false,"suffix":""},{"dropping-particle":"","family":"Silbernagel","given":"Günther","non-dropping-particle":"","parse-names":false,"suffix":""},{"dropping-particle":"","family":"Scharnagl","given":"Hubert","non-dropping-particle":"","parse-names":false,"suffix":""},{"dropping-particle":"","family":"Ritsch","given":"Andreas","non-dropping-particle":"","parse-names":false,"suffix":""},{"dropping-particle":"","family":"Thorand","given":"Barbara","non-dropping-particle":"","parse-names":false,"suffix":""},{"dropping-particle":"","family":"las Heras Gala","given":"Tonia","non-dropping-particle":"de","parse-names":false,"suffix":""},{"dropping-particle":"","family":"Wagenpfeil","given":"Stefan","non-dropping-particle":"","parse-names":false,"suffix":""},{"dropping-particle":"","family":"Koenig","given":"Wolfgang","non-dropping-particle":"","parse-names":false,"suffix":""},{"dropping-particle":"","family":"Peters","given":"Annette","non-dropping-particle":"","parse-names":false,"suffix":""},{"dropping-particle":"","family":"Laufs","given":"Ulrich","non-dropping-particle":"","parse-names":false,"suffix":""},{"dropping-particle":"","family":"Wanner","given":"Christoph","non-dropping-particle":"","parse-names":false,"suffix":""},{"dropping-particle":"","family":"Fliser","given":"Danilo","non-dropping-particle":"","parse-names":false,"suffix":""},{"dropping-particle":"","family":"Speer","given":"Thimoteus","non-dropping-particle":"","parse-names":false,"suffix":""},{"dropping-particle":"","family":"März","given":"Winfried","non-dropping-particle":"","parse-names":false,"suffix":""}],"container-title":"European Heart Journal","id":"ITEM-1","issued":{"date-parts":[["2015"]]},"page":"3007-3016","title":"Serum amyloid A: high-density lipoproteins interaction and cardiovascular risk","type":"article-journal","volume":"36"},"uris":["http://www.mendeley.com/documents/?uuid=dca40060-8c46-3130-a626-a4cdf9ee4136"]}],"mendeley":{"formattedCitation":"&lt;sup&gt;19&lt;/sup&gt;","plainTextFormattedCitation":"19","previouslyFormattedCitation":"&lt;sup&gt;19&lt;/sup&gt;"},"properties":{"noteIndex":0},"schema":"https://github.com/citation-style-language/schema/raw/master/csl-citation.json"}</w:instrText>
      </w:r>
      <w:r w:rsidRPr="00DD0ED2">
        <w:fldChar w:fldCharType="separate"/>
      </w:r>
      <w:r w:rsidR="00DD0ED2" w:rsidRPr="00DD0ED2">
        <w:rPr>
          <w:noProof/>
          <w:vertAlign w:val="superscript"/>
        </w:rPr>
        <w:t>19</w:t>
      </w:r>
      <w:r w:rsidRPr="00DD0ED2">
        <w:fldChar w:fldCharType="end"/>
      </w:r>
      <w:r w:rsidRPr="00DD0ED2">
        <w:t>.</w:t>
      </w:r>
    </w:p>
    <w:p w:rsidR="003E52DE" w:rsidRPr="00DD0ED2" w:rsidRDefault="003E52DE" w:rsidP="003E52DE">
      <w:pPr>
        <w:jc w:val="both"/>
      </w:pPr>
      <w:r w:rsidRPr="00DD0ED2">
        <w:t>We have</w:t>
      </w:r>
      <w:r w:rsidR="00762389" w:rsidRPr="00DD0ED2">
        <w:t xml:space="preserve"> also</w:t>
      </w:r>
      <w:r w:rsidRPr="00DD0ED2">
        <w:t xml:space="preserve"> shown pro-inflammatory biomarkers and cytokines to be elevated in patients with type 1 diabetes even at this young age, suggestive of a ‘chronic inflammatory’ response</w:t>
      </w:r>
      <w:r w:rsidRPr="00DD0ED2">
        <w:fldChar w:fldCharType="begin" w:fldLock="1"/>
      </w:r>
      <w:r w:rsidR="00DD0ED2" w:rsidRPr="00DD0ED2">
        <w:instrText>ADDIN CSL_CITATION {"citationItems":[{"id":"ITEM-1","itemData":{"abstract":"OBJECTIVE The contribution of inflammation to endothelial/vascular dysfunction in early Type I Diabetes (T1D) is not well understood. The objective of this study was to examine the interaction between systemic inflammation and vascular function in adolescent's with and without-T1D. METHODS 51 subjects from our observational cohort of adolescents with T1D (JDRF-CCTN), and 59 healthy controls (HC) were studied. Serum cytokines-chemokines were quantified using Human 41-Plex Array, and vascular function was measured by Flow Mediated Dilatation (FMD), Pulse Wave Velocity (PWV) and Blood Pressure (BP). Factor Analysis was used to identify pro- and anti-inflammatory cytokine-chemokine factors, which were then correlated with vascular outcomes. RESULTS Three pro-inflammatory factors were identified in HC and three in TID, and a single anti-inflammatory factor in both groups. In HC there was a positive correlation (r=0.33; p=0.01) between control proinflammatory Factor 1 and systolic BP and a negative correlation between control proinflammatory Factor 3(r=-0.29; p=0.02) and diastolic BP. Control proinflammatory Factor 2 correlated positively with PWV. In TID subjects, no correlations were found between any of the pro-inflammatory factors and the vascular measurements. No correlations were found between the anti-inflammatory factors and BP, FMD and PWV in either HC or T1D. Levels of pro-inflammatory analytes, EGF, GRO, PDGF-BB, PDGF-AA and sCD40L were significantly higher in T1D. CONCLUSIONS The cytokine-chemokine signature in early T1D, prior to the development of arterial disease, is significantly different from that seen in healthy controls. This may be relevant to pathophysiology, determining risk and identifying target cytokines-chemokines for intervention in T1D.","author":[{"dropping-particle":"","family":"Sochett","given":"Etienne","non-dropping-particle":"","parse-names":false,"suffix":""},{"dropping-particle":"","family":"Noone","given":"Damien","non-dropping-particle":"","parse-names":false,"suffix":""},{"dropping-particle":"","family":"Grattan","given":"Michael","non-dropping-particle":"","parse-names":false,"suffix":""},{"dropping-particle":"","family":"Slorach","given":"Cameron","non-dropping-particle":"","parse-names":false,"suffix":""},{"dropping-particle":"","family":"Moineddin","given":"Rahim","non-dropping-particle":"","parse-names":false,"suffix":""},{"dropping-particle":"","family":"Elia","given":"Yesmino","non-dropping-particle":"","parse-names":false,"suffix":""},{"dropping-particle":"","family":"Mahmud","given":"Farid H.","non-dropping-particle":"","parse-names":false,"suffix":""},{"dropping-particle":"","family":"Dunger","given":"David B.","non-dropping-particle":"","parse-names":false,"suffix":""},{"dropping-particle":"","family":"Dalton","given":"Neil","non-dropping-particle":"","parse-names":false,"suffix":""},{"dropping-particle":"","family":"Cherney","given":"David","non-dropping-particle":"","parse-names":false,"suffix":""},{"dropping-particle":"","family":"Scholey","given":"James","non-dropping-particle":"","parse-names":false,"suffix":""},{"dropping-particle":"","family":"Reich","given":"Heather","non-dropping-particle":"","parse-names":false,"suffix":""},{"dropping-particle":"","family":"Deanfield","given":"John","non-dropping-particle":"","parse-names":false,"suffix":""}],"container-title":"Cytokine","id":"ITEM-1","issued":{"date-parts":[["2017"]]},"page":"233-239","title":"Relationship between serum inflammatory markers and vascular function in a cohort of adolescents with type 1 diabetes","type":"article-journal","volume":"99"},"uris":["http://www.mendeley.com/documents/?uuid=4bc68185-6799-3362-acef-4dd9000bfaaf"]},{"id":"ITEM-2","itemData":{"abstract":"OBJECTIVE Urinary cytokine/chemokine levels are elevated in adults with type 1 diabetes (T1D) exhibiting renal hyperfiltration. Whether this observation extends to adolescents with T1D remains unknown. Our first objective was to determine the relationship between hyperfiltration and urinary cytokines/chemokines in normotensive, normoalbuminuric adolescents with T1D using GFR(cystatin). Our second aim was to determine the relationship between urine and plasma levels of inflammatory biomarkers, to clarify the origin of these factors. METHODS Urine and serum cytokines/chemokines (Luminex platform) and GFR(cystatin) were measured in normofiltering (n = 111, T1D-N, GFR&lt;135 ml/min/1.73 m(2)) and hyperfiltering (n = 31, T1D-H, GFR ≥ 135 ml/min/1.73 m(2)) adolescents with T1D (ages 10-16), and in age and sex matched healthy control subjects (HC, n = 59). RESULTS We noted significant step-wise increases in urinary cytokine/chemokine excretion according to filtration status with highest levels in T1D-H, with parallel trends in serum analyte concentrations. After adjusting for serum glucose at the time of sampling, differences in urinary cytokine excretion were not statistically significant. Only serum IL-2 significantly differed between HC and T1D (p = 0.0076). CONCLUSIONS Hyperfiltration is associated with increased urinary cytokine/chemokine excretion in T1D adolescents, and parallel trends in serum cytokine concentration. The GFR-associated trends in cytokine excretion may be driven by the effects of ambient hyperglycemia. The relationship between hyperfiltration, glycemia, and variations in serum and urine cytokine expression and their impact on future renal and systemic vascular complications requires further study.","author":[{"dropping-particle":"","family":"Har","given":"Ron L. H.","non-dropping-particle":"","parse-names":false,"suffix":""},{"dropping-particle":"","family":"Reich","given":"Heather N.","non-dropping-particle":"","parse-names":false,"suffix":""},{"dropping-particle":"","family":"Scholey","given":"James W.","non-dropping-particle":"","parse-names":false,"suffix":""},{"dropping-particle":"","family":"Daneman","given":"Denis","non-dropping-particle":"","parse-names":false,"suffix":""},{"dropping-particle":"","family":"Dunger","given":"David B.","non-dropping-particle":"","parse-names":false,"suffix":""},{"dropping-particle":"","family":"Moineddin","given":"Rahim","non-dropping-particle":"","parse-names":false,"suffix":""},{"dropping-particle":"","family":"Dalton","given":"R. Neil","non-dropping-particle":"","parse-names":false,"suffix":""},{"dropping-particle":"","family":"Motran","given":"Laura","non-dropping-particle":"","parse-names":false,"suffix":""},{"dropping-particle":"","family":"Elia","given":"Yesmino","non-dropping-particle":"","parse-names":false,"suffix":""},{"dropping-particle":"","family":"Deda","given":"Livia","non-dropping-particle":"","parse-names":false,"suffix":""},{"dropping-particle":"","family":"Ostrovsky","given":"Masha","non-dropping-particle":"","parse-names":false,"suffix":""},{"dropping-particle":"","family":"Sochett","given":"Etienne B.","non-dropping-particle":"","parse-names":false,"suffix":""},{"dropping-particle":"","family":"Mahmud","given":"Farid H.","non-dropping-particle":"","parse-names":false,"suffix":""},{"dropping-particle":"","family":"Cherney","given":"David Z. I.","non-dropping-particle":"","parse-names":false,"suffix":""}],"container-title":"PLoS ONE","id":"ITEM-2","issue":"11","issued":{"date-parts":[["2014"]]},"page":"e111-131","title":"The Urinary Cytokine/Chemokine Signature of Renal Hyperfiltration in Adolescents with Type 1 Diabetes","type":"article-journal","volume":"9"},"uris":["http://www.mendeley.com/documents/?uuid=9de218d9-c8ff-3302-888e-87dcf9676757"]}],"mendeley":{"formattedCitation":"&lt;sup&gt;20,21&lt;/sup&gt;","plainTextFormattedCitation":"20,21","previouslyFormattedCitation":"&lt;sup&gt;20,21&lt;/sup&gt;"},"properties":{"noteIndex":0},"schema":"https://github.com/citation-style-language/schema/raw/master/csl-citation.json"}</w:instrText>
      </w:r>
      <w:r w:rsidRPr="00DD0ED2">
        <w:fldChar w:fldCharType="separate"/>
      </w:r>
      <w:r w:rsidR="00DD0ED2" w:rsidRPr="00DD0ED2">
        <w:rPr>
          <w:noProof/>
          <w:vertAlign w:val="superscript"/>
        </w:rPr>
        <w:t>20,21</w:t>
      </w:r>
      <w:r w:rsidRPr="00DD0ED2">
        <w:fldChar w:fldCharType="end"/>
      </w:r>
      <w:r w:rsidR="00762389" w:rsidRPr="00DD0ED2">
        <w:t xml:space="preserve">, as well as </w:t>
      </w:r>
      <w:r w:rsidRPr="00DD0ED2">
        <w:t>our ability to identify patients at high-risk of cardio-renal complications through the detection of early changes in renal function measured using of a standardised albumin-creatinine algorithm adjusted for age, sex, and duration of disease</w:t>
      </w:r>
      <w:r w:rsidRPr="00DD0ED2">
        <w:fldChar w:fldCharType="begin" w:fldLock="1"/>
      </w:r>
      <w:r w:rsidR="00DD0ED2" w:rsidRPr="00DD0ED2">
        <w:instrText>ADDIN CSL_CITATION {"citationItems":[{"id":"ITEM-1","itemData":{"DOI":"10.1111/j.1464-5491.2006.02047.x","ISSN":"0742-3071","PMID":"17257274","abstract":"AIMS: To determine whether higher than average albumin excretion during early puberty identifies subjects who will subsequently develop microalbuminuria (MA) and clinical proteinuria.\\n\\nMETHODS: Longitudinal data from the Oxford Regional Prospective Study of Childhood Diabetes (ORPS; n = 554, median duration of follow-up 10 years; range 3.0-16.7) with assessment of albumin/creatinine ratios in three early morning urine samples collected annually. An albumin excretion phenotype was derived from longitudinal data, for each individual, defining deviation from the mean of regression models, including covariates gender, age, duration of diabetes and age at assessment. Tracking of the phenotypes was confirmed in a second independent cohort from Perth, Australia.\\n\\nRESULTS: The albumin excretion phenotype showed reasonable correlation between age 11-15 years and age 16-18 years in both cohorts, indicative of good 'tracking'. In the ORPS cohort, tertiles of the albumin excretion phenotype at aged 11-15 years were predictive of subsequent risk for the development of MA. All of the subjects developing clinical proteinuria had an albumin excretion phenotype in the upper tertile or an HbA(1c) &gt; 9% at aged 11-15 years.\\n\\nCONCLUSIONS: Identification of adolescents at risk of diabetic nephropathy using an albumin excretion phenotype is feasible. When combined with elevated HbA(1c), it may identify subjects for trial of early intervention with angiotensin-converting enzyme inhibitors/angiotensin-II receptor antagonists and statins to improve long-term prognosis in these subjects where sustained improvement in glycaemic control may be difficult to achieve.","author":[{"dropping-particle":"","family":"Dunger","given":"D B","non-dropping-particle":"","parse-names":false,"suffix":""},{"dropping-particle":"","family":"Schwarze","given":"C P","non-dropping-particle":"","parse-names":false,"suffix":""},{"dropping-particle":"","family":"Cooper","given":"J D","non-dropping-particle":"","parse-names":false,"suffix":""},{"dropping-particle":"","family":"Widmer","given":"B","non-dropping-particle":"","parse-names":false,"suffix":""},{"dropping-particle":"","family":"Neil","given":"H a W","non-dropping-particle":"","parse-names":false,"suffix":""},{"dropping-particle":"","family":"Shield","given":"J","non-dropping-particle":"","parse-names":false,"suffix":""},{"dropping-particle":"","family":"Edge","given":"J a","non-dropping-particle":"","parse-names":false,"suffix":""},{"dropping-particle":"","family":"Jones","given":"T W","non-dropping-particle":"","parse-names":false,"suffix":""},{"dropping-particle":"","family":"Daneman","given":"D","non-dropping-particle":"","parse-names":false,"suffix":""},{"dropping-particle":"","family":"Dalton","given":"R N","non-dropping-particle":"","parse-names":false,"suffix":""}],"container-title":"Diabetic medicine : a journal of the British Diabetic Association","id":"ITEM-1","issue":"2","issued":{"date-parts":[["2007"]]},"page":"131-6","title":"Can we identify adolescents at high risk for nephropathy before the development of microalbuminuria?","type":"article-journal","volume":"24"},"uris":["http://www.mendeley.com/documents/?uuid=868fe06a-2424-4fd9-8292-c9b9d4ee6164"]}],"mendeley":{"formattedCitation":"&lt;sup&gt;22&lt;/sup&gt;","plainTextFormattedCitation":"22","previouslyFormattedCitation":"&lt;sup&gt;22&lt;/sup&gt;"},"properties":{"noteIndex":0},"schema":"https://github.com/citation-style-language/schema/raw/master/csl-citation.json"}</w:instrText>
      </w:r>
      <w:r w:rsidRPr="00DD0ED2">
        <w:fldChar w:fldCharType="separate"/>
      </w:r>
      <w:r w:rsidR="00DD0ED2" w:rsidRPr="00DD0ED2">
        <w:rPr>
          <w:noProof/>
          <w:vertAlign w:val="superscript"/>
        </w:rPr>
        <w:t>22</w:t>
      </w:r>
      <w:r w:rsidRPr="00DD0ED2">
        <w:fldChar w:fldCharType="end"/>
      </w:r>
      <w:r w:rsidRPr="00DD0ED2">
        <w:t>. In a subset of adolescents with type 1 diabetes approached to take part in AdDIT, we therefore sought to investigate 1) whether the endothelial-protective properties of HDL (HDL-mediated endothelial NO bioavailability, SO production, and PON-1 activity) are impaired in this patient group, 2) whether potentially modifiable risk factors (e.g. glycaemic control, renal dysfunction, chronic inflammation) are associated with these changes, and 3) whether the presence of increased levels of dysfunctional HDL-c are associated with reduced endothelial function.</w:t>
      </w:r>
    </w:p>
    <w:p w:rsidR="003E52DE" w:rsidRPr="00DD0ED2" w:rsidRDefault="003E52DE" w:rsidP="003E52DE">
      <w:pPr>
        <w:pStyle w:val="Heading1"/>
        <w:jc w:val="both"/>
        <w:rPr>
          <w:rFonts w:asciiTheme="minorHAnsi" w:hAnsiTheme="minorHAnsi" w:cs="Arial"/>
        </w:rPr>
      </w:pPr>
      <w:r w:rsidRPr="00DD0ED2">
        <w:rPr>
          <w:rFonts w:asciiTheme="minorHAnsi" w:hAnsiTheme="minorHAnsi" w:cs="Arial"/>
        </w:rPr>
        <w:t>METHODS</w:t>
      </w:r>
    </w:p>
    <w:p w:rsidR="003E52DE" w:rsidRPr="00DD0ED2" w:rsidRDefault="003E52DE" w:rsidP="003E52DE">
      <w:pPr>
        <w:jc w:val="both"/>
        <w:rPr>
          <w:rFonts w:cs="Arial"/>
          <w:b/>
          <w:i/>
        </w:rPr>
      </w:pPr>
      <w:r w:rsidRPr="00DD0ED2">
        <w:rPr>
          <w:rFonts w:cs="Arial"/>
          <w:b/>
          <w:i/>
        </w:rPr>
        <w:t>Study Participants</w:t>
      </w:r>
    </w:p>
    <w:p w:rsidR="003E52DE" w:rsidRPr="00DD0ED2" w:rsidRDefault="003E52DE" w:rsidP="003E52DE">
      <w:pPr>
        <w:jc w:val="both"/>
        <w:rPr>
          <w:rFonts w:cs="Arial"/>
        </w:rPr>
      </w:pPr>
      <w:r w:rsidRPr="00DD0ED2">
        <w:rPr>
          <w:rFonts w:cs="Arial"/>
        </w:rPr>
        <w:t xml:space="preserve">Seventy patients with type 1 diabetes were recruited from those </w:t>
      </w:r>
      <w:r w:rsidR="002D278A" w:rsidRPr="00DD0ED2">
        <w:rPr>
          <w:rFonts w:cs="Arial"/>
        </w:rPr>
        <w:t>screened for</w:t>
      </w:r>
      <w:r w:rsidRPr="00DD0ED2">
        <w:rPr>
          <w:rFonts w:cs="Arial"/>
        </w:rPr>
        <w:t xml:space="preserve"> participat</w:t>
      </w:r>
      <w:r w:rsidR="002D278A" w:rsidRPr="00DD0ED2">
        <w:rPr>
          <w:rFonts w:cs="Arial"/>
        </w:rPr>
        <w:t>ion</w:t>
      </w:r>
      <w:r w:rsidRPr="00DD0ED2">
        <w:rPr>
          <w:rFonts w:cs="Arial"/>
        </w:rPr>
        <w:t xml:space="preserve"> in the multi-centre international Adolescent Type 1 Diabetes cardio-renal Intervention Trial (AdDIT) in Toronto, Canada; alongside </w:t>
      </w:r>
      <w:r w:rsidRPr="00DD0ED2">
        <w:rPr>
          <w:rFonts w:cs="Arial"/>
          <w:lang w:val="en-US"/>
        </w:rPr>
        <w:t>thirty healthy controls. Full details of inclusion and exclusion criteria for AdDIT have been previously published</w:t>
      </w:r>
      <w:r w:rsidRPr="00DD0ED2">
        <w:rPr>
          <w:rFonts w:cs="Arial"/>
          <w:lang w:val="en-US"/>
        </w:rPr>
        <w:fldChar w:fldCharType="begin" w:fldLock="1"/>
      </w:r>
      <w:r w:rsidR="00DD0ED2" w:rsidRPr="00DD0ED2">
        <w:rPr>
          <w:rFonts w:cs="Arial"/>
          <w:lang w:val="en-US"/>
        </w:rPr>
        <w:instrText>ADDIN CSL_CITATION {"citationItems":[{"id":"ITEM-1","itemData":{"DOI":"10.2337/dc13-1634","ISBN":"1935-5548 (Electronic)\\r0149-5992 (Linking)","ISSN":"01495992","PMID":"24198300","abstract":"OBJECTIVE: We assessed the association between early increases in albumin excretion and cardiovascular (CV) and renal markers in a large cohort of young people with type 1 diabetes.\\n\\nRESEARCH DESIGN AND METHODS: As part of preliminary screening for a multicenter, randomized controlled trial of statins/ACE inhibitors, we measured albumin-creatinine ratio (ACR) in six early morning urine samples from 3,353 adolescents (10-16 years of age) and calculated tertiles based on an established algorithm. From those subjects deemed to be at higher risk (upper ACR tertile), we recruited 400 into the intervention study (trial cohort). From those subjects deemed to be at lower risk (middle-lower ACR tertiles), we recruited 329 to the observation cohort. At baseline, vascular measurements (carotid intima-media thickness, pulse wave velocity [PWV], flow-mediated dilatation, digital pulse amplitude tonometry), renal markers (symmetric dimethylarginine, cystatin C, creatinine), and CV disease markers (lipids and apolipoproteins [Apo] A-1 and B, C-reactive protein, asymmetric dimethylarginine) were assessed.\\n\\nRESULTS: Age- and sex-adjusted PWV was higher in the trial than in the observational cohort (5.00 ± 0.84 vs. 4.86 ± 0.70 m/s; P = 0.021). Similarly, non-HDL cholesterol (2.95 ± 0.83 vs. 2.81 ± 0.78 mmol/L; P = 0.02) and ApoB-ApoA-1 ratio (0.50 ± 0.14 vs. 0.47 ± 0.11; P = 0.04) were higher in the trial cohort. Cystatin C and creatinine were decreased (0.88 ± 0.13 vs. 0.90 ± 0.13 mg/L, P = 0.04; 51.81 ± 10.45 vs. 55.35 ± 11.05 μmol/L, P &lt; 0.001; respectively) and estimated glomerular filtration rate (137.05 ± 23.89 vs. 129.31 ± 22.41 mL/min/1.73 m(2); P &lt; 0.001) increased in the trial compared with the observational cohort.\\n\\nCONCLUSIONS: Our data demonstrate that in adolescents with type 1 diabetes, the group with the highest tertile of albumin excretion showed more evidence of early renal and CV disease than those in the lower tertiles.","author":[{"dropping-particle":"","family":"Marcovecchio","given":"M. Loredana","non-dropping-particle":"","parse-names":false,"suffix":""},{"dropping-particle":"","family":"Woodside","given":"John","non-dropping-particle":"","parse-names":false,"suffix":""},{"dropping-particle":"","family":"Jones","given":"Timothy","non-dropping-particle":"","parse-names":false,"suffix":""},{"dropping-particle":"","family":"Daneman","given":"Denis","non-dropping-particle":"","parse-names":false,"suffix":""},{"dropping-particle":"","family":"Neil","given":"Andrew","non-dropping-particle":"","parse-names":false,"suffix":""},{"dropping-particle":"","family":"Prevost","given":"Toby","non-dropping-particle":"","parse-names":false,"suffix":""},{"dropping-particle":"","family":"Dalton","given":"R. Neil","non-dropping-particle":"","parse-names":false,"suffix":""},{"dropping-particle":"","family":"Deanfield","given":"John","non-dropping-particle":"","parse-names":false,"suffix":""},{"dropping-particle":"","family":"Dunger","given":"David B.","non-dropping-particle":"","parse-names":false,"suffix":""}],"container-title":"Diabetes Care","id":"ITEM-1","issue":"3","issued":{"date-parts":[["2014"]]},"page":"805-813","title":"Adolescent Type 1 Diabetes Cardio-Renal Intervention Trial (AdDIT): Urinary screening and baseline biochemical and cardiovascular assessments","type":"article-journal","volume":"37"},"uris":["http://www.mendeley.com/documents/?uuid=b639322d-4eb4-41c9-984b-52a56d497884"]}],"mendeley":{"formattedCitation":"&lt;sup&gt;23&lt;/sup&gt;","plainTextFormattedCitation":"23","previouslyFormattedCitation":"&lt;sup&gt;23&lt;/sup&gt;"},"properties":{"noteIndex":0},"schema":"https://github.com/citation-style-language/schema/raw/master/csl-citation.json"}</w:instrText>
      </w:r>
      <w:r w:rsidRPr="00DD0ED2">
        <w:rPr>
          <w:rFonts w:cs="Arial"/>
          <w:lang w:val="en-US"/>
        </w:rPr>
        <w:fldChar w:fldCharType="separate"/>
      </w:r>
      <w:r w:rsidR="00DD0ED2" w:rsidRPr="00DD0ED2">
        <w:rPr>
          <w:rFonts w:cs="Arial"/>
          <w:noProof/>
          <w:vertAlign w:val="superscript"/>
          <w:lang w:val="en-US"/>
        </w:rPr>
        <w:t>23</w:t>
      </w:r>
      <w:r w:rsidRPr="00DD0ED2">
        <w:rPr>
          <w:rFonts w:cs="Arial"/>
          <w:lang w:val="en-US"/>
        </w:rPr>
        <w:fldChar w:fldCharType="end"/>
      </w:r>
      <w:r w:rsidR="002D278A" w:rsidRPr="00DD0ED2">
        <w:rPr>
          <w:rFonts w:cs="Arial"/>
          <w:lang w:val="en-US"/>
        </w:rPr>
        <w:t xml:space="preserve">, and detailed information on participant selection </w:t>
      </w:r>
      <w:r w:rsidR="0011354B" w:rsidRPr="00DD0ED2">
        <w:rPr>
          <w:rFonts w:cs="Arial"/>
          <w:lang w:val="en-US"/>
        </w:rPr>
        <w:t xml:space="preserve">and power calculations </w:t>
      </w:r>
      <w:r w:rsidR="002D278A" w:rsidRPr="00DD0ED2">
        <w:rPr>
          <w:rFonts w:cs="Arial"/>
          <w:lang w:val="en-US"/>
        </w:rPr>
        <w:t>for the current study can be found in the supplementary file</w:t>
      </w:r>
      <w:r w:rsidRPr="00DD0ED2">
        <w:rPr>
          <w:rFonts w:cs="Arial"/>
          <w:lang w:val="en-US"/>
        </w:rPr>
        <w:t xml:space="preserve">. </w:t>
      </w:r>
      <w:r w:rsidRPr="00DD0ED2">
        <w:rPr>
          <w:rFonts w:cs="Arial"/>
        </w:rPr>
        <w:t>Informed written consent was obtained from each participant aged 16 years and above, and those &lt; 16 years old provided personal assent to take part alongside the provision of written informed consent by their legal guardian/caregiver. All procedures were approved by The Hospital for Sick Children Research Ethics Board, Toronto, Canada and conformed to the Declaration of Helsinki.</w:t>
      </w:r>
    </w:p>
    <w:p w:rsidR="003E52DE" w:rsidRPr="00DD0ED2" w:rsidRDefault="003E52DE" w:rsidP="003E52DE">
      <w:pPr>
        <w:jc w:val="both"/>
        <w:rPr>
          <w:rFonts w:cs="Arial"/>
          <w:b/>
          <w:i/>
        </w:rPr>
      </w:pPr>
      <w:r w:rsidRPr="00DD0ED2">
        <w:rPr>
          <w:rFonts w:cs="Arial"/>
          <w:b/>
          <w:i/>
        </w:rPr>
        <w:t>Urine Analyses</w:t>
      </w:r>
    </w:p>
    <w:p w:rsidR="003E52DE" w:rsidRPr="00DD0ED2" w:rsidRDefault="003E52DE" w:rsidP="003E52DE">
      <w:pPr>
        <w:jc w:val="both"/>
        <w:rPr>
          <w:rFonts w:cs="Arial"/>
        </w:rPr>
      </w:pPr>
      <w:r w:rsidRPr="00DD0ED2">
        <w:rPr>
          <w:rFonts w:cs="Arial"/>
        </w:rPr>
        <w:t>Two sets of three consecutive early morning first-void urine samples were collected in patients with type 1 diabetes for the measurement of albumin:creatinine ratio (ACR), as described previously</w:t>
      </w:r>
      <w:r w:rsidRPr="00DD0ED2">
        <w:rPr>
          <w:rFonts w:cs="Arial"/>
        </w:rPr>
        <w:fldChar w:fldCharType="begin" w:fldLock="1"/>
      </w:r>
      <w:r w:rsidR="00DD0ED2" w:rsidRPr="00DD0ED2">
        <w:rPr>
          <w:rFonts w:cs="Arial"/>
        </w:rPr>
        <w:instrText>ADDIN CSL_CITATION {"citationItems":[{"id":"ITEM-1","itemData":{"DOI":"10.1111/j.1464-5491.2006.02047.x","ISSN":"0742-3071","PMID":"17257274","abstract":"AIMS: To determine whether higher than average albumin excretion during early puberty identifies subjects who will subsequently develop microalbuminuria (MA) and clinical proteinuria.\\n\\nMETHODS: Longitudinal data from the Oxford Regional Prospective Study of Childhood Diabetes (ORPS; n = 554, median duration of follow-up 10 years; range 3.0-16.7) with assessment of albumin/creatinine ratios in three early morning urine samples collected annually. An albumin excretion phenotype was derived from longitudinal data, for each individual, defining deviation from the mean of regression models, including covariates gender, age, duration of diabetes and age at assessment. Tracking of the phenotypes was confirmed in a second independent cohort from Perth, Australia.\\n\\nRESULTS: The albumin excretion phenotype showed reasonable correlation between age 11-15 years and age 16-18 years in both cohorts, indicative of good 'tracking'. In the ORPS cohort, tertiles of the albumin excretion phenotype at aged 11-15 years were predictive of subsequent risk for the development of MA. All of the subjects developing clinical proteinuria had an albumin excretion phenotype in the upper tertile or an HbA(1c) &gt; 9% at aged 11-15 years.\\n\\nCONCLUSIONS: Identification of adolescents at risk of diabetic nephropathy using an albumin excretion phenotype is feasible. When combined with elevated HbA(1c), it may identify subjects for trial of early intervention with angiotensin-converting enzyme inhibitors/angiotensin-II receptor antagonists and statins to improve long-term prognosis in these subjects where sustained improvement in glycaemic control may be difficult to achieve.","author":[{"dropping-particle":"","family":"Dunger","given":"D B","non-dropping-particle":"","parse-names":false,"suffix":""},{"dropping-particle":"","family":"Schwarze","given":"C P","non-dropping-particle":"","parse-names":false,"suffix":""},{"dropping-particle":"","family":"Cooper","given":"J D","non-dropping-particle":"","parse-names":false,"suffix":""},{"dropping-particle":"","family":"Widmer","given":"B","non-dropping-particle":"","parse-names":false,"suffix":""},{"dropping-particle":"","family":"Neil","given":"H a W","non-dropping-particle":"","parse-names":false,"suffix":""},{"dropping-particle":"","family":"Shield","given":"J","non-dropping-particle":"","parse-names":false,"suffix":""},{"dropping-particle":"","family":"Edge","given":"J a","non-dropping-particle":"","parse-names":false,"suffix":""},{"dropping-particle":"","family":"Jones","given":"T W","non-dropping-particle":"","parse-names":false,"suffix":""},{"dropping-particle":"","family":"Daneman","given":"D","non-dropping-particle":"","parse-names":false,"suffix":""},{"dropping-particle":"","family":"Dalton","given":"R N","non-dropping-particle":"","parse-names":false,"suffix":""}],"container-title":"Diabetic medicine : a journal of the British Diabetic Association","id":"ITEM-1","issue":"2","issued":{"date-parts":[["2007"]]},"page":"131-6","title":"Can we identify adolescents at high risk for nephropathy before the development of microalbuminuria?","type":"article-journal","volume":"24"},"uris":["http://www.mendeley.com/documents/?uuid=868fe06a-2424-4fd9-8292-c9b9d4ee6164"]}],"mendeley":{"formattedCitation":"&lt;sup&gt;22&lt;/sup&gt;","plainTextFormattedCitation":"22","previouslyFormattedCitation":"&lt;sup&gt;22&lt;/sup&gt;"},"properties":{"noteIndex":0},"schema":"https://github.com/citation-style-language/schema/raw/master/csl-citation.json"}</w:instrText>
      </w:r>
      <w:r w:rsidRPr="00DD0ED2">
        <w:rPr>
          <w:rFonts w:cs="Arial"/>
        </w:rPr>
        <w:fldChar w:fldCharType="separate"/>
      </w:r>
      <w:r w:rsidR="00DD0ED2" w:rsidRPr="00DD0ED2">
        <w:rPr>
          <w:rFonts w:cs="Arial"/>
          <w:noProof/>
          <w:vertAlign w:val="superscript"/>
        </w:rPr>
        <w:t>22</w:t>
      </w:r>
      <w:r w:rsidRPr="00DD0ED2">
        <w:rPr>
          <w:rFonts w:cs="Arial"/>
        </w:rPr>
        <w:fldChar w:fldCharType="end"/>
      </w:r>
      <w:r w:rsidRPr="00DD0ED2">
        <w:rPr>
          <w:rFonts w:cs="Arial"/>
        </w:rPr>
        <w:t>.</w:t>
      </w:r>
      <w:r w:rsidR="005D2043" w:rsidRPr="00DD0ED2">
        <w:rPr>
          <w:rFonts w:cs="Arial"/>
        </w:rPr>
        <w:t xml:space="preserve"> </w:t>
      </w:r>
    </w:p>
    <w:p w:rsidR="003E52DE" w:rsidRPr="00DD0ED2" w:rsidRDefault="003E52DE" w:rsidP="003E52DE">
      <w:pPr>
        <w:jc w:val="both"/>
        <w:rPr>
          <w:rFonts w:cs="Arial"/>
          <w:b/>
          <w:i/>
        </w:rPr>
      </w:pPr>
      <w:r w:rsidRPr="00DD0ED2">
        <w:rPr>
          <w:rFonts w:cs="Arial"/>
          <w:b/>
          <w:i/>
        </w:rPr>
        <w:t>Blood Analyses</w:t>
      </w:r>
    </w:p>
    <w:p w:rsidR="003E52DE" w:rsidRPr="00DD0ED2" w:rsidRDefault="003E52DE" w:rsidP="003E52DE">
      <w:pPr>
        <w:jc w:val="both"/>
        <w:rPr>
          <w:rFonts w:cs="Arial"/>
          <w:color w:val="000000" w:themeColor="text1"/>
          <w:szCs w:val="24"/>
        </w:rPr>
      </w:pPr>
      <w:r w:rsidRPr="00DD0ED2">
        <w:rPr>
          <w:rFonts w:cs="Arial"/>
        </w:rPr>
        <w:t xml:space="preserve">Serum samples for measurement of lipid profiles, inflammatory cytokines/chemokines, </w:t>
      </w:r>
      <w:r w:rsidR="00C57BB9" w:rsidRPr="00DD0ED2">
        <w:rPr>
          <w:rFonts w:cs="Arial"/>
        </w:rPr>
        <w:t xml:space="preserve">cystatin C, </w:t>
      </w:r>
      <w:r w:rsidRPr="00DD0ED2">
        <w:rPr>
          <w:rFonts w:cs="Arial"/>
        </w:rPr>
        <w:t xml:space="preserve">and HDL functionality were drawn in the fasted state, immediately centrifuged at 3000rpm for 10 minutes, and separated into 0.5 ml aliquots for freezing at – 80 °C. Lipid profiles (total cholesterol, LDL-c, HDL-c, non-HDL-c, triglycerides) and HbA1c was measured using routine laboratory techniques. </w:t>
      </w:r>
      <w:r w:rsidRPr="00DD0ED2">
        <w:rPr>
          <w:rFonts w:cs="Arial"/>
          <w:color w:val="000000" w:themeColor="text1"/>
        </w:rPr>
        <w:t xml:space="preserve">Inflammatory markers were measured using </w:t>
      </w:r>
      <w:r w:rsidRPr="00DD0ED2">
        <w:rPr>
          <w:rFonts w:cs="Arial"/>
          <w:color w:val="000000" w:themeColor="text1"/>
          <w:szCs w:val="24"/>
        </w:rPr>
        <w:t xml:space="preserve">The Discovery </w:t>
      </w:r>
      <w:r w:rsidRPr="00DD0ED2">
        <w:rPr>
          <w:rFonts w:cs="Arial"/>
          <w:szCs w:val="24"/>
        </w:rPr>
        <w:t>Human Cytokine Array / Chemokine Array 41-Plex Assay® (Eve Technologies Corp, Calgary, Canada), used to simultaneously quantify 41 cytokine / chemokine / biomarkers using the Bio-Plex™ 200 system (Bio-Rad Laboratories, Inc., Hercules, USA) and a Milliplex human cytokine kit (Millipore, St. Charles, USA)</w:t>
      </w:r>
      <w:r w:rsidRPr="00DD0ED2">
        <w:rPr>
          <w:rFonts w:cs="Arial"/>
          <w:szCs w:val="24"/>
        </w:rPr>
        <w:fldChar w:fldCharType="begin" w:fldLock="1"/>
      </w:r>
      <w:r w:rsidR="00DD0ED2" w:rsidRPr="00DD0ED2">
        <w:rPr>
          <w:rFonts w:cs="Arial"/>
          <w:szCs w:val="24"/>
        </w:rPr>
        <w:instrText>ADDIN CSL_CITATION {"citationItems":[{"id":"ITEM-1","itemData":{"abstract":"OBJECTIVE The contribution of inflammation to endothelial/vascular dysfunction in early Type I Diabetes (T1D) is not well understood. The objective of this study was to examine the interaction between systemic inflammation and vascular function in adolescent's with and without-T1D. METHODS 51 subjects from our observational cohort of adolescents with T1D (JDRF-CCTN), and 59 healthy controls (HC) were studied. Serum cytokines-chemokines were quantified using Human 41-Plex Array, and vascular function was measured by Flow Mediated Dilatation (FMD), Pulse Wave Velocity (PWV) and Blood Pressure (BP). Factor Analysis was used to identify pro- and anti-inflammatory cytokine-chemokine factors, which were then correlated with vascular outcomes. RESULTS Three pro-inflammatory factors were identified in HC and three in TID, and a single anti-inflammatory factor in both groups. In HC there was a positive correlation (r=0.33; p=0.01) between control proinflammatory Factor 1 and systolic BP and a negative correlation between control proinflammatory Factor 3(r=-0.29; p=0.02) and diastolic BP. Control proinflammatory Factor 2 correlated positively with PWV. In TID subjects, no correlations were found between any of the pro-inflammatory factors and the vascular measurements. No correlations were found between the anti-inflammatory factors and BP, FMD and PWV in either HC or T1D. Levels of pro-inflammatory analytes, EGF, GRO, PDGF-BB, PDGF-AA and sCD40L were significantly higher in T1D. CONCLUSIONS The cytokine-chemokine signature in early T1D, prior to the development of arterial disease, is significantly different from that seen in healthy controls. This may be relevant to pathophysiology, determining risk and identifying target cytokines-chemokines for intervention in T1D.","author":[{"dropping-particle":"","family":"Sochett","given":"Etienne","non-dropping-particle":"","parse-names":false,"suffix":""},{"dropping-particle":"","family":"Noone","given":"Damien","non-dropping-particle":"","parse-names":false,"suffix":""},{"dropping-particle":"","family":"Grattan","given":"Michael","non-dropping-particle":"","parse-names":false,"suffix":""},{"dropping-particle":"","family":"Slorach","given":"Cameron","non-dropping-particle":"","parse-names":false,"suffix":""},{"dropping-particle":"","family":"Moineddin","given":"Rahim","non-dropping-particle":"","parse-names":false,"suffix":""},{"dropping-particle":"","family":"Elia","given":"Yesmino","non-dropping-particle":"","parse-names":false,"suffix":""},{"dropping-particle":"","family":"Mahmud","given":"Farid H.","non-dropping-particle":"","parse-names":false,"suffix":""},{"dropping-particle":"","family":"Dunger","given":"David B.","non-dropping-particle":"","parse-names":false,"suffix":""},{"dropping-particle":"","family":"Dalton","given":"Neil","non-dropping-particle":"","parse-names":false,"suffix":""},{"dropping-particle":"","family":"Cherney","given":"David","non-dropping-particle":"","parse-names":false,"suffix":""},{"dropping-particle":"","family":"Scholey","given":"James","non-dropping-particle":"","parse-names":false,"suffix":""},{"dropping-particle":"","family":"Reich","given":"Heather","non-dropping-particle":"","parse-names":false,"suffix":""},{"dropping-particle":"","family":"Deanfield","given":"John","non-dropping-particle":"","parse-names":false,"suffix":""}],"container-title":"Cytokine","id":"ITEM-1","issued":{"date-parts":[["2017"]]},"page":"233-239","title":"Relationship between serum inflammatory markers and vascular function in a cohort of adolescents with type 1 diabetes","type":"article-journal","volume":"99"},"uris":["http://www.mendeley.com/documents/?uuid=4bc68185-6799-3362-acef-4dd9000bfaaf"]}],"mendeley":{"formattedCitation":"&lt;sup&gt;20&lt;/sup&gt;","plainTextFormattedCitation":"20","previouslyFormattedCitation":"&lt;sup&gt;20&lt;/sup&gt;"},"properties":{"noteIndex":0},"schema":"https://github.com/citation-style-language/schema/raw/master/csl-citation.json"}</w:instrText>
      </w:r>
      <w:r w:rsidRPr="00DD0ED2">
        <w:rPr>
          <w:rFonts w:cs="Arial"/>
          <w:szCs w:val="24"/>
        </w:rPr>
        <w:fldChar w:fldCharType="separate"/>
      </w:r>
      <w:r w:rsidR="00DD0ED2" w:rsidRPr="00DD0ED2">
        <w:rPr>
          <w:rFonts w:cs="Arial"/>
          <w:noProof/>
          <w:szCs w:val="24"/>
          <w:vertAlign w:val="superscript"/>
        </w:rPr>
        <w:t>20</w:t>
      </w:r>
      <w:r w:rsidRPr="00DD0ED2">
        <w:rPr>
          <w:rFonts w:cs="Arial"/>
          <w:szCs w:val="24"/>
        </w:rPr>
        <w:fldChar w:fldCharType="end"/>
      </w:r>
      <w:r w:rsidRPr="00DD0ED2">
        <w:rPr>
          <w:rFonts w:cs="Arial"/>
          <w:szCs w:val="24"/>
        </w:rPr>
        <w:t xml:space="preserve">. </w:t>
      </w:r>
      <w:r w:rsidR="00251746" w:rsidRPr="00DD0ED2">
        <w:rPr>
          <w:rFonts w:cs="Arial"/>
          <w:szCs w:val="24"/>
        </w:rPr>
        <w:t>Details of all cytokines/chemokines included in these assays can be found in Supplementary Table 1.</w:t>
      </w:r>
    </w:p>
    <w:p w:rsidR="003E52DE" w:rsidRPr="00DD0ED2" w:rsidRDefault="003E52DE" w:rsidP="003E52DE">
      <w:pPr>
        <w:jc w:val="both"/>
        <w:rPr>
          <w:rFonts w:cs="Arial"/>
          <w:b/>
          <w:i/>
        </w:rPr>
      </w:pPr>
      <w:r w:rsidRPr="00DD0ED2">
        <w:rPr>
          <w:rFonts w:cs="Arial"/>
          <w:b/>
          <w:i/>
        </w:rPr>
        <w:t>HDL Function Analyses</w:t>
      </w:r>
    </w:p>
    <w:p w:rsidR="003E52DE" w:rsidRPr="00DD0ED2" w:rsidRDefault="003E52DE" w:rsidP="003E52DE">
      <w:pPr>
        <w:jc w:val="both"/>
        <w:rPr>
          <w:rFonts w:cs="Arial"/>
        </w:rPr>
      </w:pPr>
      <w:r w:rsidRPr="00DD0ED2">
        <w:rPr>
          <w:rFonts w:cs="Arial"/>
          <w:i/>
        </w:rPr>
        <w:t>HDL isolation</w:t>
      </w:r>
      <w:r w:rsidRPr="00DD0ED2">
        <w:rPr>
          <w:rFonts w:cs="Arial"/>
        </w:rPr>
        <w:t>: HDL was isolated by sequential ultracentrifugation (d = 1.063 - 1.21 g/ml) using solid potassium bromide for density adjustment</w:t>
      </w:r>
      <w:r w:rsidRPr="00DD0ED2">
        <w:rPr>
          <w:rFonts w:cs="Arial"/>
          <w:i/>
        </w:rPr>
        <w:fldChar w:fldCharType="begin" w:fldLock="1"/>
      </w:r>
      <w:r w:rsidR="00DD0ED2" w:rsidRPr="00DD0ED2">
        <w:rPr>
          <w:rFonts w:cs="Arial"/>
        </w:rPr>
        <w:instrText>ADDIN CSL_CITATION {"citationItems":[{"id":"ITEM-1","itemData":{"abstract":"To minimize oxidative modification, a low temperature, sequential flotation method was developed to isolate plasma lipoproteins in 18 h using a benchtop ultracentrifuge. The protein distributions were characterized using agarose and SDS-polyacrylamide gel electrophoresis, and an SDS-Lowry protein assay. The lipid distributions were assessed using a gas chromatography-mass spectrometric assay for cholesterol and an enzymatic assay for triglycerides. To validate the rapid flotation method, lipoproteins were also isolated from the same plasma samples using a modified Havel et al. flotation method (J. Clin. Invest. 34: 1345-1353, 1955). The same lipoproteins and apolipoproteins were present in fractions of comparable density, and the summed recoveries of protein, cholesterol, and triglyceride were also identical for the Havel et al. and rapid flotation procedures. Likewise, the amount of cholesterol and triglyceride in corresponding very low, intermediate, and low density lipoprotein (VLDL/IDL and LDL) fractions was the same for the two flotation procedures. The triglyceride and cholesterol levels in high density lipoprotein (HDL) isolated by rapid flotations, however, were 9-12% higher than in the HDL as isolated by Havel et al. Because a 9 -12% increase in the HDL fraction reflects only 1- 4% of the total triglyceride and cholesterol in plasma, we conclude that, while maintained at 4{degrees}C, lipoproteins were quantitatively isolated from human plasma in 1 day.--Tong, H., H. R. Knapp, and M. VanRollins. A low temperature flotation method to rapidly isolate lipoproteins from plasma. J. Lipid. Res. 1998. 39: 1696-1704.","author":[{"dropping-particle":"","family":"Tong","given":"H.","non-dropping-particle":"","parse-names":false,"suffix":""},{"dropping-particle":"","family":"Knapp","given":"H. R.","non-dropping-particle":"","parse-names":false,"suffix":""},{"dropping-particle":"","family":"VanRollins","given":"M.","non-dropping-particle":"","parse-names":false,"suffix":""}],"container-title":"J. Lipid Res.","id":"ITEM-1","issue":"8","issued":{"date-parts":[["1998"]]},"page":"1696-1704","title":"A low temperature flotation method to rapidly isolate lipoproteins from plasma","type":"article-journal","volume":"39"},"uris":["http://www.mendeley.com/documents/?uuid=511cd8d5-c4b1-409c-9451-5f2e78c817a7"]}],"mendeley":{"formattedCitation":"&lt;sup&gt;24&lt;/sup&gt;","plainTextFormattedCitation":"24","previouslyFormattedCitation":"&lt;sup&gt;24&lt;/sup&gt;"},"properties":{"noteIndex":0},"schema":"https://github.com/citation-style-language/schema/raw/master/csl-citation.json"}</w:instrText>
      </w:r>
      <w:r w:rsidRPr="00DD0ED2">
        <w:rPr>
          <w:rFonts w:cs="Arial"/>
          <w:i/>
        </w:rPr>
        <w:fldChar w:fldCharType="separate"/>
      </w:r>
      <w:r w:rsidR="00DD0ED2" w:rsidRPr="00DD0ED2">
        <w:rPr>
          <w:rFonts w:cs="Arial"/>
          <w:noProof/>
          <w:vertAlign w:val="superscript"/>
        </w:rPr>
        <w:t>24</w:t>
      </w:r>
      <w:r w:rsidRPr="00DD0ED2">
        <w:rPr>
          <w:rFonts w:cs="Arial"/>
          <w:i/>
        </w:rPr>
        <w:fldChar w:fldCharType="end"/>
      </w:r>
      <w:r w:rsidRPr="00DD0ED2">
        <w:rPr>
          <w:rFonts w:cs="Arial"/>
        </w:rPr>
        <w:t xml:space="preserve">. </w:t>
      </w:r>
      <w:r w:rsidR="00762389" w:rsidRPr="00DD0ED2">
        <w:rPr>
          <w:rFonts w:cs="Arial"/>
        </w:rPr>
        <w:t xml:space="preserve">After isolation, the amount of HDL recovered was quantified and expressed in µg of protein. </w:t>
      </w:r>
      <w:r w:rsidRPr="00DD0ED2">
        <w:rPr>
          <w:rFonts w:cs="Arial"/>
        </w:rPr>
        <w:t xml:space="preserve">HDL was stored at 4 °C and functional assays were carried out in duplicate within 2 weeks of isolation. </w:t>
      </w:r>
    </w:p>
    <w:p w:rsidR="003E52DE" w:rsidRPr="00DD0ED2" w:rsidRDefault="003E52DE" w:rsidP="003E52DE">
      <w:pPr>
        <w:jc w:val="both"/>
        <w:rPr>
          <w:rFonts w:cs="Arial"/>
          <w:i/>
        </w:rPr>
      </w:pPr>
      <w:r w:rsidRPr="00DD0ED2">
        <w:rPr>
          <w:rFonts w:cs="Arial"/>
          <w:i/>
        </w:rPr>
        <w:t>HDL Functionality</w:t>
      </w:r>
      <w:r w:rsidRPr="00DD0ED2">
        <w:rPr>
          <w:rFonts w:cs="Arial"/>
        </w:rPr>
        <w:t xml:space="preserve">: Functional properties of HDL were assessed using measures of HDL-mediated endothelial nitric oxide (NO) bioavailability, superoxide (SO) production, and serum paraoxonase (PON-1) activity. </w:t>
      </w:r>
      <w:r w:rsidR="00A51605" w:rsidRPr="00DD0ED2">
        <w:rPr>
          <w:rFonts w:cs="Arial"/>
        </w:rPr>
        <w:t xml:space="preserve">Full methodology for these measures can be found in the supplementary file, and details on </w:t>
      </w:r>
      <w:r w:rsidRPr="00DD0ED2">
        <w:rPr>
          <w:rFonts w:cs="Arial"/>
        </w:rPr>
        <w:t xml:space="preserve"> </w:t>
      </w:r>
      <w:r w:rsidR="00A51605" w:rsidRPr="00DD0ED2">
        <w:rPr>
          <w:rFonts w:cs="Arial"/>
        </w:rPr>
        <w:t xml:space="preserve">the </w:t>
      </w:r>
      <w:r w:rsidRPr="00DD0ED2">
        <w:rPr>
          <w:rFonts w:cs="Arial"/>
        </w:rPr>
        <w:t>reproducibility</w:t>
      </w:r>
      <w:r w:rsidR="00A51605" w:rsidRPr="00DD0ED2">
        <w:rPr>
          <w:rFonts w:cs="Arial"/>
        </w:rPr>
        <w:t xml:space="preserve"> and biological variability</w:t>
      </w:r>
      <w:r w:rsidRPr="00DD0ED2">
        <w:rPr>
          <w:rFonts w:cs="Arial"/>
        </w:rPr>
        <w:t xml:space="preserve"> </w:t>
      </w:r>
      <w:r w:rsidR="00A51605" w:rsidRPr="00DD0ED2">
        <w:rPr>
          <w:rFonts w:cs="Arial"/>
        </w:rPr>
        <w:t>of each of</w:t>
      </w:r>
      <w:r w:rsidRPr="00DD0ED2">
        <w:rPr>
          <w:rFonts w:cs="Arial"/>
        </w:rPr>
        <w:t xml:space="preserve"> these assays </w:t>
      </w:r>
      <w:r w:rsidR="0036281F" w:rsidRPr="00DD0ED2">
        <w:rPr>
          <w:rFonts w:cs="Arial"/>
        </w:rPr>
        <w:t>ha</w:t>
      </w:r>
      <w:r w:rsidR="00C57BB9" w:rsidRPr="00DD0ED2">
        <w:rPr>
          <w:rFonts w:cs="Arial"/>
        </w:rPr>
        <w:t>ve</w:t>
      </w:r>
      <w:r w:rsidR="0036281F" w:rsidRPr="00DD0ED2">
        <w:rPr>
          <w:rFonts w:cs="Arial"/>
        </w:rPr>
        <w:t xml:space="preserve"> been previously described</w:t>
      </w:r>
      <w:r w:rsidRPr="00DD0ED2">
        <w:rPr>
          <w:rFonts w:cs="Arial"/>
        </w:rPr>
        <w:fldChar w:fldCharType="begin" w:fldLock="1"/>
      </w:r>
      <w:r w:rsidR="00DD0ED2" w:rsidRPr="00DD0ED2">
        <w:rPr>
          <w:rFonts w:cs="Arial"/>
        </w:rPr>
        <w:instrText>ADDIN CSL_CITATION {"citationItems":[{"id":"ITEM-1","itemData":{"author":[{"dropping-particle":"","family":"O'Neill","given":"Francis","non-dropping-particle":"","parse-names":false,"suffix":""},{"dropping-particle":"","family":"McLoughlin","given":"Eve","non-dropping-particle":"","parse-names":false,"suffix":""},{"dropping-particle":"","family":"Riwanto","given":"Meliana","non-dropping-particle":"","parse-names":false,"suffix":""},{"dropping-particle":"","family":"Manz","given":"Jasmin","non-dropping-particle":"","parse-names":false,"suffix":""},{"dropping-particle":"","family":"Adler","given":"Andreas","non-dropping-particle":"","parse-names":false,"suffix":""},{"dropping-particle":"","family":"Sutill","given":"Emma","non-dropping-particle":"","parse-names":false,"suffix":""},{"dropping-particle":"","family":"Khan","given":"Tauseef","non-dropping-particle":"","parse-names":false,"suffix":""},{"dropping-particle":"","family":"Haywood","given":"Rachel","non-dropping-particle":"","parse-names":false,"suffix":""},{"dropping-particle":"","family":"Kay","given":"Christopher W.M.","non-dropping-particle":"","parse-names":false,"suffix":""},{"dropping-particle":"","family":"D'Aiuto","given":"Francesco","non-dropping-particle":"","parse-names":false,"suffix":""},{"dropping-particle":"","family":"Charakida","given":"Marietta","non-dropping-particle":"","parse-names":false,"suffix":""},{"dropping-particle":"","family":"Landmesser","given":"Ulf","non-dropping-particle":"","parse-names":false,"suffix":""},{"dropping-particle":"","family":"Deanfield","given":"John","non-dropping-particle":"","parse-names":false,"suffix":""}],"container-title":"Atherosclerosis","id":"ITEM-1","issue":"2","issued":{"date-parts":[["2015"]]},"page":"588-594","title":"Reproducibility and biological variability of HDL's vascular functional assays","type":"article-journal","volume":"241"},"uris":["http://www.mendeley.com/documents/?uuid=c1769a91-cf2d-4c16-9209-5ae616e60ffc"]}],"mendeley":{"formattedCitation":"&lt;sup&gt;25&lt;/sup&gt;","plainTextFormattedCitation":"25","previouslyFormattedCitation":"&lt;sup&gt;25&lt;/sup&gt;"},"properties":{"noteIndex":0},"schema":"https://github.com/citation-style-language/schema/raw/master/csl-citation.json"}</w:instrText>
      </w:r>
      <w:r w:rsidRPr="00DD0ED2">
        <w:rPr>
          <w:rFonts w:cs="Arial"/>
        </w:rPr>
        <w:fldChar w:fldCharType="separate"/>
      </w:r>
      <w:r w:rsidR="00DD0ED2" w:rsidRPr="00DD0ED2">
        <w:rPr>
          <w:rFonts w:cs="Arial"/>
          <w:noProof/>
          <w:vertAlign w:val="superscript"/>
        </w:rPr>
        <w:t>25</w:t>
      </w:r>
      <w:r w:rsidRPr="00DD0ED2">
        <w:rPr>
          <w:rFonts w:cs="Arial"/>
        </w:rPr>
        <w:fldChar w:fldCharType="end"/>
      </w:r>
      <w:r w:rsidRPr="00DD0ED2">
        <w:rPr>
          <w:rFonts w:cs="Arial"/>
        </w:rPr>
        <w:t xml:space="preserve">. </w:t>
      </w:r>
    </w:p>
    <w:p w:rsidR="003E52DE" w:rsidRPr="00DD0ED2" w:rsidRDefault="00C57BB9" w:rsidP="003E52DE">
      <w:pPr>
        <w:jc w:val="both"/>
        <w:rPr>
          <w:rFonts w:cs="Arial"/>
          <w:b/>
          <w:i/>
        </w:rPr>
      </w:pPr>
      <w:r w:rsidRPr="00DD0ED2">
        <w:rPr>
          <w:rFonts w:cs="Arial"/>
          <w:b/>
          <w:i/>
        </w:rPr>
        <w:t>Endothelial Function Analysi</w:t>
      </w:r>
      <w:r w:rsidR="003E52DE" w:rsidRPr="00DD0ED2">
        <w:rPr>
          <w:rFonts w:cs="Arial"/>
          <w:b/>
          <w:i/>
        </w:rPr>
        <w:t>s</w:t>
      </w:r>
    </w:p>
    <w:p w:rsidR="003E52DE" w:rsidRPr="00DD0ED2" w:rsidRDefault="003E52DE" w:rsidP="003E52DE">
      <w:pPr>
        <w:jc w:val="both"/>
        <w:rPr>
          <w:rFonts w:cs="Arial"/>
        </w:rPr>
      </w:pPr>
      <w:r w:rsidRPr="00DD0ED2">
        <w:rPr>
          <w:rFonts w:cs="Arial"/>
        </w:rPr>
        <w:t xml:space="preserve">Endothelial function was assessed using flow-mediated dilation (FMD) in a temperature-controlled room. </w:t>
      </w:r>
      <w:r w:rsidR="00762389" w:rsidRPr="00DD0ED2">
        <w:rPr>
          <w:rFonts w:cs="Arial"/>
        </w:rPr>
        <w:t>Full details of the technique are available in the supplementary file, and reproducibility and biological variability have been previously published</w:t>
      </w:r>
      <w:r w:rsidR="00762389" w:rsidRPr="00DD0ED2">
        <w:rPr>
          <w:rFonts w:cs="Arial"/>
        </w:rPr>
        <w:fldChar w:fldCharType="begin" w:fldLock="1"/>
      </w:r>
      <w:r w:rsidR="00DD0ED2" w:rsidRPr="00DD0ED2">
        <w:rPr>
          <w:rFonts w:cs="Arial"/>
        </w:rPr>
        <w:instrText>ADDIN CSL_CITATION {"citationItems":[{"id":"ITEM-1","itemData":{"DOI":"10.1016/j.jacc.2008.02.044","ISBN":"1558-3597 (Electronic)","ISSN":"07351097","PMID":"18482664","abstract":"Objectives: Our aim was to determine reproducibility of the flow-mediated dilation (FMD) response profile, and discriminatory ability of the components. Background: Brachial FMD is widely used to study conduit artery endothelial function. Automated B-mode image edge detection (B-ED) provides a full response profile. Reproducibility and biological relevance of these additional components have not been fully explored. Methods: Forty-two healthy adults underwent FMD using B-ED repeated at fixed time intervals up to 3 months. The FMD profile was assessed for diameter changes, area under the curve, and time course. Measures were compared in 25 adults with hypercholesterolemia, 25 subjects with diabetes, and 50 matched control subjects. Results: The maximum change in FMD was the most reproducible (coefficient of variation = 9.8%, 10.6%, 6.6%, and 9.2% at 4 to 6 h, 1 week, 1 month, and 3 months, respectively). Most of the variability occurred between subjects rather than within. All FMD measures except time course were significantly reduced in hypercholesterolemia and diabetes. Power curves were generated to indicate the appropriate number of subjects for parallel and crossover study designs. Conclusions: Maximum FMD percentage change from baseline is the most reproducible of the response curve measures and best identifies those with risk factors. Flow-mediated dilation measured by B-ED is robust and practical to assess the effect of interventions on endothelial function in clinical trials. ?? 2008 American College of Cardiology Foundation.","author":[{"dropping-particle":"","family":"Donald","given":"Ann E.","non-dropping-particle":"","parse-names":false,"suffix":""},{"dropping-particle":"","family":"Halcox","given":"Julian P.","non-dropping-particle":"","parse-names":false,"suffix":""},{"dropping-particle":"","family":"Charakida","given":"Marietta","non-dropping-particle":"","parse-names":false,"suffix":""},{"dropping-particle":"","family":"Storry","given":"Clare","non-dropping-particle":"","parse-names":false,"suffix":""},{"dropping-particle":"","family":"Wallace","given":"S. M L","non-dropping-particle":"","parse-names":false,"suffix":""},{"dropping-particle":"","family":"Cole","given":"Tim J.","non-dropping-particle":"","parse-names":false,"suffix":""},{"dropping-particle":"","family":"Friberg","given":"Peter","non-dropping-particle":"","parse-names":false,"suffix":""},{"dropping-particle":"","family":"Deanfield","given":"John E.","non-dropping-particle":"","parse-names":false,"suffix":""}],"container-title":"Journal of the American College of Cardiology","id":"ITEM-1","issue":"20","issued":{"date-parts":[["2008"]]},"page":"1959-1964","title":"Methodological Approaches to Optimize Reproducibility and Power in Clinical Studies of Flow-Mediated Dilation","type":"article-journal","volume":"51"},"uris":["http://www.mendeley.com/documents/?uuid=cbfd70d6-3f0f-4ea9-a548-e46e27cfd1b0"]}],"mendeley":{"formattedCitation":"&lt;sup&gt;26&lt;/sup&gt;","plainTextFormattedCitation":"26","previouslyFormattedCitation":"&lt;sup&gt;26&lt;/sup&gt;"},"properties":{"noteIndex":0},"schema":"https://github.com/citation-style-language/schema/raw/master/csl-citation.json"}</w:instrText>
      </w:r>
      <w:r w:rsidR="00762389" w:rsidRPr="00DD0ED2">
        <w:rPr>
          <w:rFonts w:cs="Arial"/>
        </w:rPr>
        <w:fldChar w:fldCharType="separate"/>
      </w:r>
      <w:r w:rsidR="00DD0ED2" w:rsidRPr="00DD0ED2">
        <w:rPr>
          <w:rFonts w:cs="Arial"/>
          <w:noProof/>
          <w:vertAlign w:val="superscript"/>
        </w:rPr>
        <w:t>26</w:t>
      </w:r>
      <w:r w:rsidR="00762389" w:rsidRPr="00DD0ED2">
        <w:rPr>
          <w:rFonts w:cs="Arial"/>
        </w:rPr>
        <w:fldChar w:fldCharType="end"/>
      </w:r>
      <w:r w:rsidR="00762389" w:rsidRPr="00DD0ED2">
        <w:rPr>
          <w:rFonts w:cs="Arial"/>
        </w:rPr>
        <w:t xml:space="preserve">. </w:t>
      </w:r>
    </w:p>
    <w:p w:rsidR="003E52DE" w:rsidRPr="00DD0ED2" w:rsidRDefault="003E52DE" w:rsidP="003E52DE">
      <w:pPr>
        <w:pStyle w:val="Heading2"/>
        <w:jc w:val="both"/>
        <w:rPr>
          <w:rFonts w:asciiTheme="minorHAnsi" w:hAnsiTheme="minorHAnsi" w:cs="Arial"/>
        </w:rPr>
      </w:pPr>
      <w:r w:rsidRPr="00DD0ED2">
        <w:rPr>
          <w:rFonts w:asciiTheme="minorHAnsi" w:hAnsiTheme="minorHAnsi" w:cs="Arial"/>
        </w:rPr>
        <w:t>Calculations</w:t>
      </w:r>
    </w:p>
    <w:p w:rsidR="003E52DE" w:rsidRPr="00DD0ED2" w:rsidRDefault="003E52DE" w:rsidP="003E52DE">
      <w:pPr>
        <w:jc w:val="both"/>
        <w:rPr>
          <w:rFonts w:cs="Arial"/>
        </w:rPr>
      </w:pPr>
      <w:r w:rsidRPr="00DD0ED2">
        <w:rPr>
          <w:rFonts w:cs="Arial"/>
        </w:rPr>
        <w:t>In order to characterise early changes in renal function, patients with type 1 diabetes were split into high-risk (upper tertile) and low-risk (middle and lower tertile) groups based on a standardised log-transformed ACR adjusted for age, sex, and duration of disease. This algorithm, derived from previous longitudinal data</w:t>
      </w:r>
      <w:r w:rsidRPr="00DD0ED2">
        <w:rPr>
          <w:rFonts w:cs="Arial"/>
        </w:rPr>
        <w:fldChar w:fldCharType="begin" w:fldLock="1"/>
      </w:r>
      <w:r w:rsidR="00DD0ED2" w:rsidRPr="00DD0ED2">
        <w:rPr>
          <w:rFonts w:cs="Arial"/>
        </w:rPr>
        <w:instrText>ADDIN CSL_CITATION {"citationItems":[{"id":"ITEM-1","itemData":{"DOI":"10.1111/j.1464-5491.2006.02047.x","ISSN":"0742-3071","PMID":"17257274","abstract":"AIMS: To determine whether higher than average albumin excretion during early puberty identifies subjects who will subsequently develop microalbuminuria (MA) and clinical proteinuria.\\n\\nMETHODS: Longitudinal data from the Oxford Regional Prospective Study of Childhood Diabetes (ORPS; n = 554, median duration of follow-up 10 years; range 3.0-16.7) with assessment of albumin/creatinine ratios in three early morning urine samples collected annually. An albumin excretion phenotype was derived from longitudinal data, for each individual, defining deviation from the mean of regression models, including covariates gender, age, duration of diabetes and age at assessment. Tracking of the phenotypes was confirmed in a second independent cohort from Perth, Australia.\\n\\nRESULTS: The albumin excretion phenotype showed reasonable correlation between age 11-15 years and age 16-18 years in both cohorts, indicative of good 'tracking'. In the ORPS cohort, tertiles of the albumin excretion phenotype at aged 11-15 years were predictive of subsequent risk for the development of MA. All of the subjects developing clinical proteinuria had an albumin excretion phenotype in the upper tertile or an HbA(1c) &gt; 9% at aged 11-15 years.\\n\\nCONCLUSIONS: Identification of adolescents at risk of diabetic nephropathy using an albumin excretion phenotype is feasible. When combined with elevated HbA(1c), it may identify subjects for trial of early intervention with angiotensin-converting enzyme inhibitors/angiotensin-II receptor antagonists and statins to improve long-term prognosis in these subjects where sustained improvement in glycaemic control may be difficult to achieve.","author":[{"dropping-particle":"","family":"Dunger","given":"D B","non-dropping-particle":"","parse-names":false,"suffix":""},{"dropping-particle":"","family":"Schwarze","given":"C P","non-dropping-particle":"","parse-names":false,"suffix":""},{"dropping-particle":"","family":"Cooper","given":"J D","non-dropping-particle":"","parse-names":false,"suffix":""},{"dropping-particle":"","family":"Widmer","given":"B","non-dropping-particle":"","parse-names":false,"suffix":""},{"dropping-particle":"","family":"Neil","given":"H a W","non-dropping-particle":"","parse-names":false,"suffix":""},{"dropping-particle":"","family":"Shield","given":"J","non-dropping-particle":"","parse-names":false,"suffix":""},{"dropping-particle":"","family":"Edge","given":"J a","non-dropping-particle":"","parse-names":false,"suffix":""},{"dropping-particle":"","family":"Jones","given":"T W","non-dropping-particle":"","parse-names":false,"suffix":""},{"dropping-particle":"","family":"Daneman","given":"D","non-dropping-particle":"","parse-names":false,"suffix":""},{"dropping-particle":"","family":"Dalton","given":"R N","non-dropping-particle":"","parse-names":false,"suffix":""}],"container-title":"Diabetic medicine : a journal of the British Diabetic Association","id":"ITEM-1","issue":"2","issued":{"date-parts":[["2007"]]},"page":"131-6","title":"Can we identify adolescents at high risk for nephropathy before the development of microalbuminuria?","type":"article-journal","volume":"24"},"uris":["http://www.mendeley.com/documents/?uuid=868fe06a-2424-4fd9-8292-c9b9d4ee6164"]}],"mendeley":{"formattedCitation":"&lt;sup&gt;22&lt;/sup&gt;","plainTextFormattedCitation":"22","previouslyFormattedCitation":"&lt;sup&gt;22&lt;/sup&gt;"},"properties":{"noteIndex":0},"schema":"https://github.com/citation-style-language/schema/raw/master/csl-citation.json"}</w:instrText>
      </w:r>
      <w:r w:rsidRPr="00DD0ED2">
        <w:rPr>
          <w:rFonts w:cs="Arial"/>
        </w:rPr>
        <w:fldChar w:fldCharType="separate"/>
      </w:r>
      <w:r w:rsidR="00DD0ED2" w:rsidRPr="00DD0ED2">
        <w:rPr>
          <w:rFonts w:cs="Arial"/>
          <w:noProof/>
          <w:vertAlign w:val="superscript"/>
        </w:rPr>
        <w:t>22</w:t>
      </w:r>
      <w:r w:rsidRPr="00DD0ED2">
        <w:rPr>
          <w:rFonts w:cs="Arial"/>
        </w:rPr>
        <w:fldChar w:fldCharType="end"/>
      </w:r>
      <w:r w:rsidRPr="00DD0ED2">
        <w:rPr>
          <w:rFonts w:cs="Arial"/>
        </w:rPr>
        <w:t>, has previously been shown in multiple cohorts to stratify risk for multiple early cardio-renal complications</w:t>
      </w:r>
      <w:r w:rsidRPr="00DD0ED2">
        <w:rPr>
          <w:rFonts w:cs="Arial"/>
        </w:rPr>
        <w:fldChar w:fldCharType="begin" w:fldLock="1"/>
      </w:r>
      <w:r w:rsidR="00DD0ED2" w:rsidRPr="00DD0ED2">
        <w:rPr>
          <w:rFonts w:cs="Arial"/>
        </w:rPr>
        <w:instrText>ADDIN CSL_CITATION {"citationItems":[{"id":"ITEM-1","itemData":{"DOI":"10.1111/j.1464-5491.2006.02047.x","ISSN":"0742-3071","PMID":"17257274","abstract":"AIMS: To determine whether higher than average albumin excretion during early puberty identifies subjects who will subsequently develop microalbuminuria (MA) and clinical proteinuria.\\n\\nMETHODS: Longitudinal data from the Oxford Regional Prospective Study of Childhood Diabetes (ORPS; n = 554, median duration of follow-up 10 years; range 3.0-16.7) with assessment of albumin/creatinine ratios in three early morning urine samples collected annually. An albumin excretion phenotype was derived from longitudinal data, for each individual, defining deviation from the mean of regression models, including covariates gender, age, duration of diabetes and age at assessment. Tracking of the phenotypes was confirmed in a second independent cohort from Perth, Australia.\\n\\nRESULTS: The albumin excretion phenotype showed reasonable correlation between age 11-15 years and age 16-18 years in both cohorts, indicative of good 'tracking'. In the ORPS cohort, tertiles of the albumin excretion phenotype at aged 11-15 years were predictive of subsequent risk for the development of MA. All of the subjects developing clinical proteinuria had an albumin excretion phenotype in the upper tertile or an HbA(1c) &gt; 9% at aged 11-15 years.\\n\\nCONCLUSIONS: Identification of adolescents at risk of diabetic nephropathy using an albumin excretion phenotype is feasible. When combined with elevated HbA(1c), it may identify subjects for trial of early intervention with angiotensin-converting enzyme inhibitors/angiotensin-II receptor antagonists and statins to improve long-term prognosis in these subjects where sustained improvement in glycaemic control may be difficult to achieve.","author":[{"dropping-particle":"","family":"Dunger","given":"D B","non-dropping-particle":"","parse-names":false,"suffix":""},{"dropping-particle":"","family":"Schwarze","given":"C P","non-dropping-particle":"","parse-names":false,"suffix":""},{"dropping-particle":"","family":"Cooper","given":"J D","non-dropping-particle":"","parse-names":false,"suffix":""},{"dropping-particle":"","family":"Widmer","given":"B","non-dropping-particle":"","parse-names":false,"suffix":""},{"dropping-particle":"","family":"Neil","given":"H a W","non-dropping-particle":"","parse-names":false,"suffix":""},{"dropping-particle":"","family":"Shield","given":"J","non-dropping-particle":"","parse-names":false,"suffix":""},{"dropping-particle":"","family":"Edge","given":"J a","non-dropping-particle":"","parse-names":false,"suffix":""},{"dropping-particle":"","family":"Jones","given":"T W","non-dropping-particle":"","parse-names":false,"suffix":""},{"dropping-particle":"","family":"Daneman","given":"D","non-dropping-particle":"","parse-names":false,"suffix":""},{"dropping-particle":"","family":"Dalton","given":"R N","non-dropping-particle":"","parse-names":false,"suffix":""}],"container-title":"Diabetic medicine : a journal of the British Diabetic Association","id":"ITEM-1","issue":"2","issued":{"date-parts":[["2007"]]},"page":"131-6","title":"Can we identify adolescents at high risk for nephropathy before the development of microalbuminuria?","type":"article-journal","volume":"24"},"uris":["http://www.mendeley.com/documents/?uuid=868fe06a-2424-4fd9-8292-c9b9d4ee6164"]},{"id":"ITEM-2","itemData":{"DOI":"10.2337/dc13-1634","ISBN":"1935-5548 (Electronic)\\r0149-5992 (Linking)","ISSN":"01495992","PMID":"24198300","abstract":"OBJECTIVE: We assessed the association between early increases in albumin excretion and cardiovascular (CV) and renal markers in a large cohort of young people with type 1 diabetes.\\n\\nRESEARCH DESIGN AND METHODS: As part of preliminary screening for a multicenter, randomized controlled trial of statins/ACE inhibitors, we measured albumin-creatinine ratio (ACR) in six early morning urine samples from 3,353 adolescents (10-16 years of age) and calculated tertiles based on an established algorithm. From those subjects deemed to be at higher risk (upper ACR tertile), we recruited 400 into the intervention study (trial cohort). From those subjects deemed to be at lower risk (middle-lower ACR tertiles), we recruited 329 to the observation cohort. At baseline, vascular measurements (carotid intima-media thickness, pulse wave velocity [PWV], flow-mediated dilatation, digital pulse amplitude tonometry), renal markers (symmetric dimethylarginine, cystatin C, creatinine), and CV disease markers (lipids and apolipoproteins [Apo] A-1 and B, C-reactive protein, asymmetric dimethylarginine) were assessed.\\n\\nRESULTS: Age- and sex-adjusted PWV was higher in the trial than in the observational cohort (5.00 ± 0.84 vs. 4.86 ± 0.70 m/s; P = 0.021). Similarly, non-HDL cholesterol (2.95 ± 0.83 vs. 2.81 ± 0.78 mmol/L; P = 0.02) and ApoB-ApoA-1 ratio (0.50 ± 0.14 vs. 0.47 ± 0.11; P = 0.04) were higher in the trial cohort. Cystatin C and creatinine were decreased (0.88 ± 0.13 vs. 0.90 ± 0.13 mg/L, P = 0.04; 51.81 ± 10.45 vs. 55.35 ± 11.05 μmol/L, P &lt; 0.001; respectively) and estimated glomerular filtration rate (137.05 ± 23.89 vs. 129.31 ± 22.41 mL/min/1.73 m(2); P &lt; 0.001) increased in the trial compared with the observational cohort.\\n\\nCONCLUSIONS: Our data demonstrate that in adolescents with type 1 diabetes, the group with the highest tertile of albumin excretion showed more evidence of early renal and CV disease than those in the lower tertiles.","author":[{"dropping-particle":"","family":"Marcovecchio","given":"M. Loredana","non-dropping-particle":"","parse-names":false,"suffix":""},{"dropping-particle":"","family":"Woodside","given":"John","non-dropping-particle":"","parse-names":false,"suffix":""},{"dropping-particle":"","family":"Jones","given":"Timothy","non-dropping-particle":"","parse-names":false,"suffix":""},{"dropping-particle":"","family":"Daneman","given":"Denis","non-dropping-particle":"","parse-names":false,"suffix":""},{"dropping-particle":"","family":"Neil","given":"Andrew","non-dropping-particle":"","parse-names":false,"suffix":""},{"dropping-particle":"","family":"Prevost","given":"Toby","non-dropping-particle":"","parse-names":false,"suffix":""},{"dropping-particle":"","family":"Dalton","given":"R. Neil","non-dropping-particle":"","parse-names":false,"suffix":""},{"dropping-particle":"","family":"Deanfield","given":"John","non-dropping-particle":"","parse-names":false,"suffix":""},{"dropping-particle":"","family":"Dunger","given":"David B.","non-dropping-particle":"","parse-names":false,"suffix":""}],"container-title":"Diabetes Care","id":"ITEM-2","issue":"3","issued":{"date-parts":[["2014"]]},"page":"805-813","title":"Adolescent Type 1 Diabetes Cardio-Renal Intervention Trial (AdDIT): Urinary screening and baseline biochemical and cardiovascular assessments","type":"article-journal","volume":"37"},"uris":["http://www.mendeley.com/documents/?uuid=b639322d-4eb4-41c9-984b-52a56d497884"]},{"id":"ITEM-3","itemData":{"DOI":"10.2337/dc14-1848","ISBN":"1935-5548 (Electronic)\\r0149-5992 (Linking)","ISSN":"1935-5548","PMID":"25573882","abstract":"OBJECTIVE: This study examined the association between cardiac autonomic dysfunction and high albumin-to-creatinine ratio (ACR) in adolescents with type 1 diabetes.\\n\\nRESEARCH DESIGN AND METHODS: Adolescents recruited as part of a multicenter screening study (n = 445, 49% female, aged 10-17 years, mean duration 6.9 years; mean HbA1c 8.4%, 68 mmol/mol) underwent a 10-min continuous electrocardiogram recording for heart rate variability analysis. Time-domain heart rate variability measures included baseline heart rate, SD of the R-R interval (SDNN), and root mean squared difference of successive R-R intervals (RMSSD). Spectral analysis included sympathetic (low-frequency) and parasympathetic (high-frequency) components. Standardized ACR were calculated from six early morning urine collections using an established algorithm, reflecting age, sex, and duration, and stratified into ACR tertiles, where the upper tertile reflects higher nephropathy risk.\\n\\nRESULTS: The upper-tertile ACR group had a faster heart rate (76 vs. 73 bpm; P &lt; 0.01) and less heart rate variability (SDNN 68 vs. 76 ms, P = 0.02; RMSSD 63 vs. 71 ms, P = 0.04). HbA1c was 8.5% (69 mmol/mmol) in the upper tertile vs. 8.3% (67 mmol/mol) in the lower tertiles (P = 0.07). In multivariable analysis, upper-tertile ACR was associated with faster heart rate (β = 2.5, 95% CI 0.2-4.8, P = 0.03) and lower RMSSD (β = -9.5, 95% CI -18.2 to -0.8, P = 0.03), independent of age and HbA1c.\\n\\nCONCLUSIONS: Adolescents at potentially higher risk for nephropathy show an adverse cardiac autonomic profile, indicating sympathetic overdrive, compared with the lower-risk group. Longitudinal follow-up of this cohort will further characterize the relationship between autonomic and renal dysfunction and the effect of interventions in this population.","author":[{"dropping-particle":"","family":"Cho","given":"Yoon Hi","non-dropping-particle":"","parse-names":false,"suffix":""},{"dropping-particle":"","family":"Craig","given":"Maria E.","non-dropping-particle":"","parse-names":false,"suffix":""},{"dropping-particle":"","family":"Davis","given":"Elizabeth A.","non-dropping-particle":"","parse-names":false,"suffix":""},{"dropping-particle":"","family":"Cotterill","given":"Andrew M.","non-dropping-particle":"","parse-names":false,"suffix":""},{"dropping-particle":"","family":"Couper","given":"Jennifer J.","non-dropping-particle":"","parse-names":false,"suffix":""},{"dropping-particle":"","family":"Cameron","given":"Fergus J.","non-dropping-particle":"","parse-names":false,"suffix":""},{"dropping-particle":"","family":"Benitez-Aguirre","given":"Paul Z.","non-dropping-particle":"","parse-names":false,"suffix":""},{"dropping-particle":"","family":"Dalton","given":"R. Neil","non-dropping-particle":"","parse-names":false,"suffix":""},{"dropping-particle":"","family":"Dunger","given":"David B.","non-dropping-particle":"","parse-names":false,"suffix":""},{"dropping-particle":"","family":"Jones","given":"Timothy W.","non-dropping-particle":"","parse-names":false,"suffix":""},{"dropping-particle":"","family":"Donaghue","given":"Kim C.","non-dropping-particle":"","parse-names":false,"suffix":""},{"dropping-particle":"","family":"Adolescent Type 1 Diabetes Cardio-Renal Intervention Trial","given":"","non-dropping-particle":"","parse-names":false,"suffix":""}],"container-title":"Diabetes care","id":"ITEM-3","issue":"4","issued":{"date-parts":[["2015"]]},"page":"676-81","title":"Cardiac autonomic dysfunction is associated with high-risk albumin-to-creatinine ratio in young adolescents with type 1 diabetes in AdDIT (adolescent type 1 diabetes cardio-renal interventional trial).","type":"article-journal","volume":"38"},"uris":["http://www.mendeley.com/documents/?uuid=ed40b74a-1772-4c94-800b-7518069c7034"]},{"id":"ITEM-4","itemData":{"author":[{"dropping-particle":"","family":"Maftei","given":"Oana","non-dropping-particle":"","parse-names":false,"suffix":""},{"dropping-particle":"","family":"Pena","given":"Alexia S.","non-dropping-particle":"","parse-names":false,"suffix":""},{"dropping-particle":"","family":"Sullivan","given":"Thomas","non-dropping-particle":"","parse-names":false,"suffix":""},{"dropping-particle":"","family":"Jones","given":"Timothy W.","non-dropping-particle":"","parse-names":false,"suffix":""},{"dropping-particle":"","family":"Donaghue","given":"Kim C.","non-dropping-particle":"","parse-names":false,"suffix":""},{"dropping-particle":"","family":"Cameron","given":"Fergus J.","non-dropping-particle":"","parse-names":false,"suffix":""},{"dropping-particle":"","family":"Davis","given":"Elizabeth","non-dropping-particle":"","parse-names":false,"suffix":""},{"dropping-particle":"","family":"Cotterill","given":"Andrew","non-dropping-particle":"","parse-names":false,"suffix":""},{"dropping-particle":"","family":"Craig","given":"Maria E.","non-dropping-particle":"","parse-names":false,"suffix":""},{"dropping-particle":"","family":"Gent","given":"Roger","non-dropping-particle":"","parse-names":false,"suffix":""},{"dropping-particle":"","family":"Dalton","given":"Neil","non-dropping-particle":"","parse-names":false,"suffix":""},{"dropping-particle":"","family":"Daneman","given":"Denis","non-dropping-particle":"","parse-names":false,"suffix":""},{"dropping-particle":"","family":"Dunger","given":"David","non-dropping-particle":"","parse-names":false,"suffix":""},{"dropping-particle":"","family":"Deanfield","given":"John","non-dropping-particle":"","parse-names":false,"suffix":""},{"dropping-particle":"","family":"Couper","given":"Jenny J.","non-dropping-particle":"","parse-names":false,"suffix":""}],"container-title":"Diabetes Care","id":"ITEM-4","issue":"11","issued":{"date-parts":[["2014"]]},"page":"3069-3075","title":"Early Atherosclerosis Relates to Urinary Albumin Excretion and Cardiovascular Risk Factors in Adolescents With Type 1 Diabetes: Adolescent Type 1 Diabetes cardio-renal Intervention Trial (AdDIT)","type":"article-journal","volume":"37"},"uris":["http://www.mendeley.com/documents/?uuid=c1c50156-99bc-303d-bf81-5c85451ada20"]}],"mendeley":{"formattedCitation":"&lt;sup&gt;4,22,23,27&lt;/sup&gt;","plainTextFormattedCitation":"4,22,23,27","previouslyFormattedCitation":"&lt;sup&gt;4,22,23,27&lt;/sup&gt;"},"properties":{"noteIndex":0},"schema":"https://github.com/citation-style-language/schema/raw/master/csl-citation.json"}</w:instrText>
      </w:r>
      <w:r w:rsidRPr="00DD0ED2">
        <w:rPr>
          <w:rFonts w:cs="Arial"/>
        </w:rPr>
        <w:fldChar w:fldCharType="separate"/>
      </w:r>
      <w:r w:rsidR="00DD0ED2" w:rsidRPr="00DD0ED2">
        <w:rPr>
          <w:rFonts w:cs="Arial"/>
          <w:noProof/>
          <w:vertAlign w:val="superscript"/>
        </w:rPr>
        <w:t>4,22,23,27</w:t>
      </w:r>
      <w:r w:rsidRPr="00DD0ED2">
        <w:rPr>
          <w:rFonts w:cs="Arial"/>
        </w:rPr>
        <w:fldChar w:fldCharType="end"/>
      </w:r>
      <w:r w:rsidRPr="00DD0ED2">
        <w:rPr>
          <w:rFonts w:cs="Arial"/>
        </w:rPr>
        <w:t xml:space="preserve">. In order to quantify inflammatory burden, an inflammatory risk score was created using a combination of five pro-inflammatory markers (EGF, GRO, PDGF-AA, PDGF-BB, sCD40L) chosen </w:t>
      </w:r>
      <w:r w:rsidRPr="00DD0ED2">
        <w:rPr>
          <w:rFonts w:cs="Arial"/>
          <w:i/>
        </w:rPr>
        <w:t>a priori</w:t>
      </w:r>
      <w:r w:rsidRPr="00DD0ED2">
        <w:rPr>
          <w:rFonts w:cs="Arial"/>
        </w:rPr>
        <w:t xml:space="preserve"> based on previous research from our group showing their elevation in adolescents with type 1 diabetes</w:t>
      </w:r>
      <w:r w:rsidRPr="00DD0ED2">
        <w:rPr>
          <w:rFonts w:cs="Arial"/>
        </w:rPr>
        <w:fldChar w:fldCharType="begin" w:fldLock="1"/>
      </w:r>
      <w:r w:rsidR="00DD0ED2" w:rsidRPr="00DD0ED2">
        <w:rPr>
          <w:rFonts w:cs="Arial"/>
        </w:rPr>
        <w:instrText>ADDIN CSL_CITATION {"citationItems":[{"id":"ITEM-1","itemData":{"abstract":"OBJECTIVE The contribution of inflammation to endothelial/vascular dysfunction in early Type I Diabetes (T1D) is not well understood. The objective of this study was to examine the interaction between systemic inflammation and vascular function in adolescent's with and without-T1D. METHODS 51 subjects from our observational cohort of adolescents with T1D (JDRF-CCTN), and 59 healthy controls (HC) were studied. Serum cytokines-chemokines were quantified using Human 41-Plex Array, and vascular function was measured by Flow Mediated Dilatation (FMD), Pulse Wave Velocity (PWV) and Blood Pressure (BP). Factor Analysis was used to identify pro- and anti-inflammatory cytokine-chemokine factors, which were then correlated with vascular outcomes. RESULTS Three pro-inflammatory factors were identified in HC and three in TID, and a single anti-inflammatory factor in both groups. In HC there was a positive correlation (r=0.33; p=0.01) between control proinflammatory Factor 1 and systolic BP and a negative correlation between control proinflammatory Factor 3(r=-0.29; p=0.02) and diastolic BP. Control proinflammatory Factor 2 correlated positively with PWV. In TID subjects, no correlations were found between any of the pro-inflammatory factors and the vascular measurements. No correlations were found between the anti-inflammatory factors and BP, FMD and PWV in either HC or T1D. Levels of pro-inflammatory analytes, EGF, GRO, PDGF-BB, PDGF-AA and sCD40L were significantly higher in T1D. CONCLUSIONS The cytokine-chemokine signature in early T1D, prior to the development of arterial disease, is significantly different from that seen in healthy controls. This may be relevant to pathophysiology, determining risk and identifying target cytokines-chemokines for intervention in T1D.","author":[{"dropping-particle":"","family":"Sochett","given":"Etienne","non-dropping-particle":"","parse-names":false,"suffix":""},{"dropping-particle":"","family":"Noone","given":"Damien","non-dropping-particle":"","parse-names":false,"suffix":""},{"dropping-particle":"","family":"Grattan","given":"Michael","non-dropping-particle":"","parse-names":false,"suffix":""},{"dropping-particle":"","family":"Slorach","given":"Cameron","non-dropping-particle":"","parse-names":false,"suffix":""},{"dropping-particle":"","family":"Moineddin","given":"Rahim","non-dropping-particle":"","parse-names":false,"suffix":""},{"dropping-particle":"","family":"Elia","given":"Yesmino","non-dropping-particle":"","parse-names":false,"suffix":""},{"dropping-particle":"","family":"Mahmud","given":"Farid H.","non-dropping-particle":"","parse-names":false,"suffix":""},{"dropping-particle":"","family":"Dunger","given":"David B.","non-dropping-particle":"","parse-names":false,"suffix":""},{"dropping-particle":"","family":"Dalton","given":"Neil","non-dropping-particle":"","parse-names":false,"suffix":""},{"dropping-particle":"","family":"Cherney","given":"David","non-dropping-particle":"","parse-names":false,"suffix":""},{"dropping-particle":"","family":"Scholey","given":"James","non-dropping-particle":"","parse-names":false,"suffix":""},{"dropping-particle":"","family":"Reich","given":"Heather","non-dropping-particle":"","parse-names":false,"suffix":""},{"dropping-particle":"","family":"Deanfield","given":"John","non-dropping-particle":"","parse-names":false,"suffix":""}],"container-title":"Cytokine","id":"ITEM-1","issued":{"date-parts":[["2017"]]},"page":"233-239","title":"Relationship between serum inflammatory markers and vascular function in a cohort of adolescents with type 1 diabetes","type":"article-journal","volume":"99"},"uris":["http://www.mendeley.com/documents/?uuid=4bc68185-6799-3362-acef-4dd9000bfaaf"]}],"mendeley":{"formattedCitation":"&lt;sup&gt;20&lt;/sup&gt;","plainTextFormattedCitation":"20","previouslyFormattedCitation":"&lt;sup&gt;20&lt;/sup&gt;"},"properties":{"noteIndex":0},"schema":"https://github.com/citation-style-language/schema/raw/master/csl-citation.json"}</w:instrText>
      </w:r>
      <w:r w:rsidRPr="00DD0ED2">
        <w:rPr>
          <w:rFonts w:cs="Arial"/>
        </w:rPr>
        <w:fldChar w:fldCharType="separate"/>
      </w:r>
      <w:r w:rsidR="00DD0ED2" w:rsidRPr="00DD0ED2">
        <w:rPr>
          <w:rFonts w:cs="Arial"/>
          <w:noProof/>
          <w:vertAlign w:val="superscript"/>
        </w:rPr>
        <w:t>20</w:t>
      </w:r>
      <w:r w:rsidRPr="00DD0ED2">
        <w:rPr>
          <w:rFonts w:cs="Arial"/>
        </w:rPr>
        <w:fldChar w:fldCharType="end"/>
      </w:r>
      <w:r w:rsidRPr="00DD0ED2">
        <w:rPr>
          <w:rFonts w:cs="Arial"/>
        </w:rPr>
        <w:t>. To create the score, each inflammatory marker was categorised into tertiles (low=1, middle=2, high=3), with these values then summed to create an overall value (min. 5, max. 15). The combined impact of HDL and inflammation levels on endothelial function were assessed by converting HDL and inflammatory scores to dichotomous variables based on their median values, and then combining these into one of four groups: low HDL/low inflammation, low HDL/high inflammation, high HDL/low inflammation, and high HDL/high inflammation. BMI z-scores were calculated using the lambda-mu-sigma (LMS) method.</w:t>
      </w:r>
      <w:r w:rsidRPr="00DD0ED2">
        <w:rPr>
          <w:rFonts w:cs="Arial"/>
          <w:color w:val="FF0000"/>
        </w:rPr>
        <w:t xml:space="preserve"> </w:t>
      </w:r>
      <w:r w:rsidRPr="00DD0ED2">
        <w:rPr>
          <w:rFonts w:cs="Arial"/>
        </w:rPr>
        <w:t>HbA</w:t>
      </w:r>
      <w:r w:rsidRPr="00DD0ED2">
        <w:rPr>
          <w:rFonts w:cs="Arial"/>
          <w:vertAlign w:val="subscript"/>
        </w:rPr>
        <w:t>1c</w:t>
      </w:r>
      <w:r w:rsidRPr="00DD0ED2">
        <w:rPr>
          <w:rFonts w:cs="Arial"/>
        </w:rPr>
        <w:t xml:space="preserve"> (mmol/mol) was calculated using the formula [(HbA</w:t>
      </w:r>
      <w:r w:rsidRPr="00DD0ED2">
        <w:rPr>
          <w:rFonts w:cs="Arial"/>
          <w:vertAlign w:val="subscript"/>
        </w:rPr>
        <w:t>1c</w:t>
      </w:r>
      <w:r w:rsidRPr="00DD0ED2">
        <w:rPr>
          <w:rFonts w:cs="Arial"/>
        </w:rPr>
        <w:t xml:space="preserve"> (%) x 10.93) – 23.5].</w:t>
      </w:r>
      <w:r w:rsidRPr="00DD0ED2">
        <w:t xml:space="preserve"> </w:t>
      </w:r>
      <w:r w:rsidR="005D2043" w:rsidRPr="00DD0ED2">
        <w:t xml:space="preserve">eGFR was calculated using the Zappitelli combined formula [507.76 x e </w:t>
      </w:r>
      <w:r w:rsidR="005D2043" w:rsidRPr="00DD0ED2">
        <w:rPr>
          <w:vertAlign w:val="superscript"/>
        </w:rPr>
        <w:t>0.003 x height</w:t>
      </w:r>
      <w:r w:rsidR="005D2043" w:rsidRPr="00DD0ED2">
        <w:t xml:space="preserve">)/(Cystatin C </w:t>
      </w:r>
      <w:r w:rsidR="005D2043" w:rsidRPr="00DD0ED2">
        <w:rPr>
          <w:vertAlign w:val="superscript"/>
        </w:rPr>
        <w:t>0.635</w:t>
      </w:r>
      <w:r w:rsidR="005D2043" w:rsidRPr="00DD0ED2">
        <w:t xml:space="preserve"> x Creatinine </w:t>
      </w:r>
      <w:r w:rsidR="005D2043" w:rsidRPr="00DD0ED2">
        <w:rPr>
          <w:vertAlign w:val="superscript"/>
        </w:rPr>
        <w:t>0.547</w:t>
      </w:r>
      <w:r w:rsidR="005D2043" w:rsidRPr="00DD0ED2">
        <w:t>)]</w:t>
      </w:r>
      <w:r w:rsidR="00B057B9" w:rsidRPr="00DD0ED2">
        <w:t xml:space="preserve">, which has previously been shown to </w:t>
      </w:r>
      <w:r w:rsidR="00C57BB9" w:rsidRPr="00DD0ED2">
        <w:t xml:space="preserve">accurately </w:t>
      </w:r>
      <w:r w:rsidR="00B057B9" w:rsidRPr="00DD0ED2">
        <w:t>estimate GFR in paediatric populations</w:t>
      </w:r>
      <w:r w:rsidR="00B057B9" w:rsidRPr="00DD0ED2">
        <w:fldChar w:fldCharType="begin" w:fldLock="1"/>
      </w:r>
      <w:r w:rsidR="00DD0ED2" w:rsidRPr="00DD0ED2">
        <w:instrText>ADDIN CSL_CITATION {"citationItems":[{"id":"ITEM-1","itemData":{"abstract":"BACKGROUND AND OBJECTIVES Estimation of GFR in children is challenging; reference methods are cumbersome, and formulas have limitations. The aims of this study were to evaluate (1) the new creatinine-based formula recently proposed by Schwartz using a kinetic colorimetric compensated Jaffe technique; (2) some cystatin C-derived formulas (Hoek, Le Bricon, Larsson, Rule, Filler, and Zappitelli) using a nephelemetric technique; and (3) combined formulas using both cystatin and creatinine (Zappitelli and Bouvet). DESIGN, SETTING, PARTICIPANTS, &amp; MEASUREMENTS These formulas were evaluated in a cross-sectional cohort of 252 children with moderate CKD or normal GFR, in comparison with the reference standard (inulin clearance, iGFR). Mean age, body weight, height, creatinine, and cystatin C were 10.7 ± 4.0 years, 35 ± 15 kg, 137 ± 20 cm, 55 ± 30 μmol/L, and 0.91 ± 0.35 mg/L, respectively. RESULTS Mean ± SD iGFR was 101 ± 32 ml/min per 1.73 m². When evaluating agreement between these formulas and iGFR (e.g. correlation, Bland Altman plots, bias, and accuracies), there was a good correlation between iGFR and all Le Bricon, Larsson, Rule, and Zappitelli (both) and locally adapted Schwartz and 2009 Schwartz formulas; by contrast, Filler and original 1976 Schwartz formulas overestimated iGFR, whereas Hoek and Bouvet formulas underestimated iGFR. CONCLUSION Different cystatin C-derived formulas (at least Larsson and Le Bricon) for estimating GFR as well as the Zappitelli combined formula are accurate in addition to the new Schwartz bedside formula in a general pediatric population.","author":[{"dropping-particle":"","family":"Bacchetta","given":"J.","non-dropping-particle":"","parse-names":false,"suffix":""},{"dropping-particle":"","family":"Cochat","given":"P.","non-dropping-particle":"","parse-names":false,"suffix":""},{"dropping-particle":"","family":"Rognant","given":"N.","non-dropping-particle":"","parse-names":false,"suffix":""},{"dropping-particle":"","family":"Ranchin","given":"B.","non-dropping-particle":"","parse-names":false,"suffix":""},{"dropping-particle":"","family":"Hadj-Aissa","given":"A.","non-dropping-particle":"","parse-names":false,"suffix":""},{"dropping-particle":"","family":"Dubourg","given":"L.","non-dropping-particle":"","parse-names":false,"suffix":""}],"container-title":"Clinical Journal of the American Society of Nephrology","id":"ITEM-1","issue":"3","issued":{"date-parts":[["2011"]]},"page":"552-560","title":"Which Creatinine and Cystatin C Equations Can Be Reliably Used in Children?","type":"article-journal","volume":"6"},"uris":["http://www.mendeley.com/documents/?uuid=2e382e41-6b98-3892-a076-ef02e7ba9e66"]}],"mendeley":{"formattedCitation":"&lt;sup&gt;28&lt;/sup&gt;","plainTextFormattedCitation":"28","previouslyFormattedCitation":"&lt;sup&gt;28&lt;/sup&gt;"},"properties":{"noteIndex":0},"schema":"https://github.com/citation-style-language/schema/raw/master/csl-citation.json"}</w:instrText>
      </w:r>
      <w:r w:rsidR="00B057B9" w:rsidRPr="00DD0ED2">
        <w:fldChar w:fldCharType="separate"/>
      </w:r>
      <w:r w:rsidR="00DD0ED2" w:rsidRPr="00DD0ED2">
        <w:rPr>
          <w:noProof/>
          <w:vertAlign w:val="superscript"/>
        </w:rPr>
        <w:t>28</w:t>
      </w:r>
      <w:r w:rsidR="00B057B9" w:rsidRPr="00DD0ED2">
        <w:fldChar w:fldCharType="end"/>
      </w:r>
      <w:r w:rsidR="005D2043" w:rsidRPr="00DD0ED2">
        <w:t>.</w:t>
      </w:r>
    </w:p>
    <w:p w:rsidR="003E52DE" w:rsidRPr="00DD0ED2" w:rsidRDefault="003E52DE" w:rsidP="003E52DE">
      <w:pPr>
        <w:pStyle w:val="Heading2"/>
        <w:jc w:val="both"/>
        <w:rPr>
          <w:rFonts w:asciiTheme="minorHAnsi" w:hAnsiTheme="minorHAnsi" w:cs="Arial"/>
          <w:color w:val="000000" w:themeColor="text1"/>
        </w:rPr>
      </w:pPr>
      <w:r w:rsidRPr="00DD0ED2">
        <w:rPr>
          <w:rFonts w:asciiTheme="minorHAnsi" w:hAnsiTheme="minorHAnsi" w:cs="Arial"/>
          <w:color w:val="000000" w:themeColor="text1"/>
        </w:rPr>
        <w:t>Statistical Analyses</w:t>
      </w:r>
    </w:p>
    <w:p w:rsidR="003E52DE" w:rsidRPr="00DD0ED2" w:rsidRDefault="0019546D" w:rsidP="003E52DE">
      <w:pPr>
        <w:jc w:val="both"/>
        <w:rPr>
          <w:rFonts w:cs="Arial"/>
          <w:color w:val="000000" w:themeColor="text1"/>
        </w:rPr>
      </w:pPr>
      <w:r w:rsidRPr="00DD0ED2">
        <w:rPr>
          <w:rFonts w:cs="Arial"/>
          <w:color w:val="000000" w:themeColor="text1"/>
        </w:rPr>
        <w:t>The primary endpoint for this study was</w:t>
      </w:r>
      <w:r w:rsidR="00746FEC" w:rsidRPr="00DD0ED2">
        <w:rPr>
          <w:rFonts w:cs="Arial"/>
          <w:color w:val="000000" w:themeColor="text1"/>
        </w:rPr>
        <w:t xml:space="preserve"> to investigate </w:t>
      </w:r>
      <w:r w:rsidRPr="00DD0ED2">
        <w:rPr>
          <w:rFonts w:cs="Arial"/>
          <w:color w:val="000000" w:themeColor="text1"/>
        </w:rPr>
        <w:t>difference</w:t>
      </w:r>
      <w:r w:rsidR="00746FEC" w:rsidRPr="00DD0ED2">
        <w:rPr>
          <w:rFonts w:cs="Arial"/>
          <w:color w:val="000000" w:themeColor="text1"/>
        </w:rPr>
        <w:t>s</w:t>
      </w:r>
      <w:r w:rsidRPr="00DD0ED2">
        <w:rPr>
          <w:rFonts w:cs="Arial"/>
          <w:color w:val="000000" w:themeColor="text1"/>
        </w:rPr>
        <w:t xml:space="preserve"> in HDL functionality between ACR groups</w:t>
      </w:r>
      <w:r w:rsidR="00746FEC" w:rsidRPr="00DD0ED2">
        <w:rPr>
          <w:rFonts w:cs="Arial"/>
          <w:color w:val="000000" w:themeColor="text1"/>
        </w:rPr>
        <w:t xml:space="preserve">, </w:t>
      </w:r>
      <w:r w:rsidR="00BB1AB4" w:rsidRPr="00DD0ED2">
        <w:rPr>
          <w:rFonts w:cs="Arial"/>
          <w:color w:val="000000" w:themeColor="text1"/>
        </w:rPr>
        <w:t>with secondary outcomes aimed at</w:t>
      </w:r>
      <w:r w:rsidR="00746FEC" w:rsidRPr="00DD0ED2">
        <w:rPr>
          <w:rFonts w:cs="Arial"/>
          <w:color w:val="000000" w:themeColor="text1"/>
        </w:rPr>
        <w:t xml:space="preserve"> identify</w:t>
      </w:r>
      <w:r w:rsidR="00BB1AB4" w:rsidRPr="00DD0ED2">
        <w:rPr>
          <w:rFonts w:cs="Arial"/>
          <w:color w:val="000000" w:themeColor="text1"/>
        </w:rPr>
        <w:t>ing</w:t>
      </w:r>
      <w:r w:rsidR="00746FEC" w:rsidRPr="00DD0ED2">
        <w:rPr>
          <w:rFonts w:cs="Arial"/>
          <w:color w:val="000000" w:themeColor="text1"/>
        </w:rPr>
        <w:t xml:space="preserve"> risk factors associated with these changes</w:t>
      </w:r>
      <w:r w:rsidR="00BB1AB4" w:rsidRPr="00DD0ED2">
        <w:rPr>
          <w:rFonts w:cs="Arial"/>
          <w:color w:val="000000" w:themeColor="text1"/>
        </w:rPr>
        <w:t>, and investigating</w:t>
      </w:r>
      <w:r w:rsidR="00746FEC" w:rsidRPr="00DD0ED2">
        <w:rPr>
          <w:rFonts w:cs="Arial"/>
          <w:color w:val="000000" w:themeColor="text1"/>
        </w:rPr>
        <w:t xml:space="preserve"> whether </w:t>
      </w:r>
      <w:r w:rsidR="00BB1AB4" w:rsidRPr="00DD0ED2">
        <w:rPr>
          <w:rFonts w:cs="Arial"/>
          <w:color w:val="000000" w:themeColor="text1"/>
        </w:rPr>
        <w:t xml:space="preserve">an interaction of these factors with </w:t>
      </w:r>
      <w:r w:rsidR="00746FEC" w:rsidRPr="00DD0ED2">
        <w:rPr>
          <w:rFonts w:cs="Arial"/>
          <w:color w:val="000000" w:themeColor="text1"/>
        </w:rPr>
        <w:t xml:space="preserve">HDL levels </w:t>
      </w:r>
      <w:r w:rsidR="00BB1AB4" w:rsidRPr="00DD0ED2">
        <w:rPr>
          <w:rFonts w:cs="Arial"/>
          <w:color w:val="000000" w:themeColor="text1"/>
        </w:rPr>
        <w:t>was associated with changes in</w:t>
      </w:r>
      <w:r w:rsidR="00746FEC" w:rsidRPr="00DD0ED2">
        <w:rPr>
          <w:rFonts w:cs="Arial"/>
          <w:color w:val="000000" w:themeColor="text1"/>
        </w:rPr>
        <w:t xml:space="preserve"> endothelial function. </w:t>
      </w:r>
      <w:r w:rsidR="003E52DE" w:rsidRPr="00DD0ED2">
        <w:rPr>
          <w:rFonts w:cs="Arial"/>
          <w:color w:val="000000" w:themeColor="text1"/>
        </w:rPr>
        <w:t>Descriptive data are expressed as mean±SD or median(</w:t>
      </w:r>
      <w:r w:rsidR="00960308" w:rsidRPr="00DD0ED2">
        <w:rPr>
          <w:rFonts w:cs="Arial"/>
          <w:color w:val="000000" w:themeColor="text1"/>
        </w:rPr>
        <w:t>IQR</w:t>
      </w:r>
      <w:r w:rsidR="003E52DE" w:rsidRPr="00DD0ED2">
        <w:rPr>
          <w:rFonts w:cs="Arial"/>
          <w:color w:val="000000" w:themeColor="text1"/>
        </w:rPr>
        <w:t>) for normally and non-normally distributed data, respectively. Normal distribution was assessed using the Shapiro-Wilk test</w:t>
      </w:r>
      <w:r w:rsidR="003E52DE" w:rsidRPr="00DD0ED2">
        <w:t xml:space="preserve"> and</w:t>
      </w:r>
      <w:r w:rsidR="003E52DE" w:rsidRPr="00DD0ED2">
        <w:rPr>
          <w:rFonts w:cs="Arial"/>
          <w:color w:val="000000" w:themeColor="text1"/>
        </w:rPr>
        <w:t xml:space="preserve"> graphical inspection of histograms and normality plots. Comparisons between healthy controls and patients with type 1 diabetes were conducted using independent samples t-</w:t>
      </w:r>
      <w:r w:rsidR="00C57BB9" w:rsidRPr="00DD0ED2">
        <w:rPr>
          <w:rFonts w:cs="Arial"/>
          <w:color w:val="000000" w:themeColor="text1"/>
        </w:rPr>
        <w:t>test or Kruskall-Wallis test</w:t>
      </w:r>
      <w:r w:rsidR="003E52DE" w:rsidRPr="00DD0ED2">
        <w:rPr>
          <w:rFonts w:cs="Arial"/>
          <w:color w:val="000000" w:themeColor="text1"/>
        </w:rPr>
        <w:t xml:space="preserve">. </w:t>
      </w:r>
      <w:r w:rsidR="0011354B" w:rsidRPr="00DD0ED2">
        <w:rPr>
          <w:rFonts w:cs="Arial"/>
          <w:color w:val="000000" w:themeColor="text1"/>
        </w:rPr>
        <w:t xml:space="preserve">General or generalised linear models were implemented to calculate mean differences and 95% CIs in variables of interest between ACR subgroups. </w:t>
      </w:r>
      <w:r w:rsidR="00C40557" w:rsidRPr="00DD0ED2">
        <w:rPr>
          <w:rFonts w:cs="Arial"/>
          <w:color w:val="000000" w:themeColor="text1"/>
        </w:rPr>
        <w:t xml:space="preserve"> </w:t>
      </w:r>
      <w:r w:rsidR="0011354B" w:rsidRPr="00DD0ED2">
        <w:rPr>
          <w:rFonts w:cs="Arial"/>
          <w:color w:val="000000" w:themeColor="text1"/>
        </w:rPr>
        <w:t xml:space="preserve">Pearson </w:t>
      </w:r>
      <w:r w:rsidR="00C40557" w:rsidRPr="00DD0ED2">
        <w:rPr>
          <w:rFonts w:cs="Arial"/>
          <w:color w:val="000000" w:themeColor="text1"/>
        </w:rPr>
        <w:t>Chi squared test w</w:t>
      </w:r>
      <w:r w:rsidR="0011354B" w:rsidRPr="00DD0ED2">
        <w:rPr>
          <w:rFonts w:cs="Arial"/>
          <w:color w:val="000000" w:themeColor="text1"/>
        </w:rPr>
        <w:t>as</w:t>
      </w:r>
      <w:r w:rsidR="00C40557" w:rsidRPr="00DD0ED2">
        <w:rPr>
          <w:rFonts w:cs="Arial"/>
          <w:color w:val="000000" w:themeColor="text1"/>
        </w:rPr>
        <w:t xml:space="preserve"> used to test for different distributions of sex and ACR risk-group within combined HDL/inflammation groups. </w:t>
      </w:r>
      <w:r w:rsidR="003E52DE" w:rsidRPr="00DD0ED2">
        <w:rPr>
          <w:rFonts w:cs="Arial"/>
          <w:color w:val="000000" w:themeColor="text1"/>
        </w:rPr>
        <w:t>One way ANOVA with post-hoc LSD testing was used to assess differences in HDL function between combined HDL/inflammation groups. Multiple linear regression was used to identify independent predictors of HDL function, as well as relationships between</w:t>
      </w:r>
      <w:r w:rsidR="003E52DE" w:rsidRPr="00DD0ED2">
        <w:t xml:space="preserve"> </w:t>
      </w:r>
      <w:r w:rsidR="003E52DE" w:rsidRPr="00DD0ED2">
        <w:rPr>
          <w:rFonts w:cs="Arial"/>
          <w:color w:val="000000" w:themeColor="text1"/>
        </w:rPr>
        <w:t>combined HDL/inflammation groups and FMD following adjustments for potential confounding factors (age, sex, BMI z-score,</w:t>
      </w:r>
      <w:r w:rsidR="00C57BB9" w:rsidRPr="00DD0ED2">
        <w:rPr>
          <w:rFonts w:cs="Arial"/>
          <w:color w:val="000000" w:themeColor="text1"/>
        </w:rPr>
        <w:t xml:space="preserve"> eGFR, and</w:t>
      </w:r>
      <w:r w:rsidR="003E52DE" w:rsidRPr="00DD0ED2">
        <w:rPr>
          <w:rFonts w:cs="Arial"/>
          <w:color w:val="000000" w:themeColor="text1"/>
        </w:rPr>
        <w:t xml:space="preserve"> systolic blood pressure). All cytokine/chemokine measurements were log transformed prior to analysis in statistical models. All statistical analyses were carried out using SPSS v.22.0, and two-sided </w:t>
      </w:r>
      <w:r w:rsidR="003E52DE" w:rsidRPr="00DD0ED2">
        <w:rPr>
          <w:rFonts w:cs="Arial"/>
          <w:i/>
          <w:color w:val="000000" w:themeColor="text1"/>
        </w:rPr>
        <w:t>p</w:t>
      </w:r>
      <w:r w:rsidR="003E52DE" w:rsidRPr="00DD0ED2">
        <w:rPr>
          <w:rFonts w:cs="Arial"/>
          <w:color w:val="000000" w:themeColor="text1"/>
        </w:rPr>
        <w:t xml:space="preserve"> levels of 0.05 were considered statistically significant.</w:t>
      </w:r>
    </w:p>
    <w:p w:rsidR="003E52DE" w:rsidRPr="00DD0ED2" w:rsidRDefault="003E52DE" w:rsidP="003E52DE">
      <w:pPr>
        <w:jc w:val="both"/>
        <w:rPr>
          <w:rStyle w:val="Heading1Char"/>
        </w:rPr>
      </w:pPr>
      <w:r w:rsidRPr="00DD0ED2">
        <w:rPr>
          <w:rStyle w:val="Heading1Char"/>
          <w:color w:val="000000" w:themeColor="text1"/>
        </w:rPr>
        <w:t>RESULTS</w:t>
      </w:r>
    </w:p>
    <w:p w:rsidR="003E52DE" w:rsidRPr="00DD0ED2" w:rsidRDefault="003E52DE" w:rsidP="003E52DE">
      <w:pPr>
        <w:jc w:val="both"/>
        <w:rPr>
          <w:b/>
          <w:i/>
          <w:color w:val="000000" w:themeColor="text1"/>
        </w:rPr>
      </w:pPr>
      <w:r w:rsidRPr="00DD0ED2">
        <w:rPr>
          <w:b/>
          <w:i/>
          <w:color w:val="000000" w:themeColor="text1"/>
        </w:rPr>
        <w:t>Participant Characteristics</w:t>
      </w:r>
    </w:p>
    <w:p w:rsidR="003E52DE" w:rsidRPr="00DD0ED2" w:rsidRDefault="003E52DE" w:rsidP="003E52DE">
      <w:pPr>
        <w:jc w:val="both"/>
        <w:rPr>
          <w:color w:val="000000" w:themeColor="text1"/>
        </w:rPr>
      </w:pPr>
      <w:r w:rsidRPr="00DD0ED2">
        <w:rPr>
          <w:color w:val="000000" w:themeColor="text1"/>
        </w:rPr>
        <w:t>Demographic and clinical characteristics for all participants are shown in Table 1. There were no differences in age, sex distribution, blood pressure, BMI z-scores, or the majority of measured lipids (LDL-c, non-HDL-c, triglycerides) between healthy controls and adolescents with type 1 diabetes (p&gt;0.05 for all). In contrast, HDL-c (1.6</w:t>
      </w:r>
      <w:r w:rsidR="00C57BB9" w:rsidRPr="00DD0ED2">
        <w:rPr>
          <w:color w:val="000000" w:themeColor="text1"/>
        </w:rPr>
        <w:t>7</w:t>
      </w:r>
      <w:r w:rsidRPr="00DD0ED2">
        <w:rPr>
          <w:color w:val="000000" w:themeColor="text1"/>
        </w:rPr>
        <w:t>±0.</w:t>
      </w:r>
      <w:r w:rsidR="00C57BB9" w:rsidRPr="00DD0ED2">
        <w:rPr>
          <w:color w:val="000000" w:themeColor="text1"/>
        </w:rPr>
        <w:t>38</w:t>
      </w:r>
      <w:r w:rsidRPr="00DD0ED2">
        <w:rPr>
          <w:color w:val="000000" w:themeColor="text1"/>
        </w:rPr>
        <w:t xml:space="preserve"> vs. 1.44±0.29mmol/l; p&lt;0.001); HbA</w:t>
      </w:r>
      <w:r w:rsidRPr="00DD0ED2">
        <w:rPr>
          <w:color w:val="000000" w:themeColor="text1"/>
          <w:vertAlign w:val="subscript"/>
        </w:rPr>
        <w:t>1c</w:t>
      </w:r>
      <w:r w:rsidRPr="00DD0ED2">
        <w:rPr>
          <w:color w:val="000000" w:themeColor="text1"/>
        </w:rPr>
        <w:t xml:space="preserve"> (8.</w:t>
      </w:r>
      <w:r w:rsidR="00C57BB9" w:rsidRPr="00DD0ED2">
        <w:rPr>
          <w:color w:val="000000" w:themeColor="text1"/>
        </w:rPr>
        <w:t>3</w:t>
      </w:r>
      <w:r w:rsidR="00960308" w:rsidRPr="00DD0ED2">
        <w:rPr>
          <w:color w:val="000000" w:themeColor="text1"/>
        </w:rPr>
        <w:t xml:space="preserve"> </w:t>
      </w:r>
      <w:r w:rsidRPr="00DD0ED2">
        <w:rPr>
          <w:color w:val="000000" w:themeColor="text1"/>
        </w:rPr>
        <w:t>vs. 5.4%; p&lt;0.001); and inflammatory risk score (10.4±2.6 vs. 9.2±2.4; p=0.030) were elevated in type 1 diabetes compared to controls. When stratifying by ACR groups, increases in inflammatory risk score were strongest in adolescents with type 1 diabetes who also displayed evidence of early renal dysfunction (high-ACR group), with all five pro-inflammatory markers found to be elevated in this group alone (p&lt;0.05 for all</w:t>
      </w:r>
      <w:r w:rsidR="00792792" w:rsidRPr="00DD0ED2">
        <w:rPr>
          <w:color w:val="000000" w:themeColor="text1"/>
        </w:rPr>
        <w:t>; data not shown</w:t>
      </w:r>
      <w:r w:rsidRPr="00DD0ED2">
        <w:rPr>
          <w:color w:val="000000" w:themeColor="text1"/>
        </w:rPr>
        <w:t>). As a result, only adolescents with type 1 diabetes and high-ACR had a higher inflammatory score, compared to both low-ACR patients and healthy controls (11.3±2.4 vs. 9.</w:t>
      </w:r>
      <w:r w:rsidR="00792792" w:rsidRPr="00DD0ED2">
        <w:rPr>
          <w:color w:val="000000" w:themeColor="text1"/>
        </w:rPr>
        <w:t>5</w:t>
      </w:r>
      <w:r w:rsidRPr="00DD0ED2">
        <w:rPr>
          <w:color w:val="000000" w:themeColor="text1"/>
        </w:rPr>
        <w:t xml:space="preserve">±2.4 and 9.2±2.5 for high-ACR group vs. low-ACR group and controls, respectively; p&lt;0.05 for high vs other groups; Table 2). </w:t>
      </w:r>
    </w:p>
    <w:p w:rsidR="003E52DE" w:rsidRPr="00DD0ED2" w:rsidRDefault="003E52DE" w:rsidP="003E52DE">
      <w:pPr>
        <w:pStyle w:val="Heading2"/>
        <w:jc w:val="both"/>
        <w:rPr>
          <w:i w:val="0"/>
          <w:color w:val="000000" w:themeColor="text1"/>
        </w:rPr>
      </w:pPr>
      <w:r w:rsidRPr="00DD0ED2">
        <w:rPr>
          <w:color w:val="000000" w:themeColor="text1"/>
        </w:rPr>
        <w:t>HDL Functionality</w:t>
      </w:r>
    </w:p>
    <w:p w:rsidR="003E52DE" w:rsidRPr="00DD0ED2" w:rsidRDefault="003E52DE" w:rsidP="003E52DE">
      <w:pPr>
        <w:jc w:val="both"/>
        <w:rPr>
          <w:color w:val="000000" w:themeColor="text1"/>
        </w:rPr>
      </w:pPr>
      <w:r w:rsidRPr="00DD0ED2">
        <w:rPr>
          <w:color w:val="000000" w:themeColor="text1"/>
        </w:rPr>
        <w:t>HDL-mediated endothelial NO bioavailability (29.5±8.5 vs. 38.0±8.9</w:t>
      </w:r>
      <w:r w:rsidR="00A51605" w:rsidRPr="00DD0ED2">
        <w:rPr>
          <w:color w:val="000000" w:themeColor="text1"/>
        </w:rPr>
        <w:t>%</w:t>
      </w:r>
      <w:r w:rsidRPr="00DD0ED2">
        <w:rPr>
          <w:color w:val="000000" w:themeColor="text1"/>
        </w:rPr>
        <w:t xml:space="preserve">; </w:t>
      </w:r>
      <w:r w:rsidR="00960308" w:rsidRPr="00DD0ED2">
        <w:rPr>
          <w:color w:val="000000" w:themeColor="text1"/>
        </w:rPr>
        <w:t>p</w:t>
      </w:r>
      <w:r w:rsidRPr="00DD0ED2">
        <w:rPr>
          <w:color w:val="000000" w:themeColor="text1"/>
        </w:rPr>
        <w:t>&lt;0.001) and serum PON-1 activity (472(213–799) vs. 671(418–923)</w:t>
      </w:r>
      <w:r w:rsidR="00BB7E82" w:rsidRPr="00DD0ED2">
        <w:rPr>
          <w:rFonts w:cs="Arial"/>
          <w:color w:val="000000" w:themeColor="text1"/>
        </w:rPr>
        <w:t>µmol p-nitrophenol</w:t>
      </w:r>
      <w:r w:rsidR="00BB7E82" w:rsidRPr="00DD0ED2">
        <w:rPr>
          <w:rFonts w:cs="Arial"/>
        </w:rPr>
        <w:t>/L/serum/min</w:t>
      </w:r>
      <w:r w:rsidRPr="00DD0ED2">
        <w:rPr>
          <w:color w:val="000000" w:themeColor="text1"/>
        </w:rPr>
        <w:t>; p=0.045) were reduced in adolescents with type 1 diabetes compared to controls, whereas SO production (2.86±3.59 vs. 1.91±2.46</w:t>
      </w:r>
      <w:r w:rsidR="00BB7E82" w:rsidRPr="00DD0ED2">
        <w:rPr>
          <w:rFonts w:cs="Arial"/>
        </w:rPr>
        <w:t>nmol O</w:t>
      </w:r>
      <w:r w:rsidR="00BB7E82" w:rsidRPr="00DD0ED2">
        <w:rPr>
          <w:rFonts w:cs="Arial"/>
          <w:vertAlign w:val="subscript"/>
        </w:rPr>
        <w:t>2</w:t>
      </w:r>
      <w:r w:rsidR="00BB7E82" w:rsidRPr="00DD0ED2">
        <w:rPr>
          <w:rFonts w:cs="Arial"/>
          <w:vertAlign w:val="superscript"/>
        </w:rPr>
        <w:t>-</w:t>
      </w:r>
      <w:r w:rsidR="00BB7E82" w:rsidRPr="00DD0ED2">
        <w:rPr>
          <w:rFonts w:cs="Arial"/>
        </w:rPr>
        <w:t>/250,000 cells</w:t>
      </w:r>
      <w:r w:rsidRPr="00DD0ED2">
        <w:rPr>
          <w:color w:val="000000" w:themeColor="text1"/>
        </w:rPr>
        <w:t xml:space="preserve">; p=0.140) was similar between the two groups (Table 1). When </w:t>
      </w:r>
      <w:r w:rsidR="003105EE" w:rsidRPr="00DD0ED2">
        <w:rPr>
          <w:color w:val="000000" w:themeColor="text1"/>
        </w:rPr>
        <w:t xml:space="preserve">further </w:t>
      </w:r>
      <w:r w:rsidRPr="00DD0ED2">
        <w:rPr>
          <w:color w:val="000000" w:themeColor="text1"/>
        </w:rPr>
        <w:t xml:space="preserve">stratifying patients with type 1 diabetes by ACR groups, NO bioavailability was found to be reduced </w:t>
      </w:r>
      <w:r w:rsidR="003105EE" w:rsidRPr="00DD0ED2">
        <w:rPr>
          <w:color w:val="000000" w:themeColor="text1"/>
        </w:rPr>
        <w:t>(25±8 for high ACR group vs. 33±7 and 38±9 % for low ACR group and healthy controls, respectively; p&lt;0.001 for high ACR vs. other groups) and SO production increased (3.71±3.57 vs. 2.11±3.49 and 1.91±2.47 nmol O</w:t>
      </w:r>
      <w:r w:rsidR="003105EE" w:rsidRPr="00DD0ED2">
        <w:rPr>
          <w:color w:val="000000" w:themeColor="text1"/>
          <w:vertAlign w:val="subscript"/>
        </w:rPr>
        <w:t>2</w:t>
      </w:r>
      <w:r w:rsidR="003105EE" w:rsidRPr="00DD0ED2">
        <w:rPr>
          <w:color w:val="000000" w:themeColor="text1"/>
        </w:rPr>
        <w:t xml:space="preserve"> per 250,000 cells; p&lt;0.05 for high-ACR vs. other groups) </w:t>
      </w:r>
      <w:r w:rsidRPr="00DD0ED2">
        <w:rPr>
          <w:color w:val="000000" w:themeColor="text1"/>
        </w:rPr>
        <w:t xml:space="preserve">only in patients </w:t>
      </w:r>
      <w:r w:rsidR="003105EE" w:rsidRPr="00DD0ED2">
        <w:rPr>
          <w:color w:val="000000" w:themeColor="text1"/>
        </w:rPr>
        <w:t>in the</w:t>
      </w:r>
      <w:r w:rsidRPr="00DD0ED2">
        <w:rPr>
          <w:color w:val="000000" w:themeColor="text1"/>
        </w:rPr>
        <w:t xml:space="preserve"> high-ACR</w:t>
      </w:r>
      <w:r w:rsidR="003105EE" w:rsidRPr="00DD0ED2">
        <w:rPr>
          <w:color w:val="000000" w:themeColor="text1"/>
        </w:rPr>
        <w:t xml:space="preserve"> group, with these changes independently associated with</w:t>
      </w:r>
      <w:r w:rsidRPr="00DD0ED2">
        <w:rPr>
          <w:color w:val="000000" w:themeColor="text1"/>
        </w:rPr>
        <w:t xml:space="preserve"> </w:t>
      </w:r>
      <w:r w:rsidR="003105EE" w:rsidRPr="00DD0ED2">
        <w:rPr>
          <w:color w:val="000000" w:themeColor="text1"/>
        </w:rPr>
        <w:t>h</w:t>
      </w:r>
      <w:r w:rsidRPr="00DD0ED2">
        <w:rPr>
          <w:color w:val="000000" w:themeColor="text1"/>
        </w:rPr>
        <w:t>igh-ACR and high-inflammation, respectively (p&lt;0.001 and p=0.01</w:t>
      </w:r>
      <w:r w:rsidR="003105EE" w:rsidRPr="00DD0ED2">
        <w:rPr>
          <w:color w:val="000000" w:themeColor="text1"/>
        </w:rPr>
        <w:t>8</w:t>
      </w:r>
      <w:r w:rsidRPr="00DD0ED2">
        <w:rPr>
          <w:color w:val="000000" w:themeColor="text1"/>
        </w:rPr>
        <w:t>; Table 3). No relationship was observed between any measure of HDL function and HbA1c, or with any other common risk factors such as age, sex, BMI z-score, or systolic blood pressure (p&gt;0.05 for all).</w:t>
      </w:r>
    </w:p>
    <w:p w:rsidR="003E52DE" w:rsidRPr="00DD0ED2" w:rsidRDefault="0006448F" w:rsidP="003E52DE">
      <w:pPr>
        <w:pStyle w:val="Heading2"/>
        <w:jc w:val="both"/>
      </w:pPr>
      <w:r w:rsidRPr="00DD0ED2">
        <w:t>Relationship between</w:t>
      </w:r>
      <w:r w:rsidR="005321FF" w:rsidRPr="00DD0ED2">
        <w:t xml:space="preserve"> HDL-c levels</w:t>
      </w:r>
      <w:r w:rsidRPr="00DD0ED2">
        <w:t>,</w:t>
      </w:r>
      <w:r w:rsidR="005321FF" w:rsidRPr="00DD0ED2">
        <w:t xml:space="preserve"> </w:t>
      </w:r>
      <w:r w:rsidRPr="00DD0ED2">
        <w:t>inflammatory burden, and</w:t>
      </w:r>
      <w:r w:rsidR="005321FF" w:rsidRPr="00DD0ED2">
        <w:t xml:space="preserve"> HDL and </w:t>
      </w:r>
      <w:r w:rsidR="003E52DE" w:rsidRPr="00DD0ED2">
        <w:t>Endothelial Function</w:t>
      </w:r>
    </w:p>
    <w:p w:rsidR="003E52DE" w:rsidRPr="00DD0ED2" w:rsidRDefault="005321FF" w:rsidP="003E52DE">
      <w:pPr>
        <w:jc w:val="both"/>
      </w:pPr>
      <w:r w:rsidRPr="00DD0ED2">
        <w:t>Due to the known interaction between HDL-c levels, inflammatory burden, and CVD outcomes</w:t>
      </w:r>
      <w:r w:rsidR="0006448F" w:rsidRPr="00DD0ED2">
        <w:t xml:space="preserve"> in adult populations </w:t>
      </w:r>
      <w:r w:rsidR="00B82E38" w:rsidRPr="00DD0ED2">
        <w:fldChar w:fldCharType="begin" w:fldLock="1"/>
      </w:r>
      <w:r w:rsidR="00DD0ED2" w:rsidRPr="00DD0ED2">
        <w:instrText>ADDIN CSL_CITATION {"citationItems":[{"id":"ITEM-1","itemData":{"author":[{"dropping-particle":"","family":"Zewinger","given":"Stephen","non-dropping-particle":"","parse-names":false,"suffix":""},{"dropping-particle":"","family":"Drechsler","given":"Christiane","non-dropping-particle":"","parse-names":false,"suffix":""},{"dropping-particle":"","family":"Kleber","given":"Marcus E.","non-dropping-particle":"","parse-names":false,"suffix":""},{"dropping-particle":"","family":"Dressel","given":"Alexander","non-dropping-particle":"","parse-names":false,"suffix":""},{"dropping-particle":"","family":"Riffel","given":"Julia","non-dropping-particle":"","parse-names":false,"suffix":""},{"dropping-particle":"","family":"Triem","given":"Sarah","non-dropping-particle":"","parse-names":false,"suffix":""},{"dropping-particle":"","family":"Lehmann","given":"Marlene","non-dropping-particle":"","parse-names":false,"suffix":""},{"dropping-particle":"","family":"Kopecky","given":"Chantal","non-dropping-particle":"","parse-names":false,"suffix":""},{"dropping-particle":"","family":"Säemann","given":"Marcus D.","non-dropping-particle":"","parse-names":false,"suffix":""},{"dropping-particle":"","family":"Lepper","given":"Philipp M.","non-dropping-particle":"","parse-names":false,"suffix":""},{"dropping-particle":"","family":"Silbernagel","given":"Günther","non-dropping-particle":"","parse-names":false,"suffix":""},{"dropping-particle":"","family":"Scharnagl","given":"Hubert","non-dropping-particle":"","parse-names":false,"suffix":""},{"dropping-particle":"","family":"Ritsch","given":"Andreas","non-dropping-particle":"","parse-names":false,"suffix":""},{"dropping-particle":"","family":"Thorand","given":"Barbara","non-dropping-particle":"","parse-names":false,"suffix":""},{"dropping-particle":"","family":"las Heras Gala","given":"Tonia","non-dropping-particle":"de","parse-names":false,"suffix":""},{"dropping-particle":"","family":"Wagenpfeil","given":"Stefan","non-dropping-particle":"","parse-names":false,"suffix":""},{"dropping-particle":"","family":"Koenig","given":"Wolfgang","non-dropping-particle":"","parse-names":false,"suffix":""},{"dropping-particle":"","family":"Peters","given":"Annette","non-dropping-particle":"","parse-names":false,"suffix":""},{"dropping-particle":"","family":"Laufs","given":"Ulrich","non-dropping-particle":"","parse-names":false,"suffix":""},{"dropping-particle":"","family":"Wanner","given":"Christoph","non-dropping-particle":"","parse-names":false,"suffix":""},{"dropping-particle":"","family":"Fliser","given":"Danilo","non-dropping-particle":"","parse-names":false,"suffix":""},{"dropping-particle":"","family":"Speer","given":"Thimoteus","non-dropping-particle":"","parse-names":false,"suffix":""},{"dropping-particle":"","family":"März","given":"Winfried","non-dropping-particle":"","parse-names":false,"suffix":""}],"container-title":"European Heart Journal","id":"ITEM-1","issued":{"date-parts":[["2015"]]},"page":"3007-3016","title":"Serum amyloid A: high-density lipoproteins interaction and cardiovascular risk","type":"article-journal","volume":"36"},"uris":["http://www.mendeley.com/documents/?uuid=dca40060-8c46-3130-a626-a4cdf9ee4136"]},{"id":"ITEM-2","itemData":{"abstract":"Aims The vascular effects of high-density lipoproteins (HDL) differ under certain clinical conditions. The composition of HDL is modified in patients with chronic kidney disease (CKD). As a consequence, uremic HDL induces endothelial dysfunction. We have previously shown that accumulation of symmetric dimethylarginine (SDMA) in HDL causes these adverse effects of HDL in CKD. The aim of the study is to determine the impact of the accumulation of SDMA on the association between HDL and mortality. Methods and results Mortality, renal function, serum SDMA and HDL-cholesterol (HDL-C) were assessed in the LURIC study including 3310 subjects undergoing coronary angiography. All-cause mortality was 30.0% during median follow-up of 9.9 years. Serum SDMA levels significantly predicted all-cause and cardiovascular mortality, and were significantly correlated with SDMA accumulation in HDL. Notably, higher serum SDMA was independently associated with lower cholesterol efflux (P = 0.004) as a measure of HDL functionality. In subjects with low SDMA levels, higher HDL-C was associated with significantly lower mortality. In contrast, in subjects with high SDMA, HDL-C was associated with higher mortality. These findings were confirmed in 1424 participants of the MONICA/KORA S3 cohort. Of note, we derived an algorithm allowing for calculation of biologically effective HDL-C' based on measured HDL-C and SDMA. We corroborated these clinical findings with invitro evidence showing that SDMA accumulation abolishes the anti-inflammatory and regenerative properties of HDL. Conclusion The data identify SDMA as a marker of HDL dysfunction. These findings highlight on the pivotal role of SDMA accumulation in HDL as a mediator of pre-mature cardiovascular disease in patients with CKD.","author":[{"dropping-particle":"","family":"Zewinger","given":"Stephen","non-dropping-particle":"","parse-names":false,"suffix":""},{"dropping-particle":"","family":"Kleber","given":"Marcus E.","non-dropping-particle":"","parse-names":false,"suffix":""},{"dropping-particle":"","family":"Rohrer","given":"Lucia","non-dropping-particle":"","parse-names":false,"suffix":""},{"dropping-particle":"","family":"Lehmann","given":"Marlene","non-dropping-particle":"","parse-names":false,"suffix":""},{"dropping-particle":"","family":"Triem","given":"Sarah","non-dropping-particle":"","parse-names":false,"suffix":""},{"dropping-particle":"","family":"Jennings","given":"Richard T.","non-dropping-particle":"","parse-names":false,"suffix":""},{"dropping-particle":"","family":"Petrakis","given":"Ioannis","non-dropping-particle":"","parse-names":false,"suffix":""},{"dropping-particle":"","family":"Dressel","given":"Alexander","non-dropping-particle":"","parse-names":false,"suffix":""},{"dropping-particle":"","family":"Lepper","given":"Philipp M.","non-dropping-particle":"","parse-names":false,"suffix":""},{"dropping-particle":"","family":"Scharnagl","given":"Hubert","non-dropping-particle":"","parse-names":false,"suffix":""},{"dropping-particle":"","family":"Ritsch","given":"Andreas","non-dropping-particle":"","parse-names":false,"suffix":""},{"dropping-particle":"","family":"Thorand","given":"Barbara","non-dropping-particle":"","parse-names":false,"suffix":""},{"dropping-particle":"","family":"Heier","given":"Margit","non-dropping-particle":"","parse-names":false,"suffix":""},{"dropping-particle":"","family":"Meisinger","given":"Christa","non-dropping-particle":"","parse-names":false,"suffix":""},{"dropping-particle":"","family":"las Heras Gala","given":"Tonia","non-dropping-particle":"de","parse-names":false,"suffix":""},{"dropping-particle":"","family":"Koenig","given":"Wolfgang","non-dropping-particle":"","parse-names":false,"suffix":""},{"dropping-particle":"","family":"Wagenpfeil","given":"Stefan","non-dropping-particle":"","parse-names":false,"suffix":""},{"dropping-particle":"","family":"Schwedhelm","given":"Edzard","non-dropping-particle":"","parse-names":false,"suffix":""},{"dropping-particle":"","family":"Böger","given":"Rainer H.","non-dropping-particle":"","parse-names":false,"suffix":""},{"dropping-particle":"","family":"Laufs","given":"Ulrich","non-dropping-particle":"","parse-names":false,"suffix":""},{"dropping-particle":"","family":"Eckardstein","given":"Arnold","non-dropping-particle":"von","parse-names":false,"suffix":""},{"dropping-particle":"","family":"Landmesser","given":"Ulf","non-dropping-particle":"","parse-names":false,"suffix":""},{"dropping-particle":"","family":"Lüscher","given":"Thomas F.","non-dropping-particle":"","parse-names":false,"suffix":""},{"dropping-particle":"","family":"Fliser","given":"Danilo","non-dropping-particle":"","parse-names":false,"suffix":""},{"dropping-particle":"","family":"März","given":"Winfried","non-dropping-particle":"","parse-names":false,"suffix":""},{"dropping-particle":"","family":"Meinitzer","given":"Andreas","non-dropping-particle":"","parse-names":false,"suffix":""},{"dropping-particle":"","family":"Speer","given":"Thimoteus","non-dropping-particle":"","parse-names":false,"suffix":""}],"container-title":"European Heart Journal","id":"ITEM-2","issue":"20","issued":{"date-parts":[["2017"]]},"page":"1597-1607","title":"Symmetric dimethylarginine, high-density lipoproteins and cardiovascular disease","type":"article-journal","volume":"38"},"uris":["http://www.mendeley.com/documents/?uuid=7611200b-7a0c-3102-9f2a-bc7157b27252"]}],"mendeley":{"formattedCitation":"&lt;sup&gt;19,29&lt;/sup&gt;","plainTextFormattedCitation":"19,29","previouslyFormattedCitation":"&lt;sup&gt;19,29&lt;/sup&gt;"},"properties":{"noteIndex":0},"schema":"https://github.com/citation-style-language/schema/raw/master/csl-citation.json"}</w:instrText>
      </w:r>
      <w:r w:rsidR="00B82E38" w:rsidRPr="00DD0ED2">
        <w:fldChar w:fldCharType="separate"/>
      </w:r>
      <w:r w:rsidR="00DD0ED2" w:rsidRPr="00DD0ED2">
        <w:rPr>
          <w:noProof/>
          <w:vertAlign w:val="superscript"/>
        </w:rPr>
        <w:t>19,29</w:t>
      </w:r>
      <w:r w:rsidR="00B82E38" w:rsidRPr="00DD0ED2">
        <w:fldChar w:fldCharType="end"/>
      </w:r>
      <w:r w:rsidRPr="00DD0ED2">
        <w:t>, we next stratified</w:t>
      </w:r>
      <w:r w:rsidR="00B82E38" w:rsidRPr="00DD0ED2">
        <w:t xml:space="preserve"> patients with type 1 diabetes by levels of HDL concentration and inflammatory risk score (i.e. low HDL-c/low inflammation, low HDL-c/high inflammation, high HDL-c/low inflammation, high HDL-c/high inflammation),</w:t>
      </w:r>
      <w:r w:rsidRPr="00DD0ED2">
        <w:t xml:space="preserve"> </w:t>
      </w:r>
      <w:r w:rsidR="00B82E38" w:rsidRPr="00DD0ED2">
        <w:t xml:space="preserve">and investigated their relationship to HDL and endothelial function. NO bioavailability was found to be reduced in all groups compared to controls (p&lt;0.05 for all), whereas SO production was increased only in those </w:t>
      </w:r>
      <w:r w:rsidR="005E3EA1" w:rsidRPr="00DD0ED2">
        <w:t>with a high inflammatory score</w:t>
      </w:r>
      <w:r w:rsidR="00B82E38" w:rsidRPr="00DD0ED2">
        <w:t xml:space="preserve"> (p</w:t>
      </w:r>
      <w:r w:rsidR="005E3EA1" w:rsidRPr="00DD0ED2">
        <w:t>&lt;</w:t>
      </w:r>
      <w:r w:rsidR="00B82E38" w:rsidRPr="00DD0ED2">
        <w:t>0.05; Figure 1)</w:t>
      </w:r>
      <w:r w:rsidR="00602390" w:rsidRPr="00DD0ED2">
        <w:t>, and</w:t>
      </w:r>
      <w:r w:rsidR="005E3EA1" w:rsidRPr="00DD0ED2">
        <w:t xml:space="preserve"> </w:t>
      </w:r>
      <w:r w:rsidR="00342625" w:rsidRPr="00DD0ED2">
        <w:t xml:space="preserve">PON-1 activity was reduced in patients with type 1 diabetes and low levels of both HDL and inflammation. </w:t>
      </w:r>
      <w:r w:rsidR="006762E1" w:rsidRPr="00DD0ED2">
        <w:t>While FMD was similar overall between patients and controls (Table 1), and between ACR groups (Table 2), p</w:t>
      </w:r>
      <w:r w:rsidR="005E3EA1" w:rsidRPr="00DD0ED2">
        <w:t xml:space="preserve">atients with </w:t>
      </w:r>
      <w:r w:rsidR="006762E1" w:rsidRPr="00DD0ED2">
        <w:t xml:space="preserve">a combination of high </w:t>
      </w:r>
      <w:r w:rsidR="005E3EA1" w:rsidRPr="00DD0ED2">
        <w:t xml:space="preserve">HDL-c </w:t>
      </w:r>
      <w:r w:rsidR="006762E1" w:rsidRPr="00DD0ED2">
        <w:t xml:space="preserve">levels </w:t>
      </w:r>
      <w:r w:rsidR="005E3EA1" w:rsidRPr="00DD0ED2">
        <w:t xml:space="preserve">and a high inflammatory score </w:t>
      </w:r>
      <w:r w:rsidR="006762E1" w:rsidRPr="00DD0ED2">
        <w:t>were found to have</w:t>
      </w:r>
      <w:r w:rsidR="003E52DE" w:rsidRPr="00DD0ED2">
        <w:t xml:space="preserve"> decreased FMD </w:t>
      </w:r>
      <w:r w:rsidR="00402343" w:rsidRPr="00DD0ED2">
        <w:t xml:space="preserve">(4.52±0.9%) </w:t>
      </w:r>
      <w:r w:rsidR="003E52DE" w:rsidRPr="00DD0ED2">
        <w:t>compared to all other groups (</w:t>
      </w:r>
      <w:r w:rsidR="00402343" w:rsidRPr="00DD0ED2">
        <w:t xml:space="preserve">6.97±0.63, 7.7±0.6, 7.1±0.8, and 7.7±1.2%; </w:t>
      </w:r>
      <w:r w:rsidR="006762E1" w:rsidRPr="00DD0ED2">
        <w:t xml:space="preserve">p&lt;0.05 for all; </w:t>
      </w:r>
      <w:r w:rsidR="003E52DE" w:rsidRPr="00DD0ED2">
        <w:t>Figure2).</w:t>
      </w:r>
      <w:r w:rsidR="006762E1" w:rsidRPr="00DD0ED2">
        <w:t xml:space="preserve"> Further analyses identified these patients as being predominantly female</w:t>
      </w:r>
      <w:r w:rsidR="003E52DE" w:rsidRPr="00DD0ED2">
        <w:t xml:space="preserve"> </w:t>
      </w:r>
      <w:r w:rsidR="006762E1" w:rsidRPr="00DD0ED2">
        <w:t xml:space="preserve">(86%; </w:t>
      </w:r>
      <w:r w:rsidR="00C40557" w:rsidRPr="00DD0ED2">
        <w:t xml:space="preserve">p=0.021; </w:t>
      </w:r>
      <w:r w:rsidR="006762E1" w:rsidRPr="00DD0ED2">
        <w:t xml:space="preserve">Supplementary Table 2) and </w:t>
      </w:r>
      <w:r w:rsidR="00C40557" w:rsidRPr="00DD0ED2">
        <w:t>belonging to the</w:t>
      </w:r>
      <w:r w:rsidR="006762E1" w:rsidRPr="00DD0ED2">
        <w:t xml:space="preserve"> high-risk ACR</w:t>
      </w:r>
      <w:r w:rsidR="000214AB" w:rsidRPr="00DD0ED2">
        <w:t xml:space="preserve"> group</w:t>
      </w:r>
      <w:r w:rsidR="006762E1" w:rsidRPr="00DD0ED2">
        <w:t xml:space="preserve"> (71%; </w:t>
      </w:r>
      <w:r w:rsidR="00C40557" w:rsidRPr="00DD0ED2">
        <w:t xml:space="preserve">p=0.020; </w:t>
      </w:r>
      <w:r w:rsidR="006762E1" w:rsidRPr="00DD0ED2">
        <w:t>Supplementary Table 3).</w:t>
      </w:r>
    </w:p>
    <w:p w:rsidR="003E52DE" w:rsidRPr="00DD0ED2" w:rsidRDefault="003E52DE" w:rsidP="003E52DE">
      <w:pPr>
        <w:pStyle w:val="Heading1"/>
        <w:jc w:val="both"/>
      </w:pPr>
      <w:r w:rsidRPr="00DD0ED2">
        <w:t>DISCUSSION</w:t>
      </w:r>
    </w:p>
    <w:p w:rsidR="003E52DE" w:rsidRPr="00DD0ED2" w:rsidRDefault="003E52DE" w:rsidP="003E52DE">
      <w:pPr>
        <w:jc w:val="both"/>
      </w:pPr>
      <w:r w:rsidRPr="00DD0ED2">
        <w:t xml:space="preserve">This study is the first to investigate HDL functionality and its relationship to vascular health in adolescents with type 1 diabetes. We have demonstrated that systemic inflammation accompanying early signs of renal dysfunction – but not glycaemic control – is associated with a dysfunctional HDL phenotype even at this early age. These changes in the HDL phenotype were characterised by a decreased capacity for HDL to stimulate endothelial NO bioavailability and an increased capacity for SO anion generation. A combination of elevated HDL-c and systemic inflammation was associated with impairment in endothelial function, with this phenotype found </w:t>
      </w:r>
      <w:r w:rsidR="00C718EC" w:rsidRPr="00DD0ED2">
        <w:t>predominantly</w:t>
      </w:r>
      <w:r w:rsidRPr="00DD0ED2">
        <w:t xml:space="preserve"> in patients with type 1 diabetes and early elevations in ACR. These individuals may therefore represent a high-risk group for accelerated development of CVD, even from the second decade of life.</w:t>
      </w:r>
    </w:p>
    <w:p w:rsidR="003E52DE" w:rsidRPr="00DD0ED2" w:rsidRDefault="008463CF" w:rsidP="003E52DE">
      <w:pPr>
        <w:jc w:val="both"/>
      </w:pPr>
      <w:r w:rsidRPr="00077566">
        <w:t>Current guidelines recommend measuring HDL-c for risk estimation and before initiation of lipid-lowering therapy</w:t>
      </w:r>
      <w:r w:rsidR="00DD0ED2" w:rsidRPr="00077566">
        <w:fldChar w:fldCharType="begin" w:fldLock="1"/>
      </w:r>
      <w:r w:rsidR="00DD0ED2" w:rsidRPr="00077566">
        <w:instrText>ADDIN CSL_CITATION {"citationItems":[{"id":"ITEM-1","itemData":{"author":[{"dropping-particle":"","family":"Piepoli","given":"Massimo F.","non-dropping-particle":"","parse-names":false,"suffix":""},{"dropping-particle":"","family":"Hoes","given":"Arno W.","non-dropping-particle":"","parse-names":false,"suffix":""},{"dropping-particle":"","family":"Agewall","given":"Stefan","non-dropping-particle":"","parse-names":false,"suffix":""},{"dropping-particle":"","family":"Albus","given":"Christian","non-dropping-particle":"","parse-names":false,"suffix":""},{"dropping-particle":"","family":"Brotons","given":"Carlos","non-dropping-particle":"","parse-names":false,"suffix":""},{"dropping-particle":"","family":"Catapano","given":"Alberico L.","non-dropping-particle":"","parse-names":false,"suffix":""},{"dropping-particle":"","family":"Cooney","given":"Marie-Therese","non-dropping-particle":"","parse-names":false,"suffix":""},{"dropping-particle":"","family":"Corrà","given":"Ugo","non-dropping-particle":"","parse-names":false,"suffix":""},{"dropping-particle":"","family":"Cosyns","given":"Bernard","non-dropping-particle":"","parse-names":false,"suffix":""},{"dropping-particle":"","family":"Deaton","given":"Christi","non-dropping-particle":"","parse-names":false,"suffix":""},{"dropping-particle":"","family":"Graham","given":"Ian","non-dropping-particle":"","parse-names":false,"suffix":""},{"dropping-particle":"","family":"Hall","given":"Michael Stephen","non-dropping-particle":"","parse-names":false,"suffix":""},{"dropping-particle":"","family":"Hobbs","given":"F. D. Richard","non-dropping-particle":"","parse-names":false,"suffix":""},{"dropping-particle":"","family":"Løchen","given":"Maja-Lisa","non-dropping-particle":"","parse-names":false,"suffix":""},{"dropping-particle":"","family":"Löllgen","given":"Herbert","non-dropping-particle":"","parse-names":false,"suffix":""},{"dropping-particle":"","family":"Marques-Vidal","given":"Pedro","non-dropping-particle":"","parse-names":false,"suffix":""},{"dropping-particle":"","family":"Perk","given":"Joep","non-dropping-particle":"","parse-names":false,"suffix":""},{"dropping-particle":"","family":"Prescott","given":"Eva","non-dropping-particle":"","parse-names":false,"suffix":""},{"dropping-particle":"","family":"Redon","given":"Josep","non-dropping-particle":"","parse-names":false,"suffix":""},{"dropping-particle":"","family":"Richter","given":"Dimitrios J.","non-dropping-particle":"","parse-names":false,"suffix":""},{"dropping-particle":"","family":"Sattar","given":"Naveed","non-dropping-particle":"","parse-names":false,"suffix":""},{"dropping-particle":"","family":"Smulders","given":"Yvo","non-dropping-particle":"","parse-names":false,"suffix":""},{"dropping-particle":"","family":"Tiberi","given":"Monica","non-dropping-particle":"","parse-names":false,"suffix":""},{"dropping-particle":"","family":"Worp","given":"H. Bart","non-dropping-particle":"van der","parse-names":false,"suffix":""},{"dropping-particle":"","family":"Dis","given":"Ineke","non-dropping-particle":"van","parse-names":false,"suffix":""},{"dropping-particle":"","family":"Verschuren","given":"W. M. Monique","non-dropping-particle":"","parse-names":false,"suffix":""},{"dropping-particle":"","family":"Binno","given":"Simone","non-dropping-particle":"","parse-names":false,"suffix":""},{"dropping-particle":"","family":"Backer","given":"Guy","non-dropping-particle":"De","parse-names":false,"suffix":""},{"dropping-particle":"","family":"Roffi","given":"Marco","non-dropping-particle":"","parse-names":false,"suffix":""},{"dropping-particle":"","family":"Aboyans","given":"Victor","non-dropping-particle":"","parse-names":false,"suffix":""},{"dropping-particle":"","family":"Bachl","given":"Norbert","non-dropping-particle":"","parse-names":false,"suffix":""},{"dropping-particle":"","family":"Bueno","given":"Héctor","non-dropping-particle":"","parse-names":false,"suffix":""},{"dropping-particle":"","family":"Carerj","given":"Scipione","non-dropping-particle":"","parse-names":false,"suffix":""},{"dropping-particle":"","family":"Cho","given":"Leslie","non-dropping-particle":"","parse-names":false,"suffix":""},{"dropping-particle":"","family":"Cox","given":"John","non-dropping-particle":"","parse-names":false,"suffix":""},{"dropping-particle":"","family":"Sutter","given":"Johan","non-dropping-particle":"De","parse-names":false,"suffix":""},{"dropping-particle":"","family":"Egidi","given":"Günther","non-dropping-particle":"","parse-names":false,"suffix":""},{"dropping-particle":"","family":"Fisher","given":"Miles","non-dropping-particle":"","parse-names":false,"suffix":""},{"dropping-particle":"","family":"Fitzsimons","given":"Donna","non-dropping-particle":"","parse-names":false,"suffix":""},{"dropping-particle":"","family":"Franco","given":"Oscar H","non-dropping-particle":"","parse-names":false,"suffix":""},{"dropping-particle":"","family":"Guenoun","given":"Maxime","non-dropping-particle":"","parse-names":false,"suffix":""},{"dropping-particle":"","family":"Jennings","given":"Catriona","non-dropping-particle":"","parse-names":false,"suffix":""},{"dropping-particle":"","family":"Jug","given":"Borut","non-dropping-particle":"","parse-names":false,"suffix":""},{"dropping-particle":"","family":"Kirchhof","given":"Paulus","non-dropping-particle":"","parse-names":false,"suffix":""},{"dropping-particle":"","family":"Kotseva","given":"Kornelia","non-dropping-particle":"","parse-names":false,"suffix":""},{"dropping-particle":"","family":"Lip","given":"Gregory YH","non-dropping-particle":"","parse-names":false,"suffix":""},{"dropping-particle":"","family":"Mach","given":"François","non-dropping-particle":"","parse-names":false,"suffix":""},{"dropping-particle":"","family":"Mancia","given":"Giuseppe","non-dropping-particle":"","parse-names":false,"suffix":""},{"dropping-particle":"","family":"Bermudo","given":"Franz Martin","non-dropping-particle":"","parse-names":false,"suffix":""},{"dropping-particle":"","family":"Mezzani","given":"Alessandro","non-dropping-particle":"","parse-names":false,"suffix":""},{"dropping-particle":"","family":"Niessner","given":"Alexander","non-dropping-particle":"","parse-names":false,"suffix":""},{"dropping-particle":"","family":"Ponikowski","given":"Piotr","non-dropping-particle":"","parse-names":false,"suffix":""},{"dropping-particle":"","family":"Rauch","given":"Bernhard","non-dropping-particle":"","parse-names":false,"suffix":""},{"dropping-particle":"","family":"Rydén","given":"Lars","non-dropping-particle":"","parse-names":false,"suffix":""},{"dropping-particle":"","family":"Stauder","given":"Adrienne","non-dropping-particle":"","parse-names":false,"suffix":""},{"dropping-particle":"","family":"Turc","given":"Guillaume","non-dropping-particle":"","parse-names":false,"suffix":""},{"dropping-particle":"","family":"Wiklund","given":"Olov","non-dropping-particle":"","parse-names":false,"suffix":""},{"dropping-particle":"","family":"Windecker","given":"Stephan","non-dropping-particle":"","parse-names":false,"suffix":""},{"dropping-particle":"","family":"Zamorano","given":"Jose Luis","non-dropping-particle":"","parse-names":false,"suffix":""},{"dropping-particle":"","family":"Zamorano","given":"Jose Luis","non-dropping-particle":"","parse-names":false,"suffix":""},{"dropping-particle":"","family":"Aboyans","given":"Victor","non-dropping-particle":"","parse-names":false,"suffix":""},{"dropping-particle":"","family":"Achenbach","given":"Stephan","non-dropping-particle":"","parse-names":false,"suffix":""},{"dropping-particle":"","family":"Agewall","given":"Stefan","non-dropping-particle":"","parse-names":false,"suffix":""},{"dropping-particle":"","family":"Badimon","given":"Lina","non-dropping-particle":"","parse-names":false,"suffix":""},{"dropping-particle":"","family":"Barón-Esquivias","given":"Gonzalo","non-dropping-particle":"","parse-names":false,"suffix":""},{"dropping-particle":"","family":"Baumgartner","given":"Helmut","non-dropping-particle":"","parse-names":false,"suffix":""},{"dropping-particle":"","family":"Bax","given":"Jeroen J","non-dropping-particle":"","parse-names":false,"suffix":""},{"dropping-particle":"","family":"Bueno","given":"Héctor","non-dropping-particle":"","parse-names":false,"suffix":""},{"dropping-particle":"","family":"Carerj","given":"Scipione","non-dropping-particle":"","parse-names":false,"suffix":""},{"dropping-particle":"","family":"Dean","given":"Veronica","non-dropping-particle":"","parse-names":false,"suffix":""},{"dropping-particle":"","family":"Erol","given":"Çetin","non-dropping-particle":"","parse-names":false,"suffix":""},{"dropping-particle":"","family":"Fitzsimons","given":"Donna","non-dropping-particle":"","parse-names":false,"suffix":""},{"dropping-particle":"","family":"Gaemperli","given":"Oliver","non-dropping-particle":"","parse-names":false,"suffix":""},{"dropping-particle":"","family":"Kirchhof","given":"Paulus","non-dropping-particle":"","parse-names":false,"suffix":""},{"dropping-particle":"","family":"Kolh","given":"Philippe","non-dropping-particle":"","parse-names":false,"suffix":""},{"dropping-particle":"","family":"Lancellotti","given":"Patrizio","non-dropping-particle":"","parse-names":false,"suffix":""},{"dropping-particle":"","family":"Lip","given":"Gregory YH","non-dropping-particle":"","parse-names":false,"suffix":""},{"dropping-particle":"","family":"Nihoyannopoulos","given":"Petros","non-dropping-particle":"","parse-names":false,"suffix":""},{"dropping-particle":"","family":"Piepoli","given":"Massimo F","non-dropping-particle":"","parse-names":false,"suffix":""},{"dropping-particle":"","family":"Ponikowski","given":"Piotr","non-dropping-particle":"","parse-names":false,"suffix":""},{"dropping-particle":"","family":"Roffi","given":"Marco","non-dropping-particle":"","parse-names":false,"suffix":""},{"dropping-particle":"","family":"Torbicki","given":"Adam","non-dropping-particle":"","parse-names":false,"suffix":""},{"dropping-particle":"","family":"Vaz Carneiro","given":"António","non-dropping-particle":"","parse-names":false,"suffix":""},{"dropping-particle":"","family":"Windecker","given":"Stephan","non-dropping-particle":"","parse-names":false,"suffix":""},{"dropping-particle":"","family":"Metzler","given":"Bernhard","non-dropping-particle":"","parse-names":false,"suffix":""},{"dropping-particle":"","family":"Najafov","given":"Ruslan","non-dropping-particle":"","parse-names":false,"suffix":""},{"dropping-particle":"","family":"Stelmashok","given":"Valeriy","non-dropping-particle":"","parse-names":false,"suffix":""},{"dropping-particle":"","family":"Maeyer","given":"Catherine","non-dropping-particle":"De","parse-names":false,"suffix":""},{"dropping-particle":"","family":"Dilic","given":"Mirza","non-dropping-particle":"","parse-names":false,"suffix":""},{"dropping-particle":"","family":"Gruev","given":"Ivan","non-dropping-particle":"","parse-names":false,"suffix":""},{"dropping-particle":"","family":"Milicic","given":"Davor","non-dropping-particle":"","parse-names":false,"suffix":""},{"dropping-particle":"","family":"Vaverkova","given":"Helena","non-dropping-particle":"","parse-names":false,"suffix":""},{"dropping-particle":"","family":"Gustafsson","given":"Ida","non-dropping-particle":"","parse-names":false,"suffix":""},{"dropping-particle":"","family":"Attia","given":"Ihab","non-dropping-particle":"","parse-names":false,"suffix":""},{"dropping-particle":"","family":"Duishvili","given":"Davit","non-dropping-particle":"","parse-names":false,"suffix":""},{"dropping-particle":"","family":"Kostova","given":"Nela","non-dropping-particle":"","parse-names":false,"suffix":""},{"dropping-particle":"","family":"Ferrières","given":"Jean","non-dropping-particle":"","parse-names":false,"suffix":""},{"dropping-particle":"","family":"Klimiashvili","given":"Zurab","non-dropping-particle":"","parse-names":false,"suffix":""},{"dropping-particle":"","family":"Hambrecht","given":"Rainer","non-dropping-particle":"","parse-names":false,"suffix":""},{"dropping-particle":"","family":"Tsioufis","given":"Konstantinos","non-dropping-particle":"","parse-names":false,"suffix":""},{"dropping-particle":"","family":"Szabados","given":"Eszter","non-dropping-particle":"","parse-names":false,"suffix":""},{"dropping-particle":"","family":"Andersen","given":"Karl","non-dropping-particle":"","parse-names":false,"suffix":""},{"dropping-particle":"","family":"Vaughan","given":"Carl","non-dropping-particle":"","parse-names":false,"suffix":""},{"dropping-particle":"","family":"Zafrir","given":"Barak","non-dropping-particle":"","parse-names":false,"suffix":""},{"dropping-particle":"","family":"Novo","given":"Salvatore","non-dropping-particle":"","parse-names":false,"suffix":""},{"dropping-particle":"","family":"Davletov","given":"Kairat","non-dropping-particle":"","parse-names":false,"suffix":""},{"dropping-particle":"","family":"Jashari","given":"Fisnik","non-dropping-particle":"","parse-names":false,"suffix":""},{"dropping-particle":"","family":"Kerimkulova","given":"Alina","non-dropping-particle":"","parse-names":false,"suffix":""},{"dropping-particle":"","family":"Mintale","given":"Iveta","non-dropping-particle":"","parse-names":false,"suffix":""},{"dropping-particle":"","family":"Saade","given":"Georges","non-dropping-particle":"","parse-names":false,"suffix":""},{"dropping-particle":"","family":"Petrulioniene","given":"Zaneta","non-dropping-particle":"","parse-names":false,"suffix":""},{"dropping-particle":"","family":"Delagardelle","given":"Charles","non-dropping-particle":"","parse-names":false,"suffix":""},{"dropping-particle":"","family":"Magri","given":"Caroline J","non-dropping-particle":"","parse-names":false,"suffix":""},{"dropping-particle":"","family":"Rudi","given":"Victor","non-dropping-particle":"","parse-names":false,"suffix":""},{"dropping-particle":"","family":"Oukerraj","given":"Latifa","non-dropping-particle":"","parse-names":false,"suffix":""},{"dropping-particle":"","family":"Çölkesen","given":"B Ersen","non-dropping-particle":"","parse-names":false,"suffix":""},{"dropping-particle":"","family":"Schirmer","given":"Henrik","non-dropping-particle":"","parse-names":false,"suffix":""},{"dropping-particle":"","family":"Jankowski","given":"Piotr","non-dropping-particle":"","parse-names":false,"suffix":""},{"dropping-particle":"","family":"Reis","given":"Roberto Palma","non-dropping-particle":"dos","parse-names":false,"suffix":""},{"dropping-particle":"","family":"Gherasim","given":"Daniel","non-dropping-particle":"","parse-names":false,"suffix":""},{"dropping-particle":"","family":"Nedogoda","given":"Sergey","non-dropping-particle":"","parse-names":false,"suffix":""},{"dropping-particle":"","family":"Zavatta","given":"Marco","non-dropping-particle":"","parse-names":false,"suffix":""},{"dropping-particle":"","family":"Giga","given":"Vojislav","non-dropping-particle":"","parse-names":false,"suffix":""},{"dropping-particle":"","family":"Filipova","given":"Slavomira","non-dropping-particle":"","parse-names":false,"suffix":""},{"dropping-particle":"","family":"Padial","given":"Luis Rodríguez","non-dropping-particle":"","parse-names":false,"suffix":""},{"dropping-particle":"","family":"Kiessling","given":"Anna","non-dropping-particle":"","parse-names":false,"suffix":""},{"dropping-particle":"","family":"Mach","given":"François","non-dropping-particle":"","parse-names":false,"suffix":""},{"dropping-particle":"","family":"Mahdhaoui","given":"Abdallah","non-dropping-particle":"","parse-names":false,"suffix":""},{"dropping-particle":"","family":"Ural","given":"Dilek","non-dropping-particle":"","parse-names":false,"suffix":""},{"dropping-particle":"","family":"Nesukay","given":"Elena","non-dropping-particle":"","parse-names":false,"suffix":""},{"dropping-particle":"","family":"Gale","given":"Chris","non-dropping-particle":"","parse-names":false,"suffix":""}],"container-title":"European Heart Journal","id":"ITEM-1","issue":"29","issued":{"date-parts":[["2016"]]},"page":"2315-2381","title":"2016 European Guidelines on cardiovascular disease prevention in clinical practice","type":"article-journal","volume":"37"},"uris":["http://www.mendeley.com/documents/?uuid=d46a3256-741a-3609-b372-b0b6feb3bdaa"]}],"mendeley":{"formattedCitation":"&lt;sup&gt;30&lt;/sup&gt;","plainTextFormattedCitation":"30","previouslyFormattedCitation":"&lt;sup&gt;30&lt;/sup&gt;"},"properties":{"noteIndex":0},"schema":"https://github.com/citation-style-language/schema/raw/master/csl-citation.json"}</w:instrText>
      </w:r>
      <w:r w:rsidR="00DD0ED2" w:rsidRPr="00077566">
        <w:fldChar w:fldCharType="separate"/>
      </w:r>
      <w:r w:rsidR="00DD0ED2" w:rsidRPr="00077566">
        <w:rPr>
          <w:noProof/>
          <w:vertAlign w:val="superscript"/>
        </w:rPr>
        <w:t>30</w:t>
      </w:r>
      <w:r w:rsidR="00DD0ED2" w:rsidRPr="00077566">
        <w:fldChar w:fldCharType="end"/>
      </w:r>
      <w:r w:rsidRPr="00077566">
        <w:t xml:space="preserve">. </w:t>
      </w:r>
      <w:r w:rsidR="003E52DE" w:rsidRPr="00077566">
        <w:t>Patients</w:t>
      </w:r>
      <w:r w:rsidR="003E52DE" w:rsidRPr="00DD0ED2">
        <w:t xml:space="preserve"> with type 1 diabetes commonly maintain or even increase HDL-c levels in comparison to the general population</w:t>
      </w:r>
      <w:r w:rsidR="003E52DE" w:rsidRPr="00DD0ED2">
        <w:fldChar w:fldCharType="begin" w:fldLock="1"/>
      </w:r>
      <w:r w:rsidR="00DD0ED2" w:rsidRPr="00DD0ED2">
        <w:instrText>ADDIN CSL_CITATION {"citationItems":[{"id":"ITEM-1","itemData":{"abstract":"Although the increased risk of premature heart disease in type 1 diabetes has been recognized for some time, the underlying pathogenesis is still poorly understood. The most likely factor, a priori, to account for this increased risk is hyperglycemia. However, despite recent evidence from the Diabetes Control and Complications Trial (DCCT)/Epidemiology of Diabetes Interventions and Complications (EDIC) study that prior intensive glycemic control reduces cardiovascular disease (CVD), the epidemiologic association between glycemia and coronary heart disease (CHD) is surprisingly weak. This paradox is a focus of the current review, which also evaluates other major determinants of coronary artery disease (CAD) in type 1 diabetes, including the roles of insulin resistance, cytokines, inflammatory biomarkers, and, briefly, genetic factors. Finally, the clinical implications of this information are discussed.\r\n\r\nA high occurrence of, and mortality from, CHD in type 1 diabetes has been documented since the late 1970s (1,2). A 1984 registry reported a 10-fold or greater CHD mortality compared with that expected from U.S. national data (3). This very high relative risk, partly reflecting the extremely low CHD death rate in the general young-adult population, was subsequently confirmed by Joslin investigators (4), who reported that those with type 1 diabetes by 55 years of age experienced a sixfold greater cumulative CHD mortality compared with the rate expected using Framingham Study data. The Wisconsin Epidemiologic Study of Diabetic Retinopathy (WESDR) also reported a standardized mortality ratio (SMR) from ischemic heart disease of 9.1 (for men) and 13.5 (for women) for those with a diabetes diagnosis before 30 years of age (5).\r\n\r\nTwo recent prospective epidemiologic studies, the Pittsburgh Epidemiology of Diabetes Complications (EDC) study (6) and Eurodiab (7), a multicenter, clinic-based study in Europe, confirmed these earlier reports and reported an incidence of total coronary events (including electrocardiogram [ECG] changes) …","author":[{"dropping-particle":"","family":"Orchard","given":"Trevor J","non-dropping-particle":"","parse-names":false,"suffix":""},{"dropping-particle":"","family":"Costacou","given":"Tina","non-dropping-particle":"","parse-names":false,"suffix":""},{"dropping-particle":"","family":"Kretowski","given":"Adam","non-dropping-particle":"","parse-names":false,"suffix":""},{"dropping-particle":"","family":"Nesto","given":"Richard W","non-dropping-particle":"","parse-names":false,"suffix":""},{"dropping-particle":"","family":"Forrest","given":"Kimberly Y-Z","non-dropping-particle":"","parse-names":false,"suffix":""},{"dropping-particle":"","family":"Smithline Kinder","given":"Leslie","non-dropping-particle":"","parse-names":false,"suffix":""},{"dropping-particle":"","family":"Ellis","given":"Demetrius","non-dropping-particle":"","parse-names":false,"suffix":""},{"dropping-particle":"","family":"Becker","given":"Dorothy J","non-dropping-particle":"","parse-names":false,"suffix":""}],"container-title":"Diabetes care","id":"ITEM-1","issue":"11","issued":{"date-parts":[["2006"]]},"page":"2528-38","title":"Type 1 diabetes and coronary artery disease.","type":"article-journal","volume":"29"},"uris":["http://www.mendeley.com/documents/?uuid=f6083043-bfee-36e0-b9b3-8f191ac4b03e"]},{"id":"ITEM-2","itemData":{"author":[{"dropping-particle":"","family":"Nikkilä","given":"E A","non-dropping-particle":"","parse-names":false,"suffix":""},{"dropping-particle":"","family":"Hormila","given":"P","non-dropping-particle":"","parse-names":false,"suffix":""}],"container-title":"Diabetes","id":"ITEM-2","issue":"11","issued":{"date-parts":[["1978"]]},"page":"1078-86","title":"Serum lipids and lipoproteins in insulin-treated diabetes. Demonstration of increased high density lipoprotein concentrations.","type":"article-journal","volume":"27"},"uris":["http://www.mendeley.com/documents/?uuid=e475f3ec-3f0e-3be7-bb4f-7e57beb0bc13"]},{"id":"ITEM-3","itemData":{"abstract":"Patients with type 1 diabetes have greatly increased phospholipid transfer protein (PLTP) activity and have an altered HDL subclass distribution. In 195 patients with type 1 diabetes and in 194 men and women aged 30-55 years, we examined the relationship of PLTP activity to HDL and examined whether PLTP activity contributes to differences in HDL found in type 1 diabetes. PLTP activity was measured using an exogenous substrate assay. Average HDL particle size and HDL subclasses were measured using nuclear magnetic resonance spectroscopy. Apolipoprotein AI (apoAI) and apoAII were measured by immunoturbidimetry. The amount of apoAI present in LpAI was measured using a differential electroimmunoassay, and the amount of apoAI in LpAIAII was inferred from the apoAI and LpAI data. Higher PLTP activity was associated with more large HDL (P &lt; 0.001) and less small HDL (P &lt; 0.01), more apoAI and apoAII (both at P &lt; 0.001), and more apoAI in both LpAI and LpAIAII (P = 0.02 and P &lt; 0.001, respectively). These associations were independent of other lipids and enzyme activities. Adjusting for PLTP activity halved the difference between subjects with and without diabetes in apoA1 (from 10.1 mg/dl higher in subjects with diabetes to 4.6 mg/dl higher) and large HDL (2.4 micro mol/l higher to 1.2 micro mol/l higher) and reduced the difference in HDL size (from 0.31 nm higher to 0.26 nm higher). PLTP activity was also positively associated with apoB, total VLDL and LDL particle number, and IDL level in subjects with diabetes. These data support the idea that PLTP is a major factor in HDL conversion and remodeling in humans and that higher PLTP activity makes an important contribution to the higher apoAI levels and altered HDL subclass distribution in type 1 diabetes. They also support a role for PLTP in the metabolism of apoB-containing lipoproteins.","author":[{"dropping-particle":"","family":"Colhoun","given":"Helen M","non-dropping-particle":"","parse-names":false,"suffix":""},{"dropping-particle":"","family":"Taskinen","given":"Marja-Riitta","non-dropping-particle":"","parse-names":false,"suffix":""},{"dropping-particle":"","family":"Otvos","given":"James D","non-dropping-particle":"","parse-names":false,"suffix":""},{"dropping-particle":"","family":"Berg","given":"Paul","non-dropping-particle":"Van Den","parse-names":false,"suffix":""},{"dropping-particle":"","family":"O'Connor","given":"John","non-dropping-particle":"","parse-names":false,"suffix":""},{"dropping-particle":"","family":"Tol","given":"Arie","non-dropping-particle":"Van","parse-names":false,"suffix":""}],"container-title":"Diabetes","id":"ITEM-3","issue":"11","issued":{"date-parts":[["2002"]]},"page":"3300-5","title":"Relationship of phospholipid transfer protein activity to HDL and apolipoprotein B-containing lipoproteins in subjects with and without type 1 diabetes.","type":"article-journal","volume":"51"},"uris":["http://www.mendeley.com/documents/?uuid=59999d8f-be18-3072-b12e-93327d786869"]},{"id":"ITEM-4","itemData":{"author":[{"dropping-particle":"","family":"Hayashibe","given":"H.","non-dropping-particle":"","parse-names":false,"suffix":""},{"dropping-particle":"","family":"Asayama","given":"K.","non-dropping-particle":"","parse-names":false,"suffix":""},{"dropping-particle":"","family":"Nakane","given":"T.","non-dropping-particle":"","parse-names":false,"suffix":""},{"dropping-particle":"","family":"Kobayashi","given":"K.","non-dropping-particle":"","parse-names":false,"suffix":""},{"dropping-particle":"","family":"Amemiya","given":"S.","non-dropping-particle":"","parse-names":false,"suffix":""},{"dropping-particle":"","family":"Nakazawa","given":"S.","non-dropping-particle":"","parse-names":false,"suffix":""}],"container-title":"Acta Paediatrica","id":"ITEM-4","issue":"10","issued":{"date-parts":[["1999"]]},"page":"1067-1070","title":"Decreased activity of plasma cholesteryl ester transfer protein in children and adolescents with insulin-dependent diabetes mellitus","type":"article-journal","volume":"88"},"uris":["http://www.mendeley.com/documents/?uuid=5b37b1d7-091e-3fe1-b594-46fc7043de92"]}],"mendeley":{"formattedCitation":"&lt;sup&gt;9–11,13&lt;/sup&gt;","plainTextFormattedCitation":"9–11,13","previouslyFormattedCitation":"&lt;sup&gt;9–11,13&lt;/sup&gt;"},"properties":{"noteIndex":0},"schema":"https://github.com/citation-style-language/schema/raw/master/csl-citation.json"}</w:instrText>
      </w:r>
      <w:r w:rsidR="003E52DE" w:rsidRPr="00DD0ED2">
        <w:fldChar w:fldCharType="separate"/>
      </w:r>
      <w:r w:rsidR="00DD0ED2" w:rsidRPr="00DD0ED2">
        <w:rPr>
          <w:noProof/>
          <w:vertAlign w:val="superscript"/>
        </w:rPr>
        <w:t>9–11,13</w:t>
      </w:r>
      <w:r w:rsidR="003E52DE" w:rsidRPr="00DD0ED2">
        <w:fldChar w:fldCharType="end"/>
      </w:r>
      <w:r w:rsidR="003E52DE" w:rsidRPr="00DD0ED2">
        <w:t xml:space="preserve">; findings which were confirmed in the current study. Whether these increases </w:t>
      </w:r>
      <w:r w:rsidR="005D5499">
        <w:t>are associated with</w:t>
      </w:r>
      <w:r w:rsidR="003E52DE" w:rsidRPr="00DD0ED2">
        <w:t xml:space="preserve"> cardio-protection in this clinical population, however, remains contentious. While a number of studies have shown inverse associations between HDL levels and the development of renal and vascular damage in adults with the disease</w:t>
      </w:r>
      <w:r w:rsidR="003E52DE" w:rsidRPr="00DD0ED2">
        <w:fldChar w:fldCharType="begin" w:fldLock="1"/>
      </w:r>
      <w:r w:rsidR="00DD0ED2" w:rsidRPr="00DD0ED2">
        <w:instrText>ADDIN CSL_CITATION {"citationItems":[{"id":"ITEM-1","itemData":{"abstract":"OBJECTIVE: To evaluate the frequency of normalization, the persistence of remission, and the impact on normalization of glycemic control and lipid profile, we analyzed data from a retrospective observational cohort study of type 1 diabetic children and adolescents with abnormal urinary albumin excretion (UAE).\\n\\nRESEARCH DESIGN AND METHODS: All diabetic children and adolescents (n = 41) who had persistent abnormal UAE in the period of 1984 to 2008 and followed up until 2009 (follow-up duration = 13.1 ± 6.2 years) were included in the study. Nine patients progressed to macroalbuminuria; 24 patients were administered ACE inhibitor treatment.\\n\\nRESULTS: The cumulative prevalence of abnormal UAE was 9%. During follow-up, 14 of 17 untreated and 19 of 24 treated patients reverted to normoalbuminuria. In the remission group compared with the nonremission group, A1C levels during follow-up decreased (7.5 ± 1.0 vs. 9.4 ± 1.2%, P &lt; 0.0001) and serum HDL cholesterol increased (52.7 ± 11.3 vs. 42.7 ± 8.6 mg/dL, P &lt; 0.05). The micro-macroalbuminuric patients had lower HDL cholesterol (51.0 ± 11.4 vs. 62.4 ± 13.6 mg/dL, P &lt; 0.0001) than 134 normoalbuminuric diabetic patients.\\n\\nCONCLUSIONS: Microalbuminuria and macroalbuminuria were not permanent in most of our diabetic children and adolescents. If abnormal UAE values are high and persist for &gt;1 year, only long-lasting treatment with ACE inhibitors seems able to induce persistent remission, especially when associated with good metabolic control and high HDL cholesterol levels.","author":[{"dropping-particle":"","family":"Salardi","given":"Silvana","non-dropping-particle":"","parse-names":false,"suffix":""},{"dropping-particle":"","family":"Balsamo","given":"Claudia","non-dropping-particle":"","parse-names":false,"suffix":""},{"dropping-particle":"","family":"Zucchini","given":"Stefano","non-dropping-particle":"","parse-names":false,"suffix":""},{"dropping-particle":"","family":"Maltoni","given":"Giulio","non-dropping-particle":"","parse-names":false,"suffix":""},{"dropping-particle":"","family":"Scipione","given":"Mirella","non-dropping-particle":"","parse-names":false,"suffix":""},{"dropping-particle":"","family":"Rollo","given":"Alessandra","non-dropping-particle":"","parse-names":false,"suffix":""},{"dropping-particle":"","family":"Gualandi","given":"Stefano","non-dropping-particle":"","parse-names":false,"suffix":""},{"dropping-particle":"","family":"Cicognani","given":"Alessandro","non-dropping-particle":"","parse-names":false,"suffix":""}],"container-title":"Diabetes care","id":"ITEM-1","issue":"2","issued":{"date-parts":[["2011"]]},"page":"424-9","title":"High rate of regression from micro-macroalbuminuria to normoalbuminuria in children and adolescents with type 1 diabetes treated or not with enalapril: the influence of HDL cholesterol.","type":"article-journal","volume":"34"},"uris":["http://www.mendeley.com/documents/?uuid=0be81f06-107c-48e2-8057-ecc9ee033f74"]},{"id":"ITEM-2","itemData":{"abstract":"OBJECTIVE: The objective of this study was to determine whether high levels of HDL cholesterol are associated with a lower prevalence of albuminuria RESEARCH DESIGN AND METHODS: We analyzed the lipid profiles of patients with type 1 diabetes of &gt; or = 20 years duration in 42 patients with albuminuria (28 microalbuminuria and 14 macroalbuminuria) and 65 patients without increased albumin excretion before any interventions with either statins or ACE inhibitors. RESULTS: Several characteristics were similar in the two groups: sex, age, duration of diabetes, total cholesterol, LDL cholesterol, and triglycerides. By univariate analysis, significant differences (P &lt; 0.01) were found in HDL cholesterol (albuminuria 1.42 mg/dl, no albuminuria 1.71 mg/dl, P &lt; 0.01), HbA1c (A1C) (albuminuria 8.5%, no albuminuria 7.5%), and proportions with no, background, and proliferative retinopathy (albuminuria 2.4, 16.7, and 81%; no albuminuria 24.6, 52.3, and 23.1%, respectively). When adjusted for age and sex, a 0.26-mmol/l (10-mg/dl) increase in HDL cholesterol is associated with an odds ratio (OR) of 0.70 (95% CI 0.54-0.90) for having albuminuria. In a multivariate model that adjusted for age, sex, diabetes duration, and A1C, for every 0.54-mmol/l (21-mg/dl) increase in HDL cholesterol, patients are approximately half (OR 0.51 [95% CI 0.30-0.86]) as likely to have albuminuria, even after controlling for A1C. CONCLUSIONS: Higher HDL cholesterol levels may be protective against the development of albuminuria in patients with type 1 diabetes. Whether this is due to the HDL cholesterol levels or whether they serve as a marker for some other mechanism remains to be determined.","author":[{"dropping-particle":"","family":"Molitch","given":"Mark E","non-dropping-particle":"","parse-names":false,"suffix":""},{"dropping-particle":"","family":"Rupp","given":"Demetra","non-dropping-particle":"","parse-names":false,"suffix":""},{"dropping-particle":"","family":"Carnethon","given":"Mercedes","non-dropping-particle":"","parse-names":false,"suffix":""}],"container-title":"Diabetes care","id":"ITEM-2","issue":"1","issued":{"date-parts":[["2006"]]},"page":"78-82","title":"Higher levels of HDL cholesterol are associated with a decreased likelihood of albuminuria in patients with long-standing type 1 diabetes.","type":"article-journal","volume":"29"},"uris":["http://www.mendeley.com/documents/?uuid=86fe5b9c-4208-42d1-adb7-7a513ac48972"]},{"id":"ITEM-3","itemData":{"abstract":"OBJECTIVE: The objective of this study was to determine whether high levels of HDL cholesterol are associated with a lower prevalence of albuminuria RESEARCH DESIGN AND METHODS: We analyzed the lipid profiles of patients with type 1 diabetes of &gt; or = 20 years duration in 42 patients with albuminuria (28 microalbuminuria and 14 macroalbuminuria) and 65 patients without increased albumin excretion before any interventions with either statins or ACE inhibitors. RESULTS: Several characteristics were similar in the two groups: sex, age, duration of diabetes, total cholesterol, LDL cholesterol, and triglycerides. By univariate analysis, significant differences (P &lt; 0.01) were found in HDL cholesterol (albuminuria 1.42 mg/dl, no albuminuria 1.71 mg/dl, P &lt; 0.01), HbA1c (A1C) (albuminuria 8.5%, no albuminuria 7.5%), and proportions with no, background, and proliferative retinopathy (albuminuria 2.4, 16.7, and 81%; no albuminuria 24.6, 52.3, and 23.1%, respectively). When adjusted for age and sex, a 0.26-mmol/l (10-mg/dl) increase in HDL cholesterol is associated with an odds ratio (OR) of 0.70 (95% CI 0.54-0.90) for having albuminuria. In a multivariate model that adjusted for age, sex, diabetes duration, and A1C, for every 0.54-mmol/l (21-mg/dl) increase in HDL cholesterol, patients are approximately half (OR 0.51 [95% CI 0.30-0.86]) as likely to have albuminuria, even after controlling for A1C. CONCLUSIONS: Higher HDL cholesterol levels may be protective against the development of albuminuria in patients with type 1 diabetes. Whether this is due to the HDL cholesterol levels or whether they serve as a marker for some other mechanism remains to be determined.","author":[{"dropping-particle":"","family":"Wierusz-Wysocka","given":"B.","non-dropping-particle":"","parse-names":false,"suffix":""},{"dropping-particle":"","family":"Zozulinska","given":"D. a.","non-dropping-particle":"","parse-names":false,"suffix":""},{"dropping-particle":"","family":"Araszkiewicz","given":"A.","non-dropping-particle":"","parse-names":false,"suffix":""},{"dropping-particle":"","family":"Pisarczyk-Wiza","given":"D.","non-dropping-particle":"","parse-names":false,"suffix":""}],"container-title":"Diabetes Care","id":"ITEM-3","issue":"5","issued":{"date-parts":[["2006"]]},"page":"1176-1177","title":"Higher Levels of HDL Cholesterol Are Associated With a Decreased Likelihood of Albuminuria in Patients With Long-Standing Type 1 Diabetes: Response to Molitch et al.","type":"article-journal","volume":"29"},"uris":["http://www.mendeley.com/documents/?uuid=5ab56d2b-199d-4dcc-ae08-b301ef384d5d"]}],"mendeley":{"formattedCitation":"&lt;sup&gt;31–33&lt;/sup&gt;","plainTextFormattedCitation":"31–33","previouslyFormattedCitation":"&lt;sup&gt;31–33&lt;/sup&gt;"},"properties":{"noteIndex":0},"schema":"https://github.com/citation-style-language/schema/raw/master/csl-citation.json"}</w:instrText>
      </w:r>
      <w:r w:rsidR="003E52DE" w:rsidRPr="00DD0ED2">
        <w:fldChar w:fldCharType="separate"/>
      </w:r>
      <w:r w:rsidR="00DD0ED2" w:rsidRPr="00DD0ED2">
        <w:rPr>
          <w:noProof/>
          <w:vertAlign w:val="superscript"/>
        </w:rPr>
        <w:t>31–33</w:t>
      </w:r>
      <w:r w:rsidR="003E52DE" w:rsidRPr="00DD0ED2">
        <w:fldChar w:fldCharType="end"/>
      </w:r>
      <w:r w:rsidR="003E52DE" w:rsidRPr="00DD0ED2">
        <w:t>, others have shown that very high levels of HDL may be associated with adverse – rather than positive – outcomes</w:t>
      </w:r>
      <w:r w:rsidR="003E52DE" w:rsidRPr="00DD0ED2">
        <w:fldChar w:fldCharType="begin" w:fldLock="1"/>
      </w:r>
      <w:r w:rsidR="00DD0ED2" w:rsidRPr="00DD0ED2">
        <w:instrText>ADDIN CSL_CITATION {"citationItems":[{"id":"ITEM-1","itemData":{"abstract":"Background: Recent data suggest that highly elevated high-density lipoprotein cholesterol (HDL-C) may not always protect against cardiovascular disease. To what degree this is true in type 1 diabetes is unknown, although cardiovascular risk is increased despite elevated mean HDL-C. Objective: To reassess the association between HDL-C and its subfractions with coronary artery disease (CAD) in childhood-onset type 1 diabetes. Methods: Epidemiology of Diabetes Complications study participants free of CAD at baseline (301 men, 298 women; mean age, 27.1 and diabetes duration, 18.9 years) were studied. CAD was defined as angina, ischemic electrocardiogram changes, confirmed myocardial infarction, angiographic stenosis ≥50%, revascularization, or CAD death. Cholesterol in the HDL fraction and HDL3 cholesterol subfraction was measured enzymatically after precipitation with heparin/manganese and dextran sulfate, respectively. Results: During 18 years of follow-up, 29.5% of men and 25.5% of women developed CAD. Although a linear decrease in incidence was observed with increasing HDL-C concentration in men, incidence increased in women at less than 47 mg/dL and greater than 80 mg/dL. These patterns largely reflected the HDL3 cholesterol-CAD association. After multivariable adjustment, the linear, inverse, HDL-C/CAD association persisted in men (hazard ratio [HR] 0.97, 95% confidence interval [CI] 0.94-0.99); in women, the U-shaped relationship lost significance. HDL3 cholesterol remained multivariably associated with CAD in both men (linear association, P =.03) and women (HR 2.31 (95% CI 1.31-4.08) and HR 1.80 (95% CI 1.01-3.23) for the lowest and highest versus the middle quintiles, respectively). Conclusion: The increased CAD risk in women for an HDL-C &gt;80 mg/dL in type 1 diabetes merits further study. Gender specificity could not be determined as only two men had HDL-C &gt;80 mg/dL. © 2011 National Lipid Association. All rights reserved.","author":[{"dropping-particle":"","family":"Costacou","given":"Tina","non-dropping-particle":"","parse-names":false,"suffix":""},{"dropping-particle":"","family":"Evans","given":"Rhobert W.","non-dropping-particle":"","parse-names":false,"suffix":""},{"dropping-particle":"","family":"Orchard","given":"Trevor J.","non-dropping-particle":"","parse-names":false,"suffix":""}],"container-title":"Journal of Clinical Lipidology","id":"ITEM-1","issue":"5","issued":{"date-parts":[["2011"]]},"page":"387-394","title":"High-density lipoprotein cholesterol in diabetes: Is higher always better?","type":"article-journal","volume":"5"},"uris":["http://www.mendeley.com/documents/?uuid=6208759d-ba1c-4dfb-9430-bd4202517c28"]}],"mendeley":{"formattedCitation":"&lt;sup&gt;34&lt;/sup&gt;","plainTextFormattedCitation":"34","previouslyFormattedCitation":"&lt;sup&gt;34&lt;/sup&gt;"},"properties":{"noteIndex":0},"schema":"https://github.com/citation-style-language/schema/raw/master/csl-citation.json"}</w:instrText>
      </w:r>
      <w:r w:rsidR="003E52DE" w:rsidRPr="00DD0ED2">
        <w:fldChar w:fldCharType="separate"/>
      </w:r>
      <w:r w:rsidR="00DD0ED2" w:rsidRPr="00DD0ED2">
        <w:rPr>
          <w:noProof/>
          <w:vertAlign w:val="superscript"/>
        </w:rPr>
        <w:t>34</w:t>
      </w:r>
      <w:r w:rsidR="003E52DE" w:rsidRPr="00DD0ED2">
        <w:fldChar w:fldCharType="end"/>
      </w:r>
      <w:r w:rsidR="003E52DE" w:rsidRPr="00DD0ED2">
        <w:t>. In addition, both animal and human studies have shown the presence of numerous detrimental changes in HDL composition and function in the presence of type 1 diabetes</w:t>
      </w:r>
      <w:r w:rsidR="003E52DE" w:rsidRPr="00DD0ED2">
        <w:fldChar w:fldCharType="begin" w:fldLock="1"/>
      </w:r>
      <w:r w:rsidR="00DD0ED2" w:rsidRPr="00DD0ED2">
        <w:instrText>ADDIN CSL_CITATION {"citationItems":[{"id":"ITEM-1","itemData":{"abstract":"Type 1 diabetes (T1D) is a chronic autoimmune disease characterized by absence of insulin secretion due to destruction of the pancreatic beta-cells. Patients with T1D exhibit an increased risk for cardiovascular disease (CVD) compared with non-diabetic subjects. It has been established that low concentration of high-density lipoprotein cholesterol (HDL-C), an independent risk marker of CVD, coincides with a reduced protective capacity against oxidative stress. However, conflicting results have been reported on the prevalence of low HDL-C levels in T1D. Interestingly, changes in composition and function of HDL particles (abnormal ratio of cholesteryl ester-to-triglyceride, reduction in the phospholipid content, reduced capacity to promote cholesterol efflux from macrophages, impaired anti-inflammatory and anti-oxidant activities) have been described in patients with T1D. Hence, exploring HDL function, even in the presence of normal HDL-C levels, might provide additional insight into the underlying pathophysiology associated with increased CV risk in T1D. In the current review, we will provide a detailed overview of the current evidence for a role of HDL function as independent risk factor for the development of CVD in T1D.","author":[{"dropping-particle":"","family":"Ganjali","given":"Shiva","non-dropping-particle":"","parse-names":false,"suffix":""},{"dropping-particle":"","family":"Dallinga-Thie","given":"Geesje M.","non-dropping-particle":"","parse-names":false,"suffix":""},{"dropping-particle":"","family":"Simental-Mendía","given":"Luis E.","non-dropping-particle":"","parse-names":false,"suffix":""},{"dropping-particle":"","family":"Banach","given":"Maciej","non-dropping-particle":"","parse-names":false,"suffix":""},{"dropping-particle":"","family":"Pirro","given":"Matteo","non-dropping-particle":"","parse-names":false,"suffix":""},{"dropping-particle":"","family":"Sahebkar","given":"Amirhossein","non-dropping-particle":"","parse-names":false,"suffix":""}],"container-title":"Atherosclerosis","id":"ITEM-1","issued":{"date-parts":[["2017"]]},"page":"99-109","title":"HDL functionality in type 1 diabetes","type":"article-journal","volume":"267"},"uris":["http://www.mendeley.com/documents/?uuid=6e4a549c-72cd-3e1d-884b-683c1d75b65c"]}],"mendeley":{"formattedCitation":"&lt;sup&gt;8&lt;/sup&gt;","plainTextFormattedCitation":"8","previouslyFormattedCitation":"&lt;sup&gt;8&lt;/sup&gt;"},"properties":{"noteIndex":0},"schema":"https://github.com/citation-style-language/schema/raw/master/csl-citation.json"}</w:instrText>
      </w:r>
      <w:r w:rsidR="003E52DE" w:rsidRPr="00DD0ED2">
        <w:fldChar w:fldCharType="separate"/>
      </w:r>
      <w:r w:rsidR="00DD0ED2" w:rsidRPr="00DD0ED2">
        <w:rPr>
          <w:noProof/>
          <w:vertAlign w:val="superscript"/>
        </w:rPr>
        <w:t>8</w:t>
      </w:r>
      <w:r w:rsidR="003E52DE" w:rsidRPr="00DD0ED2">
        <w:fldChar w:fldCharType="end"/>
      </w:r>
      <w:r w:rsidR="003E52DE" w:rsidRPr="00DD0ED2">
        <w:t>, with these changes – rather than serum concentration of HDL – predictive of future cardiovascular risk</w:t>
      </w:r>
      <w:r w:rsidR="003E52DE" w:rsidRPr="00DD0ED2">
        <w:fldChar w:fldCharType="begin" w:fldLock="1"/>
      </w:r>
      <w:r w:rsidR="00DD0ED2" w:rsidRPr="00DD0ED2">
        <w:instrText>ADDIN CSL_CITATION {"citationItems":[{"id":"ITEM-1","itemData":{"author":[{"dropping-particle":"","family":"Groop","given":"Per-Henrik","non-dropping-particle":"","parse-names":false,"suffix":""},{"dropping-particle":"","family":"Thomas","given":"Merlin C","non-dropping-particle":"","parse-names":false,"suffix":""},{"dropping-particle":"","family":"Rosengard-Barlund","given":"Milla","non-dropping-particle":"","parse-names":false,"suffix":""},{"dropping-particle":"","family":"Mills","given":"Vashti","non-dropping-particle":"","parse-names":false,"suffix":""},{"dropping-particle":"","family":"Ronnback","given":"Mats","non-dropping-particle":"","parse-names":false,"suffix":""},{"dropping-particle":"","family":"Thomas","given":"Stephen","non-dropping-particle":"","parse-names":false,"suffix":""},{"dropping-particle":"","family":"Forsblom","given":"Carol","non-dropping-particle":"","parse-names":false,"suffix":""},{"dropping-particle":"","family":"Taskinen","given":"Maria-Rita","non-dropping-particle":"","parse-names":false,"suffix":""},{"dropping-particle":"","family":"Viberti","given":"Giancarlo","non-dropping-particle":"","parse-names":false,"suffix":""}],"container-title":"Diabetes care","id":"ITEM-1","issue":"10","issued":{"date-parts":[["2007"]]},"page":"2706-2707","title":"HDL composition predicts new-onset cardiovascular disease in patients with type 1 diabetes.","type":"article-journal","volume":"30"},"uris":["http://www.mendeley.com/documents/?uuid=f2315a44-1393-4b19-9455-fce0e78c7154"]}],"mendeley":{"formattedCitation":"&lt;sup&gt;35&lt;/sup&gt;","plainTextFormattedCitation":"35","previouslyFormattedCitation":"&lt;sup&gt;35&lt;/sup&gt;"},"properties":{"noteIndex":0},"schema":"https://github.com/citation-style-language/schema/raw/master/csl-citation.json"}</w:instrText>
      </w:r>
      <w:r w:rsidR="003E52DE" w:rsidRPr="00DD0ED2">
        <w:fldChar w:fldCharType="separate"/>
      </w:r>
      <w:r w:rsidR="00DD0ED2" w:rsidRPr="00DD0ED2">
        <w:rPr>
          <w:noProof/>
          <w:vertAlign w:val="superscript"/>
        </w:rPr>
        <w:t>35</w:t>
      </w:r>
      <w:r w:rsidR="003E52DE" w:rsidRPr="00DD0ED2">
        <w:fldChar w:fldCharType="end"/>
      </w:r>
      <w:r w:rsidR="003E52DE" w:rsidRPr="00DD0ED2">
        <w:t>. Although studies in young people with the disease are limited, a number of recent studies have indicated that evidence of HDL dysfunction may be evident even at this early age, with changes such as reduced PON-1 activity</w:t>
      </w:r>
      <w:r w:rsidR="003E52DE" w:rsidRPr="00DD0ED2">
        <w:fldChar w:fldCharType="begin" w:fldLock="1"/>
      </w:r>
      <w:r w:rsidR="00DD0ED2" w:rsidRPr="00DD0ED2">
        <w:instrText>ADDIN CSL_CITATION {"citationItems":[{"id":"ITEM-1","itemData":{"abstract":"BACKGROUND Paraoxonase-1 is an HDL-associated esterase that acts as an anti-atherogenic agent by protecting LDL from oxidation. This study investigates paraoxonase-1 activities in children and adolescents with type 1 diabetes mellitus and possible associations with other biochemical markers. PATIENTS AND METHODS The study enrolled 82 children and adolescents with type 1 diabetes mellitus and 41 controls with similar age and gender distribution. Serum paraoxonase-1 arylesterase and salt-stimulated paraoxonase activities were assessed by measuring the rates of phenyl acetate and paraoxon hydrolysis, respectively; paraoxonase-1 lactonase activity and oxidized LDL were assessed by a pH-sensitive colorimetric assay and ELISA, respectively. Glycated haemoglobin HbA1c and lipid profile were assayed with an immunoturbidimetric method and commercially available kits, respectively. RESULTS We found lower paraoxonase-1 activities in diabetics when compared to controls. The decrease was statistically significant only for the lactonase activity, the difference being higher when referring to the subgroup with poor glycaemic control. The lactonase activity/HDL ratio was also lower in diabetics vs. controls, but without statistical significance. Both lactonase and arylesterase activities were negatively correlated with HbA1c in diabetics, but only the latter was statistically significant (ρ = -0.21, P = 0.055; ρ = -0.24, P = 0.03, respectively). A correlation coefficient of ρ = 0.196 (P = 0.078) was found between oxidized LDL and HbA1c. CONCLUSION All paraoxonase-1 activities were lower in diabetic children and adolescents, but only the decrease in the lactonase activity was statistically significant. Although lipid profile and glycaemic control were altered in diabetics, no differences were observed between groups regarding oxidized LDL level.","author":[{"dropping-particle":"","family":"Craciun","given":"Elena C.","non-dropping-particle":"","parse-names":false,"suffix":""},{"dropping-particle":"","family":"Leucuta","given":"Daniel C.","non-dropping-particle":"","parse-names":false,"suffix":""},{"dropping-particle":"","family":"Rusu","given":"Razvan L.","non-dropping-particle":"","parse-names":false,"suffix":""},{"dropping-particle":"","family":"David","given":"Bianca A.","non-dropping-particle":"","parse-names":false,"suffix":""},{"dropping-particle":"","family":"Cret","given":"Victoria","non-dropping-particle":"","parse-names":false,"suffix":""},{"dropping-particle":"","family":"Dronca","given":"Eleonora","non-dropping-particle":"","parse-names":false,"suffix":""}],"container-title":"Acta Biochimica Polonica","id":"ITEM-1","issue":"3","issued":{"date-parts":[["2016"]]},"page":"511-515","title":"Paraoxonase-1 activities in children and adolescents with type 1 diabetes mellitus","type":"article-journal","volume":"63"},"uris":["http://www.mendeley.com/documents/?uuid=2e726d54-c896-384a-a215-b245459eb75a"]}],"mendeley":{"formattedCitation":"&lt;sup&gt;36&lt;/sup&gt;","plainTextFormattedCitation":"36","previouslyFormattedCitation":"&lt;sup&gt;36&lt;/sup&gt;"},"properties":{"noteIndex":0},"schema":"https://github.com/citation-style-language/schema/raw/master/csl-citation.json"}</w:instrText>
      </w:r>
      <w:r w:rsidR="003E52DE" w:rsidRPr="00DD0ED2">
        <w:fldChar w:fldCharType="separate"/>
      </w:r>
      <w:r w:rsidR="00DD0ED2" w:rsidRPr="00DD0ED2">
        <w:rPr>
          <w:noProof/>
          <w:vertAlign w:val="superscript"/>
        </w:rPr>
        <w:t>36</w:t>
      </w:r>
      <w:r w:rsidR="003E52DE" w:rsidRPr="00DD0ED2">
        <w:fldChar w:fldCharType="end"/>
      </w:r>
      <w:r w:rsidR="003E52DE" w:rsidRPr="00DD0ED2">
        <w:t>, increased lipoprotein-associated phospholipase A2</w:t>
      </w:r>
      <w:r w:rsidR="003E52DE" w:rsidRPr="00DD0ED2">
        <w:fldChar w:fldCharType="begin" w:fldLock="1"/>
      </w:r>
      <w:r w:rsidR="00DD0ED2" w:rsidRPr="00DD0ED2">
        <w:instrText>ADDIN CSL_CITATION {"citationItems":[{"id":"ITEM-1","itemData":{"abstract":"BACKGROUND Oxidized low density lipoprotein (oxLDL), anti-oxLDL antibodies (oxLDL Ab) and lipoprotein-associated phospholipase A2 (Lp-PLA2) are the sequel of lipoprotein oxidation and were not studied contemporarily in obese adolescents with and without type 1 diabetes (T1DM). SUBJECTS AND METHODS The current study enrolled seventy-five adolescents with T1DM who were selected as having hyperglycemia and seventy-five matched control subjects. Both the diabetic and the control groups were further divided into obese, normal weight and underweight subgroups according to body mass index (BMI). The following tests were performed: fasting plasma glucose (FG) glycated hemoglobin (HbA1c), insulin, apolipoprotein AI (apo AI), apolipoprotein B (apo B), oxLDL, oxLDL Ab and Lp-PLA2 mass. The diabetic subgroups were selected as having hyperglycemia. RESULTS Obese diabetic subgroup had higher insulin level and HOMA value than underweight and normal weight diabetic subgroups. oxLDL, oxLDL Ab and Lp-PLA2 showed higher concentrations in patients with T1DM than in control subjects (118.48±23.7, 1231.8±940 and 401.26±97.2vs. 58.1±17.9, 424.9±290.0 and 315.7±70; p&lt;0.001).. In patients with T1DM, direct correlations were found between oxLDL, oxLDL Ab and Lp-PLA2 and cardiometabolic markers represented by apo B/apo AI ratio, FG and BMI. CONCLUSION The current data provide evidence that oxLDL, its retroactive enzyme and antibody are present in circulation early in childhood when primed by obesity and hyperglycemia in T1DM and suggests that they could be useful markers for cardiovascular diseases (CVD).","author":[{"dropping-particle":"","family":"Omar","given":"Nesreen N.","non-dropping-particle":"","parse-names":false,"suffix":""},{"dropping-particle":"","family":"Hefnawy","given":"Mohamed H.","non-dropping-particle":"EL","parse-names":false,"suffix":""},{"dropping-particle":"","family":"Soda","given":"Mohamed F.","non-dropping-particle":"EL","parse-names":false,"suffix":""},{"dropping-particle":"","family":"Heider","given":"Nermin M.","non-dropping-particle":"","parse-names":false,"suffix":""},{"dropping-particle":"","family":"Hamed","given":"Heba I.","non-dropping-particle":"","parse-names":false,"suffix":""}],"container-title":"Bulletin of Faculty of Pharmacy, Cairo University","id":"ITEM-1","issue":"2","issued":{"date-parts":[["2017"]]},"page":"325-331","title":"Assessment of oxLDL, anti-oxLDL antibodies and lipoprotein-associated phospholipase A2 as cardiovascular risk markers in obese adolescents with and without T1DM","type":"article-journal","volume":"55"},"uris":["http://www.mendeley.com/documents/?uuid=32632f77-cba5-3e69-937f-11fe01ce5264"]}],"mendeley":{"formattedCitation":"&lt;sup&gt;37&lt;/sup&gt;","plainTextFormattedCitation":"37","previouslyFormattedCitation":"&lt;sup&gt;37&lt;/sup&gt;"},"properties":{"noteIndex":0},"schema":"https://github.com/citation-style-language/schema/raw/master/csl-citation.json"}</w:instrText>
      </w:r>
      <w:r w:rsidR="003E52DE" w:rsidRPr="00DD0ED2">
        <w:fldChar w:fldCharType="separate"/>
      </w:r>
      <w:r w:rsidR="00DD0ED2" w:rsidRPr="00DD0ED2">
        <w:rPr>
          <w:noProof/>
          <w:vertAlign w:val="superscript"/>
        </w:rPr>
        <w:t>37</w:t>
      </w:r>
      <w:r w:rsidR="003E52DE" w:rsidRPr="00DD0ED2">
        <w:fldChar w:fldCharType="end"/>
      </w:r>
      <w:r w:rsidR="003E52DE" w:rsidRPr="00DD0ED2">
        <w:t>, and reduced reverse cholesterol transport</w:t>
      </w:r>
      <w:r w:rsidR="003E52DE" w:rsidRPr="00DD0ED2">
        <w:fldChar w:fldCharType="begin" w:fldLock="1"/>
      </w:r>
      <w:r w:rsidR="00DD0ED2" w:rsidRPr="00DD0ED2">
        <w:instrText>ADDIN CSL_CITATION {"citationItems":[{"id":"ITEM-1","itemData":{"abstract":"Patients with type 1 diabetes (T1D) are at increased risk of cardiovascular disease (CVD). Measures of high-density lipoprotein (HDL) function provide a better risk estimate for future CVD events than serum levels of HDL cholesterol. The objective of this study was to evaluate HDL function in T1D patients shortly after disease onset compared with healthy control subjects. Participants in the atherosclerosis and childhood diabetes study were examined at baseline and after 5 years. At baseline, the cohort included 293 T1D patients with a mean age of 13.7 years and mean HbA1c of 8.4%, along with 111 healthy control subjects. Their HDL function, quantified by HDL-apoA-I exchange (HAE), was assessed at both time points. HAE is a measure of HDL’s dynamic property, specifically its ability to release lipid-poor apolipoprotein A-I (apoA-I), an essential step in reverse cholesterol transport. The HAE-apoA-I ratio, reflecting the HDL function per concentration unit apoA-I, was significantly lower in the diabetes group both at baseline, 0.33 (SD = 0.06) versus 0.36 (SD = 0.06) %HAE/mg/dL, p &lt; 0.001 and at follow-up, 0.34 (SD = 0.06) versus 0.36 (SD = 0.06) %HAE/mg/dL, p = 0.003. HAE-apoA-I ratio was significantly and inversely correlated with HbA1c in the diabetes group. Over the 5 years of the study, the mean HAE-apoA-I ratio remained consistent in both groups. Individual changes were less than 15% for half of the study participants. This study shows reduced HDL function, quantified as HAE-apoA-I ratio, in children and young adults with T1D compared with healthy control subjects. The differences in HDL function appeared shortly after disease onset and persisted over time.","author":[{"dropping-particle":"","family":"Heier","given":"Martin","non-dropping-particle":"","parse-names":false,"suffix":""},{"dropping-particle":"","family":"Borja","given":"Mark S.","non-dropping-particle":"","parse-names":false,"suffix":""},{"dropping-particle":"","family":"Brunborg","given":"Cathrine","non-dropping-particle":"","parse-names":false,"suffix":""},{"dropping-particle":"","family":"Seljeflot","given":"Ingebjørg","non-dropping-particle":"","parse-names":false,"suffix":""},{"dropping-particle":"","family":"Margeirsdottir","given":"Hanna Dis","non-dropping-particle":"","parse-names":false,"suffix":""},{"dropping-particle":"","family":"Hanssen","given":"Kristian F.","non-dropping-particle":"","parse-names":false,"suffix":""},{"dropping-particle":"","family":"Dahl-Jørgensen","given":"Knut","non-dropping-particle":"","parse-names":false,"suffix":""},{"dropping-particle":"","family":"Oda","given":"Michael N.","non-dropping-particle":"","parse-names":false,"suffix":""}],"container-title":"Cardiovascular Diabetology","id":"ITEM-1","issue":"1","issued":{"date-parts":[["2017"]]},"page":"85","title":"Reduced HDL function in children and young adults with type 1 diabetes","type":"article-journal","volume":"16"},"uris":["http://www.mendeley.com/documents/?uuid=174ddaa6-e53d-315c-b7bc-61b37000ee72"]}],"mendeley":{"formattedCitation":"&lt;sup&gt;38&lt;/sup&gt;","plainTextFormattedCitation":"38","previouslyFormattedCitation":"&lt;sup&gt;38&lt;/sup&gt;"},"properties":{"noteIndex":0},"schema":"https://github.com/citation-style-language/schema/raw/master/csl-citation.json"}</w:instrText>
      </w:r>
      <w:r w:rsidR="003E52DE" w:rsidRPr="00DD0ED2">
        <w:fldChar w:fldCharType="separate"/>
      </w:r>
      <w:r w:rsidR="00DD0ED2" w:rsidRPr="00DD0ED2">
        <w:rPr>
          <w:noProof/>
          <w:vertAlign w:val="superscript"/>
        </w:rPr>
        <w:t>38</w:t>
      </w:r>
      <w:r w:rsidR="003E52DE" w:rsidRPr="00DD0ED2">
        <w:fldChar w:fldCharType="end"/>
      </w:r>
      <w:r w:rsidR="003E52DE" w:rsidRPr="00DD0ED2">
        <w:t xml:space="preserve"> reported. </w:t>
      </w:r>
    </w:p>
    <w:p w:rsidR="003E52DE" w:rsidRPr="00DD0ED2" w:rsidRDefault="003E52DE" w:rsidP="003E52DE">
      <w:pPr>
        <w:jc w:val="both"/>
      </w:pPr>
      <w:r w:rsidRPr="00DD0ED2">
        <w:t>In the current study, we chose to examine changes in a number of endothelial-protective functions of HDL – namely HDL-mediated endothelial NO bioavailability, SO production, and activity of the anti-oxidant enzyme PON-1. The reasons for selecting these functional changes are three-fold. Firstly, these changes have previously been shown to be related to endothelial dysfunction in patients with type 2 diabetes</w:t>
      </w:r>
      <w:r w:rsidRPr="00DD0ED2">
        <w:fldChar w:fldCharType="begin" w:fldLock="1"/>
      </w:r>
      <w:r w:rsidR="00DD0ED2" w:rsidRPr="00DD0ED2">
        <w:instrText>ADDIN CSL_CITATION {"citationItems":[{"id":"ITEM-1","itemData":{"abstract":"BACKGROUND: High-density lipoprotein (HDL)-raising therapies are currently under intense evaluation, but the effects of HDL may be highly heterogeneous. We therefore compared the endothelial effects of HDL from healthy subjects and from patients with type 2 diabetes mellitus and low HDL (meeting the criteria for metabolic syndrome), who are frequently considered for HDL-raising therapies. Moreover, in diabetic patients, we examined the impact of extended-release (ER) niacin therapy on the endothelial effects of HDL. METHODS AND RESULTS: HDL was isolated from healthy subjects (n=10) and patients with type 2 diabetes (n=33) by sequential ultracentrifugation. Effects of HDL on endothelial nitric oxide and superoxide production were characterized by electron spin resonance spectroscopy analysis. Effects of HDL on endothelium-dependent vasodilation and early endothelial progenitor cell-mediated endothelial repair were examined. Patients with diabetes were randomized to a 3-month therapy with ER niacin (1500 mg/d) or placebo, and endothelial effects of HDL were characterized. HDL from healthy subjects stimulated endothelial nitric oxide production, reduced endothelial oxidant stress, and improved endothelium-dependent vasodilation and early endothelial progenitor cell-mediated endothelial repair. In contrast, these beneficial endothelial effects of HDL were not observed in HDL from diabetic patients, which suggests markedly impaired endothelial-protective properties of HDL. ER niacin therapy improved the capacity of HDL to stimulate endothelial nitric oxide, to reduce superoxide production, and to promote endothelial progenitor cell-mediated endothelial repair. Further measurements suggested increased lipid oxidation of HDL in diabetic patients, and a reduction after ER niacin therapy. CONCLUSIONS: HDL from patients with type 2 diabetes mellitus and metabolic syndrome has substantially impaired endothelial-protective effects compared with HDL from healthy subjects. ER niacin therapy not only increases HDL plasma levels but markedly improves endothelial-protective functions of HDL in these patients, which is potentially more important. CLINICAL TRIAL REGISTRATION: clinicaltrials.gov. Identifier: NCT00346970.","author":[{"dropping-particle":"","family":"Sorrentino","given":"Sajoscha A","non-dropping-particle":"","parse-names":false,"suffix":""},{"dropping-particle":"","family":"Besler","given":"Christian","non-dropping-particle":"","parse-names":false,"suffix":""},{"dropping-particle":"","family":"Rohrer","given":"Lucia","non-dropping-particle":"","parse-names":false,"suffix":""},{"dropping-particle":"","family":"Meyer","given":"Martin","non-dropping-particle":"","parse-names":false,"suffix":""},{"dropping-particle":"","family":"Heinrich","given":"Kathrin","non-dropping-particle":"","parse-names":false,"suffix":""},{"dropping-particle":"","family":"Bahlmann","given":"Ferdinand H","non-dropping-particle":"","parse-names":false,"suffix":""},{"dropping-particle":"","family":"Mueller","given":"Maja","non-dropping-particle":"","parse-names":false,"suffix":""},{"dropping-particle":"","family":"Horváth","given":"Tibor","non-dropping-particle":"","parse-names":false,"suffix":""},{"dropping-particle":"","family":"Doerries","given":"Carola","non-dropping-particle":"","parse-names":false,"suffix":""},{"dropping-particle":"","family":"Heinemann","given":"Mariko","non-dropping-particle":"","parse-names":false,"suffix":""},{"dropping-particle":"","family":"Flemmer","given":"Stella","non-dropping-particle":"","parse-names":false,"suffix":""},{"dropping-particle":"","family":"Markowski","given":"Andrea","non-dropping-particle":"","parse-names":false,"suffix":""},{"dropping-particle":"","family":"Manes","given":"Costantina","non-dropping-particle":"","parse-names":false,"suffix":""},{"dropping-particle":"","family":"Bahr","given":"Matthias J","non-dropping-particle":"","parse-names":false,"suffix":""},{"dropping-particle":"","family":"Haller","given":"Hermann","non-dropping-particle":"","parse-names":false,"suffix":""},{"dropping-particle":"","family":"Eckardstein","given":"Arnold","non-dropping-particle":"von","parse-names":false,"suffix":""},{"dropping-particle":"","family":"Drexler","given":"Helmut","non-dropping-particle":"","parse-names":false,"suffix":""},{"dropping-particle":"","family":"Landmesser","given":"Ulf","non-dropping-particle":"","parse-names":false,"suffix":""}],"container-title":"Circulation","id":"ITEM-1","issue":"1","issued":{"date-parts":[["2010"]]},"page":"110-22","title":"Endothelial-vasoprotective effects of high-density lipoprotein are impaired in patients with type 2 diabetes mellitus but are improved after extended-release niacin therapy.","type":"article-journal","volume":"121"},"uris":["http://www.mendeley.com/documents/?uuid=33c97819-80e9-4ca2-a727-feeed4ebb5ce"]}],"mendeley":{"formattedCitation":"&lt;sup&gt;16&lt;/sup&gt;","plainTextFormattedCitation":"16","previouslyFormattedCitation":"&lt;sup&gt;16&lt;/sup&gt;"},"properties":{"noteIndex":0},"schema":"https://github.com/citation-style-language/schema/raw/master/csl-citation.json"}</w:instrText>
      </w:r>
      <w:r w:rsidRPr="00DD0ED2">
        <w:fldChar w:fldCharType="separate"/>
      </w:r>
      <w:r w:rsidR="00DD0ED2" w:rsidRPr="00DD0ED2">
        <w:rPr>
          <w:noProof/>
          <w:vertAlign w:val="superscript"/>
        </w:rPr>
        <w:t>16</w:t>
      </w:r>
      <w:r w:rsidRPr="00DD0ED2">
        <w:fldChar w:fldCharType="end"/>
      </w:r>
      <w:r w:rsidRPr="00DD0ED2">
        <w:t>. Secondly, endothelial dysfunction is one of the earliest signs of subclinical vascular damage detectable in the young, and has repeatedly been shown to be present in children and adolescents with type 1 diabetes</w:t>
      </w:r>
      <w:r w:rsidRPr="00DD0ED2">
        <w:fldChar w:fldCharType="begin" w:fldLock="1"/>
      </w:r>
      <w:r w:rsidR="00DD0ED2" w:rsidRPr="00DD0ED2">
        <w:instrText>ADDIN CSL_CITATION {"citationItems":[{"id":"ITEM-1","itemData":{"author":[{"dropping-particle":"","family":"Babar","given":"Ghufran S.","non-dropping-particle":"","parse-names":false,"suffix":""},{"dropping-particle":"","family":"Zidan","given":"Hanaa","non-dropping-particle":"","parse-names":false,"suffix":""},{"dropping-particle":"","family":"Widlansky","given":"Michael E.","non-dropping-particle":"","parse-names":false,"suffix":""},{"dropping-particle":"","family":"Das","given":"Emon","non-dropping-particle":"","parse-names":false,"suffix":""},{"dropping-particle":"","family":"Hoffmann","given":"Raymond G.","non-dropping-particle":"","parse-names":false,"suffix":""},{"dropping-particle":"","family":"Daoud","given":"Marwan","non-dropping-particle":"","parse-names":false,"suffix":""},{"dropping-particle":"","family":"Alemzadeh","given":"Ramin","non-dropping-particle":"","parse-names":false,"suffix":""}],"container-title":"Diabetes Care","id":"ITEM-1","issue":"3","issued":{"date-parts":[["2011"]]},"page":"681-685","title":"Impaired Endothelial Function in Preadolescent Children With Type 1 Diabetes","type":"article-journal","volume":"34"},"uris":["http://www.mendeley.com/documents/?uuid=4894507d-8b48-3659-8666-9a474ff5a2ea"]},{"id":"ITEM-2","itemData":{"abstract":"OBJECTIVES Endothelial dysfunction is a known precursor of atherosclerosis and can be assessed by measuring the brachial artery flow-mediated dilatation (FMD) via ultrasonography. This study investigated endothelial function in young type 1 diabetics without cardiovascular morbidity or diabetes-related pathology. METHODS Young diabetics and healthy controls were recruited, both meeting strict inclusion and exclusion criteria. To prove absence of subclinical atherosclerosis, intima-media thickness (IMT) measurements at the carotid bifurcation were done in all of them. FMD was measured at the brachial artery. The results were compared using the t-test and the influences of different variables on FMD were assessed using multiple linear regression. RESULTS Twenty-six diabetics (23.4±5.8 years) and 36 healthy volunteers (23.1±2.8 years) were recruited. The duration of diabetes was 9.2±5.3 years; metabolic control was moderate (HbA1c 7.6±1.0%) and IMT was normal in both groups. FMD was significantly impaired in type 1 diabetics (7.13±0.43 vs. 8.77±0.43%; p=0.002). The FMD grade was associated with diabetes and age. Patients with a good metabolic control (HbA1c≤7.0%) had a better FMD. CONCLUSIONS In type 1 diabetics, even without preclinical or clinical atherosclerosis, endothelial function is already disturbed and can be detected using ultrasonography.","author":[{"dropping-particle":"","family":"Hurks","given":"R.","non-dropping-particle":"","parse-names":false,"suffix":""},{"dropping-particle":"","family":"Eisinger","given":"M.J.","non-dropping-particle":"","parse-names":false,"suffix":""},{"dropping-particle":"","family":"Goovaerts","given":"I.","non-dropping-particle":"","parse-names":false,"suffix":""},{"dropping-particle":"","family":"Gaal","given":"L.","non-dropping-particle":"van","parse-names":false,"suffix":""},{"dropping-particle":"","family":"Vrints","given":"C.","non-dropping-particle":"","parse-names":false,"suffix":""},{"dropping-particle":"","family":"Weyler","given":"J.","non-dropping-particle":"","parse-names":false,"suffix":""},{"dropping-particle":"","family":"Hendriks","given":"J.","non-dropping-particle":"","parse-names":false,"suffix":""},{"dropping-particle":"","family":"Schil","given":"P.","non-dropping-particle":"van","parse-names":false,"suffix":""},{"dropping-particle":"","family":"Lauwers","given":"P.","non-dropping-particle":"","parse-names":false,"suffix":""}],"container-title":"European Journal of Vascular and Endovascular Surgery","id":"ITEM-2","issue":"5","issued":{"date-parts":[["2009"]]},"page":"611-615","title":"Early Endothelial Dysfunction in Young Type 1 Diabetics","type":"article-journal","volume":"37"},"uris":["http://www.mendeley.com/documents/?uuid=36f7a3fc-f265-3524-b6d0-7c332bad1d24"]},{"id":"ITEM-3","itemData":{"author":[{"dropping-particle":"","family":"Maftei","given":"Oana","non-dropping-particle":"","parse-names":false,"suffix":""},{"dropping-particle":"","family":"Pena","given":"Alexia S.","non-dropping-particle":"","parse-names":false,"suffix":""},{"dropping-particle":"","family":"Sullivan","given":"Thomas","non-dropping-particle":"","parse-names":false,"suffix":""},{"dropping-particle":"","family":"Jones","given":"Timothy W.","non-dropping-particle":"","parse-names":false,"suffix":""},{"dropping-particle":"","family":"Donaghue","given":"Kim C.","non-dropping-particle":"","parse-names":false,"suffix":""},{"dropping-particle":"","family":"Cameron","given":"Fergus J.","non-dropping-particle":"","parse-names":false,"suffix":""},{"dropping-particle":"","family":"Davis","given":"Elizabeth","non-dropping-particle":"","parse-names":false,"suffix":""},{"dropping-particle":"","family":"Cotterill","given":"Andrew","non-dropping-particle":"","parse-names":false,"suffix":""},{"dropping-particle":"","family":"Craig","given":"Maria E.","non-dropping-particle":"","parse-names":false,"suffix":""},{"dropping-particle":"","family":"Gent","given":"Roger","non-dropping-particle":"","parse-names":false,"suffix":""},{"dropping-particle":"","family":"Dalton","given":"Neil","non-dropping-particle":"","parse-names":false,"suffix":""},{"dropping-particle":"","family":"Daneman","given":"Denis","non-dropping-particle":"","parse-names":false,"suffix":""},{"dropping-particle":"","family":"Dunger","given":"David","non-dropping-particle":"","parse-names":false,"suffix":""},{"dropping-particle":"","family":"Deanfield","given":"John","non-dropping-particle":"","parse-names":false,"suffix":""},{"dropping-particle":"","family":"Couper","given":"Jenny J.","non-dropping-particle":"","parse-names":false,"suffix":""}],"container-title":"Diabetes Care","id":"ITEM-3","issue":"11","issued":{"date-parts":[["2014"]]},"page":"3069-3075","title":"Early Atherosclerosis Relates to Urinary Albumin Excretion and Cardiovascular Risk Factors in Adolescents With Type 1 Diabetes: Adolescent Type 1 Diabetes cardio-renal Intervention Trial (AdDIT)","type":"article-journal","volume":"37"},"uris":["http://www.mendeley.com/documents/?uuid=c1c50156-99bc-303d-bf81-5c85451ada20"]}],"mendeley":{"formattedCitation":"&lt;sup&gt;4,6,39&lt;/sup&gt;","plainTextFormattedCitation":"4,6,39","previouslyFormattedCitation":"&lt;sup&gt;4,6,39&lt;/sup&gt;"},"properties":{"noteIndex":0},"schema":"https://github.com/citation-style-language/schema/raw/master/csl-citation.json"}</w:instrText>
      </w:r>
      <w:r w:rsidRPr="00DD0ED2">
        <w:fldChar w:fldCharType="separate"/>
      </w:r>
      <w:r w:rsidR="00DD0ED2" w:rsidRPr="00DD0ED2">
        <w:rPr>
          <w:noProof/>
          <w:vertAlign w:val="superscript"/>
        </w:rPr>
        <w:t>4,6,39</w:t>
      </w:r>
      <w:r w:rsidRPr="00DD0ED2">
        <w:fldChar w:fldCharType="end"/>
      </w:r>
      <w:r w:rsidRPr="00DD0ED2">
        <w:t>. Lastly, previous work from our group has shown that systemic inflammation and renal dysfunction – both of which we have also previously shown to be present in adolescent cohorts</w:t>
      </w:r>
      <w:r w:rsidRPr="00DD0ED2">
        <w:fldChar w:fldCharType="begin" w:fldLock="1"/>
      </w:r>
      <w:r w:rsidR="00DD0ED2" w:rsidRPr="00DD0ED2">
        <w:instrText>ADDIN CSL_CITATION {"citationItems":[{"id":"ITEM-1","itemData":{"DOI":"10.2337/dc13-1634","ISBN":"1935-5548 (Electronic)\\r0149-5992 (Linking)","ISSN":"01495992","PMID":"24198300","abstract":"OBJECTIVE: We assessed the association between early increases in albumin excretion and cardiovascular (CV) and renal markers in a large cohort of young people with type 1 diabetes.\\n\\nRESEARCH DESIGN AND METHODS: As part of preliminary screening for a multicenter, randomized controlled trial of statins/ACE inhibitors, we measured albumin-creatinine ratio (ACR) in six early morning urine samples from 3,353 adolescents (10-16 years of age) and calculated tertiles based on an established algorithm. From those subjects deemed to be at higher risk (upper ACR tertile), we recruited 400 into the intervention study (trial cohort). From those subjects deemed to be at lower risk (middle-lower ACR tertiles), we recruited 329 to the observation cohort. At baseline, vascular measurements (carotid intima-media thickness, pulse wave velocity [PWV], flow-mediated dilatation, digital pulse amplitude tonometry), renal markers (symmetric dimethylarginine, cystatin C, creatinine), and CV disease markers (lipids and apolipoproteins [Apo] A-1 and B, C-reactive protein, asymmetric dimethylarginine) were assessed.\\n\\nRESULTS: Age- and sex-adjusted PWV was higher in the trial than in the observational cohort (5.00 ± 0.84 vs. 4.86 ± 0.70 m/s; P = 0.021). Similarly, non-HDL cholesterol (2.95 ± 0.83 vs. 2.81 ± 0.78 mmol/L; P = 0.02) and ApoB-ApoA-1 ratio (0.50 ± 0.14 vs. 0.47 ± 0.11; P = 0.04) were higher in the trial cohort. Cystatin C and creatinine were decreased (0.88 ± 0.13 vs. 0.90 ± 0.13 mg/L, P = 0.04; 51.81 ± 10.45 vs. 55.35 ± 11.05 μmol/L, P &lt; 0.001; respectively) and estimated glomerular filtration rate (137.05 ± 23.89 vs. 129.31 ± 22.41 mL/min/1.73 m(2); P &lt; 0.001) increased in the trial compared with the observational cohort.\\n\\nCONCLUSIONS: Our data demonstrate that in adolescents with type 1 diabetes, the group with the highest tertile of albumin excretion showed more evidence of early renal and CV disease than those in the lower tertiles.","author":[{"dropping-particle":"","family":"Marcovecchio","given":"M. Loredana","non-dropping-particle":"","parse-names":false,"suffix":""},{"dropping-particle":"","family":"Woodside","given":"John","non-dropping-particle":"","parse-names":false,"suffix":""},{"dropping-particle":"","family":"Jones","given":"Timothy","non-dropping-particle":"","parse-names":false,"suffix":""},{"dropping-particle":"","family":"Daneman","given":"Denis","non-dropping-particle":"","parse-names":false,"suffix":""},{"dropping-particle":"","family":"Neil","given":"Andrew","non-dropping-particle":"","parse-names":false,"suffix":""},{"dropping-particle":"","family":"Prevost","given":"Toby","non-dropping-particle":"","parse-names":false,"suffix":""},{"dropping-particle":"","family":"Dalton","given":"R. Neil","non-dropping-particle":"","parse-names":false,"suffix":""},{"dropping-particle":"","family":"Deanfield","given":"John","non-dropping-particle":"","parse-names":false,"suffix":""},{"dropping-particle":"","family":"Dunger","given":"David B.","non-dropping-particle":"","parse-names":false,"suffix":""}],"container-title":"Diabetes Care","id":"ITEM-1","issue":"3","issued":{"date-parts":[["2014"]]},"page":"805-813","title":"Adolescent Type 1 Diabetes Cardio-Renal Intervention Trial (AdDIT): Urinary screening and baseline biochemical and cardiovascular assessments","type":"article-journal","volume":"37"},"uris":["http://www.mendeley.com/documents/?uuid=b639322d-4eb4-41c9-984b-52a56d497884"]},{"id":"ITEM-2","itemData":{"abstract":"OBJECTIVE The contribution of inflammation to endothelial/vascular dysfunction in early Type I Diabetes (T1D) is not well understood. The objective of this study was to examine the interaction between systemic inflammation and vascular function in adolescent's with and without-T1D. METHODS 51 subjects from our observational cohort of adolescents with T1D (JDRF-CCTN), and 59 healthy controls (HC) were studied. Serum cytokines-chemokines were quantified using Human 41-Plex Array, and vascular function was measured by Flow Mediated Dilatation (FMD), Pulse Wave Velocity (PWV) and Blood Pressure (BP). Factor Analysis was used to identify pro- and anti-inflammatory cytokine-chemokine factors, which were then correlated with vascular outcomes. RESULTS Three pro-inflammatory factors were identified in HC and three in TID, and a single anti-inflammatory factor in both groups. In HC there was a positive correlation (r=0.33; p=0.01) between control proinflammatory Factor 1 and systolic BP and a negative correlation between control proinflammatory Factor 3(r=-0.29; p=0.02) and diastolic BP. Control proinflammatory Factor 2 correlated positively with PWV. In TID subjects, no correlations were found between any of the pro-inflammatory factors and the vascular measurements. No correlations were found between the anti-inflammatory factors and BP, FMD and PWV in either HC or T1D. Levels of pro-inflammatory analytes, EGF, GRO, PDGF-BB, PDGF-AA and sCD40L were significantly higher in T1D. CONCLUSIONS The cytokine-chemokine signature in early T1D, prior to the development of arterial disease, is significantly different from that seen in healthy controls. This may be relevant to pathophysiology, determining risk and identifying target cytokines-chemokines for intervention in T1D.","author":[{"dropping-particle":"","family":"Sochett","given":"Etienne","non-dropping-particle":"","parse-names":false,"suffix":""},{"dropping-particle":"","family":"Noone","given":"Damien","non-dropping-particle":"","parse-names":false,"suffix":""},{"dropping-particle":"","family":"Grattan","given":"Michael","non-dropping-particle":"","parse-names":false,"suffix":""},{"dropping-particle":"","family":"Slorach","given":"Cameron","non-dropping-particle":"","parse-names":false,"suffix":""},{"dropping-particle":"","family":"Moineddin","given":"Rahim","non-dropping-particle":"","parse-names":false,"suffix":""},{"dropping-particle":"","family":"Elia","given":"Yesmino","non-dropping-particle":"","parse-names":false,"suffix":""},{"dropping-particle":"","family":"Mahmud","given":"Farid H.","non-dropping-particle":"","parse-names":false,"suffix":""},{"dropping-particle":"","family":"Dunger","given":"David B.","non-dropping-particle":"","parse-names":false,"suffix":""},{"dropping-particle":"","family":"Dalton","given":"Neil","non-dropping-particle":"","parse-names":false,"suffix":""},{"dropping-particle":"","family":"Cherney","given":"David","non-dropping-particle":"","parse-names":false,"suffix":""},{"dropping-particle":"","family":"Scholey","given":"James","non-dropping-particle":"","parse-names":false,"suffix":""},{"dropping-particle":"","family":"Reich","given":"Heather","non-dropping-particle":"","parse-names":false,"suffix":""},{"dropping-particle":"","family":"Deanfield","given":"John","non-dropping-particle":"","parse-names":false,"suffix":""}],"container-title":"Cytokine","id":"ITEM-2","issued":{"date-parts":[["2017"]]},"page":"233-239","title":"Relationship between serum inflammatory markers and vascular function in a cohort of adolescents with type 1 diabetes","type":"article-journal","volume":"99"},"uris":["http://www.mendeley.com/documents/?uuid=4bc68185-6799-3362-acef-4dd9000bfaaf"]}],"mendeley":{"formattedCitation":"&lt;sup&gt;20,23&lt;/sup&gt;","plainTextFormattedCitation":"20,23","previouslyFormattedCitation":"&lt;sup&gt;20,23&lt;/sup&gt;"},"properties":{"noteIndex":0},"schema":"https://github.com/citation-style-language/schema/raw/master/csl-citation.json"}</w:instrText>
      </w:r>
      <w:r w:rsidRPr="00DD0ED2">
        <w:fldChar w:fldCharType="separate"/>
      </w:r>
      <w:r w:rsidR="00DD0ED2" w:rsidRPr="00DD0ED2">
        <w:rPr>
          <w:noProof/>
          <w:vertAlign w:val="superscript"/>
        </w:rPr>
        <w:t>20,23</w:t>
      </w:r>
      <w:r w:rsidRPr="00DD0ED2">
        <w:fldChar w:fldCharType="end"/>
      </w:r>
      <w:r w:rsidRPr="00DD0ED2">
        <w:t xml:space="preserve"> – can result in adverse changes in these HDL phenotypes in other adult and adolescent populations</w:t>
      </w:r>
      <w:r w:rsidRPr="00DD0ED2">
        <w:fldChar w:fldCharType="begin" w:fldLock="1"/>
      </w:r>
      <w:r w:rsidR="00DD0ED2" w:rsidRPr="00DD0ED2">
        <w:instrText>ADDIN CSL_CITATION {"citationItems":[{"id":"ITEM-1","itemData":{"author":[{"dropping-particle":"","family":"O'Neill","given":"Francis","non-dropping-particle":"","parse-names":false,"suffix":""},{"dropping-particle":"","family":"Riwanto","given":"Meliana","non-dropping-particle":"","parse-names":false,"suffix":""},{"dropping-particle":"","family":"Charakida","given":"Marietta","non-dropping-particle":"","parse-names":false,"suffix":""},{"dropping-particle":"","family":"Colin","given":"Sophie","non-dropping-particle":"","parse-names":false,"suffix":""},{"dropping-particle":"","family":"Manz","given":"Jasmin","non-dropping-particle":"","parse-names":false,"suffix":""},{"dropping-particle":"","family":"McLoughlin","given":"Eve","non-dropping-particle":"","parse-names":false,"suffix":""},{"dropping-particle":"","family":"Khan","given":"Tauseef","non-dropping-particle":"","parse-names":false,"suffix":""},{"dropping-particle":"","family":"Klein","given":"Nigel","non-dropping-particle":"","parse-names":false,"suffix":""},{"dropping-particle":"","family":"Kay","given":"Christopher W.M.","non-dropping-particle":"","parse-names":false,"suffix":""},{"dropping-particle":"","family":"Patel","given":"Kalpesh","non-dropping-particle":"","parse-names":false,"suffix":""},{"dropping-particle":"","family":"Chinetti","given":"Giulia","non-dropping-particle":"","parse-names":false,"suffix":""},{"dropping-particle":"","family":"Staels","given":"Bart","non-dropping-particle":"","parse-names":false,"suffix":""},{"dropping-particle":"","family":"D'Aiuto","given":"Francesco","non-dropping-particle":"","parse-names":false,"suffix":""},{"dropping-particle":"","family":"Landmesser","given":"Ulf","non-dropping-particle":"","parse-names":false,"suffix":""},{"dropping-particle":"","family":"Deanfield","given":"John","non-dropping-particle":"","parse-names":false,"suffix":""}],"container-title":"International Journal of Cardiology","id":"ITEM-1","issued":{"date-parts":[["2015"]]},"page":"111-116","title":"Structural and functional changes in HDL with low grade and chronic inflammation","type":"article-journal","volume":"188"},"uris":["http://www.mendeley.com/documents/?uuid=d69e8556-8ab7-4a9e-9dc6-bd6927405c5b"]},{"id":"ITEM-2","itemData":{"abstract":"Endothelial dysfunction begins in early CKD and contributes to cardiovascular mortality. HDL is considered antiatherogenic, but may have adverse vascular effects in cardiovascular disease, diabetes, and inflammatory conditions. The effect of renal failure on HDL properties is unknown. We studied the endothelial effects of HDL isolated from 82 children with CKD stages 2-5 (HDL(CKD)), who were free of underlying inflammatory diseases, diabetes, or active infections. Compared with HDL from healthy children, HDL(CKD) strongly inhibited nitric oxide production, promoted superoxide production, and increased vascular cell adhesion molecule-1 expression in human aortic endothelial cells, and reduced cholesterol efflux from macrophages. The effects on endothelial cells correlated with CKD grade, with the most profound changes induced by HDL from patients on dialysis, and partial recovery observed with HDL isolated after kidney transplantation. Furthermore, the in vitro effects on endothelial cells associated with increased aortic pulse wave velocity, carotid intima-media thickness, and circulating markers of endothelial dysfunction in patients. Symmetric dimethylarginine levels were increased in serum and fractions of HDL from children with CKD. In a longitudinal follow-up of eight children undergoing kidney transplantation, HDL-induced production of endothelial nitric oxide, superoxide, and vascular cell adhesion molecule-1 in vitro improved significantly at 3 months after transplantation, but did not reach normal levels. These results suggest that in children with CKD without concomitant disease affecting HDL function, HDL dysfunction begins in early CKD, progressing as renal function declines, and is partially reversed after kidney transplantation.","author":[{"dropping-particle":"","family":"Shroff","given":"Rukshana","non-dropping-particle":"","parse-names":false,"suffix":""},{"dropping-particle":"","family":"Speer","given":"Thimoteus","non-dropping-particle":"","parse-names":false,"suffix":""},{"dropping-particle":"","family":"Colin","given":"Sophie","non-dropping-particle":"","parse-names":false,"suffix":""},{"dropping-particle":"","family":"Charakida","given":"Marietta","non-dropping-particle":"","parse-names":false,"suffix":""},{"dropping-particle":"","family":"Zewinger","given":"Stephen","non-dropping-particle":"","parse-names":false,"suffix":""},{"dropping-particle":"","family":"Staels","given":"Bart","non-dropping-particle":"","parse-names":false,"suffix":""},{"dropping-particle":"","family":"Chinetti-Gbaguidi","given":"Giulia","non-dropping-particle":"","parse-names":false,"suffix":""},{"dropping-particle":"","family":"Hettrich","given":"Inga","non-dropping-particle":"","parse-names":false,"suffix":""},{"dropping-particle":"","family":"Rohrer","given":"Lucia","non-dropping-particle":"","parse-names":false,"suffix":""},{"dropping-particle":"","family":"O'Neill","given":"Francis","non-dropping-particle":"","parse-names":false,"suffix":""},{"dropping-particle":"","family":"McLoughlin","given":"Eve","non-dropping-particle":"","parse-names":false,"suffix":""},{"dropping-particle":"","family":"Long","given":"David","non-dropping-particle":"","parse-names":false,"suffix":""},{"dropping-particle":"","family":"Shanahan","given":"Catherine M","non-dropping-particle":"","parse-names":false,"suffix":""},{"dropping-particle":"","family":"Landmesser","given":"Ulf","non-dropping-particle":"","parse-names":false,"suffix":""},{"dropping-particle":"","family":"Fliser","given":"Danilo","non-dropping-particle":"","parse-names":false,"suffix":""},{"dropping-particle":"","family":"Deanfield","given":"John E","non-dropping-particle":"","parse-names":false,"suffix":""}],"container-title":"Journal of the American Society of Nephrology : JASN","id":"ITEM-2","issue":"11","issued":{"date-parts":[["2014"]]},"page":"2658-2668","title":"HDL in Children with CKD Promotes Endothelial Dysfunction and an Abnormal Vascular Phenotype.","type":"article-journal","volume":"25"},"uris":["http://www.mendeley.com/documents/?uuid=47571dba-043c-476d-b2e7-12c855ed5a77"]}],"mendeley":{"formattedCitation":"&lt;sup&gt;17,18&lt;/sup&gt;","plainTextFormattedCitation":"17,18","previouslyFormattedCitation":"&lt;sup&gt;17,18&lt;/sup&gt;"},"properties":{"noteIndex":0},"schema":"https://github.com/citation-style-language/schema/raw/master/csl-citation.json"}</w:instrText>
      </w:r>
      <w:r w:rsidRPr="00DD0ED2">
        <w:fldChar w:fldCharType="separate"/>
      </w:r>
      <w:r w:rsidR="00DD0ED2" w:rsidRPr="00DD0ED2">
        <w:rPr>
          <w:noProof/>
          <w:vertAlign w:val="superscript"/>
        </w:rPr>
        <w:t>17,18</w:t>
      </w:r>
      <w:r w:rsidRPr="00DD0ED2">
        <w:fldChar w:fldCharType="end"/>
      </w:r>
      <w:r w:rsidRPr="00DD0ED2">
        <w:t>.</w:t>
      </w:r>
    </w:p>
    <w:p w:rsidR="003E52DE" w:rsidRPr="00DD0ED2" w:rsidRDefault="003E52DE" w:rsidP="003E52DE">
      <w:pPr>
        <w:jc w:val="both"/>
      </w:pPr>
      <w:r w:rsidRPr="00DD0ED2">
        <w:t>Inflammation is a heterogenous condition involving a myriad of inflammatory cytokines and chemokines, but is typically monitored clinically through the use of single inflammatory markers such as IL-6 and TNF-α, or downstream acute phase proteins such as hsCRP. These single measures may not accurately represent overall inflammatory risk, especially in younger cohorts where risk factor profiles and accompanying co-morbidities are different from older individuals. In order to more accurately characterise inflammatory risk in this young patient cohort, we selected five pro-inflammatory cytokines previously shown by our group to be elevated in adolescents with type 1 diabetes</w:t>
      </w:r>
      <w:r w:rsidRPr="00DD0ED2">
        <w:fldChar w:fldCharType="begin" w:fldLock="1"/>
      </w:r>
      <w:r w:rsidR="00DD0ED2" w:rsidRPr="00DD0ED2">
        <w:instrText>ADDIN CSL_CITATION {"citationItems":[{"id":"ITEM-1","itemData":{"abstract":"OBJECTIVE The contribution of inflammation to endothelial/vascular dysfunction in early Type I Diabetes (T1D) is not well understood. The objective of this study was to examine the interaction between systemic inflammation and vascular function in adolescent's with and without-T1D. METHODS 51 subjects from our observational cohort of adolescents with T1D (JDRF-CCTN), and 59 healthy controls (HC) were studied. Serum cytokines-chemokines were quantified using Human 41-Plex Array, and vascular function was measured by Flow Mediated Dilatation (FMD), Pulse Wave Velocity (PWV) and Blood Pressure (BP). Factor Analysis was used to identify pro- and anti-inflammatory cytokine-chemokine factors, which were then correlated with vascular outcomes. RESULTS Three pro-inflammatory factors were identified in HC and three in TID, and a single anti-inflammatory factor in both groups. In HC there was a positive correlation (r=0.33; p=0.01) between control proinflammatory Factor 1 and systolic BP and a negative correlation between control proinflammatory Factor 3(r=-0.29; p=0.02) and diastolic BP. Control proinflammatory Factor 2 correlated positively with PWV. In TID subjects, no correlations were found between any of the pro-inflammatory factors and the vascular measurements. No correlations were found between the anti-inflammatory factors and BP, FMD and PWV in either HC or T1D. Levels of pro-inflammatory analytes, EGF, GRO, PDGF-BB, PDGF-AA and sCD40L were significantly higher in T1D. CONCLUSIONS The cytokine-chemokine signature in early T1D, prior to the development of arterial disease, is significantly different from that seen in healthy controls. This may be relevant to pathophysiology, determining risk and identifying target cytokines-chemokines for intervention in T1D.","author":[{"dropping-particle":"","family":"Sochett","given":"Etienne","non-dropping-particle":"","parse-names":false,"suffix":""},{"dropping-particle":"","family":"Noone","given":"Damien","non-dropping-particle":"","parse-names":false,"suffix":""},{"dropping-particle":"","family":"Grattan","given":"Michael","non-dropping-particle":"","parse-names":false,"suffix":""},{"dropping-particle":"","family":"Slorach","given":"Cameron","non-dropping-particle":"","parse-names":false,"suffix":""},{"dropping-particle":"","family":"Moineddin","given":"Rahim","non-dropping-particle":"","parse-names":false,"suffix":""},{"dropping-particle":"","family":"Elia","given":"Yesmino","non-dropping-particle":"","parse-names":false,"suffix":""},{"dropping-particle":"","family":"Mahmud","given":"Farid H.","non-dropping-particle":"","parse-names":false,"suffix":""},{"dropping-particle":"","family":"Dunger","given":"David B.","non-dropping-particle":"","parse-names":false,"suffix":""},{"dropping-particle":"","family":"Dalton","given":"Neil","non-dropping-particle":"","parse-names":false,"suffix":""},{"dropping-particle":"","family":"Cherney","given":"David","non-dropping-particle":"","parse-names":false,"suffix":""},{"dropping-particle":"","family":"Scholey","given":"James","non-dropping-particle":"","parse-names":false,"suffix":""},{"dropping-particle":"","family":"Reich","given":"Heather","non-dropping-particle":"","parse-names":false,"suffix":""},{"dropping-particle":"","family":"Deanfield","given":"John","non-dropping-particle":"","parse-names":false,"suffix":""}],"container-title":"Cytokine","id":"ITEM-1","issued":{"date-parts":[["2017"]]},"page":"233-239","title":"Relationship between serum inflammatory markers and vascular function in a cohort of adolescents with type 1 diabetes","type":"article-journal","volume":"99"},"uris":["http://www.mendeley.com/documents/?uuid=4bc68185-6799-3362-acef-4dd9000bfaaf"]}],"mendeley":{"formattedCitation":"&lt;sup&gt;20&lt;/sup&gt;","plainTextFormattedCitation":"20","previouslyFormattedCitation":"&lt;sup&gt;20&lt;/sup&gt;"},"properties":{"noteIndex":0},"schema":"https://github.com/citation-style-language/schema/raw/master/csl-citation.json"}</w:instrText>
      </w:r>
      <w:r w:rsidRPr="00DD0ED2">
        <w:fldChar w:fldCharType="separate"/>
      </w:r>
      <w:r w:rsidR="00DD0ED2" w:rsidRPr="00DD0ED2">
        <w:rPr>
          <w:noProof/>
          <w:vertAlign w:val="superscript"/>
        </w:rPr>
        <w:t>20</w:t>
      </w:r>
      <w:r w:rsidRPr="00DD0ED2">
        <w:fldChar w:fldCharType="end"/>
      </w:r>
      <w:r w:rsidRPr="00DD0ED2">
        <w:t>, and used these to create a disease-specific inflammatory risk score. In support of the value of this approach, we replicated our previous findings in adolescents with type 1 diabetes, observing elevated levels of all five inflammatory markers chosen for our risk score, but no observable differences in IL-6 or TNF-α levels (p=0.851 and 0.224; data not shown). Microalbuminuria (MA) is the most commonly-used risk marker for early renal dysfunction in adults with type 1 diabetes, but its use in adolescents is challenging due to the frequent appearance of transient MA during puberty that subsequently resolves upon progression to adulthood</w:t>
      </w:r>
      <w:r w:rsidRPr="00DD0ED2">
        <w:fldChar w:fldCharType="begin" w:fldLock="1"/>
      </w:r>
      <w:r w:rsidR="00DD0ED2" w:rsidRPr="00DD0ED2">
        <w:instrText>ADDIN CSL_CITATION {"citationItems":[{"id":"ITEM-1","itemData":{"abstract":"OBJECTIVE The predictive value of microalbuminuria (MA) in children with type 1 diabetes has not been defined. We describe the natural history of MA in a large cohort of children recruited at diagnosis of type 1 diabetes. RESEARCH DESIGN AND METHODS Between 1985 and 1996, 514 children (279 male) who developed type 1 diabetes before the age of 16 years (91% of those eligible from a region where ascertainment of new cases is 95%) were recruited for a longitudinal study with central annual assessment of HbAlc and albumin excretion (three urine samples). Dropout rates have been &lt; 1% per year, and 287 children have been followed for &gt; 4.5 years. RESULTS MA (defined as albumin-to-creatinine ratio &gt; or = 3.5 and &gt; or = 4.0 mg/mmol in boys and girls, respectively) developed in 63 (12.8%) and was persistent in 22 (4.8%) of the subjects. The cumulative probability (based on the Kaplan-Meier method) for developing MA was 40% after 11 years. HbAlc was worse in those who developed MA than in others (mean difference +/- SEM: 1.1% +/- 0.2, P &lt; 0.001). In subjects who had been 5-11 years of age when their diabetes was diagnosed, the appearance of MA was delayed until puberty, whereas of those whose age was &lt; 5 years at diagnosis of diabetes, 5 of 11 (45%) developed MA before puberty. The adjusted proportional probability (Cox model) of MA was greater for female subjects (200%), after pubertal onset (310%), and with greater HbAlc (36% increase for every 1% increase in HbAlc). Despite earlier differences based on age at diagnosis of diabetes (&lt; 5, 5-11, and &gt; 11 years), the overall cumulative risks in these groups were similar (38 vs. 29 vs. 39%, respectively) after 10 years' duration of diabetes. CONCLUSIONS Prepubertal duration of diabetes and prepubertal hyperglycemia contribute to the risk of postpubertal MA. The differences in rates of development of MA relating to HbAlc, sex, and age at diagnosis relative to puberty may have long-term consequences for the risk of subsequent nephropathy and for cardiovascular risk.","author":[{"dropping-particle":"","family":"Schultz","given":"C J","non-dropping-particle":"","parse-names":false,"suffix":""},{"dropping-particle":"","family":"Konopelska-Bahu","given":"T","non-dropping-particle":"","parse-names":false,"suffix":""},{"dropping-particle":"","family":"Dalton","given":"R N","non-dropping-particle":"","parse-names":false,"suffix":""},{"dropping-particle":"","family":"Carroll","given":"T A","non-dropping-particle":"","parse-names":false,"suffix":""},{"dropping-particle":"","family":"Stratton","given":"I","non-dropping-particle":"","parse-names":false,"suffix":""},{"dropping-particle":"","family":"Gale","given":"E A","non-dropping-particle":"","parse-names":false,"suffix":""},{"dropping-particle":"","family":"Neil","given":"A","non-dropping-particle":"","parse-names":false,"suffix":""},{"dropping-particle":"","family":"Dunger","given":"D B","non-dropping-particle":"","parse-names":false,"suffix":""}],"container-title":"Diabetes care","id":"ITEM-1","issue":"3","issued":{"date-parts":[["1999"]]},"page":"495-502","title":"Microalbuminuria prevalence varies with age, sex, and puberty in children with type 1 diabetes followed from diagnosis in a longitudinal study. Oxford Regional Prospective Study Group.","type":"article-journal","volume":"22"},"uris":["http://www.mendeley.com/documents/?uuid=2bfa4be1-0b98-3f38-a986-bd53df468e05"]}],"mendeley":{"formattedCitation":"&lt;sup&gt;40&lt;/sup&gt;","plainTextFormattedCitation":"40","previouslyFormattedCitation":"&lt;sup&gt;40&lt;/sup&gt;"},"properties":{"noteIndex":0},"schema":"https://github.com/citation-style-language/schema/raw/master/csl-citation.json"}</w:instrText>
      </w:r>
      <w:r w:rsidRPr="00DD0ED2">
        <w:fldChar w:fldCharType="separate"/>
      </w:r>
      <w:r w:rsidR="00DD0ED2" w:rsidRPr="00DD0ED2">
        <w:rPr>
          <w:noProof/>
          <w:vertAlign w:val="superscript"/>
        </w:rPr>
        <w:t>40</w:t>
      </w:r>
      <w:r w:rsidRPr="00DD0ED2">
        <w:fldChar w:fldCharType="end"/>
      </w:r>
      <w:r w:rsidRPr="00DD0ED2">
        <w:t>. In order to assess the earliest signs of renal dysfunction at this young age, we used a standardised measure of ACR adjusted for age, sex, and diabetes duration, previously developed by our group</w:t>
      </w:r>
      <w:r w:rsidRPr="00DD0ED2">
        <w:fldChar w:fldCharType="begin" w:fldLock="1"/>
      </w:r>
      <w:r w:rsidR="00DD0ED2" w:rsidRPr="00DD0ED2">
        <w:instrText>ADDIN CSL_CITATION {"citationItems":[{"id":"ITEM-1","itemData":{"DOI":"10.1111/j.1464-5491.2006.02047.x","ISSN":"0742-3071","PMID":"17257274","abstract":"AIMS: To determine whether higher than average albumin excretion during early puberty identifies subjects who will subsequently develop microalbuminuria (MA) and clinical proteinuria.\\n\\nMETHODS: Longitudinal data from the Oxford Regional Prospective Study of Childhood Diabetes (ORPS; n = 554, median duration of follow-up 10 years; range 3.0-16.7) with assessment of albumin/creatinine ratios in three early morning urine samples collected annually. An albumin excretion phenotype was derived from longitudinal data, for each individual, defining deviation from the mean of regression models, including covariates gender, age, duration of diabetes and age at assessment. Tracking of the phenotypes was confirmed in a second independent cohort from Perth, Australia.\\n\\nRESULTS: The albumin excretion phenotype showed reasonable correlation between age 11-15 years and age 16-18 years in both cohorts, indicative of good 'tracking'. In the ORPS cohort, tertiles of the albumin excretion phenotype at aged 11-15 years were predictive of subsequent risk for the development of MA. All of the subjects developing clinical proteinuria had an albumin excretion phenotype in the upper tertile or an HbA(1c) &gt; 9% at aged 11-15 years.\\n\\nCONCLUSIONS: Identification of adolescents at risk of diabetic nephropathy using an albumin excretion phenotype is feasible. When combined with elevated HbA(1c), it may identify subjects for trial of early intervention with angiotensin-converting enzyme inhibitors/angiotensin-II receptor antagonists and statins to improve long-term prognosis in these subjects where sustained improvement in glycaemic control may be difficult to achieve.","author":[{"dropping-particle":"","family":"Dunger","given":"D B","non-dropping-particle":"","parse-names":false,"suffix":""},{"dropping-particle":"","family":"Schwarze","given":"C P","non-dropping-particle":"","parse-names":false,"suffix":""},{"dropping-particle":"","family":"Cooper","given":"J D","non-dropping-particle":"","parse-names":false,"suffix":""},{"dropping-particle":"","family":"Widmer","given":"B","non-dropping-particle":"","parse-names":false,"suffix":""},{"dropping-particle":"","family":"Neil","given":"H a W","non-dropping-particle":"","parse-names":false,"suffix":""},{"dropping-particle":"","family":"Shield","given":"J","non-dropping-particle":"","parse-names":false,"suffix":""},{"dropping-particle":"","family":"Edge","given":"J a","non-dropping-particle":"","parse-names":false,"suffix":""},{"dropping-particle":"","family":"Jones","given":"T W","non-dropping-particle":"","parse-names":false,"suffix":""},{"dropping-particle":"","family":"Daneman","given":"D","non-dropping-particle":"","parse-names":false,"suffix":""},{"dropping-particle":"","family":"Dalton","given":"R N","non-dropping-particle":"","parse-names":false,"suffix":""}],"container-title":"Diabetic medicine : a journal of the British Diabetic Association","id":"ITEM-1","issue":"2","issued":{"date-parts":[["2007"]]},"page":"131-6","title":"Can we identify adolescents at high risk for nephropathy before the development of microalbuminuria?","type":"article-journal","volume":"24"},"uris":["http://www.mendeley.com/documents/?uuid=868fe06a-2424-4fd9-8292-c9b9d4ee6164"]}],"mendeley":{"formattedCitation":"&lt;sup&gt;22&lt;/sup&gt;","plainTextFormattedCitation":"22","previouslyFormattedCitation":"&lt;sup&gt;22&lt;/sup&gt;"},"properties":{"noteIndex":0},"schema":"https://github.com/citation-style-language/schema/raw/master/csl-citation.json"}</w:instrText>
      </w:r>
      <w:r w:rsidRPr="00DD0ED2">
        <w:fldChar w:fldCharType="separate"/>
      </w:r>
      <w:r w:rsidR="00DD0ED2" w:rsidRPr="00DD0ED2">
        <w:rPr>
          <w:noProof/>
          <w:vertAlign w:val="superscript"/>
        </w:rPr>
        <w:t>22</w:t>
      </w:r>
      <w:r w:rsidRPr="00DD0ED2">
        <w:fldChar w:fldCharType="end"/>
      </w:r>
      <w:r w:rsidRPr="00DD0ED2">
        <w:t xml:space="preserve"> and shown to predict risk of multiple cardio-renal complications even when ACR levels are within the normal range</w:t>
      </w:r>
      <w:r w:rsidRPr="00DD0ED2">
        <w:fldChar w:fldCharType="begin" w:fldLock="1"/>
      </w:r>
      <w:r w:rsidR="00DD0ED2" w:rsidRPr="00DD0ED2">
        <w:instrText>ADDIN CSL_CITATION {"citationItems":[{"id":"ITEM-1","itemData":{"DOI":"10.1111/j.1464-5491.2006.02047.x","ISSN":"0742-3071","PMID":"17257274","abstract":"AIMS: To determine whether higher than average albumin excretion during early puberty identifies subjects who will subsequently develop microalbuminuria (MA) and clinical proteinuria.\\n\\nMETHODS: Longitudinal data from the Oxford Regional Prospective Study of Childhood Diabetes (ORPS; n = 554, median duration of follow-up 10 years; range 3.0-16.7) with assessment of albumin/creatinine ratios in three early morning urine samples collected annually. An albumin excretion phenotype was derived from longitudinal data, for each individual, defining deviation from the mean of regression models, including covariates gender, age, duration of diabetes and age at assessment. Tracking of the phenotypes was confirmed in a second independent cohort from Perth, Australia.\\n\\nRESULTS: The albumin excretion phenotype showed reasonable correlation between age 11-15 years and age 16-18 years in both cohorts, indicative of good 'tracking'. In the ORPS cohort, tertiles of the albumin excretion phenotype at aged 11-15 years were predictive of subsequent risk for the development of MA. All of the subjects developing clinical proteinuria had an albumin excretion phenotype in the upper tertile or an HbA(1c) &gt; 9% at aged 11-15 years.\\n\\nCONCLUSIONS: Identification of adolescents at risk of diabetic nephropathy using an albumin excretion phenotype is feasible. When combined with elevated HbA(1c), it may identify subjects for trial of early intervention with angiotensin-converting enzyme inhibitors/angiotensin-II receptor antagonists and statins to improve long-term prognosis in these subjects where sustained improvement in glycaemic control may be difficult to achieve.","author":[{"dropping-particle":"","family":"Dunger","given":"D B","non-dropping-particle":"","parse-names":false,"suffix":""},{"dropping-particle":"","family":"Schwarze","given":"C P","non-dropping-particle":"","parse-names":false,"suffix":""},{"dropping-particle":"","family":"Cooper","given":"J D","non-dropping-particle":"","parse-names":false,"suffix":""},{"dropping-particle":"","family":"Widmer","given":"B","non-dropping-particle":"","parse-names":false,"suffix":""},{"dropping-particle":"","family":"Neil","given":"H a W","non-dropping-particle":"","parse-names":false,"suffix":""},{"dropping-particle":"","family":"Shield","given":"J","non-dropping-particle":"","parse-names":false,"suffix":""},{"dropping-particle":"","family":"Edge","given":"J a","non-dropping-particle":"","parse-names":false,"suffix":""},{"dropping-particle":"","family":"Jones","given":"T W","non-dropping-particle":"","parse-names":false,"suffix":""},{"dropping-particle":"","family":"Daneman","given":"D","non-dropping-particle":"","parse-names":false,"suffix":""},{"dropping-particle":"","family":"Dalton","given":"R N","non-dropping-particle":"","parse-names":false,"suffix":""}],"container-title":"Diabetic medicine : a journal of the British Diabetic Association","id":"ITEM-1","issue":"2","issued":{"date-parts":[["2007"]]},"page":"131-6","title":"Can we identify adolescents at high risk for nephropathy before the development of microalbuminuria?","type":"article-journal","volume":"24"},"uris":["http://www.mendeley.com/documents/?uuid=868fe06a-2424-4fd9-8292-c9b9d4ee6164"]},{"id":"ITEM-2","itemData":{"DOI":"10.2337/dc13-1634","ISBN":"1935-5548 (Electronic)\\r0149-5992 (Linking)","ISSN":"01495992","PMID":"24198300","abstract":"OBJECTIVE: We assessed the association between early increases in albumin excretion and cardiovascular (CV) and renal markers in a large cohort of young people with type 1 diabetes.\\n\\nRESEARCH DESIGN AND METHODS: As part of preliminary screening for a multicenter, randomized controlled trial of statins/ACE inhibitors, we measured albumin-creatinine ratio (ACR) in six early morning urine samples from 3,353 adolescents (10-16 years of age) and calculated tertiles based on an established algorithm. From those subjects deemed to be at higher risk (upper ACR tertile), we recruited 400 into the intervention study (trial cohort). From those subjects deemed to be at lower risk (middle-lower ACR tertiles), we recruited 329 to the observation cohort. At baseline, vascular measurements (carotid intima-media thickness, pulse wave velocity [PWV], flow-mediated dilatation, digital pulse amplitude tonometry), renal markers (symmetric dimethylarginine, cystatin C, creatinine), and CV disease markers (lipids and apolipoproteins [Apo] A-1 and B, C-reactive protein, asymmetric dimethylarginine) were assessed.\\n\\nRESULTS: Age- and sex-adjusted PWV was higher in the trial than in the observational cohort (5.00 ± 0.84 vs. 4.86 ± 0.70 m/s; P = 0.021). Similarly, non-HDL cholesterol (2.95 ± 0.83 vs. 2.81 ± 0.78 mmol/L; P = 0.02) and ApoB-ApoA-1 ratio (0.50 ± 0.14 vs. 0.47 ± 0.11; P = 0.04) were higher in the trial cohort. Cystatin C and creatinine were decreased (0.88 ± 0.13 vs. 0.90 ± 0.13 mg/L, P = 0.04; 51.81 ± 10.45 vs. 55.35 ± 11.05 μmol/L, P &lt; 0.001; respectively) and estimated glomerular filtration rate (137.05 ± 23.89 vs. 129.31 ± 22.41 mL/min/1.73 m(2); P &lt; 0.001) increased in the trial compared with the observational cohort.\\n\\nCONCLUSIONS: Our data demonstrate that in adolescents with type 1 diabetes, the group with the highest tertile of albumin excretion showed more evidence of early renal and CV disease than those in the lower tertiles.","author":[{"dropping-particle":"","family":"Marcovecchio","given":"M. Loredana","non-dropping-particle":"","parse-names":false,"suffix":""},{"dropping-particle":"","family":"Woodside","given":"John","non-dropping-particle":"","parse-names":false,"suffix":""},{"dropping-particle":"","family":"Jones","given":"Timothy","non-dropping-particle":"","parse-names":false,"suffix":""},{"dropping-particle":"","family":"Daneman","given":"Denis","non-dropping-particle":"","parse-names":false,"suffix":""},{"dropping-particle":"","family":"Neil","given":"Andrew","non-dropping-particle":"","parse-names":false,"suffix":""},{"dropping-particle":"","family":"Prevost","given":"Toby","non-dropping-particle":"","parse-names":false,"suffix":""},{"dropping-particle":"","family":"Dalton","given":"R. Neil","non-dropping-particle":"","parse-names":false,"suffix":""},{"dropping-particle":"","family":"Deanfield","given":"John","non-dropping-particle":"","parse-names":false,"suffix":""},{"dropping-particle":"","family":"Dunger","given":"David B.","non-dropping-particle":"","parse-names":false,"suffix":""}],"container-title":"Diabetes Care","id":"ITEM-2","issue":"3","issued":{"date-parts":[["2014"]]},"page":"805-813","title":"Adolescent Type 1 Diabetes Cardio-Renal Intervention Trial (AdDIT): Urinary screening and baseline biochemical and cardiovascular assessments","type":"article-journal","volume":"37"},"uris":["http://www.mendeley.com/documents/?uuid=b639322d-4eb4-41c9-984b-52a56d497884"]},{"id":"ITEM-3","itemData":{"author":[{"dropping-particle":"","family":"Maftei","given":"Oana","non-dropping-particle":"","parse-names":false,"suffix":""},{"dropping-particle":"","family":"Pena","given":"Alexia S.","non-dropping-particle":"","parse-names":false,"suffix":""},{"dropping-particle":"","family":"Sullivan","given":"Thomas","non-dropping-particle":"","parse-names":false,"suffix":""},{"dropping-particle":"","family":"Jones","given":"Timothy W.","non-dropping-particle":"","parse-names":false,"suffix":""},{"dropping-particle":"","family":"Donaghue","given":"Kim C.","non-dropping-particle":"","parse-names":false,"suffix":""},{"dropping-particle":"","family":"Cameron","given":"Fergus J.","non-dropping-particle":"","parse-names":false,"suffix":""},{"dropping-particle":"","family":"Davis","given":"Elizabeth","non-dropping-particle":"","parse-names":false,"suffix":""},{"dropping-particle":"","family":"Cotterill","given":"Andrew","non-dropping-particle":"","parse-names":false,"suffix":""},{"dropping-particle":"","family":"Craig","given":"Maria E.","non-dropping-particle":"","parse-names":false,"suffix":""},{"dropping-particle":"","family":"Gent","given":"Roger","non-dropping-particle":"","parse-names":false,"suffix":""},{"dropping-particle":"","family":"Dalton","given":"Neil","non-dropping-particle":"","parse-names":false,"suffix":""},{"dropping-particle":"","family":"Daneman","given":"Denis","non-dropping-particle":"","parse-names":false,"suffix":""},{"dropping-particle":"","family":"Dunger","given":"David","non-dropping-particle":"","parse-names":false,"suffix":""},{"dropping-particle":"","family":"Deanfield","given":"John","non-dropping-particle":"","parse-names":false,"suffix":""},{"dropping-particle":"","family":"Couper","given":"Jenny J.","non-dropping-particle":"","parse-names":false,"suffix":""}],"container-title":"Diabetes Care","id":"ITEM-3","issue":"11","issued":{"date-parts":[["2014"]]},"page":"3069-3075","title":"Early Atherosclerosis Relates to Urinary Albumin Excretion and Cardiovascular Risk Factors in Adolescents With Type 1 Diabetes: Adolescent Type 1 Diabetes cardio-renal Intervention Trial (AdDIT)","type":"article-journal","volume":"37"},"uris":["http://www.mendeley.com/documents/?uuid=c1c50156-99bc-303d-bf81-5c85451ada20"]},{"id":"ITEM-4","itemData":{"DOI":"10.2337/dc14-1848","ISBN":"1935-5548 (Electronic)\\r0149-5992 (Linking)","ISSN":"1935-5548","PMID":"25573882","abstract":"OBJECTIVE: This study examined the association between cardiac autonomic dysfunction and high albumin-to-creatinine ratio (ACR) in adolescents with type 1 diabetes.\\n\\nRESEARCH DESIGN AND METHODS: Adolescents recruited as part of a multicenter screening study (n = 445, 49% female, aged 10-17 years, mean duration 6.9 years; mean HbA1c 8.4%, 68 mmol/mol) underwent a 10-min continuous electrocardiogram recording for heart rate variability analysis. Time-domain heart rate variability measures included baseline heart rate, SD of the R-R interval (SDNN), and root mean squared difference of successive R-R intervals (RMSSD). Spectral analysis included sympathetic (low-frequency) and parasympathetic (high-frequency) components. Standardized ACR were calculated from six early morning urine collections using an established algorithm, reflecting age, sex, and duration, and stratified into ACR tertiles, where the upper tertile reflects higher nephropathy risk.\\n\\nRESULTS: The upper-tertile ACR group had a faster heart rate (76 vs. 73 bpm; P &lt; 0.01) and less heart rate variability (SDNN 68 vs. 76 ms, P = 0.02; RMSSD 63 vs. 71 ms, P = 0.04). HbA1c was 8.5% (69 mmol/mmol) in the upper tertile vs. 8.3% (67 mmol/mol) in the lower tertiles (P = 0.07). In multivariable analysis, upper-tertile ACR was associated with faster heart rate (β = 2.5, 95% CI 0.2-4.8, P = 0.03) and lower RMSSD (β = -9.5, 95% CI -18.2 to -0.8, P = 0.03), independent of age and HbA1c.\\n\\nCONCLUSIONS: Adolescents at potentially higher risk for nephropathy show an adverse cardiac autonomic profile, indicating sympathetic overdrive, compared with the lower-risk group. Longitudinal follow-up of this cohort will further characterize the relationship between autonomic and renal dysfunction and the effect of interventions in this population.","author":[{"dropping-particle":"","family":"Cho","given":"Yoon Hi","non-dropping-particle":"","parse-names":false,"suffix":""},{"dropping-particle":"","family":"Craig","given":"Maria E.","non-dropping-particle":"","parse-names":false,"suffix":""},{"dropping-particle":"","family":"Davis","given":"Elizabeth A.","non-dropping-particle":"","parse-names":false,"suffix":""},{"dropping-particle":"","family":"Cotterill","given":"Andrew M.","non-dropping-particle":"","parse-names":false,"suffix":""},{"dropping-particle":"","family":"Couper","given":"Jennifer J.","non-dropping-particle":"","parse-names":false,"suffix":""},{"dropping-particle":"","family":"Cameron","given":"Fergus J.","non-dropping-particle":"","parse-names":false,"suffix":""},{"dropping-particle":"","family":"Benitez-Aguirre","given":"Paul Z.","non-dropping-particle":"","parse-names":false,"suffix":""},{"dropping-particle":"","family":"Dalton","given":"R. Neil","non-dropping-particle":"","parse-names":false,"suffix":""},{"dropping-particle":"","family":"Dunger","given":"David B.","non-dropping-particle":"","parse-names":false,"suffix":""},{"dropping-particle":"","family":"Jones","given":"Timothy W.","non-dropping-particle":"","parse-names":false,"suffix":""},{"dropping-particle":"","family":"Donaghue","given":"Kim C.","non-dropping-particle":"","parse-names":false,"suffix":""},{"dropping-particle":"","family":"Adolescent Type 1 Diabetes Cardio-Renal Intervention Trial","given":"","non-dropping-particle":"","parse-names":false,"suffix":""}],"container-title":"Diabetes care","id":"ITEM-4","issue":"4","issued":{"date-parts":[["2015"]]},"page":"676-81","title":"Cardiac autonomic dysfunction is associated with high-risk albumin-to-creatinine ratio in young adolescents with type 1 diabetes in AdDIT (adolescent type 1 diabetes cardio-renal interventional trial).","type":"article-journal","volume":"38"},"uris":["http://www.mendeley.com/documents/?uuid=ed40b74a-1772-4c94-800b-7518069c7034"]}],"mendeley":{"formattedCitation":"&lt;sup&gt;4,22,23,27&lt;/sup&gt;","plainTextFormattedCitation":"4,22,23,27","previouslyFormattedCitation":"&lt;sup&gt;4,22,23,27&lt;/sup&gt;"},"properties":{"noteIndex":0},"schema":"https://github.com/citation-style-language/schema/raw/master/csl-citation.json"}</w:instrText>
      </w:r>
      <w:r w:rsidRPr="00DD0ED2">
        <w:fldChar w:fldCharType="separate"/>
      </w:r>
      <w:r w:rsidR="00DD0ED2" w:rsidRPr="00DD0ED2">
        <w:rPr>
          <w:noProof/>
          <w:vertAlign w:val="superscript"/>
        </w:rPr>
        <w:t>4,22,23,27</w:t>
      </w:r>
      <w:r w:rsidRPr="00DD0ED2">
        <w:fldChar w:fldCharType="end"/>
      </w:r>
      <w:r w:rsidRPr="00DD0ED2">
        <w:t xml:space="preserve">. Using these measures, we observed evidence of HDL dysfunction only in patients with type 1 diabetes and elevated levels of both inflammation and ACR. Multivariable regression analysis identified ACR as being independently related to HDL-mediated NO bioavailability, while SO production was found to relate to increased inflammatory risk score. Interestingly, no association was observed between any measure of HDL function and HbA1c; supporting previous research in adults in which a lowering of Hba1c levels were shown to have no impact on HDL function </w:t>
      </w:r>
      <w:r w:rsidRPr="00DD0ED2">
        <w:fldChar w:fldCharType="begin" w:fldLock="1"/>
      </w:r>
      <w:r w:rsidR="00DD0ED2" w:rsidRPr="00DD0ED2">
        <w:instrText>ADDIN CSL_CITATION {"citationItems":[{"id":"ITEM-1","itemData":{"abstract":"OBJECTIVE Higher HDL-cholesterol (HDL-C) is linked to lower cardiovascular risk but individuals with type 1 diabetes mellitus (T1DM) with normal or high HDL-C have higher cardiovascular events compared to age matched non-diabetic controls (ND). We determined whether altered HDL functions despite having normal HDL-C concentration may explain increased cardiovascular risk in T1DM individuals. We also determined whether irreversible posttranslational modifications (PTMs) of HDL bound proteins occur in T1DM individuals with altered HDL functions. METHODS T1DM with poor glycemic control (T1D-PC, HbA1c≥8.5%, n=15) and T1DM with good glycemic control (T1D-GC, HbA1c≤6.6%, n=15) were compared with equal numbers of NDs, ND-PC and ND-GC respectively, matched for age, sex and body mass index (BMI). We measured cholesterol efflux capacity (CEC) of HDL in the serum using J774 macrophages, antioxidant function of HDL as the ability to reverse the oxidative damage of LDL and PON1 activity using commercially available kit. For proteomic analysis, HDL was isolated by density gradient ultracentrifugation and was analyzed by mass spectrometry and shotgun proteomics method. RESULTS Plasma HDL-C concentrations in both T1DM groups were similar to their ND. However, CEC (%) of T1D-PC (16.9±0.8) and T1D-GC (17.1±1) were lower than their respective ND (17.9±1, p=0.01 and 18.2±1.4, p=0.02). HDL antioxidative function also was lower (p&lt;0.05). The abundance of oxidative PTMs of apolipoproteins involved in CEC and antioxidative functions of HDL were higher in T1D-PC (ApoA4, p=0.041) and T1D-GC (ApoA4, p=0.025 and ApoE, p=0.041) in comparison with ND. Both T1D-PC and T1D-GC groups had higher abundance of amadori modification of ApoD (p=0.002 and p=0.041 respectively) and deamidation modification of ApoA4 was higher in T1D-PC (p=0.025). CONCLUSIONS Compromised functions of HDL particles in T1DM individuals, irrespective of glycemic control, could be explained by higher abundance of irreversible PTMs of HDL proteins. These results lend mechanistic support to the hypothesis that HDL quality rather than quantity determines HDL function in T1DM and suggest that measurements of concentrations of HbA1c and HDL-C are not sufficient as biomarkers of effective treatment to lower cardiovascular risk in T1DM individuals.","author":[{"dropping-particle":"","family":"Manjunatha","given":"Shankarappa","non-dropping-particle":"","parse-names":false,"suffix":""},{"dropping-particle":"","family":"Distelmaier","given":"Klaus","non-dropping-particle":"","parse-names":false,"suffix":""},{"dropping-particle":"","family":"Dasari","given":"Surendra","non-dropping-particle":"","parse-names":false,"suffix":""},{"dropping-particle":"","family":"Carter","given":"Rickey E.","non-dropping-particle":"","parse-names":false,"suffix":""},{"dropping-particle":"","family":"Kudva","given":"Yogish C.","non-dropping-particle":"","parse-names":false,"suffix":""},{"dropping-particle":"","family":"Nair","given":"K. Sreekumaran","non-dropping-particle":"","parse-names":false,"suffix":""}],"container-title":"Metabolism","id":"ITEM-1","issue":"9","issued":{"date-parts":[["2016"]]},"page":"1421-1431","title":"Functional and proteomic alterations of plasma high density lipoproteins in type 1 diabetes mellitus","type":"article-journal","volume":"65"},"uris":["http://www.mendeley.com/documents/?uuid=9ab7897c-b38c-3a65-afd6-67aa79022fad"]}],"mendeley":{"formattedCitation":"&lt;sup&gt;41&lt;/sup&gt;","plainTextFormattedCitation":"41","previouslyFormattedCitation":"&lt;sup&gt;41&lt;/sup&gt;"},"properties":{"noteIndex":0},"schema":"https://github.com/citation-style-language/schema/raw/master/csl-citation.json"}</w:instrText>
      </w:r>
      <w:r w:rsidRPr="00DD0ED2">
        <w:fldChar w:fldCharType="separate"/>
      </w:r>
      <w:r w:rsidR="00DD0ED2" w:rsidRPr="00DD0ED2">
        <w:rPr>
          <w:noProof/>
          <w:vertAlign w:val="superscript"/>
        </w:rPr>
        <w:t>41</w:t>
      </w:r>
      <w:r w:rsidRPr="00DD0ED2">
        <w:fldChar w:fldCharType="end"/>
      </w:r>
      <w:r w:rsidRPr="00DD0ED2">
        <w:t xml:space="preserve">. </w:t>
      </w:r>
    </w:p>
    <w:p w:rsidR="003E52DE" w:rsidRPr="00DD0ED2" w:rsidRDefault="003E52DE" w:rsidP="003E52DE">
      <w:pPr>
        <w:jc w:val="both"/>
      </w:pPr>
      <w:r w:rsidRPr="00DD0ED2">
        <w:t>Given the well-established reverse association between inflammation, dysfunctional HDL, and CVD morbidity and mortality</w:t>
      </w:r>
      <w:r w:rsidRPr="00DD0ED2">
        <w:fldChar w:fldCharType="begin" w:fldLock="1"/>
      </w:r>
      <w:r w:rsidR="00DD0ED2" w:rsidRPr="00DD0ED2">
        <w:instrText>ADDIN CSL_CITATION {"citationItems":[{"id":"ITEM-1","itemData":{"author":[{"dropping-particle":"","family":"Zewinger","given":"Stephen","non-dropping-particle":"","parse-names":false,"suffix":""},{"dropping-particle":"","family":"Drechsler","given":"Christiane","non-dropping-particle":"","parse-names":false,"suffix":""},{"dropping-particle":"","family":"Kleber","given":"Marcus E.","non-dropping-particle":"","parse-names":false,"suffix":""},{"dropping-particle":"","family":"Dressel","given":"Alexander","non-dropping-particle":"","parse-names":false,"suffix":""},{"dropping-particle":"","family":"Riffel","given":"Julia","non-dropping-particle":"","parse-names":false,"suffix":""},{"dropping-particle":"","family":"Triem","given":"Sarah","non-dropping-particle":"","parse-names":false,"suffix":""},{"dropping-particle":"","family":"Lehmann","given":"Marlene","non-dropping-particle":"","parse-names":false,"suffix":""},{"dropping-particle":"","family":"Kopecky","given":"Chantal","non-dropping-particle":"","parse-names":false,"suffix":""},{"dropping-particle":"","family":"Säemann","given":"Marcus D.","non-dropping-particle":"","parse-names":false,"suffix":""},{"dropping-particle":"","family":"Lepper","given":"Philipp M.","non-dropping-particle":"","parse-names":false,"suffix":""},{"dropping-particle":"","family":"Silbernagel","given":"Günther","non-dropping-particle":"","parse-names":false,"suffix":""},{"dropping-particle":"","family":"Scharnagl","given":"Hubert","non-dropping-particle":"","parse-names":false,"suffix":""},{"dropping-particle":"","family":"Ritsch","given":"Andreas","non-dropping-particle":"","parse-names":false,"suffix":""},{"dropping-particle":"","family":"Thorand","given":"Barbara","non-dropping-particle":"","parse-names":false,"suffix":""},{"dropping-particle":"","family":"las Heras Gala","given":"Tonia","non-dropping-particle":"de","parse-names":false,"suffix":""},{"dropping-particle":"","family":"Wagenpfeil","given":"Stefan","non-dropping-particle":"","parse-names":false,"suffix":""},{"dropping-particle":"","family":"Koenig","given":"Wolfgang","non-dropping-particle":"","parse-names":false,"suffix":""},{"dropping-particle":"","family":"Peters","given":"Annette","non-dropping-particle":"","parse-names":false,"suffix":""},{"dropping-particle":"","family":"Laufs","given":"Ulrich","non-dropping-particle":"","parse-names":false,"suffix":""},{"dropping-particle":"","family":"Wanner","given":"Christoph","non-dropping-particle":"","parse-names":false,"suffix":""},{"dropping-particle":"","family":"Fliser","given":"Danilo","non-dropping-particle":"","parse-names":false,"suffix":""},{"dropping-particle":"","family":"Speer","given":"Thimoteus","non-dropping-particle":"","parse-names":false,"suffix":""},{"dropping-particle":"","family":"März","given":"Winfried","non-dropping-particle":"","parse-names":false,"suffix":""}],"container-title":"European Heart Journal","id":"ITEM-1","issued":{"date-parts":[["2015"]]},"page":"3007-3016","title":"Serum amyloid A: high-density lipoproteins interaction and cardiovascular risk","type":"article-journal","volume":"36"},"uris":["http://www.mendeley.com/documents/?uuid=dca40060-8c46-3130-a626-a4cdf9ee4136"]},{"id":"ITEM-2","itemData":{"abstract":"Aims The vascular effects of high-density lipoproteins (HDL) differ under certain clinical conditions. The composition of HDL is modified in patients with chronic kidney disease (CKD). As a consequence, uremic HDL induces endothelial dysfunction. We have previously shown that accumulation of symmetric dimethylarginine (SDMA) in HDL causes these adverse effects of HDL in CKD. The aim of the study is to determine the impact of the accumulation of SDMA on the association between HDL and mortality. Methods and results Mortality, renal function, serum SDMA and HDL-cholesterol (HDL-C) were assessed in the LURIC study including 3310 subjects undergoing coronary angiography. All-cause mortality was 30.0% during median follow-up of 9.9 years. Serum SDMA levels significantly predicted all-cause and cardiovascular mortality, and were significantly correlated with SDMA accumulation in HDL. Notably, higher serum SDMA was independently associated with lower cholesterol efflux (P = 0.004) as a measure of HDL functionality. In subjects with low SDMA levels, higher HDL-C was associated with significantly lower mortality. In contrast, in subjects with high SDMA, HDL-C was associated with higher mortality. These findings were confirmed in 1424 participants of the MONICA/KORA S3 cohort. Of note, we derived an algorithm allowing for calculation of biologically effective HDL-C' based on measured HDL-C and SDMA. We corroborated these clinical findings with invitro evidence showing that SDMA accumulation abolishes the anti-inflammatory and regenerative properties of HDL. Conclusion The data identify SDMA as a marker of HDL dysfunction. These findings highlight on the pivotal role of SDMA accumulation in HDL as a mediator of pre-mature cardiovascular disease in patients with CKD.","author":[{"dropping-particle":"","family":"Zewinger","given":"Stephen","non-dropping-particle":"","parse-names":false,"suffix":""},{"dropping-particle":"","family":"Kleber","given":"Marcus E.","non-dropping-particle":"","parse-names":false,"suffix":""},{"dropping-particle":"","family":"Rohrer","given":"Lucia","non-dropping-particle":"","parse-names":false,"suffix":""},{"dropping-particle":"","family":"Lehmann","given":"Marlene","non-dropping-particle":"","parse-names":false,"suffix":""},{"dropping-particle":"","family":"Triem","given":"Sarah","non-dropping-particle":"","parse-names":false,"suffix":""},{"dropping-particle":"","family":"Jennings","given":"Richard T.","non-dropping-particle":"","parse-names":false,"suffix":""},{"dropping-particle":"","family":"Petrakis","given":"Ioannis","non-dropping-particle":"","parse-names":false,"suffix":""},{"dropping-particle":"","family":"Dressel","given":"Alexander","non-dropping-particle":"","parse-names":false,"suffix":""},{"dropping-particle":"","family":"Lepper","given":"Philipp M.","non-dropping-particle":"","parse-names":false,"suffix":""},{"dropping-particle":"","family":"Scharnagl","given":"Hubert","non-dropping-particle":"","parse-names":false,"suffix":""},{"dropping-particle":"","family":"Ritsch","given":"Andreas","non-dropping-particle":"","parse-names":false,"suffix":""},{"dropping-particle":"","family":"Thorand","given":"Barbara","non-dropping-particle":"","parse-names":false,"suffix":""},{"dropping-particle":"","family":"Heier","given":"Margit","non-dropping-particle":"","parse-names":false,"suffix":""},{"dropping-particle":"","family":"Meisinger","given":"Christa","non-dropping-particle":"","parse-names":false,"suffix":""},{"dropping-particle":"","family":"las Heras Gala","given":"Tonia","non-dropping-particle":"de","parse-names":false,"suffix":""},{"dropping-particle":"","family":"Koenig","given":"Wolfgang","non-dropping-particle":"","parse-names":false,"suffix":""},{"dropping-particle":"","family":"Wagenpfeil","given":"Stefan","non-dropping-particle":"","parse-names":false,"suffix":""},{"dropping-particle":"","family":"Schwedhelm","given":"Edzard","non-dropping-particle":"","parse-names":false,"suffix":""},{"dropping-particle":"","family":"Böger","given":"Rainer H.","non-dropping-particle":"","parse-names":false,"suffix":""},{"dropping-particle":"","family":"Laufs","given":"Ulrich","non-dropping-particle":"","parse-names":false,"suffix":""},{"dropping-particle":"","family":"Eckardstein","given":"Arnold","non-dropping-particle":"von","parse-names":false,"suffix":""},{"dropping-particle":"","family":"Landmesser","given":"Ulf","non-dropping-particle":"","parse-names":false,"suffix":""},{"dropping-particle":"","family":"Lüscher","given":"Thomas F.","non-dropping-particle":"","parse-names":false,"suffix":""},{"dropping-particle":"","family":"Fliser","given":"Danilo","non-dropping-particle":"","parse-names":false,"suffix":""},{"dropping-particle":"","family":"März","given":"Winfried","non-dropping-particle":"","parse-names":false,"suffix":""},{"dropping-particle":"","family":"Meinitzer","given":"Andreas","non-dropping-particle":"","parse-names":false,"suffix":""},{"dropping-particle":"","family":"Speer","given":"Thimoteus","non-dropping-particle":"","parse-names":false,"suffix":""}],"container-title":"European Heart Journal","id":"ITEM-2","issue":"20","issued":{"date-parts":[["2017"]]},"page":"1597-1607","title":"Symmetric dimethylarginine, high-density lipoproteins and cardiovascular disease","type":"article-journal","volume":"38"},"uris":["http://www.mendeley.com/documents/?uuid=7611200b-7a0c-3102-9f2a-bc7157b27252"]}],"mendeley":{"formattedCitation":"&lt;sup&gt;19,29&lt;/sup&gt;","plainTextFormattedCitation":"19,29","previouslyFormattedCitation":"&lt;sup&gt;19,29&lt;/sup&gt;"},"properties":{"noteIndex":0},"schema":"https://github.com/citation-style-language/schema/raw/master/csl-citation.json"}</w:instrText>
      </w:r>
      <w:r w:rsidRPr="00DD0ED2">
        <w:fldChar w:fldCharType="separate"/>
      </w:r>
      <w:r w:rsidR="00DD0ED2" w:rsidRPr="00DD0ED2">
        <w:rPr>
          <w:noProof/>
          <w:vertAlign w:val="superscript"/>
        </w:rPr>
        <w:t>19,29</w:t>
      </w:r>
      <w:r w:rsidRPr="00DD0ED2">
        <w:fldChar w:fldCharType="end"/>
      </w:r>
      <w:r w:rsidRPr="00DD0ED2">
        <w:t>, we next examined whether the presence of a high inflammatory risk score in adolescent patients with type 1 diabetes altered the relationship between circulating HDL levels and early subclinical markers of vascular health. Due to a lack of hard clinical endpoints in the young, we chose FMD as our surrogate marker of subclinical disease due to its widespread prevalence in this patient population</w:t>
      </w:r>
      <w:r w:rsidRPr="00DD0ED2">
        <w:fldChar w:fldCharType="begin" w:fldLock="1"/>
      </w:r>
      <w:r w:rsidR="00DD0ED2" w:rsidRPr="00DD0ED2">
        <w:instrText>ADDIN CSL_CITATION {"citationItems":[{"id":"ITEM-1","itemData":{"author":[{"dropping-particle":"","family":"Babar","given":"Ghufran S.","non-dropping-particle":"","parse-names":false,"suffix":""},{"dropping-particle":"","family":"Zidan","given":"Hanaa","non-dropping-particle":"","parse-names":false,"suffix":""},{"dropping-particle":"","family":"Widlansky","given":"Michael E.","non-dropping-particle":"","parse-names":false,"suffix":""},{"dropping-particle":"","family":"Das","given":"Emon","non-dropping-particle":"","parse-names":false,"suffix":""},{"dropping-particle":"","family":"Hoffmann","given":"Raymond G.","non-dropping-particle":"","parse-names":false,"suffix":""},{"dropping-particle":"","family":"Daoud","given":"Marwan","non-dropping-particle":"","parse-names":false,"suffix":""},{"dropping-particle":"","family":"Alemzadeh","given":"Ramin","non-dropping-particle":"","parse-names":false,"suffix":""}],"container-title":"Diabetes Care","id":"ITEM-1","issue":"3","issued":{"date-parts":[["2011"]]},"page":"681-685","title":"Impaired Endothelial Function in Preadolescent Children With Type 1 Diabetes","type":"article-journal","volume":"34"},"uris":["http://www.mendeley.com/documents/?uuid=4894507d-8b48-3659-8666-9a474ff5a2ea"]},{"id":"ITEM-2","itemData":{"abstract":"OBJECTIVES Endothelial dysfunction is a known precursor of atherosclerosis and can be assessed by measuring the brachial artery flow-mediated dilatation (FMD) via ultrasonography. This study investigated endothelial function in young type 1 diabetics without cardiovascular morbidity or diabetes-related pathology. METHODS Young diabetics and healthy controls were recruited, both meeting strict inclusion and exclusion criteria. To prove absence of subclinical atherosclerosis, intima-media thickness (IMT) measurements at the carotid bifurcation were done in all of them. FMD was measured at the brachial artery. The results were compared using the t-test and the influences of different variables on FMD were assessed using multiple linear regression. RESULTS Twenty-six diabetics (23.4±5.8 years) and 36 healthy volunteers (23.1±2.8 years) were recruited. The duration of diabetes was 9.2±5.3 years; metabolic control was moderate (HbA1c 7.6±1.0%) and IMT was normal in both groups. FMD was significantly impaired in type 1 diabetics (7.13±0.43 vs. 8.77±0.43%; p=0.002). The FMD grade was associated with diabetes and age. Patients with a good metabolic control (HbA1c≤7.0%) had a better FMD. CONCLUSIONS In type 1 diabetics, even without preclinical or clinical atherosclerosis, endothelial function is already disturbed and can be detected using ultrasonography.","author":[{"dropping-particle":"","family":"Hurks","given":"R.","non-dropping-particle":"","parse-names":false,"suffix":""},{"dropping-particle":"","family":"Eisinger","given":"M.J.","non-dropping-particle":"","parse-names":false,"suffix":""},{"dropping-particle":"","family":"Goovaerts","given":"I.","non-dropping-particle":"","parse-names":false,"suffix":""},{"dropping-particle":"","family":"Gaal","given":"L.","non-dropping-particle":"van","parse-names":false,"suffix":""},{"dropping-particle":"","family":"Vrints","given":"C.","non-dropping-particle":"","parse-names":false,"suffix":""},{"dropping-particle":"","family":"Weyler","given":"J.","non-dropping-particle":"","parse-names":false,"suffix":""},{"dropping-particle":"","family":"Hendriks","given":"J.","non-dropping-particle":"","parse-names":false,"suffix":""},{"dropping-particle":"","family":"Schil","given":"P.","non-dropping-particle":"van","parse-names":false,"suffix":""},{"dropping-particle":"","family":"Lauwers","given":"P.","non-dropping-particle":"","parse-names":false,"suffix":""}],"container-title":"European Journal of Vascular and Endovascular Surgery","id":"ITEM-2","issue":"5","issued":{"date-parts":[["2009"]]},"page":"611-615","title":"Early Endothelial Dysfunction in Young Type 1 Diabetics","type":"article-journal","volume":"37"},"uris":["http://www.mendeley.com/documents/?uuid=36f7a3fc-f265-3524-b6d0-7c332bad1d24"]},{"id":"ITEM-3","itemData":{"author":[{"dropping-particle":"","family":"Maftei","given":"Oana","non-dropping-particle":"","parse-names":false,"suffix":""},{"dropping-particle":"","family":"Pena","given":"Alexia S.","non-dropping-particle":"","parse-names":false,"suffix":""},{"dropping-particle":"","family":"Sullivan","given":"Thomas","non-dropping-particle":"","parse-names":false,"suffix":""},{"dropping-particle":"","family":"Jones","given":"Timothy W.","non-dropping-particle":"","parse-names":false,"suffix":""},{"dropping-particle":"","family":"Donaghue","given":"Kim C.","non-dropping-particle":"","parse-names":false,"suffix":""},{"dropping-particle":"","family":"Cameron","given":"Fergus J.","non-dropping-particle":"","parse-names":false,"suffix":""},{"dropping-particle":"","family":"Davis","given":"Elizabeth","non-dropping-particle":"","parse-names":false,"suffix":""},{"dropping-particle":"","family":"Cotterill","given":"Andrew","non-dropping-particle":"","parse-names":false,"suffix":""},{"dropping-particle":"","family":"Craig","given":"Maria E.","non-dropping-particle":"","parse-names":false,"suffix":""},{"dropping-particle":"","family":"Gent","given":"Roger","non-dropping-particle":"","parse-names":false,"suffix":""},{"dropping-particle":"","family":"Dalton","given":"Neil","non-dropping-particle":"","parse-names":false,"suffix":""},{"dropping-particle":"","family":"Daneman","given":"Denis","non-dropping-particle":"","parse-names":false,"suffix":""},{"dropping-particle":"","family":"Dunger","given":"David","non-dropping-particle":"","parse-names":false,"suffix":""},{"dropping-particle":"","family":"Deanfield","given":"John","non-dropping-particle":"","parse-names":false,"suffix":""},{"dropping-particle":"","family":"Couper","given":"Jenny J.","non-dropping-particle":"","parse-names":false,"suffix":""}],"container-title":"Diabetes Care","id":"ITEM-3","issue":"11","issued":{"date-parts":[["2014"]]},"page":"3069-3075","title":"Early Atherosclerosis Relates to Urinary Albumin Excretion and Cardiovascular Risk Factors in Adolescents With Type 1 Diabetes: Adolescent Type 1 Diabetes cardio-renal Intervention Trial (AdDIT)","type":"article-journal","volume":"37"},"uris":["http://www.mendeley.com/documents/?uuid=c1c50156-99bc-303d-bf81-5c85451ada20"]}],"mendeley":{"formattedCitation":"&lt;sup&gt;4,6,39&lt;/sup&gt;","plainTextFormattedCitation":"4,6,39","previouslyFormattedCitation":"&lt;sup&gt;4,6,39&lt;/sup&gt;"},"properties":{"noteIndex":0},"schema":"https://github.com/citation-style-language/schema/raw/master/csl-citation.json"}</w:instrText>
      </w:r>
      <w:r w:rsidRPr="00DD0ED2">
        <w:fldChar w:fldCharType="separate"/>
      </w:r>
      <w:r w:rsidR="00DD0ED2" w:rsidRPr="00DD0ED2">
        <w:rPr>
          <w:noProof/>
          <w:vertAlign w:val="superscript"/>
        </w:rPr>
        <w:t>4,6,39</w:t>
      </w:r>
      <w:r w:rsidRPr="00DD0ED2">
        <w:fldChar w:fldCharType="end"/>
      </w:r>
      <w:r w:rsidRPr="00DD0ED2">
        <w:t>, as well as its established ability to predict future adverse CVD events</w:t>
      </w:r>
      <w:r w:rsidRPr="00DD0ED2">
        <w:fldChar w:fldCharType="begin" w:fldLock="1"/>
      </w:r>
      <w:r w:rsidR="00DD0ED2" w:rsidRPr="00DD0ED2">
        <w:instrText>ADDIN CSL_CITATION {"citationItems":[{"id":"ITEM-1","itemData":{"abstract":"BACKGROUND Endothelial dysfunction plays a pivotal role in cardiovascular disease progression, and is associated with adverse events. The purpose of this systematic review and meta-analysis was to investigate the prognostic magnitude of noninvasive peripheral endothelial function tests, brachial artery flow-mediated dilation (FMD), and reactive hyperemia--peripheral arterial tonometry (RH-PAT) for future cardiovascular events. METHODS AND RESULTS Databases of MEDLINE, EMBASE, and the Cochrane Library were systematically searched. Clinical studies reporting the predictive value of FMD or RH-PAT for cardiovascular events were identified. Two authors selected studies and extracted data independently. Pooled effects were calculated as risk ratio (RR) for continuous value of FMD and natural logarithm of RH-PAT index (Ln_RHI) using random-effects models. Thirty-five FMD studies of 17 280 participants and 6 RH-PAT studies of 1602 participants were included in the meta-analysis. Both endothelial function tests significantly predicted cardiovascular events (adjusted relative risk [95% CI]: 1% increase in FMD 0.88 [0.84-0.91], P&lt;0.001, 0.1 increase in Ln_RHI 0.79 [0.71-0.87], P&lt;0.001). There was significant heterogeneity in the magnitude of the association across studies. The magnitude of the prognostic value in cardiovascular disease subjects was comparable between these 2 methods; a 1 SD worsening in endothelial function was associated with doubled cardiovascular risk. CONCLUSIONS Noninvasive peripheral endothelial function tests, FMD and RH-PAT, significantly predicted cardiovascular events, with similar prognostic magnitude. Further research is required to determine whether the prognostic values of these 2 methods are independent of each other and whether an endothelial function-guided strategy can provide benefit in improving cardiovascular outcomes.","author":[{"dropping-particle":"","family":"Matsuzawa","given":"Y.","non-dropping-particle":"","parse-names":false,"suffix":""},{"dropping-particle":"","family":"Kwon","given":"T.-G.","non-dropping-particle":"","parse-names":false,"suffix":""},{"dropping-particle":"","family":"Lennon","given":"R. J.","non-dropping-particle":"","parse-names":false,"suffix":""},{"dropping-particle":"","family":"Lerman","given":"L. O.","non-dropping-particle":"","parse-names":false,"suffix":""},{"dropping-particle":"","family":"Lerman","given":"A.","non-dropping-particle":"","parse-names":false,"suffix":""}],"container-title":"Journal of the American Heart Association","id":"ITEM-1","issue":"11","issued":{"date-parts":[["2015"]]},"title":"Prognostic Value of Flow-Mediated Vasodilation in Brachial Artery and Fingertip Artery for Cardiovascular Events: A Systematic Review and Meta-Analysis","type":"article-journal","volume":"4"},"uris":["http://www.mendeley.com/documents/?uuid=fe3a578b-9a50-3cff-a3d1-8cf862107341"]}],"mendeley":{"formattedCitation":"&lt;sup&gt;42&lt;/sup&gt;","plainTextFormattedCitation":"42","previouslyFormattedCitation":"&lt;sup&gt;42&lt;/sup&gt;"},"properties":{"noteIndex":0},"schema":"https://github.com/citation-style-language/schema/raw/master/csl-citation.json"}</w:instrText>
      </w:r>
      <w:r w:rsidRPr="00DD0ED2">
        <w:fldChar w:fldCharType="separate"/>
      </w:r>
      <w:r w:rsidR="00DD0ED2" w:rsidRPr="00DD0ED2">
        <w:rPr>
          <w:noProof/>
          <w:vertAlign w:val="superscript"/>
        </w:rPr>
        <w:t>42</w:t>
      </w:r>
      <w:r w:rsidRPr="00DD0ED2">
        <w:fldChar w:fldCharType="end"/>
      </w:r>
      <w:r w:rsidRPr="00DD0ED2">
        <w:t xml:space="preserve">. </w:t>
      </w:r>
      <w:r w:rsidR="00342625" w:rsidRPr="00DD0ED2">
        <w:t>While</w:t>
      </w:r>
      <w:r w:rsidR="004A3E40" w:rsidRPr="00DD0ED2">
        <w:t xml:space="preserve"> previous studies in this age group</w:t>
      </w:r>
      <w:r w:rsidR="00342625" w:rsidRPr="00DD0ED2">
        <w:t xml:space="preserve"> have reported a modest decrease in FMD (~1%) in adolescents with type 1 diabetes compared to healthy controls</w:t>
      </w:r>
      <w:r w:rsidR="004A3E40" w:rsidRPr="00DD0ED2">
        <w:fldChar w:fldCharType="begin" w:fldLock="1"/>
      </w:r>
      <w:r w:rsidR="00DD0ED2" w:rsidRPr="00DD0ED2">
        <w:instrText>ADDIN CSL_CITATION {"citationItems":[{"id":"ITEM-1","itemData":{"author":[{"dropping-particle":"","family":"Maftei","given":"Oana","non-dropping-particle":"","parse-names":false,"suffix":""},{"dropping-particle":"","family":"Pena","given":"Alexia S.","non-dropping-particle":"","parse-names":false,"suffix":""},{"dropping-particle":"","family":"Sullivan","given":"Thomas","non-dropping-particle":"","parse-names":false,"suffix":""},{"dropping-particle":"","family":"Jones","given":"Timothy W.","non-dropping-particle":"","parse-names":false,"suffix":""},{"dropping-particle":"","family":"Donaghue","given":"Kim C.","non-dropping-particle":"","parse-names":false,"suffix":""},{"dropping-particle":"","family":"Cameron","given":"Fergus J.","non-dropping-particle":"","parse-names":false,"suffix":""},{"dropping-particle":"","family":"Davis","given":"Elizabeth","non-dropping-particle":"","parse-names":false,"suffix":""},{"dropping-particle":"","family":"Cotterill","given":"Andrew","non-dropping-particle":"","parse-names":false,"suffix":""},{"dropping-particle":"","family":"Craig","given":"Maria E.","non-dropping-particle":"","parse-names":false,"suffix":""},{"dropping-particle":"","family":"Gent","given":"Roger","non-dropping-particle":"","parse-names":false,"suffix":""},{"dropping-particle":"","family":"Dalton","given":"Neil","non-dropping-particle":"","parse-names":false,"suffix":""},{"dropping-particle":"","family":"Daneman","given":"Denis","non-dropping-particle":"","parse-names":false,"suffix":""},{"dropping-particle":"","family":"Dunger","given":"David","non-dropping-particle":"","parse-names":false,"suffix":""},{"dropping-particle":"","family":"Deanfield","given":"John","non-dropping-particle":"","parse-names":false,"suffix":""},{"dropping-particle":"","family":"Couper","given":"Jenny J.","non-dropping-particle":"","parse-names":false,"suffix":""}],"container-title":"Diabetes Care","id":"ITEM-1","issue":"11","issued":{"date-parts":[["2014"]]},"page":"3069-3075","title":"Early Atherosclerosis Relates to Urinary Albumin Excretion and Cardiovascular Risk Factors in Adolescents With Type 1 Diabetes: Adolescent Type 1 Diabetes cardio-renal Intervention Trial (AdDIT)","type":"article-journal","volume":"37"},"uris":["http://www.mendeley.com/documents/?uuid=c1c50156-99bc-303d-bf81-5c85451ada20"]}],"mendeley":{"formattedCitation":"&lt;sup&gt;4&lt;/sup&gt;","plainTextFormattedCitation":"4","previouslyFormattedCitation":"&lt;sup&gt;4&lt;/sup&gt;"},"properties":{"noteIndex":0},"schema":"https://github.com/citation-style-language/schema/raw/master/csl-citation.json"}</w:instrText>
      </w:r>
      <w:r w:rsidR="004A3E40" w:rsidRPr="00DD0ED2">
        <w:fldChar w:fldCharType="separate"/>
      </w:r>
      <w:r w:rsidR="00DD0ED2" w:rsidRPr="00DD0ED2">
        <w:rPr>
          <w:noProof/>
          <w:vertAlign w:val="superscript"/>
        </w:rPr>
        <w:t>4</w:t>
      </w:r>
      <w:r w:rsidR="004A3E40" w:rsidRPr="00DD0ED2">
        <w:fldChar w:fldCharType="end"/>
      </w:r>
      <w:r w:rsidR="004A3E40" w:rsidRPr="00DD0ED2">
        <w:t>, we observed</w:t>
      </w:r>
      <w:r w:rsidRPr="00DD0ED2">
        <w:t xml:space="preserve"> no </w:t>
      </w:r>
      <w:r w:rsidR="004A3E40" w:rsidRPr="00DD0ED2">
        <w:t xml:space="preserve">overall </w:t>
      </w:r>
      <w:r w:rsidRPr="00DD0ED2">
        <w:t xml:space="preserve">difference in </w:t>
      </w:r>
      <w:r w:rsidR="004A3E40" w:rsidRPr="00DD0ED2">
        <w:t>this particular cohort. However, when stratifying patient by levels of HDL and inflammation,</w:t>
      </w:r>
      <w:r w:rsidRPr="00DD0ED2">
        <w:t xml:space="preserve"> we observed a </w:t>
      </w:r>
      <w:r w:rsidR="00342625" w:rsidRPr="00DD0ED2">
        <w:t xml:space="preserve">substantially greater </w:t>
      </w:r>
      <w:r w:rsidRPr="00DD0ED2">
        <w:t>decrease</w:t>
      </w:r>
      <w:r w:rsidR="00342625" w:rsidRPr="00DD0ED2">
        <w:t xml:space="preserve"> in</w:t>
      </w:r>
      <w:r w:rsidRPr="00DD0ED2">
        <w:t xml:space="preserve"> FMD</w:t>
      </w:r>
      <w:r w:rsidR="00960308" w:rsidRPr="00DD0ED2">
        <w:t xml:space="preserve"> </w:t>
      </w:r>
      <w:r w:rsidR="00342625" w:rsidRPr="00DD0ED2">
        <w:t>(~ 2.5–3%)</w:t>
      </w:r>
      <w:r w:rsidRPr="00DD0ED2">
        <w:t xml:space="preserve"> </w:t>
      </w:r>
      <w:r w:rsidR="00342625" w:rsidRPr="00DD0ED2">
        <w:t xml:space="preserve">occurring </w:t>
      </w:r>
      <w:r w:rsidRPr="00DD0ED2">
        <w:t xml:space="preserve">only in patients with a combination of high HDL levels (range 1.5–2.5 mmol/l) and a high inflammatory risk score, when compared to all other groups. These changes occurred </w:t>
      </w:r>
      <w:r w:rsidR="00C718EC" w:rsidRPr="00DD0ED2">
        <w:t>predominantly</w:t>
      </w:r>
      <w:r w:rsidRPr="00DD0ED2">
        <w:t xml:space="preserve"> in the group with elevated ACR, and were accompanied by evidence of decreased HDL-mediated NO bioavailability and increased SO production. These findings suggest that in this high-risk group of adolescents, increased levels of HDL and systemic inflammation may interact to compromise vascular health.</w:t>
      </w:r>
    </w:p>
    <w:p w:rsidR="003E52DE" w:rsidRPr="00DD0ED2" w:rsidRDefault="003E52DE" w:rsidP="003E52DE">
      <w:pPr>
        <w:jc w:val="both"/>
        <w:rPr>
          <w:color w:val="000000" w:themeColor="text1"/>
        </w:rPr>
      </w:pPr>
      <w:r w:rsidRPr="00DD0ED2">
        <w:rPr>
          <w:color w:val="000000" w:themeColor="text1"/>
        </w:rPr>
        <w:t>This study is not without its limitations.</w:t>
      </w:r>
      <w:r w:rsidR="00B057B9" w:rsidRPr="00DD0ED2">
        <w:rPr>
          <w:color w:val="000000" w:themeColor="text1"/>
        </w:rPr>
        <w:t xml:space="preserve"> </w:t>
      </w:r>
      <w:r w:rsidR="000C3ECB" w:rsidRPr="00DD0ED2">
        <w:rPr>
          <w:color w:val="000000" w:themeColor="text1"/>
        </w:rPr>
        <w:t>Firstly, results from this study suggested that adolescent females with type 1 diabetes were those most likely to have a high H</w:t>
      </w:r>
      <w:r w:rsidR="000214AB" w:rsidRPr="00DD0ED2">
        <w:rPr>
          <w:color w:val="000000" w:themeColor="text1"/>
        </w:rPr>
        <w:t xml:space="preserve">DL/high inflammation phenotype, </w:t>
      </w:r>
      <w:r w:rsidR="000C3ECB" w:rsidRPr="00DD0ED2">
        <w:rPr>
          <w:color w:val="000000" w:themeColor="text1"/>
        </w:rPr>
        <w:t xml:space="preserve">and therefore decreased FMD. These findings are similar to those reported </w:t>
      </w:r>
      <w:r w:rsidR="000214AB" w:rsidRPr="00DD0ED2">
        <w:rPr>
          <w:color w:val="000000" w:themeColor="text1"/>
        </w:rPr>
        <w:t>previously</w:t>
      </w:r>
      <w:r w:rsidR="007C5C03" w:rsidRPr="00DD0ED2">
        <w:rPr>
          <w:color w:val="000000" w:themeColor="text1"/>
        </w:rPr>
        <w:t xml:space="preserve"> </w:t>
      </w:r>
      <w:r w:rsidR="000C3ECB" w:rsidRPr="00DD0ED2">
        <w:rPr>
          <w:color w:val="000000" w:themeColor="text1"/>
        </w:rPr>
        <w:t>in which adult females with type 1 diabetes and high levels of HDL-c were found to be at an elevated risk for CAD</w:t>
      </w:r>
      <w:r w:rsidR="000C3ECB" w:rsidRPr="00DD0ED2">
        <w:rPr>
          <w:color w:val="000000" w:themeColor="text1"/>
        </w:rPr>
        <w:fldChar w:fldCharType="begin" w:fldLock="1"/>
      </w:r>
      <w:r w:rsidR="00DD0ED2" w:rsidRPr="00DD0ED2">
        <w:rPr>
          <w:color w:val="000000" w:themeColor="text1"/>
        </w:rPr>
        <w:instrText>ADDIN CSL_CITATION {"citationItems":[{"id":"ITEM-1","itemData":{"abstract":"Background: Recent data suggest that highly elevated high-density lipoprotein cholesterol (HDL-C) may not always protect against cardiovascular disease. To what degree this is true in type 1 diabetes is unknown, although cardiovascular risk is increased despite elevated mean HDL-C. Objective: To reassess the association between HDL-C and its subfractions with coronary artery disease (CAD) in childhood-onset type 1 diabetes. Methods: Epidemiology of Diabetes Complications study participants free of CAD at baseline (301 men, 298 women; mean age, 27.1 and diabetes duration, 18.9 years) were studied. CAD was defined as angina, ischemic electrocardiogram changes, confirmed myocardial infarction, angiographic stenosis ≥50%, revascularization, or CAD death. Cholesterol in the HDL fraction and HDL3 cholesterol subfraction was measured enzymatically after precipitation with heparin/manganese and dextran sulfate, respectively. Results: During 18 years of follow-up, 29.5% of men and 25.5% of women developed CAD. Although a linear decrease in incidence was observed with increasing HDL-C concentration in men, incidence increased in women at less than 47 mg/dL and greater than 80 mg/dL. These patterns largely reflected the HDL3 cholesterol-CAD association. After multivariable adjustment, the linear, inverse, HDL-C/CAD association persisted in men (hazard ratio [HR] 0.97, 95% confidence interval [CI] 0.94-0.99); in women, the U-shaped relationship lost significance. HDL3 cholesterol remained multivariably associated with CAD in both men (linear association, P =.03) and women (HR 2.31 (95% CI 1.31-4.08) and HR 1.80 (95% CI 1.01-3.23) for the lowest and highest versus the middle quintiles, respectively). Conclusion: The increased CAD risk in women for an HDL-C &gt;80 mg/dL in type 1 diabetes merits further study. Gender specificity could not be determined as only two men had HDL-C &gt;80 mg/dL. © 2011 National Lipid Association. All rights reserved.","author":[{"dropping-particle":"","family":"Costacou","given":"Tina","non-dropping-particle":"","parse-names":false,"suffix":""},{"dropping-particle":"","family":"Evans","given":"Rhobert W.","non-dropping-particle":"","parse-names":false,"suffix":""},{"dropping-particle":"","family":"Orchard","given":"Trevor J.","non-dropping-particle":"","parse-names":false,"suffix":""}],"container-title":"Journal of Clinical Lipidology","id":"ITEM-1","issue":"5","issued":{"date-parts":[["2011"]]},"page":"387-394","title":"High-density lipoprotein cholesterol in diabetes: Is higher always better?","type":"article-journal","volume":"5"},"uris":["http://www.mendeley.com/documents/?uuid=6208759d-ba1c-4dfb-9430-bd4202517c28"]}],"mendeley":{"formattedCitation":"&lt;sup&gt;34&lt;/sup&gt;","plainTextFormattedCitation":"34","previouslyFormattedCitation":"&lt;sup&gt;34&lt;/sup&gt;"},"properties":{"noteIndex":0},"schema":"https://github.com/citation-style-language/schema/raw/master/csl-citation.json"}</w:instrText>
      </w:r>
      <w:r w:rsidR="000C3ECB" w:rsidRPr="00DD0ED2">
        <w:rPr>
          <w:color w:val="000000" w:themeColor="text1"/>
        </w:rPr>
        <w:fldChar w:fldCharType="separate"/>
      </w:r>
      <w:r w:rsidR="00DD0ED2" w:rsidRPr="00DD0ED2">
        <w:rPr>
          <w:noProof/>
          <w:color w:val="000000" w:themeColor="text1"/>
          <w:vertAlign w:val="superscript"/>
        </w:rPr>
        <w:t>34</w:t>
      </w:r>
      <w:r w:rsidR="000C3ECB" w:rsidRPr="00DD0ED2">
        <w:rPr>
          <w:color w:val="000000" w:themeColor="text1"/>
        </w:rPr>
        <w:fldChar w:fldCharType="end"/>
      </w:r>
      <w:r w:rsidR="000C3ECB" w:rsidRPr="00DD0ED2">
        <w:rPr>
          <w:color w:val="000000" w:themeColor="text1"/>
        </w:rPr>
        <w:t>. This</w:t>
      </w:r>
      <w:r w:rsidR="007C5C03" w:rsidRPr="00DD0ED2">
        <w:rPr>
          <w:color w:val="000000" w:themeColor="text1"/>
        </w:rPr>
        <w:t xml:space="preserve"> study was not powered to investigate sex-specific outcomes</w:t>
      </w:r>
      <w:r w:rsidR="000C3ECB" w:rsidRPr="00DD0ED2">
        <w:rPr>
          <w:color w:val="000000" w:themeColor="text1"/>
        </w:rPr>
        <w:t>, however, and further research in this field is therefore warranted.</w:t>
      </w:r>
      <w:r w:rsidRPr="00DD0ED2">
        <w:rPr>
          <w:color w:val="000000" w:themeColor="text1"/>
        </w:rPr>
        <w:t xml:space="preserve"> Due to the cross-sectional nature of the study, it is not possible to determine the direction of causality between the observed associations, and further interventional studies will be required in order to address these issues. Such studies might include the study of the incorporation of acute phase proteins such as serum amyloid-a</w:t>
      </w:r>
      <w:r w:rsidRPr="00DD0ED2">
        <w:rPr>
          <w:color w:val="000000" w:themeColor="text1"/>
        </w:rPr>
        <w:fldChar w:fldCharType="begin" w:fldLock="1"/>
      </w:r>
      <w:r w:rsidR="00DD0ED2" w:rsidRPr="00DD0ED2">
        <w:rPr>
          <w:color w:val="000000" w:themeColor="text1"/>
        </w:rPr>
        <w:instrText>ADDIN CSL_CITATION {"citationItems":[{"id":"ITEM-1","itemData":{"author":[{"dropping-particle":"","family":"Zewinger","given":"Stephen","non-dropping-particle":"","parse-names":false,"suffix":""},{"dropping-particle":"","family":"Drechsler","given":"Christiane","non-dropping-particle":"","parse-names":false,"suffix":""},{"dropping-particle":"","family":"Kleber","given":"Marcus E.","non-dropping-particle":"","parse-names":false,"suffix":""},{"dropping-particle":"","family":"Dressel","given":"Alexander","non-dropping-particle":"","parse-names":false,"suffix":""},{"dropping-particle":"","family":"Riffel","given":"Julia","non-dropping-particle":"","parse-names":false,"suffix":""},{"dropping-particle":"","family":"Triem","given":"Sarah","non-dropping-particle":"","parse-names":false,"suffix":""},{"dropping-particle":"","family":"Lehmann","given":"Marlene","non-dropping-particle":"","parse-names":false,"suffix":""},{"dropping-particle":"","family":"Kopecky","given":"Chantal","non-dropping-particle":"","parse-names":false,"suffix":""},{"dropping-particle":"","family":"Säemann","given":"Marcus D.","non-dropping-particle":"","parse-names":false,"suffix":""},{"dropping-particle":"","family":"Lepper","given":"Philipp M.","non-dropping-particle":"","parse-names":false,"suffix":""},{"dropping-particle":"","family":"Silbernagel","given":"Günther","non-dropping-particle":"","parse-names":false,"suffix":""},{"dropping-particle":"","family":"Scharnagl","given":"Hubert","non-dropping-particle":"","parse-names":false,"suffix":""},{"dropping-particle":"","family":"Ritsch","given":"Andreas","non-dropping-particle":"","parse-names":false,"suffix":""},{"dropping-particle":"","family":"Thorand","given":"Barbara","non-dropping-particle":"","parse-names":false,"suffix":""},{"dropping-particle":"","family":"las Heras Gala","given":"Tonia","non-dropping-particle":"de","parse-names":false,"suffix":""},{"dropping-particle":"","family":"Wagenpfeil","given":"Stefan","non-dropping-particle":"","parse-names":false,"suffix":""},{"dropping-particle":"","family":"Koenig","given":"Wolfgang","non-dropping-particle":"","parse-names":false,"suffix":""},{"dropping-particle":"","family":"Peters","given":"Annette","non-dropping-particle":"","parse-names":false,"suffix":""},{"dropping-particle":"","family":"Laufs","given":"Ulrich","non-dropping-particle":"","parse-names":false,"suffix":""},{"dropping-particle":"","family":"Wanner","given":"Christoph","non-dropping-particle":"","parse-names":false,"suffix":""},{"dropping-particle":"","family":"Fliser","given":"Danilo","non-dropping-particle":"","parse-names":false,"suffix":""},{"dropping-particle":"","family":"Speer","given":"Thimoteus","non-dropping-particle":"","parse-names":false,"suffix":""},{"dropping-particle":"","family":"März","given":"Winfried","non-dropping-particle":"","parse-names":false,"suffix":""}],"container-title":"European Heart Journal","id":"ITEM-1","issued":{"date-parts":[["2015"]]},"page":"3007-3016","title":"Serum amyloid A: high-density lipoproteins interaction and cardiovascular risk","type":"article-journal","volume":"36"},"uris":["http://www.mendeley.com/documents/?uuid=dca40060-8c46-3130-a626-a4cdf9ee4136"]}],"mendeley":{"formattedCitation":"&lt;sup&gt;19&lt;/sup&gt;","plainTextFormattedCitation":"19","previouslyFormattedCitation":"&lt;sup&gt;19&lt;/sup&gt;"},"properties":{"noteIndex":0},"schema":"https://github.com/citation-style-language/schema/raw/master/csl-citation.json"}</w:instrText>
      </w:r>
      <w:r w:rsidRPr="00DD0ED2">
        <w:rPr>
          <w:color w:val="000000" w:themeColor="text1"/>
        </w:rPr>
        <w:fldChar w:fldCharType="separate"/>
      </w:r>
      <w:r w:rsidR="00DD0ED2" w:rsidRPr="00DD0ED2">
        <w:rPr>
          <w:noProof/>
          <w:color w:val="000000" w:themeColor="text1"/>
          <w:vertAlign w:val="superscript"/>
        </w:rPr>
        <w:t>19</w:t>
      </w:r>
      <w:r w:rsidRPr="00DD0ED2">
        <w:rPr>
          <w:color w:val="000000" w:themeColor="text1"/>
        </w:rPr>
        <w:fldChar w:fldCharType="end"/>
      </w:r>
      <w:r w:rsidRPr="00DD0ED2">
        <w:rPr>
          <w:color w:val="000000" w:themeColor="text1"/>
        </w:rPr>
        <w:t>, and symmetric dimethylarginine</w:t>
      </w:r>
      <w:r w:rsidRPr="00DD0ED2">
        <w:rPr>
          <w:color w:val="000000" w:themeColor="text1"/>
        </w:rPr>
        <w:fldChar w:fldCharType="begin" w:fldLock="1"/>
      </w:r>
      <w:r w:rsidR="00DD0ED2" w:rsidRPr="00DD0ED2">
        <w:rPr>
          <w:color w:val="000000" w:themeColor="text1"/>
        </w:rPr>
        <w:instrText>ADDIN CSL_CITATION {"citationItems":[{"id":"ITEM-1","itemData":{"abstract":"Aims The vascular effects of high-density lipoproteins (HDL) differ under certain clinical conditions. The composition of HDL is modified in patients with chronic kidney disease (CKD). As a consequence, uremic HDL induces endothelial dysfunction. We have previously shown that accumulation of symmetric dimethylarginine (SDMA) in HDL causes these adverse effects of HDL in CKD. The aim of the study is to determine the impact of the accumulation of SDMA on the association between HDL and mortality. Methods and results Mortality, renal function, serum SDMA and HDL-cholesterol (HDL-C) were assessed in the LURIC study including 3310 subjects undergoing coronary angiography. All-cause mortality was 30.0% during median follow-up of 9.9 years. Serum SDMA levels significantly predicted all-cause and cardiovascular mortality, and were significantly correlated with SDMA accumulation in HDL. Notably, higher serum SDMA was independently associated with lower cholesterol efflux (P = 0.004) as a measure of HDL functionality. In subjects with low SDMA levels, higher HDL-C was associated with significantly lower mortality. In contrast, in subjects with high SDMA, HDL-C was associated with higher mortality. These findings were confirmed in 1424 participants of the MONICA/KORA S3 cohort. Of note, we derived an algorithm allowing for calculation of biologically effective HDL-C' based on measured HDL-C and SDMA. We corroborated these clinical findings with invitro evidence showing that SDMA accumulation abolishes the anti-inflammatory and regenerative properties of HDL. Conclusion The data identify SDMA as a marker of HDL dysfunction. These findings highlight on the pivotal role of SDMA accumulation in HDL as a mediator of pre-mature cardiovascular disease in patients with CKD.","author":[{"dropping-particle":"","family":"Zewinger","given":"Stephen","non-dropping-particle":"","parse-names":false,"suffix":""},{"dropping-particle":"","family":"Kleber","given":"Marcus E.","non-dropping-particle":"","parse-names":false,"suffix":""},{"dropping-particle":"","family":"Rohrer","given":"Lucia","non-dropping-particle":"","parse-names":false,"suffix":""},{"dropping-particle":"","family":"Lehmann","given":"Marlene","non-dropping-particle":"","parse-names":false,"suffix":""},{"dropping-particle":"","family":"Triem","given":"Sarah","non-dropping-particle":"","parse-names":false,"suffix":""},{"dropping-particle":"","family":"Jennings","given":"Richard T.","non-dropping-particle":"","parse-names":false,"suffix":""},{"dropping-particle":"","family":"Petrakis","given":"Ioannis","non-dropping-particle":"","parse-names":false,"suffix":""},{"dropping-particle":"","family":"Dressel","given":"Alexander","non-dropping-particle":"","parse-names":false,"suffix":""},{"dropping-particle":"","family":"Lepper","given":"Philipp M.","non-dropping-particle":"","parse-names":false,"suffix":""},{"dropping-particle":"","family":"Scharnagl","given":"Hubert","non-dropping-particle":"","parse-names":false,"suffix":""},{"dropping-particle":"","family":"Ritsch","given":"Andreas","non-dropping-particle":"","parse-names":false,"suffix":""},{"dropping-particle":"","family":"Thorand","given":"Barbara","non-dropping-particle":"","parse-names":false,"suffix":""},{"dropping-particle":"","family":"Heier","given":"Margit","non-dropping-particle":"","parse-names":false,"suffix":""},{"dropping-particle":"","family":"Meisinger","given":"Christa","non-dropping-particle":"","parse-names":false,"suffix":""},{"dropping-particle":"","family":"las Heras Gala","given":"Tonia","non-dropping-particle":"de","parse-names":false,"suffix":""},{"dropping-particle":"","family":"Koenig","given":"Wolfgang","non-dropping-particle":"","parse-names":false,"suffix":""},{"dropping-particle":"","family":"Wagenpfeil","given":"Stefan","non-dropping-particle":"","parse-names":false,"suffix":""},{"dropping-particle":"","family":"Schwedhelm","given":"Edzard","non-dropping-particle":"","parse-names":false,"suffix":""},{"dropping-particle":"","family":"Böger","given":"Rainer H.","non-dropping-particle":"","parse-names":false,"suffix":""},{"dropping-particle":"","family":"Laufs","given":"Ulrich","non-dropping-particle":"","parse-names":false,"suffix":""},{"dropping-particle":"","family":"Eckardstein","given":"Arnold","non-dropping-particle":"von","parse-names":false,"suffix":""},{"dropping-particle":"","family":"Landmesser","given":"Ulf","non-dropping-particle":"","parse-names":false,"suffix":""},{"dropping-particle":"","family":"Lüscher","given":"Thomas F.","non-dropping-particle":"","parse-names":false,"suffix":""},{"dropping-particle":"","family":"Fliser","given":"Danilo","non-dropping-particle":"","parse-names":false,"suffix":""},{"dropping-particle":"","family":"März","given":"Winfried","non-dropping-particle":"","parse-names":false,"suffix":""},{"dropping-particle":"","family":"Meinitzer","given":"Andreas","non-dropping-particle":"","parse-names":false,"suffix":""},{"dropping-particle":"","family":"Speer","given":"Thimoteus","non-dropping-particle":"","parse-names":false,"suffix":""}],"container-title":"European Heart Journal","id":"ITEM-1","issue":"20","issued":{"date-parts":[["2017"]]},"page":"1597-1607","title":"Symmetric dimethylarginine, high-density lipoproteins and cardiovascular disease","type":"article-journal","volume":"38"},"uris":["http://www.mendeley.com/documents/?uuid=7611200b-7a0c-3102-9f2a-bc7157b27252"]}],"mendeley":{"formattedCitation":"&lt;sup&gt;29&lt;/sup&gt;","plainTextFormattedCitation":"29","previouslyFormattedCitation":"&lt;sup&gt;29&lt;/sup&gt;"},"properties":{"noteIndex":0},"schema":"https://github.com/citation-style-language/schema/raw/master/csl-citation.json"}</w:instrText>
      </w:r>
      <w:r w:rsidRPr="00DD0ED2">
        <w:rPr>
          <w:color w:val="000000" w:themeColor="text1"/>
        </w:rPr>
        <w:fldChar w:fldCharType="separate"/>
      </w:r>
      <w:r w:rsidR="00DD0ED2" w:rsidRPr="00DD0ED2">
        <w:rPr>
          <w:noProof/>
          <w:color w:val="000000" w:themeColor="text1"/>
          <w:vertAlign w:val="superscript"/>
        </w:rPr>
        <w:t>29</w:t>
      </w:r>
      <w:r w:rsidRPr="00DD0ED2">
        <w:rPr>
          <w:color w:val="000000" w:themeColor="text1"/>
        </w:rPr>
        <w:fldChar w:fldCharType="end"/>
      </w:r>
      <w:r w:rsidRPr="00DD0ED2">
        <w:rPr>
          <w:color w:val="000000" w:themeColor="text1"/>
        </w:rPr>
        <w:t xml:space="preserve"> into the HDL particle, as these are widely believed to underlie compositional and functional changes, and are commonly used to stratify inflammatory risk. Although these additional specific measures were not included in the study design, we still believe our results are robust and the findings should inform future evaluation of HDL levels in young people with type 1 diabetes. The addition of a pre-established age- and disease-specific inflammatory risk score could also provide a sensitive measure of systemic inflammation in this cohort. Likewise, the use of a standardised ACR measure designed and validated by our group</w:t>
      </w:r>
      <w:r w:rsidRPr="00DD0ED2">
        <w:rPr>
          <w:color w:val="000000" w:themeColor="text1"/>
        </w:rPr>
        <w:fldChar w:fldCharType="begin" w:fldLock="1"/>
      </w:r>
      <w:r w:rsidR="00DD0ED2" w:rsidRPr="00DD0ED2">
        <w:rPr>
          <w:color w:val="000000" w:themeColor="text1"/>
        </w:rPr>
        <w:instrText>ADDIN CSL_CITATION {"citationItems":[{"id":"ITEM-1","itemData":{"DOI":"10.1111/j.1464-5491.2006.02047.x","ISSN":"0742-3071","PMID":"17257274","abstract":"AIMS: To determine whether higher than average albumin excretion during early puberty identifies subjects who will subsequently develop microalbuminuria (MA) and clinical proteinuria.\\n\\nMETHODS: Longitudinal data from the Oxford Regional Prospective Study of Childhood Diabetes (ORPS; n = 554, median duration of follow-up 10 years; range 3.0-16.7) with assessment of albumin/creatinine ratios in three early morning urine samples collected annually. An albumin excretion phenotype was derived from longitudinal data, for each individual, defining deviation from the mean of regression models, including covariates gender, age, duration of diabetes and age at assessment. Tracking of the phenotypes was confirmed in a second independent cohort from Perth, Australia.\\n\\nRESULTS: The albumin excretion phenotype showed reasonable correlation between age 11-15 years and age 16-18 years in both cohorts, indicative of good 'tracking'. In the ORPS cohort, tertiles of the albumin excretion phenotype at aged 11-15 years were predictive of subsequent risk for the development of MA. All of the subjects developing clinical proteinuria had an albumin excretion phenotype in the upper tertile or an HbA(1c) &gt; 9% at aged 11-15 years.\\n\\nCONCLUSIONS: Identification of adolescents at risk of diabetic nephropathy using an albumin excretion phenotype is feasible. When combined with elevated HbA(1c), it may identify subjects for trial of early intervention with angiotensin-converting enzyme inhibitors/angiotensin-II receptor antagonists and statins to improve long-term prognosis in these subjects where sustained improvement in glycaemic control may be difficult to achieve.","author":[{"dropping-particle":"","family":"Dunger","given":"D B","non-dropping-particle":"","parse-names":false,"suffix":""},{"dropping-particle":"","family":"Schwarze","given":"C P","non-dropping-particle":"","parse-names":false,"suffix":""},{"dropping-particle":"","family":"Cooper","given":"J D","non-dropping-particle":"","parse-names":false,"suffix":""},{"dropping-particle":"","family":"Widmer","given":"B","non-dropping-particle":"","parse-names":false,"suffix":""},{"dropping-particle":"","family":"Neil","given":"H a W","non-dropping-particle":"","parse-names":false,"suffix":""},{"dropping-particle":"","family":"Shield","given":"J","non-dropping-particle":"","parse-names":false,"suffix":""},{"dropping-particle":"","family":"Edge","given":"J a","non-dropping-particle":"","parse-names":false,"suffix":""},{"dropping-particle":"","family":"Jones","given":"T W","non-dropping-particle":"","parse-names":false,"suffix":""},{"dropping-particle":"","family":"Daneman","given":"D","non-dropping-particle":"","parse-names":false,"suffix":""},{"dropping-particle":"","family":"Dalton","given":"R N","non-dropping-particle":"","parse-names":false,"suffix":""}],"container-title":"Diabetic medicine : a journal of the British Diabetic Association","id":"ITEM-1","issue":"2","issued":{"date-parts":[["2007"]]},"page":"131-6","title":"Can we identify adolescents at high risk for nephropathy before the development of microalbuminuria?","type":"article-journal","volume":"24"},"uris":["http://www.mendeley.com/documents/?uuid=868fe06a-2424-4fd9-8292-c9b9d4ee6164"]}],"mendeley":{"formattedCitation":"&lt;sup&gt;22&lt;/sup&gt;","plainTextFormattedCitation":"22","previouslyFormattedCitation":"&lt;sup&gt;22&lt;/sup&gt;"},"properties":{"noteIndex":0},"schema":"https://github.com/citation-style-language/schema/raw/master/csl-citation.json"}</w:instrText>
      </w:r>
      <w:r w:rsidRPr="00DD0ED2">
        <w:rPr>
          <w:color w:val="000000" w:themeColor="text1"/>
        </w:rPr>
        <w:fldChar w:fldCharType="separate"/>
      </w:r>
      <w:r w:rsidR="00DD0ED2" w:rsidRPr="00DD0ED2">
        <w:rPr>
          <w:noProof/>
          <w:color w:val="000000" w:themeColor="text1"/>
          <w:vertAlign w:val="superscript"/>
        </w:rPr>
        <w:t>22</w:t>
      </w:r>
      <w:r w:rsidRPr="00DD0ED2">
        <w:rPr>
          <w:color w:val="000000" w:themeColor="text1"/>
        </w:rPr>
        <w:fldChar w:fldCharType="end"/>
      </w:r>
      <w:r w:rsidRPr="00DD0ED2">
        <w:rPr>
          <w:color w:val="000000" w:themeColor="text1"/>
        </w:rPr>
        <w:t xml:space="preserve"> would allow  further  investigation of associations between early changes in renal function and HDL function that would not be possible using adult-specific measures such as MA. </w:t>
      </w:r>
    </w:p>
    <w:p w:rsidR="003E52DE" w:rsidRPr="00DD0ED2" w:rsidRDefault="003E52DE" w:rsidP="003E52DE">
      <w:pPr>
        <w:jc w:val="both"/>
        <w:rPr>
          <w:color w:val="000000" w:themeColor="text1"/>
        </w:rPr>
      </w:pPr>
      <w:r w:rsidRPr="00DD0ED2">
        <w:rPr>
          <w:color w:val="000000" w:themeColor="text1"/>
        </w:rPr>
        <w:t xml:space="preserve">In conclusion, this study shows for the first time that early changes in renal function (assessed by ACR) and chronic inflammation are associated with </w:t>
      </w:r>
      <w:r w:rsidR="00843740" w:rsidRPr="00DD0ED2">
        <w:rPr>
          <w:color w:val="000000" w:themeColor="text1"/>
        </w:rPr>
        <w:t>decreased HDL functionality</w:t>
      </w:r>
      <w:r w:rsidRPr="00DD0ED2">
        <w:rPr>
          <w:color w:val="000000" w:themeColor="text1"/>
        </w:rPr>
        <w:t xml:space="preserve"> in adolescents with type 1 diabetes, and that these changes are related to early signs of vascular damage</w:t>
      </w:r>
      <w:r w:rsidR="00AA5C6A" w:rsidRPr="00DD0ED2">
        <w:rPr>
          <w:color w:val="000000" w:themeColor="text1"/>
        </w:rPr>
        <w:t xml:space="preserve"> when HDL-c levels are also high</w:t>
      </w:r>
      <w:r w:rsidRPr="00DD0ED2">
        <w:rPr>
          <w:color w:val="000000" w:themeColor="text1"/>
        </w:rPr>
        <w:t xml:space="preserve">. These findings suggest that increased HDL levels, a common finding in type 1 diabetes, may be detrimental to vascular health when accompanied by renal dysfunction and chronic inflammation. </w:t>
      </w:r>
    </w:p>
    <w:p w:rsidR="003E52DE" w:rsidRPr="00DD0ED2" w:rsidRDefault="003E52DE" w:rsidP="003E52DE">
      <w:pPr>
        <w:jc w:val="both"/>
        <w:rPr>
          <w:b/>
          <w:color w:val="000000" w:themeColor="text1"/>
        </w:rPr>
      </w:pPr>
      <w:r w:rsidRPr="00DD0ED2">
        <w:rPr>
          <w:b/>
          <w:color w:val="000000" w:themeColor="text1"/>
        </w:rPr>
        <w:t>Funding</w:t>
      </w:r>
    </w:p>
    <w:p w:rsidR="003E52DE" w:rsidRPr="00DD0ED2" w:rsidRDefault="003E52DE" w:rsidP="003E52DE">
      <w:pPr>
        <w:jc w:val="both"/>
        <w:rPr>
          <w:color w:val="000000" w:themeColor="text1"/>
        </w:rPr>
      </w:pPr>
      <w:r w:rsidRPr="00DD0ED2">
        <w:rPr>
          <w:color w:val="000000" w:themeColor="text1"/>
        </w:rPr>
        <w:t>The Juvenile Diabetes Research Foundation (JDRF), Diabetes UK (DUK), and the British Heart Foundation (BHF) provide core support for AdDIT. This work was additionally supported by grants from JDRF-CCTN (Juvenile Diabetes Research Fund - Canadian Clinical Trials Network); Heart and Stroke Foundation, Ontario; Canadian Diabetes Association (Diabetes Canada), and a Fondation Leducq Trans-Atlantic Network of Excellence.</w:t>
      </w:r>
    </w:p>
    <w:p w:rsidR="003E52DE" w:rsidRPr="00DD0ED2" w:rsidRDefault="003E52DE" w:rsidP="003E52DE">
      <w:pPr>
        <w:jc w:val="both"/>
        <w:rPr>
          <w:b/>
          <w:color w:val="000000" w:themeColor="text1"/>
        </w:rPr>
      </w:pPr>
      <w:r w:rsidRPr="00DD0ED2">
        <w:rPr>
          <w:b/>
          <w:color w:val="000000" w:themeColor="text1"/>
        </w:rPr>
        <w:t>Acknowledgements</w:t>
      </w:r>
    </w:p>
    <w:p w:rsidR="003E52DE" w:rsidRPr="00DD0ED2" w:rsidRDefault="003E52DE" w:rsidP="003E52DE">
      <w:pPr>
        <w:jc w:val="both"/>
        <w:rPr>
          <w:color w:val="000000" w:themeColor="text1"/>
        </w:rPr>
      </w:pPr>
      <w:r w:rsidRPr="00DD0ED2">
        <w:rPr>
          <w:color w:val="000000" w:themeColor="text1"/>
        </w:rPr>
        <w:t>The authors thank all the participants and their families for their involvement in this study. We also thank the sonographers involved in data collect</w:t>
      </w:r>
      <w:r w:rsidR="00B057B9" w:rsidRPr="00DD0ED2">
        <w:rPr>
          <w:color w:val="000000" w:themeColor="text1"/>
        </w:rPr>
        <w:t>ion (Cameron Slorach and Wei Hui</w:t>
      </w:r>
      <w:r w:rsidRPr="00DD0ED2">
        <w:rPr>
          <w:color w:val="000000" w:themeColor="text1"/>
        </w:rPr>
        <w:t xml:space="preserve">), as well as all nurses and other AdDIT staff involved in patient recruitment and follow-up. </w:t>
      </w:r>
    </w:p>
    <w:p w:rsidR="00A74A85" w:rsidRPr="00DD0ED2" w:rsidRDefault="00A74A85" w:rsidP="003E52DE">
      <w:pPr>
        <w:jc w:val="both"/>
        <w:rPr>
          <w:b/>
          <w:color w:val="000000" w:themeColor="text1"/>
        </w:rPr>
      </w:pPr>
      <w:r w:rsidRPr="00DD0ED2">
        <w:rPr>
          <w:b/>
          <w:color w:val="000000" w:themeColor="text1"/>
        </w:rPr>
        <w:t>Conflict of interest</w:t>
      </w:r>
    </w:p>
    <w:p w:rsidR="00A74A85" w:rsidRPr="00DD0ED2" w:rsidRDefault="00A74A85" w:rsidP="003E52DE">
      <w:pPr>
        <w:jc w:val="both"/>
        <w:rPr>
          <w:color w:val="000000" w:themeColor="text1"/>
        </w:rPr>
      </w:pPr>
      <w:r w:rsidRPr="00DD0ED2">
        <w:rPr>
          <w:color w:val="000000" w:themeColor="text1"/>
        </w:rPr>
        <w:t>None declared</w:t>
      </w:r>
      <w:r w:rsidR="00F12950" w:rsidRPr="00DD0ED2">
        <w:rPr>
          <w:color w:val="000000" w:themeColor="text1"/>
        </w:rPr>
        <w:t>.</w:t>
      </w:r>
    </w:p>
    <w:p w:rsidR="003E52DE" w:rsidRPr="00DD0ED2" w:rsidRDefault="003E52DE" w:rsidP="003E52DE">
      <w:pPr>
        <w:jc w:val="both"/>
        <w:rPr>
          <w:b/>
        </w:rPr>
      </w:pPr>
      <w:r w:rsidRPr="00DD0ED2">
        <w:rPr>
          <w:b/>
        </w:rPr>
        <w:t>References</w:t>
      </w:r>
    </w:p>
    <w:p w:rsidR="00DD0ED2" w:rsidRPr="00DD0ED2" w:rsidRDefault="003E52DE" w:rsidP="00E1267E">
      <w:pPr>
        <w:widowControl w:val="0"/>
        <w:autoSpaceDE w:val="0"/>
        <w:autoSpaceDN w:val="0"/>
        <w:adjustRightInd w:val="0"/>
        <w:spacing w:line="240" w:lineRule="auto"/>
        <w:ind w:left="640" w:hanging="640"/>
        <w:jc w:val="both"/>
        <w:rPr>
          <w:rFonts w:ascii="Calibri" w:hAnsi="Calibri" w:cs="Calibri"/>
          <w:noProof/>
          <w:szCs w:val="24"/>
        </w:rPr>
      </w:pPr>
      <w:r w:rsidRPr="00DD0ED2">
        <w:fldChar w:fldCharType="begin" w:fldLock="1"/>
      </w:r>
      <w:r w:rsidRPr="00DD0ED2">
        <w:instrText xml:space="preserve">ADDIN Mendeley Bibliography CSL_BIBLIOGRAPHY </w:instrText>
      </w:r>
      <w:r w:rsidRPr="00DD0ED2">
        <w:fldChar w:fldCharType="separate"/>
      </w:r>
      <w:r w:rsidR="00DD0ED2" w:rsidRPr="00DD0ED2">
        <w:rPr>
          <w:rFonts w:ascii="Calibri" w:hAnsi="Calibri" w:cs="Calibri"/>
          <w:noProof/>
          <w:szCs w:val="24"/>
        </w:rPr>
        <w:t xml:space="preserve">1. </w:t>
      </w:r>
      <w:r w:rsidR="00DD0ED2" w:rsidRPr="00DD0ED2">
        <w:rPr>
          <w:rFonts w:ascii="Calibri" w:hAnsi="Calibri" w:cs="Calibri"/>
          <w:noProof/>
          <w:szCs w:val="24"/>
        </w:rPr>
        <w:tab/>
        <w:t xml:space="preserve">Secrest AM, Becker DJ, Kelsey SF, Laporte RE, Orchard TJ. Cause-Specific Mortality Trends in a Large Population-Based Cohort with Long-Standing Childhood-Onset Type 1 Diabetes. </w:t>
      </w:r>
      <w:r w:rsidR="00DD0ED2" w:rsidRPr="00DD0ED2">
        <w:rPr>
          <w:rFonts w:ascii="Calibri" w:hAnsi="Calibri" w:cs="Calibri"/>
          <w:i/>
          <w:iCs/>
          <w:noProof/>
          <w:szCs w:val="24"/>
        </w:rPr>
        <w:t>Diabetes</w:t>
      </w:r>
      <w:r w:rsidR="00DD0ED2" w:rsidRPr="00DD0ED2">
        <w:rPr>
          <w:rFonts w:ascii="Calibri" w:hAnsi="Calibri" w:cs="Calibri"/>
          <w:noProof/>
          <w:szCs w:val="24"/>
        </w:rPr>
        <w:t xml:space="preserve"> 2010;</w:t>
      </w:r>
      <w:r w:rsidR="00DD0ED2" w:rsidRPr="00DD0ED2">
        <w:rPr>
          <w:rFonts w:ascii="Calibri" w:hAnsi="Calibri" w:cs="Calibri"/>
          <w:b/>
          <w:bCs/>
          <w:noProof/>
          <w:szCs w:val="24"/>
        </w:rPr>
        <w:t>59</w:t>
      </w:r>
      <w:r w:rsidR="00DD0ED2" w:rsidRPr="00DD0ED2">
        <w:rPr>
          <w:rFonts w:ascii="Calibri" w:hAnsi="Calibri" w:cs="Calibri"/>
          <w:noProof/>
          <w:szCs w:val="24"/>
        </w:rPr>
        <w:t xml:space="preserve">:3216–3222. </w:t>
      </w:r>
    </w:p>
    <w:p w:rsidR="00DD0ED2" w:rsidRPr="00DD0ED2" w:rsidRDefault="00DD0ED2" w:rsidP="00E1267E">
      <w:pPr>
        <w:widowControl w:val="0"/>
        <w:autoSpaceDE w:val="0"/>
        <w:autoSpaceDN w:val="0"/>
        <w:adjustRightInd w:val="0"/>
        <w:spacing w:line="240" w:lineRule="auto"/>
        <w:ind w:left="640" w:hanging="640"/>
        <w:jc w:val="both"/>
        <w:rPr>
          <w:rFonts w:ascii="Calibri" w:hAnsi="Calibri" w:cs="Calibri"/>
          <w:noProof/>
          <w:szCs w:val="24"/>
        </w:rPr>
      </w:pPr>
      <w:r w:rsidRPr="00DD0ED2">
        <w:rPr>
          <w:rFonts w:ascii="Calibri" w:hAnsi="Calibri" w:cs="Calibri"/>
          <w:noProof/>
          <w:szCs w:val="24"/>
        </w:rPr>
        <w:t xml:space="preserve">2. </w:t>
      </w:r>
      <w:r w:rsidRPr="00DD0ED2">
        <w:rPr>
          <w:rFonts w:ascii="Calibri" w:hAnsi="Calibri" w:cs="Calibri"/>
          <w:noProof/>
          <w:szCs w:val="24"/>
        </w:rPr>
        <w:tab/>
        <w:t xml:space="preserve">Rawshani A, Sattar N, Franzén S, Rawshani A, Hattersley AT, Svensson A-M, Eliasson B, Gudbjörnsdottir S. Excess mortality and cardiovascular disease in young adults with type 1 diabetes in relation to age at onset: a nationwide, register-based cohort study. </w:t>
      </w:r>
      <w:r w:rsidRPr="00DD0ED2">
        <w:rPr>
          <w:rFonts w:ascii="Calibri" w:hAnsi="Calibri" w:cs="Calibri"/>
          <w:i/>
          <w:iCs/>
          <w:noProof/>
          <w:szCs w:val="24"/>
        </w:rPr>
        <w:t>Lancet</w:t>
      </w:r>
      <w:r w:rsidRPr="00DD0ED2">
        <w:rPr>
          <w:rFonts w:ascii="Calibri" w:hAnsi="Calibri" w:cs="Calibri"/>
          <w:noProof/>
          <w:szCs w:val="24"/>
        </w:rPr>
        <w:t xml:space="preserve"> 2018;</w:t>
      </w:r>
      <w:r w:rsidRPr="00DD0ED2">
        <w:rPr>
          <w:rFonts w:ascii="Calibri" w:hAnsi="Calibri" w:cs="Calibri"/>
          <w:b/>
          <w:bCs/>
          <w:noProof/>
          <w:szCs w:val="24"/>
        </w:rPr>
        <w:t>392</w:t>
      </w:r>
      <w:r w:rsidRPr="00DD0ED2">
        <w:rPr>
          <w:rFonts w:ascii="Calibri" w:hAnsi="Calibri" w:cs="Calibri"/>
          <w:noProof/>
          <w:szCs w:val="24"/>
        </w:rPr>
        <w:t xml:space="preserve">:477–486. </w:t>
      </w:r>
    </w:p>
    <w:p w:rsidR="00DD0ED2" w:rsidRPr="00DD0ED2" w:rsidRDefault="00DD0ED2" w:rsidP="00E1267E">
      <w:pPr>
        <w:widowControl w:val="0"/>
        <w:autoSpaceDE w:val="0"/>
        <w:autoSpaceDN w:val="0"/>
        <w:adjustRightInd w:val="0"/>
        <w:spacing w:line="240" w:lineRule="auto"/>
        <w:ind w:left="640" w:hanging="640"/>
        <w:jc w:val="both"/>
        <w:rPr>
          <w:rFonts w:ascii="Calibri" w:hAnsi="Calibri" w:cs="Calibri"/>
          <w:noProof/>
          <w:szCs w:val="24"/>
        </w:rPr>
      </w:pPr>
      <w:r w:rsidRPr="00DD0ED2">
        <w:rPr>
          <w:rFonts w:ascii="Calibri" w:hAnsi="Calibri" w:cs="Calibri"/>
          <w:noProof/>
          <w:szCs w:val="24"/>
        </w:rPr>
        <w:t xml:space="preserve">3. </w:t>
      </w:r>
      <w:r w:rsidRPr="00DD0ED2">
        <w:rPr>
          <w:rFonts w:ascii="Calibri" w:hAnsi="Calibri" w:cs="Calibri"/>
          <w:noProof/>
          <w:szCs w:val="24"/>
        </w:rPr>
        <w:tab/>
        <w:t xml:space="preserve">Urbina EM, Wadwa RP, Davis C, Snively BM, Dolan LM, Daniels SR, Hamman RF, Dabelea D. Prevalence of Increased Arterial Stiffness in Children with Type 1 Diabetes Mellitus Differs by Measurement Site and Sex: The SEARCH for Diabetes in Youth Study. </w:t>
      </w:r>
      <w:r w:rsidRPr="00DD0ED2">
        <w:rPr>
          <w:rFonts w:ascii="Calibri" w:hAnsi="Calibri" w:cs="Calibri"/>
          <w:i/>
          <w:iCs/>
          <w:noProof/>
          <w:szCs w:val="24"/>
        </w:rPr>
        <w:t>J Pediatr</w:t>
      </w:r>
      <w:r w:rsidRPr="00DD0ED2">
        <w:rPr>
          <w:rFonts w:ascii="Calibri" w:hAnsi="Calibri" w:cs="Calibri"/>
          <w:noProof/>
          <w:szCs w:val="24"/>
        </w:rPr>
        <w:t xml:space="preserve"> 2010;</w:t>
      </w:r>
      <w:r w:rsidRPr="00DD0ED2">
        <w:rPr>
          <w:rFonts w:ascii="Calibri" w:hAnsi="Calibri" w:cs="Calibri"/>
          <w:b/>
          <w:bCs/>
          <w:noProof/>
          <w:szCs w:val="24"/>
        </w:rPr>
        <w:t>156</w:t>
      </w:r>
      <w:r w:rsidRPr="00DD0ED2">
        <w:rPr>
          <w:rFonts w:ascii="Calibri" w:hAnsi="Calibri" w:cs="Calibri"/>
          <w:noProof/>
          <w:szCs w:val="24"/>
        </w:rPr>
        <w:t xml:space="preserve">:731–737. </w:t>
      </w:r>
    </w:p>
    <w:p w:rsidR="00DD0ED2" w:rsidRPr="00DD0ED2" w:rsidRDefault="00DD0ED2" w:rsidP="00E1267E">
      <w:pPr>
        <w:widowControl w:val="0"/>
        <w:autoSpaceDE w:val="0"/>
        <w:autoSpaceDN w:val="0"/>
        <w:adjustRightInd w:val="0"/>
        <w:spacing w:line="240" w:lineRule="auto"/>
        <w:ind w:left="640" w:hanging="640"/>
        <w:jc w:val="both"/>
        <w:rPr>
          <w:rFonts w:ascii="Calibri" w:hAnsi="Calibri" w:cs="Calibri"/>
          <w:noProof/>
          <w:szCs w:val="24"/>
        </w:rPr>
      </w:pPr>
      <w:r w:rsidRPr="00DD0ED2">
        <w:rPr>
          <w:rFonts w:ascii="Calibri" w:hAnsi="Calibri" w:cs="Calibri"/>
          <w:noProof/>
          <w:szCs w:val="24"/>
        </w:rPr>
        <w:t xml:space="preserve">4. </w:t>
      </w:r>
      <w:r w:rsidRPr="00DD0ED2">
        <w:rPr>
          <w:rFonts w:ascii="Calibri" w:hAnsi="Calibri" w:cs="Calibri"/>
          <w:noProof/>
          <w:szCs w:val="24"/>
        </w:rPr>
        <w:tab/>
        <w:t xml:space="preserve">Maftei O, Pena AS, Sullivan T, Jones TW, Donaghue KC, Cameron FJ, Davis E, Cotterill A, Craig ME, Gent R, Dalton N, Daneman D, Dunger D, Deanfield J, Couper JJ. Early Atherosclerosis Relates to Urinary Albumin Excretion and Cardiovascular Risk Factors in Adolescents With Type 1 Diabetes: Adolescent Type 1 Diabetes cardio-renal Intervention Trial (AdDIT). </w:t>
      </w:r>
      <w:r w:rsidRPr="00DD0ED2">
        <w:rPr>
          <w:rFonts w:ascii="Calibri" w:hAnsi="Calibri" w:cs="Calibri"/>
          <w:i/>
          <w:iCs/>
          <w:noProof/>
          <w:szCs w:val="24"/>
        </w:rPr>
        <w:t>Diabetes Care</w:t>
      </w:r>
      <w:r w:rsidRPr="00DD0ED2">
        <w:rPr>
          <w:rFonts w:ascii="Calibri" w:hAnsi="Calibri" w:cs="Calibri"/>
          <w:noProof/>
          <w:szCs w:val="24"/>
        </w:rPr>
        <w:t xml:space="preserve"> 2014;</w:t>
      </w:r>
      <w:r w:rsidRPr="00DD0ED2">
        <w:rPr>
          <w:rFonts w:ascii="Calibri" w:hAnsi="Calibri" w:cs="Calibri"/>
          <w:b/>
          <w:bCs/>
          <w:noProof/>
          <w:szCs w:val="24"/>
        </w:rPr>
        <w:t>37</w:t>
      </w:r>
      <w:r w:rsidRPr="00DD0ED2">
        <w:rPr>
          <w:rFonts w:ascii="Calibri" w:hAnsi="Calibri" w:cs="Calibri"/>
          <w:noProof/>
          <w:szCs w:val="24"/>
        </w:rPr>
        <w:t xml:space="preserve">:3069–3075. </w:t>
      </w:r>
    </w:p>
    <w:p w:rsidR="00DD0ED2" w:rsidRPr="00DD0ED2" w:rsidRDefault="00DD0ED2" w:rsidP="00E1267E">
      <w:pPr>
        <w:widowControl w:val="0"/>
        <w:autoSpaceDE w:val="0"/>
        <w:autoSpaceDN w:val="0"/>
        <w:adjustRightInd w:val="0"/>
        <w:spacing w:line="240" w:lineRule="auto"/>
        <w:ind w:left="640" w:hanging="640"/>
        <w:jc w:val="both"/>
        <w:rPr>
          <w:rFonts w:ascii="Calibri" w:hAnsi="Calibri" w:cs="Calibri"/>
          <w:noProof/>
          <w:szCs w:val="24"/>
        </w:rPr>
      </w:pPr>
      <w:r w:rsidRPr="00DD0ED2">
        <w:rPr>
          <w:rFonts w:ascii="Calibri" w:hAnsi="Calibri" w:cs="Calibri"/>
          <w:noProof/>
          <w:szCs w:val="24"/>
        </w:rPr>
        <w:t xml:space="preserve">5. </w:t>
      </w:r>
      <w:r w:rsidRPr="00DD0ED2">
        <w:rPr>
          <w:rFonts w:ascii="Calibri" w:hAnsi="Calibri" w:cs="Calibri"/>
          <w:noProof/>
          <w:szCs w:val="24"/>
        </w:rPr>
        <w:tab/>
        <w:t xml:space="preserve">Ras RT, Streppel MT, Draijer R, Zock PL. Flow-mediated dilation and cardiovascular risk prediction: A systematic review with meta-analysis. </w:t>
      </w:r>
      <w:r w:rsidRPr="00DD0ED2">
        <w:rPr>
          <w:rFonts w:ascii="Calibri" w:hAnsi="Calibri" w:cs="Calibri"/>
          <w:i/>
          <w:iCs/>
          <w:noProof/>
          <w:szCs w:val="24"/>
        </w:rPr>
        <w:t>Int J Cardiol</w:t>
      </w:r>
      <w:r w:rsidRPr="00DD0ED2">
        <w:rPr>
          <w:rFonts w:ascii="Calibri" w:hAnsi="Calibri" w:cs="Calibri"/>
          <w:noProof/>
          <w:szCs w:val="24"/>
        </w:rPr>
        <w:t xml:space="preserve"> 2013;</w:t>
      </w:r>
      <w:r w:rsidRPr="00DD0ED2">
        <w:rPr>
          <w:rFonts w:ascii="Calibri" w:hAnsi="Calibri" w:cs="Calibri"/>
          <w:b/>
          <w:bCs/>
          <w:noProof/>
          <w:szCs w:val="24"/>
        </w:rPr>
        <w:t>168</w:t>
      </w:r>
      <w:r w:rsidRPr="00DD0ED2">
        <w:rPr>
          <w:rFonts w:ascii="Calibri" w:hAnsi="Calibri" w:cs="Calibri"/>
          <w:noProof/>
          <w:szCs w:val="24"/>
        </w:rPr>
        <w:t xml:space="preserve">:344–351. </w:t>
      </w:r>
    </w:p>
    <w:p w:rsidR="00DD0ED2" w:rsidRPr="00DD0ED2" w:rsidRDefault="00DD0ED2" w:rsidP="00E1267E">
      <w:pPr>
        <w:widowControl w:val="0"/>
        <w:autoSpaceDE w:val="0"/>
        <w:autoSpaceDN w:val="0"/>
        <w:adjustRightInd w:val="0"/>
        <w:spacing w:line="240" w:lineRule="auto"/>
        <w:ind w:left="640" w:hanging="640"/>
        <w:jc w:val="both"/>
        <w:rPr>
          <w:rFonts w:ascii="Calibri" w:hAnsi="Calibri" w:cs="Calibri"/>
          <w:noProof/>
          <w:szCs w:val="24"/>
        </w:rPr>
      </w:pPr>
      <w:r w:rsidRPr="00DD0ED2">
        <w:rPr>
          <w:rFonts w:ascii="Calibri" w:hAnsi="Calibri" w:cs="Calibri"/>
          <w:noProof/>
          <w:szCs w:val="24"/>
        </w:rPr>
        <w:t xml:space="preserve">6. </w:t>
      </w:r>
      <w:r w:rsidRPr="00DD0ED2">
        <w:rPr>
          <w:rFonts w:ascii="Calibri" w:hAnsi="Calibri" w:cs="Calibri"/>
          <w:noProof/>
          <w:szCs w:val="24"/>
        </w:rPr>
        <w:tab/>
        <w:t xml:space="preserve">Hurks R, Eisinger MJ, Goovaerts I, Gaal L van, Vrints C, Weyler J, Hendriks J, Schil P van, Lauwers P. Early Endothelial Dysfunction in Young Type 1 Diabetics. </w:t>
      </w:r>
      <w:r w:rsidRPr="00DD0ED2">
        <w:rPr>
          <w:rFonts w:ascii="Calibri" w:hAnsi="Calibri" w:cs="Calibri"/>
          <w:i/>
          <w:iCs/>
          <w:noProof/>
          <w:szCs w:val="24"/>
        </w:rPr>
        <w:t>Eur J Vasc Endovasc Surg</w:t>
      </w:r>
      <w:r w:rsidRPr="00DD0ED2">
        <w:rPr>
          <w:rFonts w:ascii="Calibri" w:hAnsi="Calibri" w:cs="Calibri"/>
          <w:noProof/>
          <w:szCs w:val="24"/>
        </w:rPr>
        <w:t xml:space="preserve"> 2009;</w:t>
      </w:r>
      <w:r w:rsidRPr="00DD0ED2">
        <w:rPr>
          <w:rFonts w:ascii="Calibri" w:hAnsi="Calibri" w:cs="Calibri"/>
          <w:b/>
          <w:bCs/>
          <w:noProof/>
          <w:szCs w:val="24"/>
        </w:rPr>
        <w:t>37</w:t>
      </w:r>
      <w:r w:rsidRPr="00DD0ED2">
        <w:rPr>
          <w:rFonts w:ascii="Calibri" w:hAnsi="Calibri" w:cs="Calibri"/>
          <w:noProof/>
          <w:szCs w:val="24"/>
        </w:rPr>
        <w:t xml:space="preserve">:611–615. </w:t>
      </w:r>
    </w:p>
    <w:p w:rsidR="00DD0ED2" w:rsidRPr="00DD0ED2" w:rsidRDefault="00DD0ED2" w:rsidP="00E1267E">
      <w:pPr>
        <w:widowControl w:val="0"/>
        <w:autoSpaceDE w:val="0"/>
        <w:autoSpaceDN w:val="0"/>
        <w:adjustRightInd w:val="0"/>
        <w:spacing w:line="240" w:lineRule="auto"/>
        <w:ind w:left="640" w:hanging="640"/>
        <w:jc w:val="both"/>
        <w:rPr>
          <w:rFonts w:ascii="Calibri" w:hAnsi="Calibri" w:cs="Calibri"/>
          <w:noProof/>
          <w:szCs w:val="24"/>
        </w:rPr>
      </w:pPr>
      <w:r w:rsidRPr="00DD0ED2">
        <w:rPr>
          <w:rFonts w:ascii="Calibri" w:hAnsi="Calibri" w:cs="Calibri"/>
          <w:noProof/>
          <w:szCs w:val="24"/>
        </w:rPr>
        <w:t xml:space="preserve">7. </w:t>
      </w:r>
      <w:r w:rsidRPr="00DD0ED2">
        <w:rPr>
          <w:rFonts w:ascii="Calibri" w:hAnsi="Calibri" w:cs="Calibri"/>
          <w:noProof/>
          <w:szCs w:val="24"/>
        </w:rPr>
        <w:tab/>
        <w:t xml:space="preserve">Babar GS, Zidan H, Widlansky ME, Das E, Hoffmann RG, Daoud M, Alemzadeh R. Impaired endothelial function in preadolescent children with type 1 diabetes. </w:t>
      </w:r>
      <w:r w:rsidRPr="00DD0ED2">
        <w:rPr>
          <w:rFonts w:ascii="Calibri" w:hAnsi="Calibri" w:cs="Calibri"/>
          <w:i/>
          <w:iCs/>
          <w:noProof/>
          <w:szCs w:val="24"/>
        </w:rPr>
        <w:t>Diabetes Care</w:t>
      </w:r>
      <w:r w:rsidRPr="00DD0ED2">
        <w:rPr>
          <w:rFonts w:ascii="Calibri" w:hAnsi="Calibri" w:cs="Calibri"/>
          <w:noProof/>
          <w:szCs w:val="24"/>
        </w:rPr>
        <w:t xml:space="preserve"> 2011;</w:t>
      </w:r>
      <w:r w:rsidRPr="00DD0ED2">
        <w:rPr>
          <w:rFonts w:ascii="Calibri" w:hAnsi="Calibri" w:cs="Calibri"/>
          <w:b/>
          <w:bCs/>
          <w:noProof/>
          <w:szCs w:val="24"/>
        </w:rPr>
        <w:t>34</w:t>
      </w:r>
      <w:r w:rsidRPr="00DD0ED2">
        <w:rPr>
          <w:rFonts w:ascii="Calibri" w:hAnsi="Calibri" w:cs="Calibri"/>
          <w:noProof/>
          <w:szCs w:val="24"/>
        </w:rPr>
        <w:t xml:space="preserve">:681–685. </w:t>
      </w:r>
    </w:p>
    <w:p w:rsidR="00DD0ED2" w:rsidRPr="00DD0ED2" w:rsidRDefault="00DD0ED2" w:rsidP="00E1267E">
      <w:pPr>
        <w:widowControl w:val="0"/>
        <w:autoSpaceDE w:val="0"/>
        <w:autoSpaceDN w:val="0"/>
        <w:adjustRightInd w:val="0"/>
        <w:spacing w:line="240" w:lineRule="auto"/>
        <w:ind w:left="640" w:hanging="640"/>
        <w:jc w:val="both"/>
        <w:rPr>
          <w:rFonts w:ascii="Calibri" w:hAnsi="Calibri" w:cs="Calibri"/>
          <w:noProof/>
          <w:szCs w:val="24"/>
        </w:rPr>
      </w:pPr>
      <w:r w:rsidRPr="00DD0ED2">
        <w:rPr>
          <w:rFonts w:ascii="Calibri" w:hAnsi="Calibri" w:cs="Calibri"/>
          <w:noProof/>
          <w:szCs w:val="24"/>
        </w:rPr>
        <w:t xml:space="preserve">8. </w:t>
      </w:r>
      <w:r w:rsidRPr="00DD0ED2">
        <w:rPr>
          <w:rFonts w:ascii="Calibri" w:hAnsi="Calibri" w:cs="Calibri"/>
          <w:noProof/>
          <w:szCs w:val="24"/>
        </w:rPr>
        <w:tab/>
        <w:t xml:space="preserve">Ganjali S, Dallinga-Thie GM, Simental-Mendía LE, Banach M, Pirro M, Sahebkar A. HDL functionality in type 1 diabetes. </w:t>
      </w:r>
      <w:r w:rsidRPr="00DD0ED2">
        <w:rPr>
          <w:rFonts w:ascii="Calibri" w:hAnsi="Calibri" w:cs="Calibri"/>
          <w:i/>
          <w:iCs/>
          <w:noProof/>
          <w:szCs w:val="24"/>
        </w:rPr>
        <w:t>Atherosclerosis</w:t>
      </w:r>
      <w:r w:rsidRPr="00DD0ED2">
        <w:rPr>
          <w:rFonts w:ascii="Calibri" w:hAnsi="Calibri" w:cs="Calibri"/>
          <w:noProof/>
          <w:szCs w:val="24"/>
        </w:rPr>
        <w:t xml:space="preserve"> 2017;</w:t>
      </w:r>
      <w:r w:rsidRPr="00DD0ED2">
        <w:rPr>
          <w:rFonts w:ascii="Calibri" w:hAnsi="Calibri" w:cs="Calibri"/>
          <w:b/>
          <w:bCs/>
          <w:noProof/>
          <w:szCs w:val="24"/>
        </w:rPr>
        <w:t>267</w:t>
      </w:r>
      <w:r w:rsidRPr="00DD0ED2">
        <w:rPr>
          <w:rFonts w:ascii="Calibri" w:hAnsi="Calibri" w:cs="Calibri"/>
          <w:noProof/>
          <w:szCs w:val="24"/>
        </w:rPr>
        <w:t xml:space="preserve">:99–109. </w:t>
      </w:r>
    </w:p>
    <w:p w:rsidR="00DD0ED2" w:rsidRPr="00DD0ED2" w:rsidRDefault="00DD0ED2" w:rsidP="00E1267E">
      <w:pPr>
        <w:widowControl w:val="0"/>
        <w:autoSpaceDE w:val="0"/>
        <w:autoSpaceDN w:val="0"/>
        <w:adjustRightInd w:val="0"/>
        <w:spacing w:line="240" w:lineRule="auto"/>
        <w:ind w:left="640" w:hanging="640"/>
        <w:jc w:val="both"/>
        <w:rPr>
          <w:rFonts w:ascii="Calibri" w:hAnsi="Calibri" w:cs="Calibri"/>
          <w:noProof/>
          <w:szCs w:val="24"/>
        </w:rPr>
      </w:pPr>
      <w:r w:rsidRPr="00DD0ED2">
        <w:rPr>
          <w:rFonts w:ascii="Calibri" w:hAnsi="Calibri" w:cs="Calibri"/>
          <w:noProof/>
          <w:szCs w:val="24"/>
        </w:rPr>
        <w:t xml:space="preserve">9. </w:t>
      </w:r>
      <w:r w:rsidRPr="00DD0ED2">
        <w:rPr>
          <w:rFonts w:ascii="Calibri" w:hAnsi="Calibri" w:cs="Calibri"/>
          <w:noProof/>
          <w:szCs w:val="24"/>
        </w:rPr>
        <w:tab/>
        <w:t xml:space="preserve">Nikkilä EA, Hormila P. Serum lipids and lipoproteins in insulin-treated diabetes. Demonstration of increased high density lipoprotein concentrations. </w:t>
      </w:r>
      <w:r w:rsidRPr="00DD0ED2">
        <w:rPr>
          <w:rFonts w:ascii="Calibri" w:hAnsi="Calibri" w:cs="Calibri"/>
          <w:i/>
          <w:iCs/>
          <w:noProof/>
          <w:szCs w:val="24"/>
        </w:rPr>
        <w:t>Diabetes</w:t>
      </w:r>
      <w:r w:rsidRPr="00DD0ED2">
        <w:rPr>
          <w:rFonts w:ascii="Calibri" w:hAnsi="Calibri" w:cs="Calibri"/>
          <w:noProof/>
          <w:szCs w:val="24"/>
        </w:rPr>
        <w:t xml:space="preserve"> 1978;</w:t>
      </w:r>
      <w:r w:rsidRPr="00DD0ED2">
        <w:rPr>
          <w:rFonts w:ascii="Calibri" w:hAnsi="Calibri" w:cs="Calibri"/>
          <w:b/>
          <w:bCs/>
          <w:noProof/>
          <w:szCs w:val="24"/>
        </w:rPr>
        <w:t>27</w:t>
      </w:r>
      <w:r w:rsidRPr="00DD0ED2">
        <w:rPr>
          <w:rFonts w:ascii="Calibri" w:hAnsi="Calibri" w:cs="Calibri"/>
          <w:noProof/>
          <w:szCs w:val="24"/>
        </w:rPr>
        <w:t xml:space="preserve">:1078–1086. </w:t>
      </w:r>
    </w:p>
    <w:p w:rsidR="00DD0ED2" w:rsidRPr="00DD0ED2" w:rsidRDefault="00DD0ED2" w:rsidP="00E1267E">
      <w:pPr>
        <w:widowControl w:val="0"/>
        <w:autoSpaceDE w:val="0"/>
        <w:autoSpaceDN w:val="0"/>
        <w:adjustRightInd w:val="0"/>
        <w:spacing w:line="240" w:lineRule="auto"/>
        <w:ind w:left="640" w:hanging="640"/>
        <w:jc w:val="both"/>
        <w:rPr>
          <w:rFonts w:ascii="Calibri" w:hAnsi="Calibri" w:cs="Calibri"/>
          <w:noProof/>
          <w:szCs w:val="24"/>
        </w:rPr>
      </w:pPr>
      <w:r w:rsidRPr="00DD0ED2">
        <w:rPr>
          <w:rFonts w:ascii="Calibri" w:hAnsi="Calibri" w:cs="Calibri"/>
          <w:noProof/>
          <w:szCs w:val="24"/>
        </w:rPr>
        <w:t xml:space="preserve">10. </w:t>
      </w:r>
      <w:r w:rsidRPr="00DD0ED2">
        <w:rPr>
          <w:rFonts w:ascii="Calibri" w:hAnsi="Calibri" w:cs="Calibri"/>
          <w:noProof/>
          <w:szCs w:val="24"/>
        </w:rPr>
        <w:tab/>
        <w:t xml:space="preserve">Colhoun HM, Taskinen M-R, Otvos JD, Berg P Van Den, O’Connor J, Tol A Van. Relationship of phospholipid transfer protein activity to HDL and apolipoprotein B-containing lipoproteins in subjects with and without type 1 diabetes. </w:t>
      </w:r>
      <w:r w:rsidRPr="00DD0ED2">
        <w:rPr>
          <w:rFonts w:ascii="Calibri" w:hAnsi="Calibri" w:cs="Calibri"/>
          <w:i/>
          <w:iCs/>
          <w:noProof/>
          <w:szCs w:val="24"/>
        </w:rPr>
        <w:t>Diabetes</w:t>
      </w:r>
      <w:r w:rsidRPr="00DD0ED2">
        <w:rPr>
          <w:rFonts w:ascii="Calibri" w:hAnsi="Calibri" w:cs="Calibri"/>
          <w:noProof/>
          <w:szCs w:val="24"/>
        </w:rPr>
        <w:t xml:space="preserve"> 2002;</w:t>
      </w:r>
      <w:r w:rsidRPr="00DD0ED2">
        <w:rPr>
          <w:rFonts w:ascii="Calibri" w:hAnsi="Calibri" w:cs="Calibri"/>
          <w:b/>
          <w:bCs/>
          <w:noProof/>
          <w:szCs w:val="24"/>
        </w:rPr>
        <w:t>51</w:t>
      </w:r>
      <w:r w:rsidRPr="00DD0ED2">
        <w:rPr>
          <w:rFonts w:ascii="Calibri" w:hAnsi="Calibri" w:cs="Calibri"/>
          <w:noProof/>
          <w:szCs w:val="24"/>
        </w:rPr>
        <w:t xml:space="preserve">:3300–3305. </w:t>
      </w:r>
    </w:p>
    <w:p w:rsidR="00DD0ED2" w:rsidRPr="00DD0ED2" w:rsidRDefault="00DD0ED2" w:rsidP="00E1267E">
      <w:pPr>
        <w:widowControl w:val="0"/>
        <w:autoSpaceDE w:val="0"/>
        <w:autoSpaceDN w:val="0"/>
        <w:adjustRightInd w:val="0"/>
        <w:spacing w:line="240" w:lineRule="auto"/>
        <w:ind w:left="640" w:hanging="640"/>
        <w:jc w:val="both"/>
        <w:rPr>
          <w:rFonts w:ascii="Calibri" w:hAnsi="Calibri" w:cs="Calibri"/>
          <w:noProof/>
          <w:szCs w:val="24"/>
        </w:rPr>
      </w:pPr>
      <w:r w:rsidRPr="00DD0ED2">
        <w:rPr>
          <w:rFonts w:ascii="Calibri" w:hAnsi="Calibri" w:cs="Calibri"/>
          <w:noProof/>
          <w:szCs w:val="24"/>
        </w:rPr>
        <w:t xml:space="preserve">11. </w:t>
      </w:r>
      <w:r w:rsidRPr="00DD0ED2">
        <w:rPr>
          <w:rFonts w:ascii="Calibri" w:hAnsi="Calibri" w:cs="Calibri"/>
          <w:noProof/>
          <w:szCs w:val="24"/>
        </w:rPr>
        <w:tab/>
        <w:t xml:space="preserve">Hayashibe H, Asayama K, Nakane T, Kobayashi K, Amemiya S, Nakazawa S. Decreased activity of plasma cholesteryl ester transfer protein in children and adolescents with insulin-dependent diabetes mellitus. </w:t>
      </w:r>
      <w:r w:rsidRPr="00DD0ED2">
        <w:rPr>
          <w:rFonts w:ascii="Calibri" w:hAnsi="Calibri" w:cs="Calibri"/>
          <w:i/>
          <w:iCs/>
          <w:noProof/>
          <w:szCs w:val="24"/>
        </w:rPr>
        <w:t>Acta Paediatr</w:t>
      </w:r>
      <w:r w:rsidRPr="00DD0ED2">
        <w:rPr>
          <w:rFonts w:ascii="Calibri" w:hAnsi="Calibri" w:cs="Calibri"/>
          <w:noProof/>
          <w:szCs w:val="24"/>
        </w:rPr>
        <w:t xml:space="preserve"> 1999;</w:t>
      </w:r>
      <w:r w:rsidRPr="00DD0ED2">
        <w:rPr>
          <w:rFonts w:ascii="Calibri" w:hAnsi="Calibri" w:cs="Calibri"/>
          <w:b/>
          <w:bCs/>
          <w:noProof/>
          <w:szCs w:val="24"/>
        </w:rPr>
        <w:t>88</w:t>
      </w:r>
      <w:r w:rsidRPr="00DD0ED2">
        <w:rPr>
          <w:rFonts w:ascii="Calibri" w:hAnsi="Calibri" w:cs="Calibri"/>
          <w:noProof/>
          <w:szCs w:val="24"/>
        </w:rPr>
        <w:t xml:space="preserve">:1067–1070. </w:t>
      </w:r>
    </w:p>
    <w:p w:rsidR="00DD0ED2" w:rsidRPr="00DD0ED2" w:rsidRDefault="00DD0ED2" w:rsidP="00E1267E">
      <w:pPr>
        <w:widowControl w:val="0"/>
        <w:autoSpaceDE w:val="0"/>
        <w:autoSpaceDN w:val="0"/>
        <w:adjustRightInd w:val="0"/>
        <w:spacing w:line="240" w:lineRule="auto"/>
        <w:ind w:left="640" w:hanging="640"/>
        <w:jc w:val="both"/>
        <w:rPr>
          <w:rFonts w:ascii="Calibri" w:hAnsi="Calibri" w:cs="Calibri"/>
          <w:noProof/>
          <w:szCs w:val="24"/>
        </w:rPr>
      </w:pPr>
      <w:r w:rsidRPr="00DD0ED2">
        <w:rPr>
          <w:rFonts w:ascii="Calibri" w:hAnsi="Calibri" w:cs="Calibri"/>
          <w:noProof/>
          <w:szCs w:val="24"/>
        </w:rPr>
        <w:t xml:space="preserve">12. </w:t>
      </w:r>
      <w:r w:rsidRPr="00DD0ED2">
        <w:rPr>
          <w:rFonts w:ascii="Calibri" w:hAnsi="Calibri" w:cs="Calibri"/>
          <w:noProof/>
          <w:szCs w:val="24"/>
        </w:rPr>
        <w:tab/>
        <w:t xml:space="preserve">Gordon T, Castelli WP, Hjortland MC, Kannel WB, Dawber TR. High density lipoprotein as a protective factor against coronary heart disease. The Framingham Study. </w:t>
      </w:r>
      <w:r w:rsidRPr="00DD0ED2">
        <w:rPr>
          <w:rFonts w:ascii="Calibri" w:hAnsi="Calibri" w:cs="Calibri"/>
          <w:i/>
          <w:iCs/>
          <w:noProof/>
          <w:szCs w:val="24"/>
        </w:rPr>
        <w:t>Am J Med</w:t>
      </w:r>
      <w:r w:rsidRPr="00DD0ED2">
        <w:rPr>
          <w:rFonts w:ascii="Calibri" w:hAnsi="Calibri" w:cs="Calibri"/>
          <w:noProof/>
          <w:szCs w:val="24"/>
        </w:rPr>
        <w:t xml:space="preserve"> 1977;</w:t>
      </w:r>
      <w:r w:rsidRPr="00DD0ED2">
        <w:rPr>
          <w:rFonts w:ascii="Calibri" w:hAnsi="Calibri" w:cs="Calibri"/>
          <w:b/>
          <w:bCs/>
          <w:noProof/>
          <w:szCs w:val="24"/>
        </w:rPr>
        <w:t>62</w:t>
      </w:r>
      <w:r w:rsidRPr="00DD0ED2">
        <w:rPr>
          <w:rFonts w:ascii="Calibri" w:hAnsi="Calibri" w:cs="Calibri"/>
          <w:noProof/>
          <w:szCs w:val="24"/>
        </w:rPr>
        <w:t xml:space="preserve">:707–714. </w:t>
      </w:r>
    </w:p>
    <w:p w:rsidR="00DD0ED2" w:rsidRPr="00DD0ED2" w:rsidRDefault="00DD0ED2" w:rsidP="00E1267E">
      <w:pPr>
        <w:widowControl w:val="0"/>
        <w:autoSpaceDE w:val="0"/>
        <w:autoSpaceDN w:val="0"/>
        <w:adjustRightInd w:val="0"/>
        <w:spacing w:line="240" w:lineRule="auto"/>
        <w:ind w:left="640" w:hanging="640"/>
        <w:jc w:val="both"/>
        <w:rPr>
          <w:rFonts w:ascii="Calibri" w:hAnsi="Calibri" w:cs="Calibri"/>
          <w:noProof/>
          <w:szCs w:val="24"/>
        </w:rPr>
      </w:pPr>
      <w:r w:rsidRPr="00DD0ED2">
        <w:rPr>
          <w:rFonts w:ascii="Calibri" w:hAnsi="Calibri" w:cs="Calibri"/>
          <w:noProof/>
          <w:szCs w:val="24"/>
        </w:rPr>
        <w:t xml:space="preserve">13. </w:t>
      </w:r>
      <w:r w:rsidRPr="00DD0ED2">
        <w:rPr>
          <w:rFonts w:ascii="Calibri" w:hAnsi="Calibri" w:cs="Calibri"/>
          <w:noProof/>
          <w:szCs w:val="24"/>
        </w:rPr>
        <w:tab/>
        <w:t xml:space="preserve">Orchard TJ, Costacou T, Kretowski A, Nesto RW, Forrest KY-Z, Smithline Kinder L, Ellis D, Becker DJ. Type 1 diabetes and coronary artery disease. </w:t>
      </w:r>
      <w:r w:rsidRPr="00DD0ED2">
        <w:rPr>
          <w:rFonts w:ascii="Calibri" w:hAnsi="Calibri" w:cs="Calibri"/>
          <w:i/>
          <w:iCs/>
          <w:noProof/>
          <w:szCs w:val="24"/>
        </w:rPr>
        <w:t>Diabetes Care</w:t>
      </w:r>
      <w:r w:rsidRPr="00DD0ED2">
        <w:rPr>
          <w:rFonts w:ascii="Calibri" w:hAnsi="Calibri" w:cs="Calibri"/>
          <w:noProof/>
          <w:szCs w:val="24"/>
        </w:rPr>
        <w:t xml:space="preserve"> 2006;</w:t>
      </w:r>
      <w:r w:rsidRPr="00DD0ED2">
        <w:rPr>
          <w:rFonts w:ascii="Calibri" w:hAnsi="Calibri" w:cs="Calibri"/>
          <w:b/>
          <w:bCs/>
          <w:noProof/>
          <w:szCs w:val="24"/>
        </w:rPr>
        <w:t>29</w:t>
      </w:r>
      <w:r w:rsidRPr="00DD0ED2">
        <w:rPr>
          <w:rFonts w:ascii="Calibri" w:hAnsi="Calibri" w:cs="Calibri"/>
          <w:noProof/>
          <w:szCs w:val="24"/>
        </w:rPr>
        <w:t xml:space="preserve">:2528–2538. </w:t>
      </w:r>
    </w:p>
    <w:p w:rsidR="00DD0ED2" w:rsidRPr="00DD0ED2" w:rsidRDefault="00DD0ED2" w:rsidP="00E1267E">
      <w:pPr>
        <w:widowControl w:val="0"/>
        <w:autoSpaceDE w:val="0"/>
        <w:autoSpaceDN w:val="0"/>
        <w:adjustRightInd w:val="0"/>
        <w:spacing w:line="240" w:lineRule="auto"/>
        <w:ind w:left="640" w:hanging="640"/>
        <w:jc w:val="both"/>
        <w:rPr>
          <w:rFonts w:ascii="Calibri" w:hAnsi="Calibri" w:cs="Calibri"/>
          <w:noProof/>
          <w:szCs w:val="24"/>
        </w:rPr>
      </w:pPr>
      <w:r w:rsidRPr="00DD0ED2">
        <w:rPr>
          <w:rFonts w:ascii="Calibri" w:hAnsi="Calibri" w:cs="Calibri"/>
          <w:noProof/>
          <w:szCs w:val="24"/>
        </w:rPr>
        <w:t xml:space="preserve">14. </w:t>
      </w:r>
      <w:r w:rsidRPr="00DD0ED2">
        <w:rPr>
          <w:rFonts w:ascii="Calibri" w:hAnsi="Calibri" w:cs="Calibri"/>
          <w:noProof/>
          <w:szCs w:val="24"/>
        </w:rPr>
        <w:tab/>
        <w:t xml:space="preserve">Vaisar T, Tang C, Babenko I, Hutchins P, Wimberger J, Suffredini AF, Heinecke JW. Inflammatory remodeling of the HDL proteome impairs cholesterol efflux capacity. </w:t>
      </w:r>
      <w:r w:rsidRPr="00DD0ED2">
        <w:rPr>
          <w:rFonts w:ascii="Calibri" w:hAnsi="Calibri" w:cs="Calibri"/>
          <w:i/>
          <w:iCs/>
          <w:noProof/>
          <w:szCs w:val="24"/>
        </w:rPr>
        <w:t>J Lipid Res</w:t>
      </w:r>
      <w:r w:rsidRPr="00DD0ED2">
        <w:rPr>
          <w:rFonts w:ascii="Calibri" w:hAnsi="Calibri" w:cs="Calibri"/>
          <w:noProof/>
          <w:szCs w:val="24"/>
        </w:rPr>
        <w:t xml:space="preserve"> 2015;</w:t>
      </w:r>
      <w:r w:rsidRPr="00DD0ED2">
        <w:rPr>
          <w:rFonts w:ascii="Calibri" w:hAnsi="Calibri" w:cs="Calibri"/>
          <w:b/>
          <w:bCs/>
          <w:noProof/>
          <w:szCs w:val="24"/>
        </w:rPr>
        <w:t>56</w:t>
      </w:r>
      <w:r w:rsidRPr="00DD0ED2">
        <w:rPr>
          <w:rFonts w:ascii="Calibri" w:hAnsi="Calibri" w:cs="Calibri"/>
          <w:noProof/>
          <w:szCs w:val="24"/>
        </w:rPr>
        <w:t xml:space="preserve">:1519–1530. </w:t>
      </w:r>
    </w:p>
    <w:p w:rsidR="00DD0ED2" w:rsidRPr="00DD0ED2" w:rsidRDefault="00DD0ED2" w:rsidP="00E1267E">
      <w:pPr>
        <w:widowControl w:val="0"/>
        <w:autoSpaceDE w:val="0"/>
        <w:autoSpaceDN w:val="0"/>
        <w:adjustRightInd w:val="0"/>
        <w:spacing w:line="240" w:lineRule="auto"/>
        <w:ind w:left="640" w:hanging="640"/>
        <w:jc w:val="both"/>
        <w:rPr>
          <w:rFonts w:ascii="Calibri" w:hAnsi="Calibri" w:cs="Calibri"/>
          <w:noProof/>
          <w:szCs w:val="24"/>
        </w:rPr>
      </w:pPr>
      <w:r w:rsidRPr="00DD0ED2">
        <w:rPr>
          <w:rFonts w:ascii="Calibri" w:hAnsi="Calibri" w:cs="Calibri"/>
          <w:noProof/>
          <w:szCs w:val="24"/>
        </w:rPr>
        <w:t xml:space="preserve">15. </w:t>
      </w:r>
      <w:r w:rsidRPr="00DD0ED2">
        <w:rPr>
          <w:rFonts w:ascii="Calibri" w:hAnsi="Calibri" w:cs="Calibri"/>
          <w:noProof/>
          <w:szCs w:val="24"/>
        </w:rPr>
        <w:tab/>
        <w:t xml:space="preserve">Ohashi R, Mu H, Wang X, Yao Q, Chen C. Reverse cholesterol transport and cholesterol efflux in atherosclerosis. </w:t>
      </w:r>
      <w:r w:rsidRPr="00DD0ED2">
        <w:rPr>
          <w:rFonts w:ascii="Calibri" w:hAnsi="Calibri" w:cs="Calibri"/>
          <w:i/>
          <w:iCs/>
          <w:noProof/>
          <w:szCs w:val="24"/>
        </w:rPr>
        <w:t>QJM An Int J Med</w:t>
      </w:r>
      <w:r w:rsidRPr="00DD0ED2">
        <w:rPr>
          <w:rFonts w:ascii="Calibri" w:hAnsi="Calibri" w:cs="Calibri"/>
          <w:noProof/>
          <w:szCs w:val="24"/>
        </w:rPr>
        <w:t xml:space="preserve"> 2005;</w:t>
      </w:r>
      <w:r w:rsidRPr="00DD0ED2">
        <w:rPr>
          <w:rFonts w:ascii="Calibri" w:hAnsi="Calibri" w:cs="Calibri"/>
          <w:b/>
          <w:bCs/>
          <w:noProof/>
          <w:szCs w:val="24"/>
        </w:rPr>
        <w:t>98</w:t>
      </w:r>
      <w:r w:rsidRPr="00DD0ED2">
        <w:rPr>
          <w:rFonts w:ascii="Calibri" w:hAnsi="Calibri" w:cs="Calibri"/>
          <w:noProof/>
          <w:szCs w:val="24"/>
        </w:rPr>
        <w:t xml:space="preserve">:845–856. </w:t>
      </w:r>
    </w:p>
    <w:p w:rsidR="00DD0ED2" w:rsidRPr="00DD0ED2" w:rsidRDefault="00DD0ED2" w:rsidP="00E1267E">
      <w:pPr>
        <w:widowControl w:val="0"/>
        <w:autoSpaceDE w:val="0"/>
        <w:autoSpaceDN w:val="0"/>
        <w:adjustRightInd w:val="0"/>
        <w:spacing w:line="240" w:lineRule="auto"/>
        <w:ind w:left="640" w:hanging="640"/>
        <w:jc w:val="both"/>
        <w:rPr>
          <w:rFonts w:ascii="Calibri" w:hAnsi="Calibri" w:cs="Calibri"/>
          <w:noProof/>
          <w:szCs w:val="24"/>
        </w:rPr>
      </w:pPr>
      <w:r w:rsidRPr="00DD0ED2">
        <w:rPr>
          <w:rFonts w:ascii="Calibri" w:hAnsi="Calibri" w:cs="Calibri"/>
          <w:noProof/>
          <w:szCs w:val="24"/>
        </w:rPr>
        <w:t xml:space="preserve">16. </w:t>
      </w:r>
      <w:r w:rsidRPr="00DD0ED2">
        <w:rPr>
          <w:rFonts w:ascii="Calibri" w:hAnsi="Calibri" w:cs="Calibri"/>
          <w:noProof/>
          <w:szCs w:val="24"/>
        </w:rPr>
        <w:tab/>
        <w:t xml:space="preserve">Sorrentino SA, Besler C, Rohrer L, Meyer M, Heinrich K, Bahlmann FH, Mueller M, Horváth T, Doerries C, Heinemann M, Flemmer S, Markowski A, Manes C, Bahr MJ, Haller H, Eckardstein A von, Drexler H, Landmesser U. Endothelial-vasoprotective effects of high-density lipoprotein are impaired in patients with type 2 diabetes mellitus but are improved after extended-release niacin therapy. </w:t>
      </w:r>
      <w:r w:rsidRPr="00DD0ED2">
        <w:rPr>
          <w:rFonts w:ascii="Calibri" w:hAnsi="Calibri" w:cs="Calibri"/>
          <w:i/>
          <w:iCs/>
          <w:noProof/>
          <w:szCs w:val="24"/>
        </w:rPr>
        <w:t>Circulation</w:t>
      </w:r>
      <w:r w:rsidRPr="00DD0ED2">
        <w:rPr>
          <w:rFonts w:ascii="Calibri" w:hAnsi="Calibri" w:cs="Calibri"/>
          <w:noProof/>
          <w:szCs w:val="24"/>
        </w:rPr>
        <w:t xml:space="preserve"> 2010;</w:t>
      </w:r>
      <w:r w:rsidRPr="00DD0ED2">
        <w:rPr>
          <w:rFonts w:ascii="Calibri" w:hAnsi="Calibri" w:cs="Calibri"/>
          <w:b/>
          <w:bCs/>
          <w:noProof/>
          <w:szCs w:val="24"/>
        </w:rPr>
        <w:t>121</w:t>
      </w:r>
      <w:r w:rsidRPr="00DD0ED2">
        <w:rPr>
          <w:rFonts w:ascii="Calibri" w:hAnsi="Calibri" w:cs="Calibri"/>
          <w:noProof/>
          <w:szCs w:val="24"/>
        </w:rPr>
        <w:t xml:space="preserve">:110–122. </w:t>
      </w:r>
    </w:p>
    <w:p w:rsidR="00DD0ED2" w:rsidRPr="00DD0ED2" w:rsidRDefault="00DD0ED2" w:rsidP="00E1267E">
      <w:pPr>
        <w:widowControl w:val="0"/>
        <w:autoSpaceDE w:val="0"/>
        <w:autoSpaceDN w:val="0"/>
        <w:adjustRightInd w:val="0"/>
        <w:spacing w:line="240" w:lineRule="auto"/>
        <w:ind w:left="640" w:hanging="640"/>
        <w:jc w:val="both"/>
        <w:rPr>
          <w:rFonts w:ascii="Calibri" w:hAnsi="Calibri" w:cs="Calibri"/>
          <w:noProof/>
          <w:szCs w:val="24"/>
        </w:rPr>
      </w:pPr>
      <w:r w:rsidRPr="00DD0ED2">
        <w:rPr>
          <w:rFonts w:ascii="Calibri" w:hAnsi="Calibri" w:cs="Calibri"/>
          <w:noProof/>
          <w:szCs w:val="24"/>
        </w:rPr>
        <w:t xml:space="preserve">17. </w:t>
      </w:r>
      <w:r w:rsidRPr="00DD0ED2">
        <w:rPr>
          <w:rFonts w:ascii="Calibri" w:hAnsi="Calibri" w:cs="Calibri"/>
          <w:noProof/>
          <w:szCs w:val="24"/>
        </w:rPr>
        <w:tab/>
        <w:t xml:space="preserve">O’Neill F, Riwanto M, Charakida M, Colin S, Manz J, McLoughlin E, Khan T, Klein N, Kay CWM, Patel K, Chinetti G, Staels B, D’Aiuto F, Landmesser U, Deanfield J. Structural and functional changes in HDL with low grade and chronic inflammation. </w:t>
      </w:r>
      <w:r w:rsidRPr="00DD0ED2">
        <w:rPr>
          <w:rFonts w:ascii="Calibri" w:hAnsi="Calibri" w:cs="Calibri"/>
          <w:i/>
          <w:iCs/>
          <w:noProof/>
          <w:szCs w:val="24"/>
        </w:rPr>
        <w:t>Int J Cardiol</w:t>
      </w:r>
      <w:r w:rsidRPr="00DD0ED2">
        <w:rPr>
          <w:rFonts w:ascii="Calibri" w:hAnsi="Calibri" w:cs="Calibri"/>
          <w:noProof/>
          <w:szCs w:val="24"/>
        </w:rPr>
        <w:t xml:space="preserve"> 2015;</w:t>
      </w:r>
      <w:r w:rsidRPr="00DD0ED2">
        <w:rPr>
          <w:rFonts w:ascii="Calibri" w:hAnsi="Calibri" w:cs="Calibri"/>
          <w:b/>
          <w:bCs/>
          <w:noProof/>
          <w:szCs w:val="24"/>
        </w:rPr>
        <w:t>188</w:t>
      </w:r>
      <w:r w:rsidRPr="00DD0ED2">
        <w:rPr>
          <w:rFonts w:ascii="Calibri" w:hAnsi="Calibri" w:cs="Calibri"/>
          <w:noProof/>
          <w:szCs w:val="24"/>
        </w:rPr>
        <w:t xml:space="preserve">:111–116. </w:t>
      </w:r>
    </w:p>
    <w:p w:rsidR="00DD0ED2" w:rsidRPr="00DD0ED2" w:rsidRDefault="00DD0ED2" w:rsidP="00E1267E">
      <w:pPr>
        <w:widowControl w:val="0"/>
        <w:autoSpaceDE w:val="0"/>
        <w:autoSpaceDN w:val="0"/>
        <w:adjustRightInd w:val="0"/>
        <w:spacing w:line="240" w:lineRule="auto"/>
        <w:ind w:left="640" w:hanging="640"/>
        <w:jc w:val="both"/>
        <w:rPr>
          <w:rFonts w:ascii="Calibri" w:hAnsi="Calibri" w:cs="Calibri"/>
          <w:noProof/>
          <w:szCs w:val="24"/>
        </w:rPr>
      </w:pPr>
      <w:r w:rsidRPr="00DD0ED2">
        <w:rPr>
          <w:rFonts w:ascii="Calibri" w:hAnsi="Calibri" w:cs="Calibri"/>
          <w:noProof/>
          <w:szCs w:val="24"/>
        </w:rPr>
        <w:t xml:space="preserve">18. </w:t>
      </w:r>
      <w:r w:rsidRPr="00DD0ED2">
        <w:rPr>
          <w:rFonts w:ascii="Calibri" w:hAnsi="Calibri" w:cs="Calibri"/>
          <w:noProof/>
          <w:szCs w:val="24"/>
        </w:rPr>
        <w:tab/>
        <w:t xml:space="preserve">Shroff R, Speer T, Colin S, Charakida M, Zewinger S, Staels B, Chinetti-Gbaguidi G, Hettrich I, Rohrer L, O’Neill F, McLoughlin E, Long D, Shanahan CM, Landmesser U, Fliser D, Deanfield JE. HDL in Children with CKD Promotes Endothelial Dysfunction and an Abnormal Vascular Phenotype. </w:t>
      </w:r>
      <w:r w:rsidRPr="00DD0ED2">
        <w:rPr>
          <w:rFonts w:ascii="Calibri" w:hAnsi="Calibri" w:cs="Calibri"/>
          <w:i/>
          <w:iCs/>
          <w:noProof/>
          <w:szCs w:val="24"/>
        </w:rPr>
        <w:t>J Am Soc Nephrol</w:t>
      </w:r>
      <w:r w:rsidRPr="00DD0ED2">
        <w:rPr>
          <w:rFonts w:ascii="Calibri" w:hAnsi="Calibri" w:cs="Calibri"/>
          <w:noProof/>
          <w:szCs w:val="24"/>
        </w:rPr>
        <w:t xml:space="preserve"> 2014;</w:t>
      </w:r>
      <w:r w:rsidRPr="00DD0ED2">
        <w:rPr>
          <w:rFonts w:ascii="Calibri" w:hAnsi="Calibri" w:cs="Calibri"/>
          <w:b/>
          <w:bCs/>
          <w:noProof/>
          <w:szCs w:val="24"/>
        </w:rPr>
        <w:t>25</w:t>
      </w:r>
      <w:r w:rsidRPr="00DD0ED2">
        <w:rPr>
          <w:rFonts w:ascii="Calibri" w:hAnsi="Calibri" w:cs="Calibri"/>
          <w:noProof/>
          <w:szCs w:val="24"/>
        </w:rPr>
        <w:t xml:space="preserve">:2658–2668. </w:t>
      </w:r>
    </w:p>
    <w:p w:rsidR="00DD0ED2" w:rsidRPr="00DD0ED2" w:rsidRDefault="00DD0ED2" w:rsidP="00E1267E">
      <w:pPr>
        <w:widowControl w:val="0"/>
        <w:autoSpaceDE w:val="0"/>
        <w:autoSpaceDN w:val="0"/>
        <w:adjustRightInd w:val="0"/>
        <w:spacing w:line="240" w:lineRule="auto"/>
        <w:ind w:left="640" w:hanging="640"/>
        <w:jc w:val="both"/>
        <w:rPr>
          <w:rFonts w:ascii="Calibri" w:hAnsi="Calibri" w:cs="Calibri"/>
          <w:noProof/>
          <w:szCs w:val="24"/>
        </w:rPr>
      </w:pPr>
      <w:r w:rsidRPr="00DD0ED2">
        <w:rPr>
          <w:rFonts w:ascii="Calibri" w:hAnsi="Calibri" w:cs="Calibri"/>
          <w:noProof/>
          <w:szCs w:val="24"/>
        </w:rPr>
        <w:t xml:space="preserve">19. </w:t>
      </w:r>
      <w:r w:rsidRPr="00DD0ED2">
        <w:rPr>
          <w:rFonts w:ascii="Calibri" w:hAnsi="Calibri" w:cs="Calibri"/>
          <w:noProof/>
          <w:szCs w:val="24"/>
        </w:rPr>
        <w:tab/>
        <w:t xml:space="preserve">Zewinger S, Drechsler C, Kleber ME, Dressel A, Riffel J, Triem S, Lehmann M, Kopecky C, Säemann MD, Lepper PM, Silbernagel G, Scharnagl H, Ritsch A, Thorand B, las Heras Gala T de, Wagenpfeil S, Koenig W, Peters A, Laufs U, Wanner C, Fliser D, Speer T, März W. Serum amyloid A: high-density lipoproteins interaction and cardiovascular risk. </w:t>
      </w:r>
      <w:r w:rsidRPr="00DD0ED2">
        <w:rPr>
          <w:rFonts w:ascii="Calibri" w:hAnsi="Calibri" w:cs="Calibri"/>
          <w:i/>
          <w:iCs/>
          <w:noProof/>
          <w:szCs w:val="24"/>
        </w:rPr>
        <w:t>Eur Heart J</w:t>
      </w:r>
      <w:r w:rsidRPr="00DD0ED2">
        <w:rPr>
          <w:rFonts w:ascii="Calibri" w:hAnsi="Calibri" w:cs="Calibri"/>
          <w:noProof/>
          <w:szCs w:val="24"/>
        </w:rPr>
        <w:t xml:space="preserve"> 2015;</w:t>
      </w:r>
      <w:r w:rsidRPr="00DD0ED2">
        <w:rPr>
          <w:rFonts w:ascii="Calibri" w:hAnsi="Calibri" w:cs="Calibri"/>
          <w:b/>
          <w:bCs/>
          <w:noProof/>
          <w:szCs w:val="24"/>
        </w:rPr>
        <w:t>36</w:t>
      </w:r>
      <w:r w:rsidRPr="00DD0ED2">
        <w:rPr>
          <w:rFonts w:ascii="Calibri" w:hAnsi="Calibri" w:cs="Calibri"/>
          <w:noProof/>
          <w:szCs w:val="24"/>
        </w:rPr>
        <w:t xml:space="preserve">:3007–3016. </w:t>
      </w:r>
    </w:p>
    <w:p w:rsidR="00DD0ED2" w:rsidRPr="00DD0ED2" w:rsidRDefault="00DD0ED2" w:rsidP="00E1267E">
      <w:pPr>
        <w:widowControl w:val="0"/>
        <w:autoSpaceDE w:val="0"/>
        <w:autoSpaceDN w:val="0"/>
        <w:adjustRightInd w:val="0"/>
        <w:spacing w:line="240" w:lineRule="auto"/>
        <w:ind w:left="640" w:hanging="640"/>
        <w:jc w:val="both"/>
        <w:rPr>
          <w:rFonts w:ascii="Calibri" w:hAnsi="Calibri" w:cs="Calibri"/>
          <w:noProof/>
          <w:szCs w:val="24"/>
        </w:rPr>
      </w:pPr>
      <w:r w:rsidRPr="00DD0ED2">
        <w:rPr>
          <w:rFonts w:ascii="Calibri" w:hAnsi="Calibri" w:cs="Calibri"/>
          <w:noProof/>
          <w:szCs w:val="24"/>
        </w:rPr>
        <w:t xml:space="preserve">20. </w:t>
      </w:r>
      <w:r w:rsidRPr="00DD0ED2">
        <w:rPr>
          <w:rFonts w:ascii="Calibri" w:hAnsi="Calibri" w:cs="Calibri"/>
          <w:noProof/>
          <w:szCs w:val="24"/>
        </w:rPr>
        <w:tab/>
        <w:t xml:space="preserve">Sochett E, Noone D, Grattan M, Slorach C, Moineddin R, Elia Y, Mahmud FH, Dunger DB, Dalton N, Cherney D, Scholey J, Reich H, Deanfield J. Relationship between serum inflammatory markers and vascular function in a cohort of adolescents with type 1 diabetes. </w:t>
      </w:r>
      <w:r w:rsidRPr="00DD0ED2">
        <w:rPr>
          <w:rFonts w:ascii="Calibri" w:hAnsi="Calibri" w:cs="Calibri"/>
          <w:i/>
          <w:iCs/>
          <w:noProof/>
          <w:szCs w:val="24"/>
        </w:rPr>
        <w:t>Cytokine</w:t>
      </w:r>
      <w:r w:rsidRPr="00DD0ED2">
        <w:rPr>
          <w:rFonts w:ascii="Calibri" w:hAnsi="Calibri" w:cs="Calibri"/>
          <w:noProof/>
          <w:szCs w:val="24"/>
        </w:rPr>
        <w:t xml:space="preserve"> 2017;</w:t>
      </w:r>
      <w:r w:rsidRPr="00DD0ED2">
        <w:rPr>
          <w:rFonts w:ascii="Calibri" w:hAnsi="Calibri" w:cs="Calibri"/>
          <w:b/>
          <w:bCs/>
          <w:noProof/>
          <w:szCs w:val="24"/>
        </w:rPr>
        <w:t>99</w:t>
      </w:r>
      <w:r w:rsidRPr="00DD0ED2">
        <w:rPr>
          <w:rFonts w:ascii="Calibri" w:hAnsi="Calibri" w:cs="Calibri"/>
          <w:noProof/>
          <w:szCs w:val="24"/>
        </w:rPr>
        <w:t xml:space="preserve">:233–239. </w:t>
      </w:r>
    </w:p>
    <w:p w:rsidR="00DD0ED2" w:rsidRPr="00DD0ED2" w:rsidRDefault="00DD0ED2" w:rsidP="00E1267E">
      <w:pPr>
        <w:widowControl w:val="0"/>
        <w:autoSpaceDE w:val="0"/>
        <w:autoSpaceDN w:val="0"/>
        <w:adjustRightInd w:val="0"/>
        <w:spacing w:line="240" w:lineRule="auto"/>
        <w:ind w:left="640" w:hanging="640"/>
        <w:jc w:val="both"/>
        <w:rPr>
          <w:rFonts w:ascii="Calibri" w:hAnsi="Calibri" w:cs="Calibri"/>
          <w:noProof/>
          <w:szCs w:val="24"/>
        </w:rPr>
      </w:pPr>
      <w:r w:rsidRPr="00DD0ED2">
        <w:rPr>
          <w:rFonts w:ascii="Calibri" w:hAnsi="Calibri" w:cs="Calibri"/>
          <w:noProof/>
          <w:szCs w:val="24"/>
        </w:rPr>
        <w:t xml:space="preserve">21. </w:t>
      </w:r>
      <w:r w:rsidRPr="00DD0ED2">
        <w:rPr>
          <w:rFonts w:ascii="Calibri" w:hAnsi="Calibri" w:cs="Calibri"/>
          <w:noProof/>
          <w:szCs w:val="24"/>
        </w:rPr>
        <w:tab/>
        <w:t xml:space="preserve">Har RLH, Reich HN, Scholey JW, Daneman D, Dunger DB, Moineddin R, Dalton RN, Motran L, Elia Y, Deda L, Ostrovsky M, Sochett EB, Mahmud FH, Cherney DZI. The Urinary Cytokine/Chemokine Signature of Renal Hyperfiltration in Adolescents with Type 1 Diabetes. </w:t>
      </w:r>
      <w:r w:rsidRPr="00DD0ED2">
        <w:rPr>
          <w:rFonts w:ascii="Calibri" w:hAnsi="Calibri" w:cs="Calibri"/>
          <w:i/>
          <w:iCs/>
          <w:noProof/>
          <w:szCs w:val="24"/>
        </w:rPr>
        <w:t>PLoS One</w:t>
      </w:r>
      <w:r w:rsidRPr="00DD0ED2">
        <w:rPr>
          <w:rFonts w:ascii="Calibri" w:hAnsi="Calibri" w:cs="Calibri"/>
          <w:noProof/>
          <w:szCs w:val="24"/>
        </w:rPr>
        <w:t xml:space="preserve"> 2014;</w:t>
      </w:r>
      <w:r w:rsidRPr="00DD0ED2">
        <w:rPr>
          <w:rFonts w:ascii="Calibri" w:hAnsi="Calibri" w:cs="Calibri"/>
          <w:b/>
          <w:bCs/>
          <w:noProof/>
          <w:szCs w:val="24"/>
        </w:rPr>
        <w:t>9</w:t>
      </w:r>
      <w:r w:rsidRPr="00DD0ED2">
        <w:rPr>
          <w:rFonts w:ascii="Calibri" w:hAnsi="Calibri" w:cs="Calibri"/>
          <w:noProof/>
          <w:szCs w:val="24"/>
        </w:rPr>
        <w:t xml:space="preserve">:e111-131. </w:t>
      </w:r>
    </w:p>
    <w:p w:rsidR="00DD0ED2" w:rsidRPr="00DD0ED2" w:rsidRDefault="00DD0ED2" w:rsidP="00E1267E">
      <w:pPr>
        <w:widowControl w:val="0"/>
        <w:autoSpaceDE w:val="0"/>
        <w:autoSpaceDN w:val="0"/>
        <w:adjustRightInd w:val="0"/>
        <w:spacing w:line="240" w:lineRule="auto"/>
        <w:ind w:left="640" w:hanging="640"/>
        <w:jc w:val="both"/>
        <w:rPr>
          <w:rFonts w:ascii="Calibri" w:hAnsi="Calibri" w:cs="Calibri"/>
          <w:noProof/>
          <w:szCs w:val="24"/>
        </w:rPr>
      </w:pPr>
      <w:r w:rsidRPr="00DD0ED2">
        <w:rPr>
          <w:rFonts w:ascii="Calibri" w:hAnsi="Calibri" w:cs="Calibri"/>
          <w:noProof/>
          <w:szCs w:val="24"/>
        </w:rPr>
        <w:t xml:space="preserve">22. </w:t>
      </w:r>
      <w:r w:rsidRPr="00DD0ED2">
        <w:rPr>
          <w:rFonts w:ascii="Calibri" w:hAnsi="Calibri" w:cs="Calibri"/>
          <w:noProof/>
          <w:szCs w:val="24"/>
        </w:rPr>
        <w:tab/>
        <w:t xml:space="preserve">Dunger DB, Schwarze CP, Cooper JD, Widmer B, Neil H a W, Shield J, Edge J a, Jones TW, Daneman D, Dalton RN. Can we identify adolescents at high risk for nephropathy before the development of microalbuminuria? </w:t>
      </w:r>
      <w:r w:rsidRPr="00DD0ED2">
        <w:rPr>
          <w:rFonts w:ascii="Calibri" w:hAnsi="Calibri" w:cs="Calibri"/>
          <w:i/>
          <w:iCs/>
          <w:noProof/>
          <w:szCs w:val="24"/>
        </w:rPr>
        <w:t>Diabet Med</w:t>
      </w:r>
      <w:r w:rsidRPr="00DD0ED2">
        <w:rPr>
          <w:rFonts w:ascii="Calibri" w:hAnsi="Calibri" w:cs="Calibri"/>
          <w:noProof/>
          <w:szCs w:val="24"/>
        </w:rPr>
        <w:t xml:space="preserve"> 2007;</w:t>
      </w:r>
      <w:r w:rsidRPr="00DD0ED2">
        <w:rPr>
          <w:rFonts w:ascii="Calibri" w:hAnsi="Calibri" w:cs="Calibri"/>
          <w:b/>
          <w:bCs/>
          <w:noProof/>
          <w:szCs w:val="24"/>
        </w:rPr>
        <w:t>24</w:t>
      </w:r>
      <w:r w:rsidRPr="00DD0ED2">
        <w:rPr>
          <w:rFonts w:ascii="Calibri" w:hAnsi="Calibri" w:cs="Calibri"/>
          <w:noProof/>
          <w:szCs w:val="24"/>
        </w:rPr>
        <w:t xml:space="preserve">:131–136. </w:t>
      </w:r>
    </w:p>
    <w:p w:rsidR="00DD0ED2" w:rsidRPr="00DD0ED2" w:rsidRDefault="00DD0ED2" w:rsidP="00E1267E">
      <w:pPr>
        <w:widowControl w:val="0"/>
        <w:autoSpaceDE w:val="0"/>
        <w:autoSpaceDN w:val="0"/>
        <w:adjustRightInd w:val="0"/>
        <w:spacing w:line="240" w:lineRule="auto"/>
        <w:ind w:left="640" w:hanging="640"/>
        <w:jc w:val="both"/>
        <w:rPr>
          <w:rFonts w:ascii="Calibri" w:hAnsi="Calibri" w:cs="Calibri"/>
          <w:noProof/>
          <w:szCs w:val="24"/>
        </w:rPr>
      </w:pPr>
      <w:r w:rsidRPr="00DD0ED2">
        <w:rPr>
          <w:rFonts w:ascii="Calibri" w:hAnsi="Calibri" w:cs="Calibri"/>
          <w:noProof/>
          <w:szCs w:val="24"/>
        </w:rPr>
        <w:t xml:space="preserve">23. </w:t>
      </w:r>
      <w:r w:rsidRPr="00DD0ED2">
        <w:rPr>
          <w:rFonts w:ascii="Calibri" w:hAnsi="Calibri" w:cs="Calibri"/>
          <w:noProof/>
          <w:szCs w:val="24"/>
        </w:rPr>
        <w:tab/>
        <w:t xml:space="preserve">Marcovecchio ML, Woodside J, Jones T, Daneman D, Neil A, Prevost T, Dalton RN, Deanfield J, Dunger DB. Adolescent Type 1 Diabetes Cardio-Renal Intervention Trial (AdDIT): Urinary screening and baseline biochemical and cardiovascular assessments. </w:t>
      </w:r>
      <w:r w:rsidRPr="00DD0ED2">
        <w:rPr>
          <w:rFonts w:ascii="Calibri" w:hAnsi="Calibri" w:cs="Calibri"/>
          <w:i/>
          <w:iCs/>
          <w:noProof/>
          <w:szCs w:val="24"/>
        </w:rPr>
        <w:t>Diabetes Care</w:t>
      </w:r>
      <w:r w:rsidRPr="00DD0ED2">
        <w:rPr>
          <w:rFonts w:ascii="Calibri" w:hAnsi="Calibri" w:cs="Calibri"/>
          <w:noProof/>
          <w:szCs w:val="24"/>
        </w:rPr>
        <w:t xml:space="preserve"> 2014;</w:t>
      </w:r>
      <w:r w:rsidRPr="00DD0ED2">
        <w:rPr>
          <w:rFonts w:ascii="Calibri" w:hAnsi="Calibri" w:cs="Calibri"/>
          <w:b/>
          <w:bCs/>
          <w:noProof/>
          <w:szCs w:val="24"/>
        </w:rPr>
        <w:t>37</w:t>
      </w:r>
      <w:r w:rsidRPr="00DD0ED2">
        <w:rPr>
          <w:rFonts w:ascii="Calibri" w:hAnsi="Calibri" w:cs="Calibri"/>
          <w:noProof/>
          <w:szCs w:val="24"/>
        </w:rPr>
        <w:t xml:space="preserve">:805–813. </w:t>
      </w:r>
    </w:p>
    <w:p w:rsidR="00DD0ED2" w:rsidRPr="00DD0ED2" w:rsidRDefault="00DD0ED2" w:rsidP="00E1267E">
      <w:pPr>
        <w:widowControl w:val="0"/>
        <w:autoSpaceDE w:val="0"/>
        <w:autoSpaceDN w:val="0"/>
        <w:adjustRightInd w:val="0"/>
        <w:spacing w:line="240" w:lineRule="auto"/>
        <w:ind w:left="640" w:hanging="640"/>
        <w:jc w:val="both"/>
        <w:rPr>
          <w:rFonts w:ascii="Calibri" w:hAnsi="Calibri" w:cs="Calibri"/>
          <w:noProof/>
          <w:szCs w:val="24"/>
        </w:rPr>
      </w:pPr>
      <w:r w:rsidRPr="00DD0ED2">
        <w:rPr>
          <w:rFonts w:ascii="Calibri" w:hAnsi="Calibri" w:cs="Calibri"/>
          <w:noProof/>
          <w:szCs w:val="24"/>
        </w:rPr>
        <w:t xml:space="preserve">24. </w:t>
      </w:r>
      <w:r w:rsidRPr="00DD0ED2">
        <w:rPr>
          <w:rFonts w:ascii="Calibri" w:hAnsi="Calibri" w:cs="Calibri"/>
          <w:noProof/>
          <w:szCs w:val="24"/>
        </w:rPr>
        <w:tab/>
        <w:t xml:space="preserve">Tong H, Knapp HR, VanRollins M. A low temperature flotation method to rapidly isolate lipoproteins from plasma. </w:t>
      </w:r>
      <w:r w:rsidRPr="00DD0ED2">
        <w:rPr>
          <w:rFonts w:ascii="Calibri" w:hAnsi="Calibri" w:cs="Calibri"/>
          <w:i/>
          <w:iCs/>
          <w:noProof/>
          <w:szCs w:val="24"/>
        </w:rPr>
        <w:t>J Lipid Res</w:t>
      </w:r>
      <w:r w:rsidRPr="00DD0ED2">
        <w:rPr>
          <w:rFonts w:ascii="Calibri" w:hAnsi="Calibri" w:cs="Calibri"/>
          <w:noProof/>
          <w:szCs w:val="24"/>
        </w:rPr>
        <w:t xml:space="preserve"> 1998;</w:t>
      </w:r>
      <w:r w:rsidRPr="00DD0ED2">
        <w:rPr>
          <w:rFonts w:ascii="Calibri" w:hAnsi="Calibri" w:cs="Calibri"/>
          <w:b/>
          <w:bCs/>
          <w:noProof/>
          <w:szCs w:val="24"/>
        </w:rPr>
        <w:t>39</w:t>
      </w:r>
      <w:r w:rsidRPr="00DD0ED2">
        <w:rPr>
          <w:rFonts w:ascii="Calibri" w:hAnsi="Calibri" w:cs="Calibri"/>
          <w:noProof/>
          <w:szCs w:val="24"/>
        </w:rPr>
        <w:t xml:space="preserve">:1696–1704. </w:t>
      </w:r>
    </w:p>
    <w:p w:rsidR="00DD0ED2" w:rsidRPr="00DD0ED2" w:rsidRDefault="00DD0ED2" w:rsidP="00E1267E">
      <w:pPr>
        <w:widowControl w:val="0"/>
        <w:autoSpaceDE w:val="0"/>
        <w:autoSpaceDN w:val="0"/>
        <w:adjustRightInd w:val="0"/>
        <w:spacing w:line="240" w:lineRule="auto"/>
        <w:ind w:left="640" w:hanging="640"/>
        <w:jc w:val="both"/>
        <w:rPr>
          <w:rFonts w:ascii="Calibri" w:hAnsi="Calibri" w:cs="Calibri"/>
          <w:noProof/>
          <w:szCs w:val="24"/>
        </w:rPr>
      </w:pPr>
      <w:r w:rsidRPr="00DD0ED2">
        <w:rPr>
          <w:rFonts w:ascii="Calibri" w:hAnsi="Calibri" w:cs="Calibri"/>
          <w:noProof/>
          <w:szCs w:val="24"/>
        </w:rPr>
        <w:t xml:space="preserve">25. </w:t>
      </w:r>
      <w:r w:rsidRPr="00DD0ED2">
        <w:rPr>
          <w:rFonts w:ascii="Calibri" w:hAnsi="Calibri" w:cs="Calibri"/>
          <w:noProof/>
          <w:szCs w:val="24"/>
        </w:rPr>
        <w:tab/>
        <w:t xml:space="preserve">O’Neill F, McLoughlin E, Riwanto M, Manz J, Adler A, Sutill E, Khan T, Haywood R, Kay CWM, D’Aiuto F, Charakida M, Landmesser U, Deanfield J. Reproducibility and biological variability of HDL’s vascular functional assays. </w:t>
      </w:r>
      <w:r w:rsidRPr="00DD0ED2">
        <w:rPr>
          <w:rFonts w:ascii="Calibri" w:hAnsi="Calibri" w:cs="Calibri"/>
          <w:i/>
          <w:iCs/>
          <w:noProof/>
          <w:szCs w:val="24"/>
        </w:rPr>
        <w:t>Atherosclerosis</w:t>
      </w:r>
      <w:r w:rsidRPr="00DD0ED2">
        <w:rPr>
          <w:rFonts w:ascii="Calibri" w:hAnsi="Calibri" w:cs="Calibri"/>
          <w:noProof/>
          <w:szCs w:val="24"/>
        </w:rPr>
        <w:t xml:space="preserve"> 2015;</w:t>
      </w:r>
      <w:r w:rsidRPr="00DD0ED2">
        <w:rPr>
          <w:rFonts w:ascii="Calibri" w:hAnsi="Calibri" w:cs="Calibri"/>
          <w:b/>
          <w:bCs/>
          <w:noProof/>
          <w:szCs w:val="24"/>
        </w:rPr>
        <w:t>241</w:t>
      </w:r>
      <w:r w:rsidRPr="00DD0ED2">
        <w:rPr>
          <w:rFonts w:ascii="Calibri" w:hAnsi="Calibri" w:cs="Calibri"/>
          <w:noProof/>
          <w:szCs w:val="24"/>
        </w:rPr>
        <w:t xml:space="preserve">:588–594. </w:t>
      </w:r>
    </w:p>
    <w:p w:rsidR="00DD0ED2" w:rsidRPr="00DD0ED2" w:rsidRDefault="00DD0ED2" w:rsidP="00E1267E">
      <w:pPr>
        <w:widowControl w:val="0"/>
        <w:autoSpaceDE w:val="0"/>
        <w:autoSpaceDN w:val="0"/>
        <w:adjustRightInd w:val="0"/>
        <w:spacing w:line="240" w:lineRule="auto"/>
        <w:ind w:left="640" w:hanging="640"/>
        <w:jc w:val="both"/>
        <w:rPr>
          <w:rFonts w:ascii="Calibri" w:hAnsi="Calibri" w:cs="Calibri"/>
          <w:noProof/>
          <w:szCs w:val="24"/>
        </w:rPr>
      </w:pPr>
      <w:r w:rsidRPr="00DD0ED2">
        <w:rPr>
          <w:rFonts w:ascii="Calibri" w:hAnsi="Calibri" w:cs="Calibri"/>
          <w:noProof/>
          <w:szCs w:val="24"/>
        </w:rPr>
        <w:t xml:space="preserve">26. </w:t>
      </w:r>
      <w:r w:rsidRPr="00DD0ED2">
        <w:rPr>
          <w:rFonts w:ascii="Calibri" w:hAnsi="Calibri" w:cs="Calibri"/>
          <w:noProof/>
          <w:szCs w:val="24"/>
        </w:rPr>
        <w:tab/>
        <w:t xml:space="preserve">Donald AE, Halcox JP, Charakida M, Storry C, Wallace SML, Cole TJ, Friberg P, Deanfield JE. Methodological Approaches to Optimize Reproducibility and Power in Clinical Studies of Flow-Mediated Dilation. </w:t>
      </w:r>
      <w:r w:rsidRPr="00DD0ED2">
        <w:rPr>
          <w:rFonts w:ascii="Calibri" w:hAnsi="Calibri" w:cs="Calibri"/>
          <w:i/>
          <w:iCs/>
          <w:noProof/>
          <w:szCs w:val="24"/>
        </w:rPr>
        <w:t>J Am Coll Cardiol</w:t>
      </w:r>
      <w:r w:rsidRPr="00DD0ED2">
        <w:rPr>
          <w:rFonts w:ascii="Calibri" w:hAnsi="Calibri" w:cs="Calibri"/>
          <w:noProof/>
          <w:szCs w:val="24"/>
        </w:rPr>
        <w:t xml:space="preserve"> 2008;</w:t>
      </w:r>
      <w:r w:rsidRPr="00DD0ED2">
        <w:rPr>
          <w:rFonts w:ascii="Calibri" w:hAnsi="Calibri" w:cs="Calibri"/>
          <w:b/>
          <w:bCs/>
          <w:noProof/>
          <w:szCs w:val="24"/>
        </w:rPr>
        <w:t>51</w:t>
      </w:r>
      <w:r w:rsidRPr="00DD0ED2">
        <w:rPr>
          <w:rFonts w:ascii="Calibri" w:hAnsi="Calibri" w:cs="Calibri"/>
          <w:noProof/>
          <w:szCs w:val="24"/>
        </w:rPr>
        <w:t xml:space="preserve">:1959–1964. </w:t>
      </w:r>
    </w:p>
    <w:p w:rsidR="00DD0ED2" w:rsidRPr="00DD0ED2" w:rsidRDefault="00DD0ED2" w:rsidP="00E1267E">
      <w:pPr>
        <w:widowControl w:val="0"/>
        <w:autoSpaceDE w:val="0"/>
        <w:autoSpaceDN w:val="0"/>
        <w:adjustRightInd w:val="0"/>
        <w:spacing w:line="240" w:lineRule="auto"/>
        <w:ind w:left="640" w:hanging="640"/>
        <w:jc w:val="both"/>
        <w:rPr>
          <w:rFonts w:ascii="Calibri" w:hAnsi="Calibri" w:cs="Calibri"/>
          <w:noProof/>
          <w:szCs w:val="24"/>
        </w:rPr>
      </w:pPr>
      <w:r w:rsidRPr="00DD0ED2">
        <w:rPr>
          <w:rFonts w:ascii="Calibri" w:hAnsi="Calibri" w:cs="Calibri"/>
          <w:noProof/>
          <w:szCs w:val="24"/>
        </w:rPr>
        <w:t xml:space="preserve">27. </w:t>
      </w:r>
      <w:r w:rsidRPr="00DD0ED2">
        <w:rPr>
          <w:rFonts w:ascii="Calibri" w:hAnsi="Calibri" w:cs="Calibri"/>
          <w:noProof/>
          <w:szCs w:val="24"/>
        </w:rPr>
        <w:tab/>
        <w:t xml:space="preserve">Cho YH, Craig ME, Davis EA, Cotterill AM, Couper JJ, Cameron FJ, Benitez-Aguirre PZ, Dalton RN, Dunger DB, Jones TW, Donaghue KC, Adolescent Type 1 Diabetes Cardio-Renal Intervention Trial. Cardiac autonomic dysfunction is associated with high-risk albumin-to-creatinine ratio in young adolescents with type 1 diabetes in AdDIT (adolescent type 1 diabetes cardio-renal interventional trial). </w:t>
      </w:r>
      <w:r w:rsidRPr="00DD0ED2">
        <w:rPr>
          <w:rFonts w:ascii="Calibri" w:hAnsi="Calibri" w:cs="Calibri"/>
          <w:i/>
          <w:iCs/>
          <w:noProof/>
          <w:szCs w:val="24"/>
        </w:rPr>
        <w:t>Diabetes Care</w:t>
      </w:r>
      <w:r w:rsidRPr="00DD0ED2">
        <w:rPr>
          <w:rFonts w:ascii="Calibri" w:hAnsi="Calibri" w:cs="Calibri"/>
          <w:noProof/>
          <w:szCs w:val="24"/>
        </w:rPr>
        <w:t xml:space="preserve"> 2015;</w:t>
      </w:r>
      <w:r w:rsidRPr="00DD0ED2">
        <w:rPr>
          <w:rFonts w:ascii="Calibri" w:hAnsi="Calibri" w:cs="Calibri"/>
          <w:b/>
          <w:bCs/>
          <w:noProof/>
          <w:szCs w:val="24"/>
        </w:rPr>
        <w:t>38</w:t>
      </w:r>
      <w:r w:rsidRPr="00DD0ED2">
        <w:rPr>
          <w:rFonts w:ascii="Calibri" w:hAnsi="Calibri" w:cs="Calibri"/>
          <w:noProof/>
          <w:szCs w:val="24"/>
        </w:rPr>
        <w:t xml:space="preserve">:676–681. </w:t>
      </w:r>
    </w:p>
    <w:p w:rsidR="00DD0ED2" w:rsidRPr="00DD0ED2" w:rsidRDefault="00DD0ED2" w:rsidP="00E1267E">
      <w:pPr>
        <w:widowControl w:val="0"/>
        <w:autoSpaceDE w:val="0"/>
        <w:autoSpaceDN w:val="0"/>
        <w:adjustRightInd w:val="0"/>
        <w:spacing w:line="240" w:lineRule="auto"/>
        <w:ind w:left="640" w:hanging="640"/>
        <w:jc w:val="both"/>
        <w:rPr>
          <w:rFonts w:ascii="Calibri" w:hAnsi="Calibri" w:cs="Calibri"/>
          <w:noProof/>
          <w:szCs w:val="24"/>
        </w:rPr>
      </w:pPr>
      <w:r w:rsidRPr="00DD0ED2">
        <w:rPr>
          <w:rFonts w:ascii="Calibri" w:hAnsi="Calibri" w:cs="Calibri"/>
          <w:noProof/>
          <w:szCs w:val="24"/>
        </w:rPr>
        <w:t xml:space="preserve">28. </w:t>
      </w:r>
      <w:r w:rsidRPr="00DD0ED2">
        <w:rPr>
          <w:rFonts w:ascii="Calibri" w:hAnsi="Calibri" w:cs="Calibri"/>
          <w:noProof/>
          <w:szCs w:val="24"/>
        </w:rPr>
        <w:tab/>
        <w:t xml:space="preserve">Bacchetta J, Cochat P, Rognant N, Ranchin B, Hadj-Aissa A, Dubourg L. Which Creatinine and Cystatin C Equations Can Be Reliably Used in Children? </w:t>
      </w:r>
      <w:r w:rsidRPr="00DD0ED2">
        <w:rPr>
          <w:rFonts w:ascii="Calibri" w:hAnsi="Calibri" w:cs="Calibri"/>
          <w:i/>
          <w:iCs/>
          <w:noProof/>
          <w:szCs w:val="24"/>
        </w:rPr>
        <w:t>Clin J Am Soc Nephrol</w:t>
      </w:r>
      <w:r w:rsidRPr="00DD0ED2">
        <w:rPr>
          <w:rFonts w:ascii="Calibri" w:hAnsi="Calibri" w:cs="Calibri"/>
          <w:noProof/>
          <w:szCs w:val="24"/>
        </w:rPr>
        <w:t xml:space="preserve"> 2011;</w:t>
      </w:r>
      <w:r w:rsidRPr="00DD0ED2">
        <w:rPr>
          <w:rFonts w:ascii="Calibri" w:hAnsi="Calibri" w:cs="Calibri"/>
          <w:b/>
          <w:bCs/>
          <w:noProof/>
          <w:szCs w:val="24"/>
        </w:rPr>
        <w:t>6</w:t>
      </w:r>
      <w:r w:rsidRPr="00DD0ED2">
        <w:rPr>
          <w:rFonts w:ascii="Calibri" w:hAnsi="Calibri" w:cs="Calibri"/>
          <w:noProof/>
          <w:szCs w:val="24"/>
        </w:rPr>
        <w:t xml:space="preserve">:552–560. </w:t>
      </w:r>
    </w:p>
    <w:p w:rsidR="00DD0ED2" w:rsidRPr="00DD0ED2" w:rsidRDefault="00DD0ED2" w:rsidP="00E1267E">
      <w:pPr>
        <w:widowControl w:val="0"/>
        <w:autoSpaceDE w:val="0"/>
        <w:autoSpaceDN w:val="0"/>
        <w:adjustRightInd w:val="0"/>
        <w:spacing w:line="240" w:lineRule="auto"/>
        <w:ind w:left="640" w:hanging="640"/>
        <w:jc w:val="both"/>
        <w:rPr>
          <w:rFonts w:ascii="Calibri" w:hAnsi="Calibri" w:cs="Calibri"/>
          <w:noProof/>
          <w:szCs w:val="24"/>
        </w:rPr>
      </w:pPr>
      <w:r w:rsidRPr="00DD0ED2">
        <w:rPr>
          <w:rFonts w:ascii="Calibri" w:hAnsi="Calibri" w:cs="Calibri"/>
          <w:noProof/>
          <w:szCs w:val="24"/>
        </w:rPr>
        <w:t xml:space="preserve">29. </w:t>
      </w:r>
      <w:r w:rsidRPr="00DD0ED2">
        <w:rPr>
          <w:rFonts w:ascii="Calibri" w:hAnsi="Calibri" w:cs="Calibri"/>
          <w:noProof/>
          <w:szCs w:val="24"/>
        </w:rPr>
        <w:tab/>
        <w:t xml:space="preserve">Zewinger S, Kleber ME, Rohrer L, Lehmann M, Triem S, Jennings RT, Petrakis I, Dressel A, Lepper PM, Scharnagl H, Ritsch A, Thorand B, Heier M, Meisinger C, las Heras Gala T de, Koenig W, Wagenpfeil S, Schwedhelm E, Böger RH, Laufs U, Eckardstein A von, Landmesser U, Lüscher TF, Fliser D, März W, Meinitzer A, Speer T. Symmetric dimethylarginine, high-density lipoproteins and cardiovascular disease. </w:t>
      </w:r>
      <w:r w:rsidRPr="00DD0ED2">
        <w:rPr>
          <w:rFonts w:ascii="Calibri" w:hAnsi="Calibri" w:cs="Calibri"/>
          <w:i/>
          <w:iCs/>
          <w:noProof/>
          <w:szCs w:val="24"/>
        </w:rPr>
        <w:t>Eur Heart J</w:t>
      </w:r>
      <w:r w:rsidRPr="00DD0ED2">
        <w:rPr>
          <w:rFonts w:ascii="Calibri" w:hAnsi="Calibri" w:cs="Calibri"/>
          <w:noProof/>
          <w:szCs w:val="24"/>
        </w:rPr>
        <w:t xml:space="preserve"> 2017;</w:t>
      </w:r>
      <w:r w:rsidRPr="00DD0ED2">
        <w:rPr>
          <w:rFonts w:ascii="Calibri" w:hAnsi="Calibri" w:cs="Calibri"/>
          <w:b/>
          <w:bCs/>
          <w:noProof/>
          <w:szCs w:val="24"/>
        </w:rPr>
        <w:t>38</w:t>
      </w:r>
      <w:r w:rsidRPr="00DD0ED2">
        <w:rPr>
          <w:rFonts w:ascii="Calibri" w:hAnsi="Calibri" w:cs="Calibri"/>
          <w:noProof/>
          <w:szCs w:val="24"/>
        </w:rPr>
        <w:t xml:space="preserve">:1597–1607. </w:t>
      </w:r>
    </w:p>
    <w:p w:rsidR="00DD0ED2" w:rsidRPr="00DD0ED2" w:rsidRDefault="00DD0ED2" w:rsidP="00E1267E">
      <w:pPr>
        <w:widowControl w:val="0"/>
        <w:autoSpaceDE w:val="0"/>
        <w:autoSpaceDN w:val="0"/>
        <w:adjustRightInd w:val="0"/>
        <w:spacing w:line="240" w:lineRule="auto"/>
        <w:ind w:left="640" w:hanging="640"/>
        <w:jc w:val="both"/>
        <w:rPr>
          <w:rFonts w:ascii="Calibri" w:hAnsi="Calibri" w:cs="Calibri"/>
          <w:noProof/>
          <w:szCs w:val="24"/>
        </w:rPr>
      </w:pPr>
      <w:r w:rsidRPr="00DD0ED2">
        <w:rPr>
          <w:rFonts w:ascii="Calibri" w:hAnsi="Calibri" w:cs="Calibri"/>
          <w:noProof/>
          <w:szCs w:val="24"/>
        </w:rPr>
        <w:t xml:space="preserve">30. </w:t>
      </w:r>
      <w:r w:rsidRPr="00DD0ED2">
        <w:rPr>
          <w:rFonts w:ascii="Calibri" w:hAnsi="Calibri" w:cs="Calibri"/>
          <w:noProof/>
          <w:szCs w:val="24"/>
        </w:rPr>
        <w:tab/>
      </w:r>
      <w:r w:rsidR="00E1267E" w:rsidRPr="00E1267E">
        <w:rPr>
          <w:rFonts w:ascii="Calibri" w:hAnsi="Calibri" w:cs="Calibri"/>
          <w:noProof/>
          <w:szCs w:val="24"/>
        </w:rPr>
        <w:t>Piepoli MF, Hoes AW, Agewall S, Albus C, Brotons C, Catapano AL, Cooney MT, Corra U, Cosyns B, Deaton C, Graham I, Hall MS, Hobbs FD, Lochen ML, Lollgen H, Marques-Vidal P, Perk J, Prescott E, Redon J, Richter DJ, Sattar N, Smulders Y, Tiberi M, van der Worp HB, van Dis I, Verschuren WM. 2016 European Guidelines on cardiovascular disease prevention in clinical practice: the Sixth Joint Task Force of the European Society of Cardiology and Other Societies on Cardiovascular Disease Prevention in Clinical Practice (constituted by representatives of 10 societies and by invited experts). Developed with the special contribution of the European Association for Cardiovascular Prevention &amp; Rehabilitation (EACPR). Eur Heart J  2016;37:2315–2381.</w:t>
      </w:r>
      <w:r w:rsidRPr="00DD0ED2">
        <w:rPr>
          <w:rFonts w:ascii="Calibri" w:hAnsi="Calibri" w:cs="Calibri"/>
          <w:noProof/>
          <w:szCs w:val="24"/>
        </w:rPr>
        <w:t xml:space="preserve"> </w:t>
      </w:r>
    </w:p>
    <w:p w:rsidR="00DD0ED2" w:rsidRPr="00DD0ED2" w:rsidRDefault="00DD0ED2" w:rsidP="00E1267E">
      <w:pPr>
        <w:widowControl w:val="0"/>
        <w:autoSpaceDE w:val="0"/>
        <w:autoSpaceDN w:val="0"/>
        <w:adjustRightInd w:val="0"/>
        <w:spacing w:line="240" w:lineRule="auto"/>
        <w:ind w:left="640" w:hanging="640"/>
        <w:jc w:val="both"/>
        <w:rPr>
          <w:rFonts w:ascii="Calibri" w:hAnsi="Calibri" w:cs="Calibri"/>
          <w:noProof/>
          <w:szCs w:val="24"/>
        </w:rPr>
      </w:pPr>
      <w:r w:rsidRPr="00DD0ED2">
        <w:rPr>
          <w:rFonts w:ascii="Calibri" w:hAnsi="Calibri" w:cs="Calibri"/>
          <w:noProof/>
          <w:szCs w:val="24"/>
        </w:rPr>
        <w:t xml:space="preserve">31. </w:t>
      </w:r>
      <w:r w:rsidRPr="00DD0ED2">
        <w:rPr>
          <w:rFonts w:ascii="Calibri" w:hAnsi="Calibri" w:cs="Calibri"/>
          <w:noProof/>
          <w:szCs w:val="24"/>
        </w:rPr>
        <w:tab/>
        <w:t xml:space="preserve">Salardi S, Balsamo C, Zucchini S, Maltoni G, Scipione M, Rollo A, Gualandi S, Cicognani A. High rate of regression from micro-macroalbuminuria to normoalbuminuria in children and adolescents with type 1 diabetes treated or not with enalapril: the influence of HDL cholesterol. </w:t>
      </w:r>
      <w:r w:rsidRPr="00DD0ED2">
        <w:rPr>
          <w:rFonts w:ascii="Calibri" w:hAnsi="Calibri" w:cs="Calibri"/>
          <w:i/>
          <w:iCs/>
          <w:noProof/>
          <w:szCs w:val="24"/>
        </w:rPr>
        <w:t>Diabetes Care</w:t>
      </w:r>
      <w:r w:rsidRPr="00DD0ED2">
        <w:rPr>
          <w:rFonts w:ascii="Calibri" w:hAnsi="Calibri" w:cs="Calibri"/>
          <w:noProof/>
          <w:szCs w:val="24"/>
        </w:rPr>
        <w:t xml:space="preserve"> 2011;</w:t>
      </w:r>
      <w:r w:rsidRPr="00DD0ED2">
        <w:rPr>
          <w:rFonts w:ascii="Calibri" w:hAnsi="Calibri" w:cs="Calibri"/>
          <w:b/>
          <w:bCs/>
          <w:noProof/>
          <w:szCs w:val="24"/>
        </w:rPr>
        <w:t>34</w:t>
      </w:r>
      <w:r w:rsidRPr="00DD0ED2">
        <w:rPr>
          <w:rFonts w:ascii="Calibri" w:hAnsi="Calibri" w:cs="Calibri"/>
          <w:noProof/>
          <w:szCs w:val="24"/>
        </w:rPr>
        <w:t xml:space="preserve">:424–429. </w:t>
      </w:r>
    </w:p>
    <w:p w:rsidR="00DD0ED2" w:rsidRPr="00DD0ED2" w:rsidRDefault="00DD0ED2" w:rsidP="00E1267E">
      <w:pPr>
        <w:widowControl w:val="0"/>
        <w:autoSpaceDE w:val="0"/>
        <w:autoSpaceDN w:val="0"/>
        <w:adjustRightInd w:val="0"/>
        <w:spacing w:line="240" w:lineRule="auto"/>
        <w:ind w:left="640" w:hanging="640"/>
        <w:jc w:val="both"/>
        <w:rPr>
          <w:rFonts w:ascii="Calibri" w:hAnsi="Calibri" w:cs="Calibri"/>
          <w:noProof/>
          <w:szCs w:val="24"/>
        </w:rPr>
      </w:pPr>
      <w:r w:rsidRPr="00DD0ED2">
        <w:rPr>
          <w:rFonts w:ascii="Calibri" w:hAnsi="Calibri" w:cs="Calibri"/>
          <w:noProof/>
          <w:szCs w:val="24"/>
        </w:rPr>
        <w:t xml:space="preserve">32. </w:t>
      </w:r>
      <w:r w:rsidRPr="00DD0ED2">
        <w:rPr>
          <w:rFonts w:ascii="Calibri" w:hAnsi="Calibri" w:cs="Calibri"/>
          <w:noProof/>
          <w:szCs w:val="24"/>
        </w:rPr>
        <w:tab/>
        <w:t xml:space="preserve">Molitch ME, Rupp D, Carnethon M. Higher levels of HDL cholesterol are associated with a decreased likelihood of albuminuria in patients with long-standing type 1 diabetes. </w:t>
      </w:r>
      <w:r w:rsidRPr="00DD0ED2">
        <w:rPr>
          <w:rFonts w:ascii="Calibri" w:hAnsi="Calibri" w:cs="Calibri"/>
          <w:i/>
          <w:iCs/>
          <w:noProof/>
          <w:szCs w:val="24"/>
        </w:rPr>
        <w:t>Diabetes Care</w:t>
      </w:r>
      <w:r w:rsidRPr="00DD0ED2">
        <w:rPr>
          <w:rFonts w:ascii="Calibri" w:hAnsi="Calibri" w:cs="Calibri"/>
          <w:noProof/>
          <w:szCs w:val="24"/>
        </w:rPr>
        <w:t xml:space="preserve"> 2006;</w:t>
      </w:r>
      <w:r w:rsidRPr="00DD0ED2">
        <w:rPr>
          <w:rFonts w:ascii="Calibri" w:hAnsi="Calibri" w:cs="Calibri"/>
          <w:b/>
          <w:bCs/>
          <w:noProof/>
          <w:szCs w:val="24"/>
        </w:rPr>
        <w:t>29</w:t>
      </w:r>
      <w:r w:rsidRPr="00DD0ED2">
        <w:rPr>
          <w:rFonts w:ascii="Calibri" w:hAnsi="Calibri" w:cs="Calibri"/>
          <w:noProof/>
          <w:szCs w:val="24"/>
        </w:rPr>
        <w:t xml:space="preserve">:78–82. </w:t>
      </w:r>
    </w:p>
    <w:p w:rsidR="00DD0ED2" w:rsidRPr="00DD0ED2" w:rsidRDefault="00DD0ED2" w:rsidP="00E1267E">
      <w:pPr>
        <w:widowControl w:val="0"/>
        <w:autoSpaceDE w:val="0"/>
        <w:autoSpaceDN w:val="0"/>
        <w:adjustRightInd w:val="0"/>
        <w:spacing w:line="240" w:lineRule="auto"/>
        <w:ind w:left="640" w:hanging="640"/>
        <w:jc w:val="both"/>
        <w:rPr>
          <w:rFonts w:ascii="Calibri" w:hAnsi="Calibri" w:cs="Calibri"/>
          <w:noProof/>
          <w:szCs w:val="24"/>
        </w:rPr>
      </w:pPr>
      <w:r w:rsidRPr="00DD0ED2">
        <w:rPr>
          <w:rFonts w:ascii="Calibri" w:hAnsi="Calibri" w:cs="Calibri"/>
          <w:noProof/>
          <w:szCs w:val="24"/>
        </w:rPr>
        <w:t xml:space="preserve">33. </w:t>
      </w:r>
      <w:r w:rsidRPr="00DD0ED2">
        <w:rPr>
          <w:rFonts w:ascii="Calibri" w:hAnsi="Calibri" w:cs="Calibri"/>
          <w:noProof/>
          <w:szCs w:val="24"/>
        </w:rPr>
        <w:tab/>
        <w:t xml:space="preserve">Wierusz-Wysocka B, Zozulinska D a., Araszkiewicz A, Pisarczyk-Wiza D. Higher Levels of HDL Cholesterol Are Associated With a Decreased Likelihood of Albuminuria in Patients With Long-Standing Type 1 Diabetes: Response to Molitch et al. </w:t>
      </w:r>
      <w:r w:rsidRPr="00DD0ED2">
        <w:rPr>
          <w:rFonts w:ascii="Calibri" w:hAnsi="Calibri" w:cs="Calibri"/>
          <w:i/>
          <w:iCs/>
          <w:noProof/>
          <w:szCs w:val="24"/>
        </w:rPr>
        <w:t>Diabetes Care</w:t>
      </w:r>
      <w:r w:rsidRPr="00DD0ED2">
        <w:rPr>
          <w:rFonts w:ascii="Calibri" w:hAnsi="Calibri" w:cs="Calibri"/>
          <w:noProof/>
          <w:szCs w:val="24"/>
        </w:rPr>
        <w:t xml:space="preserve"> 2006;</w:t>
      </w:r>
      <w:r w:rsidRPr="00DD0ED2">
        <w:rPr>
          <w:rFonts w:ascii="Calibri" w:hAnsi="Calibri" w:cs="Calibri"/>
          <w:b/>
          <w:bCs/>
          <w:noProof/>
          <w:szCs w:val="24"/>
        </w:rPr>
        <w:t>29</w:t>
      </w:r>
      <w:r w:rsidRPr="00DD0ED2">
        <w:rPr>
          <w:rFonts w:ascii="Calibri" w:hAnsi="Calibri" w:cs="Calibri"/>
          <w:noProof/>
          <w:szCs w:val="24"/>
        </w:rPr>
        <w:t xml:space="preserve">:1176–1177. </w:t>
      </w:r>
    </w:p>
    <w:p w:rsidR="00DD0ED2" w:rsidRPr="00DD0ED2" w:rsidRDefault="00DD0ED2" w:rsidP="00E1267E">
      <w:pPr>
        <w:widowControl w:val="0"/>
        <w:autoSpaceDE w:val="0"/>
        <w:autoSpaceDN w:val="0"/>
        <w:adjustRightInd w:val="0"/>
        <w:spacing w:line="240" w:lineRule="auto"/>
        <w:ind w:left="640" w:hanging="640"/>
        <w:jc w:val="both"/>
        <w:rPr>
          <w:rFonts w:ascii="Calibri" w:hAnsi="Calibri" w:cs="Calibri"/>
          <w:noProof/>
          <w:szCs w:val="24"/>
        </w:rPr>
      </w:pPr>
      <w:r w:rsidRPr="00DD0ED2">
        <w:rPr>
          <w:rFonts w:ascii="Calibri" w:hAnsi="Calibri" w:cs="Calibri"/>
          <w:noProof/>
          <w:szCs w:val="24"/>
        </w:rPr>
        <w:t xml:space="preserve">34. </w:t>
      </w:r>
      <w:r w:rsidRPr="00DD0ED2">
        <w:rPr>
          <w:rFonts w:ascii="Calibri" w:hAnsi="Calibri" w:cs="Calibri"/>
          <w:noProof/>
          <w:szCs w:val="24"/>
        </w:rPr>
        <w:tab/>
        <w:t xml:space="preserve">Costacou T, Evans RW, Orchard TJ. High-density lipoprotein cholesterol in diabetes: Is higher always better? </w:t>
      </w:r>
      <w:r w:rsidRPr="00DD0ED2">
        <w:rPr>
          <w:rFonts w:ascii="Calibri" w:hAnsi="Calibri" w:cs="Calibri"/>
          <w:i/>
          <w:iCs/>
          <w:noProof/>
          <w:szCs w:val="24"/>
        </w:rPr>
        <w:t>J Clin Lipidol</w:t>
      </w:r>
      <w:r w:rsidRPr="00DD0ED2">
        <w:rPr>
          <w:rFonts w:ascii="Calibri" w:hAnsi="Calibri" w:cs="Calibri"/>
          <w:noProof/>
          <w:szCs w:val="24"/>
        </w:rPr>
        <w:t xml:space="preserve"> 2011;</w:t>
      </w:r>
      <w:r w:rsidRPr="00DD0ED2">
        <w:rPr>
          <w:rFonts w:ascii="Calibri" w:hAnsi="Calibri" w:cs="Calibri"/>
          <w:b/>
          <w:bCs/>
          <w:noProof/>
          <w:szCs w:val="24"/>
        </w:rPr>
        <w:t>5</w:t>
      </w:r>
      <w:r w:rsidRPr="00DD0ED2">
        <w:rPr>
          <w:rFonts w:ascii="Calibri" w:hAnsi="Calibri" w:cs="Calibri"/>
          <w:noProof/>
          <w:szCs w:val="24"/>
        </w:rPr>
        <w:t xml:space="preserve">:387–394. </w:t>
      </w:r>
    </w:p>
    <w:p w:rsidR="00DD0ED2" w:rsidRPr="00DD0ED2" w:rsidRDefault="00DD0ED2" w:rsidP="00E1267E">
      <w:pPr>
        <w:widowControl w:val="0"/>
        <w:autoSpaceDE w:val="0"/>
        <w:autoSpaceDN w:val="0"/>
        <w:adjustRightInd w:val="0"/>
        <w:spacing w:line="240" w:lineRule="auto"/>
        <w:ind w:left="640" w:hanging="640"/>
        <w:jc w:val="both"/>
        <w:rPr>
          <w:rFonts w:ascii="Calibri" w:hAnsi="Calibri" w:cs="Calibri"/>
          <w:noProof/>
          <w:szCs w:val="24"/>
        </w:rPr>
      </w:pPr>
      <w:r w:rsidRPr="00DD0ED2">
        <w:rPr>
          <w:rFonts w:ascii="Calibri" w:hAnsi="Calibri" w:cs="Calibri"/>
          <w:noProof/>
          <w:szCs w:val="24"/>
        </w:rPr>
        <w:t xml:space="preserve">35. </w:t>
      </w:r>
      <w:r w:rsidRPr="00DD0ED2">
        <w:rPr>
          <w:rFonts w:ascii="Calibri" w:hAnsi="Calibri" w:cs="Calibri"/>
          <w:noProof/>
          <w:szCs w:val="24"/>
        </w:rPr>
        <w:tab/>
        <w:t xml:space="preserve">Groop P-H, Thomas MC, Rosengard-Barlund M, Mills V, Ronnback M, Thomas S, Forsblom C, Taskinen M-R, Viberti G. HDL composition predicts new-onset cardiovascular disease in patients with type 1 diabetes. </w:t>
      </w:r>
      <w:r w:rsidRPr="00DD0ED2">
        <w:rPr>
          <w:rFonts w:ascii="Calibri" w:hAnsi="Calibri" w:cs="Calibri"/>
          <w:i/>
          <w:iCs/>
          <w:noProof/>
          <w:szCs w:val="24"/>
        </w:rPr>
        <w:t>Diabetes Care</w:t>
      </w:r>
      <w:r w:rsidRPr="00DD0ED2">
        <w:rPr>
          <w:rFonts w:ascii="Calibri" w:hAnsi="Calibri" w:cs="Calibri"/>
          <w:noProof/>
          <w:szCs w:val="24"/>
        </w:rPr>
        <w:t xml:space="preserve"> 2007;</w:t>
      </w:r>
      <w:r w:rsidRPr="00DD0ED2">
        <w:rPr>
          <w:rFonts w:ascii="Calibri" w:hAnsi="Calibri" w:cs="Calibri"/>
          <w:b/>
          <w:bCs/>
          <w:noProof/>
          <w:szCs w:val="24"/>
        </w:rPr>
        <w:t>30</w:t>
      </w:r>
      <w:r w:rsidRPr="00DD0ED2">
        <w:rPr>
          <w:rFonts w:ascii="Calibri" w:hAnsi="Calibri" w:cs="Calibri"/>
          <w:noProof/>
          <w:szCs w:val="24"/>
        </w:rPr>
        <w:t xml:space="preserve">:2706–2707. </w:t>
      </w:r>
    </w:p>
    <w:p w:rsidR="00DD0ED2" w:rsidRPr="00DD0ED2" w:rsidRDefault="00DD0ED2" w:rsidP="00E1267E">
      <w:pPr>
        <w:widowControl w:val="0"/>
        <w:autoSpaceDE w:val="0"/>
        <w:autoSpaceDN w:val="0"/>
        <w:adjustRightInd w:val="0"/>
        <w:spacing w:line="240" w:lineRule="auto"/>
        <w:ind w:left="640" w:hanging="640"/>
        <w:jc w:val="both"/>
        <w:rPr>
          <w:rFonts w:ascii="Calibri" w:hAnsi="Calibri" w:cs="Calibri"/>
          <w:noProof/>
          <w:szCs w:val="24"/>
        </w:rPr>
      </w:pPr>
      <w:r w:rsidRPr="00DD0ED2">
        <w:rPr>
          <w:rFonts w:ascii="Calibri" w:hAnsi="Calibri" w:cs="Calibri"/>
          <w:noProof/>
          <w:szCs w:val="24"/>
        </w:rPr>
        <w:t xml:space="preserve">36. </w:t>
      </w:r>
      <w:r w:rsidRPr="00DD0ED2">
        <w:rPr>
          <w:rFonts w:ascii="Calibri" w:hAnsi="Calibri" w:cs="Calibri"/>
          <w:noProof/>
          <w:szCs w:val="24"/>
        </w:rPr>
        <w:tab/>
        <w:t xml:space="preserve">Craciun EC, Leucuta DC, Rusu RL, David BA, Cret V, Dronca E. Paraoxonase-1 activities in children and adolescents with type 1 diabetes mellitus. </w:t>
      </w:r>
      <w:r w:rsidRPr="00DD0ED2">
        <w:rPr>
          <w:rFonts w:ascii="Calibri" w:hAnsi="Calibri" w:cs="Calibri"/>
          <w:i/>
          <w:iCs/>
          <w:noProof/>
          <w:szCs w:val="24"/>
        </w:rPr>
        <w:t>Acta Biochim Pol</w:t>
      </w:r>
      <w:r w:rsidRPr="00DD0ED2">
        <w:rPr>
          <w:rFonts w:ascii="Calibri" w:hAnsi="Calibri" w:cs="Calibri"/>
          <w:noProof/>
          <w:szCs w:val="24"/>
        </w:rPr>
        <w:t xml:space="preserve"> 2016;</w:t>
      </w:r>
      <w:r w:rsidRPr="00DD0ED2">
        <w:rPr>
          <w:rFonts w:ascii="Calibri" w:hAnsi="Calibri" w:cs="Calibri"/>
          <w:b/>
          <w:bCs/>
          <w:noProof/>
          <w:szCs w:val="24"/>
        </w:rPr>
        <w:t>63</w:t>
      </w:r>
      <w:r w:rsidRPr="00DD0ED2">
        <w:rPr>
          <w:rFonts w:ascii="Calibri" w:hAnsi="Calibri" w:cs="Calibri"/>
          <w:noProof/>
          <w:szCs w:val="24"/>
        </w:rPr>
        <w:t xml:space="preserve">:511–515. </w:t>
      </w:r>
    </w:p>
    <w:p w:rsidR="00DD0ED2" w:rsidRPr="00DD0ED2" w:rsidRDefault="00DD0ED2" w:rsidP="00E1267E">
      <w:pPr>
        <w:widowControl w:val="0"/>
        <w:autoSpaceDE w:val="0"/>
        <w:autoSpaceDN w:val="0"/>
        <w:adjustRightInd w:val="0"/>
        <w:spacing w:line="240" w:lineRule="auto"/>
        <w:ind w:left="640" w:hanging="640"/>
        <w:jc w:val="both"/>
        <w:rPr>
          <w:rFonts w:ascii="Calibri" w:hAnsi="Calibri" w:cs="Calibri"/>
          <w:noProof/>
          <w:szCs w:val="24"/>
        </w:rPr>
      </w:pPr>
      <w:r w:rsidRPr="00DD0ED2">
        <w:rPr>
          <w:rFonts w:ascii="Calibri" w:hAnsi="Calibri" w:cs="Calibri"/>
          <w:noProof/>
          <w:szCs w:val="24"/>
        </w:rPr>
        <w:t xml:space="preserve">37. </w:t>
      </w:r>
      <w:r w:rsidRPr="00DD0ED2">
        <w:rPr>
          <w:rFonts w:ascii="Calibri" w:hAnsi="Calibri" w:cs="Calibri"/>
          <w:noProof/>
          <w:szCs w:val="24"/>
        </w:rPr>
        <w:tab/>
        <w:t xml:space="preserve">Omar NN, Hefnawy MH EL, Soda MF EL, Heider NM, Hamed HI. Assessment of oxLDL, anti-oxLDL antibodies and lipoprotein-associated phospholipase A2 as cardiovascular risk markers in obese adolescents with and without T1DM. </w:t>
      </w:r>
      <w:r w:rsidRPr="00DD0ED2">
        <w:rPr>
          <w:rFonts w:ascii="Calibri" w:hAnsi="Calibri" w:cs="Calibri"/>
          <w:i/>
          <w:iCs/>
          <w:noProof/>
          <w:szCs w:val="24"/>
        </w:rPr>
        <w:t>Bull Fac Pharmacy, Cairo Univ</w:t>
      </w:r>
      <w:r w:rsidRPr="00DD0ED2">
        <w:rPr>
          <w:rFonts w:ascii="Calibri" w:hAnsi="Calibri" w:cs="Calibri"/>
          <w:noProof/>
          <w:szCs w:val="24"/>
        </w:rPr>
        <w:t xml:space="preserve"> 2017;</w:t>
      </w:r>
      <w:r w:rsidRPr="00DD0ED2">
        <w:rPr>
          <w:rFonts w:ascii="Calibri" w:hAnsi="Calibri" w:cs="Calibri"/>
          <w:b/>
          <w:bCs/>
          <w:noProof/>
          <w:szCs w:val="24"/>
        </w:rPr>
        <w:t>55</w:t>
      </w:r>
      <w:r w:rsidRPr="00DD0ED2">
        <w:rPr>
          <w:rFonts w:ascii="Calibri" w:hAnsi="Calibri" w:cs="Calibri"/>
          <w:noProof/>
          <w:szCs w:val="24"/>
        </w:rPr>
        <w:t xml:space="preserve">:325–331. </w:t>
      </w:r>
    </w:p>
    <w:p w:rsidR="00DD0ED2" w:rsidRPr="00DD0ED2" w:rsidRDefault="00DD0ED2" w:rsidP="00E1267E">
      <w:pPr>
        <w:widowControl w:val="0"/>
        <w:autoSpaceDE w:val="0"/>
        <w:autoSpaceDN w:val="0"/>
        <w:adjustRightInd w:val="0"/>
        <w:spacing w:line="240" w:lineRule="auto"/>
        <w:ind w:left="640" w:hanging="640"/>
        <w:jc w:val="both"/>
        <w:rPr>
          <w:rFonts w:ascii="Calibri" w:hAnsi="Calibri" w:cs="Calibri"/>
          <w:noProof/>
          <w:szCs w:val="24"/>
        </w:rPr>
      </w:pPr>
      <w:r w:rsidRPr="00DD0ED2">
        <w:rPr>
          <w:rFonts w:ascii="Calibri" w:hAnsi="Calibri" w:cs="Calibri"/>
          <w:noProof/>
          <w:szCs w:val="24"/>
        </w:rPr>
        <w:t xml:space="preserve">38. </w:t>
      </w:r>
      <w:r w:rsidRPr="00DD0ED2">
        <w:rPr>
          <w:rFonts w:ascii="Calibri" w:hAnsi="Calibri" w:cs="Calibri"/>
          <w:noProof/>
          <w:szCs w:val="24"/>
        </w:rPr>
        <w:tab/>
        <w:t xml:space="preserve">Heier M, Borja MS, Brunborg C, Seljeflot I, Margeirsdottir HD, Hanssen KF, Dahl-Jørgensen K, Oda MN. Reduced HDL function in children and young adults with type 1 diabetes. </w:t>
      </w:r>
      <w:r w:rsidRPr="00DD0ED2">
        <w:rPr>
          <w:rFonts w:ascii="Calibri" w:hAnsi="Calibri" w:cs="Calibri"/>
          <w:i/>
          <w:iCs/>
          <w:noProof/>
          <w:szCs w:val="24"/>
        </w:rPr>
        <w:t>Cardiovasc Diabetol</w:t>
      </w:r>
      <w:r w:rsidRPr="00DD0ED2">
        <w:rPr>
          <w:rFonts w:ascii="Calibri" w:hAnsi="Calibri" w:cs="Calibri"/>
          <w:noProof/>
          <w:szCs w:val="24"/>
        </w:rPr>
        <w:t xml:space="preserve"> 2017;</w:t>
      </w:r>
      <w:r w:rsidRPr="00DD0ED2">
        <w:rPr>
          <w:rFonts w:ascii="Calibri" w:hAnsi="Calibri" w:cs="Calibri"/>
          <w:b/>
          <w:bCs/>
          <w:noProof/>
          <w:szCs w:val="24"/>
        </w:rPr>
        <w:t>16</w:t>
      </w:r>
      <w:r w:rsidRPr="00DD0ED2">
        <w:rPr>
          <w:rFonts w:ascii="Calibri" w:hAnsi="Calibri" w:cs="Calibri"/>
          <w:noProof/>
          <w:szCs w:val="24"/>
        </w:rPr>
        <w:t xml:space="preserve">:85. </w:t>
      </w:r>
    </w:p>
    <w:p w:rsidR="00DD0ED2" w:rsidRPr="00DD0ED2" w:rsidRDefault="00DD0ED2" w:rsidP="00E1267E">
      <w:pPr>
        <w:widowControl w:val="0"/>
        <w:autoSpaceDE w:val="0"/>
        <w:autoSpaceDN w:val="0"/>
        <w:adjustRightInd w:val="0"/>
        <w:spacing w:line="240" w:lineRule="auto"/>
        <w:ind w:left="640" w:hanging="640"/>
        <w:jc w:val="both"/>
        <w:rPr>
          <w:rFonts w:ascii="Calibri" w:hAnsi="Calibri" w:cs="Calibri"/>
          <w:noProof/>
          <w:szCs w:val="24"/>
        </w:rPr>
      </w:pPr>
      <w:r w:rsidRPr="00DD0ED2">
        <w:rPr>
          <w:rFonts w:ascii="Calibri" w:hAnsi="Calibri" w:cs="Calibri"/>
          <w:noProof/>
          <w:szCs w:val="24"/>
        </w:rPr>
        <w:t xml:space="preserve">39. </w:t>
      </w:r>
      <w:r w:rsidRPr="00DD0ED2">
        <w:rPr>
          <w:rFonts w:ascii="Calibri" w:hAnsi="Calibri" w:cs="Calibri"/>
          <w:noProof/>
          <w:szCs w:val="24"/>
        </w:rPr>
        <w:tab/>
        <w:t xml:space="preserve">Babar GS, Zidan H, Widlansky ME, Das E, Hoffmann RG, Daoud M, Alemzadeh R. Impaired Endothelial Function in Preadolescent Children With Type 1 Diabetes. </w:t>
      </w:r>
      <w:r w:rsidRPr="00DD0ED2">
        <w:rPr>
          <w:rFonts w:ascii="Calibri" w:hAnsi="Calibri" w:cs="Calibri"/>
          <w:i/>
          <w:iCs/>
          <w:noProof/>
          <w:szCs w:val="24"/>
        </w:rPr>
        <w:t>Diabetes Care</w:t>
      </w:r>
      <w:r w:rsidRPr="00DD0ED2">
        <w:rPr>
          <w:rFonts w:ascii="Calibri" w:hAnsi="Calibri" w:cs="Calibri"/>
          <w:noProof/>
          <w:szCs w:val="24"/>
        </w:rPr>
        <w:t xml:space="preserve"> 2011;</w:t>
      </w:r>
      <w:r w:rsidRPr="00DD0ED2">
        <w:rPr>
          <w:rFonts w:ascii="Calibri" w:hAnsi="Calibri" w:cs="Calibri"/>
          <w:b/>
          <w:bCs/>
          <w:noProof/>
          <w:szCs w:val="24"/>
        </w:rPr>
        <w:t>34</w:t>
      </w:r>
      <w:r w:rsidRPr="00DD0ED2">
        <w:rPr>
          <w:rFonts w:ascii="Calibri" w:hAnsi="Calibri" w:cs="Calibri"/>
          <w:noProof/>
          <w:szCs w:val="24"/>
        </w:rPr>
        <w:t xml:space="preserve">:681–685. </w:t>
      </w:r>
    </w:p>
    <w:p w:rsidR="00DD0ED2" w:rsidRPr="00DD0ED2" w:rsidRDefault="00DD0ED2" w:rsidP="00E1267E">
      <w:pPr>
        <w:widowControl w:val="0"/>
        <w:autoSpaceDE w:val="0"/>
        <w:autoSpaceDN w:val="0"/>
        <w:adjustRightInd w:val="0"/>
        <w:spacing w:line="240" w:lineRule="auto"/>
        <w:ind w:left="640" w:hanging="640"/>
        <w:jc w:val="both"/>
        <w:rPr>
          <w:rFonts w:ascii="Calibri" w:hAnsi="Calibri" w:cs="Calibri"/>
          <w:noProof/>
          <w:szCs w:val="24"/>
        </w:rPr>
      </w:pPr>
      <w:r w:rsidRPr="00DD0ED2">
        <w:rPr>
          <w:rFonts w:ascii="Calibri" w:hAnsi="Calibri" w:cs="Calibri"/>
          <w:noProof/>
          <w:szCs w:val="24"/>
        </w:rPr>
        <w:t xml:space="preserve">40. </w:t>
      </w:r>
      <w:r w:rsidRPr="00DD0ED2">
        <w:rPr>
          <w:rFonts w:ascii="Calibri" w:hAnsi="Calibri" w:cs="Calibri"/>
          <w:noProof/>
          <w:szCs w:val="24"/>
        </w:rPr>
        <w:tab/>
        <w:t xml:space="preserve">Schultz CJ, Konopelska-Bahu T, Dalton RN, Carroll TA, Stratton I, Gale EA, Neil A, Dunger DB. Microalbuminuria prevalence varies with age, sex, and puberty in children with type 1 diabetes followed from diagnosis in a longitudinal study. Oxford Regional Prospective Study Group. </w:t>
      </w:r>
      <w:r w:rsidRPr="00DD0ED2">
        <w:rPr>
          <w:rFonts w:ascii="Calibri" w:hAnsi="Calibri" w:cs="Calibri"/>
          <w:i/>
          <w:iCs/>
          <w:noProof/>
          <w:szCs w:val="24"/>
        </w:rPr>
        <w:t>Diabetes Care</w:t>
      </w:r>
      <w:r w:rsidRPr="00DD0ED2">
        <w:rPr>
          <w:rFonts w:ascii="Calibri" w:hAnsi="Calibri" w:cs="Calibri"/>
          <w:noProof/>
          <w:szCs w:val="24"/>
        </w:rPr>
        <w:t xml:space="preserve"> 1999;</w:t>
      </w:r>
      <w:r w:rsidRPr="00DD0ED2">
        <w:rPr>
          <w:rFonts w:ascii="Calibri" w:hAnsi="Calibri" w:cs="Calibri"/>
          <w:b/>
          <w:bCs/>
          <w:noProof/>
          <w:szCs w:val="24"/>
        </w:rPr>
        <w:t>22</w:t>
      </w:r>
      <w:r w:rsidRPr="00DD0ED2">
        <w:rPr>
          <w:rFonts w:ascii="Calibri" w:hAnsi="Calibri" w:cs="Calibri"/>
          <w:noProof/>
          <w:szCs w:val="24"/>
        </w:rPr>
        <w:t xml:space="preserve">:495–502. </w:t>
      </w:r>
    </w:p>
    <w:p w:rsidR="00DD0ED2" w:rsidRPr="00DD0ED2" w:rsidRDefault="00DD0ED2" w:rsidP="00E1267E">
      <w:pPr>
        <w:widowControl w:val="0"/>
        <w:autoSpaceDE w:val="0"/>
        <w:autoSpaceDN w:val="0"/>
        <w:adjustRightInd w:val="0"/>
        <w:spacing w:line="240" w:lineRule="auto"/>
        <w:ind w:left="640" w:hanging="640"/>
        <w:jc w:val="both"/>
        <w:rPr>
          <w:rFonts w:ascii="Calibri" w:hAnsi="Calibri" w:cs="Calibri"/>
          <w:noProof/>
          <w:szCs w:val="24"/>
        </w:rPr>
      </w:pPr>
      <w:r w:rsidRPr="00DD0ED2">
        <w:rPr>
          <w:rFonts w:ascii="Calibri" w:hAnsi="Calibri" w:cs="Calibri"/>
          <w:noProof/>
          <w:szCs w:val="24"/>
        </w:rPr>
        <w:t xml:space="preserve">41. </w:t>
      </w:r>
      <w:r w:rsidRPr="00DD0ED2">
        <w:rPr>
          <w:rFonts w:ascii="Calibri" w:hAnsi="Calibri" w:cs="Calibri"/>
          <w:noProof/>
          <w:szCs w:val="24"/>
        </w:rPr>
        <w:tab/>
        <w:t xml:space="preserve">Manjunatha S, Distelmaier K, Dasari S, Carter RE, Kudva YC, Nair KS. Functional and proteomic alterations of plasma high density lipoproteins in type 1 diabetes mellitus. </w:t>
      </w:r>
      <w:r w:rsidRPr="00DD0ED2">
        <w:rPr>
          <w:rFonts w:ascii="Calibri" w:hAnsi="Calibri" w:cs="Calibri"/>
          <w:i/>
          <w:iCs/>
          <w:noProof/>
          <w:szCs w:val="24"/>
        </w:rPr>
        <w:t>Metabolism</w:t>
      </w:r>
      <w:r w:rsidRPr="00DD0ED2">
        <w:rPr>
          <w:rFonts w:ascii="Calibri" w:hAnsi="Calibri" w:cs="Calibri"/>
          <w:noProof/>
          <w:szCs w:val="24"/>
        </w:rPr>
        <w:t xml:space="preserve"> 2016;</w:t>
      </w:r>
      <w:r w:rsidRPr="00DD0ED2">
        <w:rPr>
          <w:rFonts w:ascii="Calibri" w:hAnsi="Calibri" w:cs="Calibri"/>
          <w:b/>
          <w:bCs/>
          <w:noProof/>
          <w:szCs w:val="24"/>
        </w:rPr>
        <w:t>65</w:t>
      </w:r>
      <w:r w:rsidRPr="00DD0ED2">
        <w:rPr>
          <w:rFonts w:ascii="Calibri" w:hAnsi="Calibri" w:cs="Calibri"/>
          <w:noProof/>
          <w:szCs w:val="24"/>
        </w:rPr>
        <w:t xml:space="preserve">:1421–1431. </w:t>
      </w:r>
    </w:p>
    <w:p w:rsidR="00DD0ED2" w:rsidRPr="00DD0ED2" w:rsidRDefault="00DD0ED2" w:rsidP="00E1267E">
      <w:pPr>
        <w:widowControl w:val="0"/>
        <w:autoSpaceDE w:val="0"/>
        <w:autoSpaceDN w:val="0"/>
        <w:adjustRightInd w:val="0"/>
        <w:spacing w:line="240" w:lineRule="auto"/>
        <w:ind w:left="640" w:hanging="640"/>
        <w:jc w:val="both"/>
        <w:rPr>
          <w:rFonts w:ascii="Calibri" w:hAnsi="Calibri" w:cs="Calibri"/>
          <w:noProof/>
        </w:rPr>
      </w:pPr>
      <w:r w:rsidRPr="00DD0ED2">
        <w:rPr>
          <w:rFonts w:ascii="Calibri" w:hAnsi="Calibri" w:cs="Calibri"/>
          <w:noProof/>
          <w:szCs w:val="24"/>
        </w:rPr>
        <w:t xml:space="preserve">42. </w:t>
      </w:r>
      <w:r w:rsidRPr="00DD0ED2">
        <w:rPr>
          <w:rFonts w:ascii="Calibri" w:hAnsi="Calibri" w:cs="Calibri"/>
          <w:noProof/>
          <w:szCs w:val="24"/>
        </w:rPr>
        <w:tab/>
        <w:t xml:space="preserve">Matsuzawa Y, Kwon T-G, Lennon RJ, Lerman LO, Lerman A. Prognostic Value of Flow-Mediated Vasodilation in Brachial Artery and Fingertip Artery for Cardiovascular Events: A Systematic Review and Meta-Analysis. </w:t>
      </w:r>
      <w:r w:rsidRPr="00DD0ED2">
        <w:rPr>
          <w:rFonts w:ascii="Calibri" w:hAnsi="Calibri" w:cs="Calibri"/>
          <w:i/>
          <w:iCs/>
          <w:noProof/>
          <w:szCs w:val="24"/>
        </w:rPr>
        <w:t>J Am Heart Assoc</w:t>
      </w:r>
      <w:r w:rsidRPr="00DD0ED2">
        <w:rPr>
          <w:rFonts w:ascii="Calibri" w:hAnsi="Calibri" w:cs="Calibri"/>
          <w:noProof/>
          <w:szCs w:val="24"/>
        </w:rPr>
        <w:t xml:space="preserve"> 2015;</w:t>
      </w:r>
      <w:r w:rsidRPr="00DD0ED2">
        <w:rPr>
          <w:rFonts w:ascii="Calibri" w:hAnsi="Calibri" w:cs="Calibri"/>
          <w:b/>
          <w:bCs/>
          <w:noProof/>
          <w:szCs w:val="24"/>
        </w:rPr>
        <w:t>4</w:t>
      </w:r>
      <w:r w:rsidRPr="00DD0ED2">
        <w:rPr>
          <w:rFonts w:ascii="Calibri" w:hAnsi="Calibri" w:cs="Calibri"/>
          <w:noProof/>
          <w:szCs w:val="24"/>
        </w:rPr>
        <w:t xml:space="preserve">. </w:t>
      </w:r>
    </w:p>
    <w:p w:rsidR="00336817" w:rsidRPr="00DD0ED2" w:rsidRDefault="003E52DE" w:rsidP="00E1267E">
      <w:pPr>
        <w:widowControl w:val="0"/>
        <w:autoSpaceDE w:val="0"/>
        <w:autoSpaceDN w:val="0"/>
        <w:adjustRightInd w:val="0"/>
        <w:spacing w:line="240" w:lineRule="auto"/>
        <w:ind w:left="640" w:hanging="640"/>
        <w:jc w:val="both"/>
      </w:pPr>
      <w:r w:rsidRPr="00DD0ED2">
        <w:fldChar w:fldCharType="end"/>
      </w:r>
    </w:p>
    <w:p w:rsidR="00A74A85" w:rsidRPr="00DD0ED2" w:rsidRDefault="00A74A85" w:rsidP="00444B74">
      <w:pPr>
        <w:widowControl w:val="0"/>
        <w:autoSpaceDE w:val="0"/>
        <w:autoSpaceDN w:val="0"/>
        <w:adjustRightInd w:val="0"/>
        <w:spacing w:line="240" w:lineRule="auto"/>
        <w:ind w:left="640" w:hanging="640"/>
        <w:sectPr w:rsidR="00A74A85" w:rsidRPr="00DD0ED2">
          <w:footerReference w:type="even" r:id="rId9"/>
          <w:pgSz w:w="11906" w:h="16838"/>
          <w:pgMar w:top="1440" w:right="1440" w:bottom="1440" w:left="1440" w:header="708" w:footer="708" w:gutter="0"/>
          <w:cols w:space="708"/>
          <w:docGrid w:linePitch="360"/>
        </w:sectPr>
      </w:pPr>
    </w:p>
    <w:p w:rsidR="003E52DE" w:rsidRPr="00DD0ED2" w:rsidRDefault="003E52DE" w:rsidP="00444B74">
      <w:pPr>
        <w:widowControl w:val="0"/>
        <w:autoSpaceDE w:val="0"/>
        <w:autoSpaceDN w:val="0"/>
        <w:adjustRightInd w:val="0"/>
        <w:spacing w:line="240" w:lineRule="auto"/>
        <w:ind w:left="640" w:hanging="640"/>
        <w:rPr>
          <w:b/>
          <w:sz w:val="28"/>
          <w:szCs w:val="28"/>
        </w:rPr>
      </w:pPr>
      <w:r w:rsidRPr="00DD0ED2">
        <w:rPr>
          <w:b/>
          <w:sz w:val="28"/>
          <w:szCs w:val="28"/>
        </w:rPr>
        <w:t>Table Legends</w:t>
      </w:r>
    </w:p>
    <w:p w:rsidR="003E52DE" w:rsidRPr="00DD0ED2" w:rsidRDefault="003E52DE" w:rsidP="003E52DE">
      <w:r w:rsidRPr="00DD0ED2">
        <w:rPr>
          <w:b/>
        </w:rPr>
        <w:t>Table 1 – Participant characteristics for control and type 1 diabetes groups</w:t>
      </w:r>
    </w:p>
    <w:p w:rsidR="003E52DE" w:rsidRPr="00DD0ED2" w:rsidRDefault="003E52DE" w:rsidP="003E52DE">
      <w:r w:rsidRPr="00DD0ED2">
        <w:t>Data are expressed as mean±SD for normally distributed data and median(IQR) for non-normally distributed data, respectively. Abbreviations: BMI, body mass index; HbA</w:t>
      </w:r>
      <w:r w:rsidRPr="00DD0ED2">
        <w:rPr>
          <w:vertAlign w:val="subscript"/>
        </w:rPr>
        <w:t>1c</w:t>
      </w:r>
      <w:r w:rsidRPr="00DD0ED2">
        <w:t>, glycated haemoglobin; eGFR, estimated glomerular filtration rate; HDL, high-density lipoprotein; LDL, low-density lipoprotein; SBP, systolic blood pressure; DBP, diastolic blood pressure; MAP, mean arterial pressure; FMD, flow-mediated dilation; EGF, epidermal growth factor; GRO, chemokine - growth-regulated oncogene; PDGF-AA, platelet-derived growth factor AA; PDGF-BB, platelet-derived growth factor BB; sCD40L, soluble CD-40 ligand.</w:t>
      </w:r>
    </w:p>
    <w:p w:rsidR="003E52DE" w:rsidRPr="00DD0ED2" w:rsidRDefault="003E52DE" w:rsidP="003E52DE">
      <w:pPr>
        <w:rPr>
          <w:b/>
        </w:rPr>
      </w:pPr>
      <w:r w:rsidRPr="00DD0ED2">
        <w:rPr>
          <w:b/>
        </w:rPr>
        <w:t>Table 2 – HDL levels, inflammation, and HDL functionality in adolescents with type 1 diabetes with and without evidence of early renal dysfunction</w:t>
      </w:r>
    </w:p>
    <w:p w:rsidR="003E52DE" w:rsidRPr="00DD0ED2" w:rsidRDefault="003E52DE" w:rsidP="003E52DE">
      <w:r w:rsidRPr="00DD0ED2">
        <w:t xml:space="preserve">Data are expressed as mean±SD or </w:t>
      </w:r>
      <w:r w:rsidR="00960308" w:rsidRPr="00DD0ED2">
        <w:t>mean difference</w:t>
      </w:r>
      <w:r w:rsidRPr="00DD0ED2">
        <w:t>(</w:t>
      </w:r>
      <w:r w:rsidR="00960308" w:rsidRPr="00DD0ED2">
        <w:t>95%CI</w:t>
      </w:r>
      <w:r w:rsidRPr="00DD0ED2">
        <w:t xml:space="preserve">). Abbreviations: HDL-c, high-density lipoprotein cholesterol; HbA1c, glycated haemoglobin; ACR, albumin:creatinine ratio; </w:t>
      </w:r>
      <w:r w:rsidR="00444B74" w:rsidRPr="00DD0ED2">
        <w:t xml:space="preserve">eGFR, estimated glomerular filtration rate; </w:t>
      </w:r>
      <w:r w:rsidRPr="00DD0ED2">
        <w:t>NO, nitric oxide; SO, superoxide; PON-1, paraoxonase-1.</w:t>
      </w:r>
    </w:p>
    <w:p w:rsidR="003E52DE" w:rsidRPr="00DD0ED2" w:rsidRDefault="003E52DE" w:rsidP="003E52DE">
      <w:pPr>
        <w:rPr>
          <w:b/>
        </w:rPr>
      </w:pPr>
      <w:r w:rsidRPr="00DD0ED2">
        <w:rPr>
          <w:b/>
        </w:rPr>
        <w:t xml:space="preserve">Table 3 </w:t>
      </w:r>
      <w:r w:rsidR="00667BEF" w:rsidRPr="00DD0ED2">
        <w:rPr>
          <w:b/>
        </w:rPr>
        <w:t>–</w:t>
      </w:r>
      <w:r w:rsidRPr="00DD0ED2">
        <w:rPr>
          <w:b/>
        </w:rPr>
        <w:t xml:space="preserve"> Multivariable</w:t>
      </w:r>
      <w:r w:rsidR="00667BEF" w:rsidRPr="00DD0ED2">
        <w:rPr>
          <w:b/>
        </w:rPr>
        <w:t xml:space="preserve"> regression </w:t>
      </w:r>
      <w:r w:rsidRPr="00DD0ED2">
        <w:rPr>
          <w:b/>
        </w:rPr>
        <w:t>analysis showing independent predictors of HDL functionality in adolescents with type 1 diabetes</w:t>
      </w:r>
    </w:p>
    <w:p w:rsidR="003E52DE" w:rsidRPr="00DD0ED2" w:rsidRDefault="003E52DE" w:rsidP="003E52DE">
      <w:pPr>
        <w:sectPr w:rsidR="003E52DE" w:rsidRPr="00DD0ED2">
          <w:pgSz w:w="11906" w:h="16838"/>
          <w:pgMar w:top="1440" w:right="1440" w:bottom="1440" w:left="1440" w:header="708" w:footer="708" w:gutter="0"/>
          <w:cols w:space="708"/>
          <w:docGrid w:linePitch="360"/>
        </w:sectPr>
      </w:pPr>
      <w:r w:rsidRPr="00DD0ED2">
        <w:t xml:space="preserve">Abbreviations: ACR, albumin-creatinine ratio; Inflammation, inflammatory risk score; </w:t>
      </w:r>
      <w:r w:rsidR="00444B74" w:rsidRPr="00DD0ED2">
        <w:t xml:space="preserve">eGFR, estimated glomerular filtration rate; </w:t>
      </w:r>
      <w:r w:rsidRPr="00DD0ED2">
        <w:t>HbA</w:t>
      </w:r>
      <w:r w:rsidRPr="00DD0ED2">
        <w:rPr>
          <w:vertAlign w:val="subscript"/>
        </w:rPr>
        <w:t>1c</w:t>
      </w:r>
      <w:r w:rsidRPr="00DD0ED2">
        <w:t>, glycated haemoglobin; BMI, body mass index.</w:t>
      </w:r>
    </w:p>
    <w:p w:rsidR="003E52DE" w:rsidRPr="00DD0ED2" w:rsidRDefault="003E52DE" w:rsidP="003E52DE">
      <w:pPr>
        <w:rPr>
          <w:b/>
          <w:sz w:val="28"/>
        </w:rPr>
      </w:pPr>
      <w:r w:rsidRPr="00DD0ED2">
        <w:rPr>
          <w:b/>
          <w:sz w:val="28"/>
        </w:rPr>
        <w:t>Figure Legends</w:t>
      </w:r>
    </w:p>
    <w:p w:rsidR="003E52DE" w:rsidRPr="00DD0ED2" w:rsidRDefault="003E52DE" w:rsidP="003E52DE">
      <w:pPr>
        <w:rPr>
          <w:b/>
        </w:rPr>
      </w:pPr>
      <w:r w:rsidRPr="00DD0ED2">
        <w:rPr>
          <w:b/>
        </w:rPr>
        <w:t>Figure 1 – Combined effect of HDL-c levels and inflammatory burden on HDL function in adolescents with type 1 diabetes</w:t>
      </w:r>
    </w:p>
    <w:p w:rsidR="003E52DE" w:rsidRPr="00DD0ED2" w:rsidRDefault="003E52DE" w:rsidP="003E52DE">
      <w:r w:rsidRPr="00DD0ED2">
        <w:t>Data are expressed as mean±SD</w:t>
      </w:r>
      <w:r w:rsidR="00A74A85" w:rsidRPr="00DD0ED2">
        <w:t xml:space="preserve"> for NO and SO, and media</w:t>
      </w:r>
      <w:r w:rsidR="00960308" w:rsidRPr="00DD0ED2">
        <w:t>n</w:t>
      </w:r>
      <w:r w:rsidR="00A74A85" w:rsidRPr="00DD0ED2">
        <w:t>(IQR) for PON-1</w:t>
      </w:r>
      <w:r w:rsidRPr="00DD0ED2">
        <w:t>. Abbreviations: HC, healthy controls; HDL, high-density lipoprotein; NO, nitric oxide; SO, superoxide; PON-1, paraoxonase-1.</w:t>
      </w:r>
    </w:p>
    <w:p w:rsidR="003E52DE" w:rsidRPr="00DD0ED2" w:rsidRDefault="003E52DE" w:rsidP="003E52DE">
      <w:pPr>
        <w:rPr>
          <w:b/>
        </w:rPr>
      </w:pPr>
      <w:r w:rsidRPr="00DD0ED2">
        <w:rPr>
          <w:b/>
        </w:rPr>
        <w:t>Figure 2 – Combined effect of HDL-c levels and inflammatory burden on endothelial function in adolescents with type 1 diabetes</w:t>
      </w:r>
    </w:p>
    <w:p w:rsidR="00077566" w:rsidRDefault="003E52DE" w:rsidP="003E52DE">
      <w:pPr>
        <w:sectPr w:rsidR="00077566">
          <w:footerReference w:type="even" r:id="rId10"/>
          <w:pgSz w:w="11906" w:h="16838"/>
          <w:pgMar w:top="1440" w:right="1440" w:bottom="1440" w:left="1440" w:header="708" w:footer="708" w:gutter="0"/>
          <w:cols w:space="708"/>
          <w:docGrid w:linePitch="360"/>
        </w:sectPr>
      </w:pPr>
      <w:r w:rsidRPr="00DD0ED2">
        <w:t xml:space="preserve">Linear regression model adjusted for age, sex, BMI z-score, </w:t>
      </w:r>
      <w:r w:rsidR="00444B74" w:rsidRPr="00DD0ED2">
        <w:t xml:space="preserve">eGFR, </w:t>
      </w:r>
      <w:r w:rsidRPr="00DD0ED2">
        <w:t>and systolic blood pressure. Data are expressed as mean±95%CI. Abbreviations: HC, healthy controls; HDL, high-density lipoprotein; FMD, flow-mediated dilation.</w:t>
      </w:r>
    </w:p>
    <w:p w:rsidR="00077566" w:rsidRDefault="00077566" w:rsidP="00077566">
      <w:pPr>
        <w:rPr>
          <w:b/>
          <w:sz w:val="28"/>
        </w:rPr>
      </w:pPr>
      <w:r>
        <w:rPr>
          <w:b/>
          <w:sz w:val="28"/>
        </w:rPr>
        <w:t>Table 1:</w:t>
      </w:r>
    </w:p>
    <w:tbl>
      <w:tblPr>
        <w:tblStyle w:val="TableGrid"/>
        <w:tblpPr w:leftFromText="180" w:rightFromText="180" w:vertAnchor="page" w:horzAnchor="margin" w:tblpY="2731"/>
        <w:tblW w:w="10700" w:type="dxa"/>
        <w:tblLayout w:type="fixed"/>
        <w:tblLook w:val="04A0" w:firstRow="1" w:lastRow="0" w:firstColumn="1" w:lastColumn="0" w:noHBand="0" w:noVBand="1"/>
      </w:tblPr>
      <w:tblGrid>
        <w:gridCol w:w="4706"/>
        <w:gridCol w:w="2025"/>
        <w:gridCol w:w="2126"/>
        <w:gridCol w:w="1843"/>
      </w:tblGrid>
      <w:tr w:rsidR="00077566" w:rsidRPr="00CC039D" w:rsidTr="00DA2056">
        <w:trPr>
          <w:trHeight w:val="550"/>
        </w:trPr>
        <w:tc>
          <w:tcPr>
            <w:tcW w:w="4706" w:type="dxa"/>
            <w:shd w:val="clear" w:color="auto" w:fill="BFBFBF" w:themeFill="background1" w:themeFillShade="BF"/>
          </w:tcPr>
          <w:p w:rsidR="00077566" w:rsidRPr="00074CA1" w:rsidRDefault="00077566" w:rsidP="00DA2056">
            <w:pPr>
              <w:pStyle w:val="NoSpacing"/>
              <w:jc w:val="center"/>
              <w:rPr>
                <w:rFonts w:asciiTheme="minorHAnsi" w:hAnsiTheme="minorHAnsi"/>
                <w:sz w:val="20"/>
              </w:rPr>
            </w:pPr>
          </w:p>
        </w:tc>
        <w:tc>
          <w:tcPr>
            <w:tcW w:w="2025" w:type="dxa"/>
            <w:shd w:val="clear" w:color="auto" w:fill="BFBFBF" w:themeFill="background1" w:themeFillShade="BF"/>
            <w:vAlign w:val="center"/>
          </w:tcPr>
          <w:p w:rsidR="00077566" w:rsidRPr="00074CA1" w:rsidRDefault="00077566" w:rsidP="00DA2056">
            <w:pPr>
              <w:pStyle w:val="NoSpacing"/>
              <w:jc w:val="center"/>
              <w:rPr>
                <w:rFonts w:asciiTheme="minorHAnsi" w:hAnsiTheme="minorHAnsi"/>
                <w:b/>
                <w:sz w:val="20"/>
              </w:rPr>
            </w:pPr>
            <w:r w:rsidRPr="00074CA1">
              <w:rPr>
                <w:rFonts w:asciiTheme="minorHAnsi" w:hAnsiTheme="minorHAnsi"/>
                <w:b/>
                <w:sz w:val="20"/>
              </w:rPr>
              <w:t>Healthy Controls</w:t>
            </w:r>
          </w:p>
        </w:tc>
        <w:tc>
          <w:tcPr>
            <w:tcW w:w="2126" w:type="dxa"/>
            <w:shd w:val="clear" w:color="auto" w:fill="BFBFBF" w:themeFill="background1" w:themeFillShade="BF"/>
            <w:vAlign w:val="center"/>
          </w:tcPr>
          <w:p w:rsidR="00077566" w:rsidRPr="00074CA1" w:rsidRDefault="00077566" w:rsidP="00DA2056">
            <w:pPr>
              <w:pStyle w:val="NoSpacing"/>
              <w:jc w:val="center"/>
              <w:rPr>
                <w:rFonts w:asciiTheme="minorHAnsi" w:hAnsiTheme="minorHAnsi"/>
                <w:b/>
                <w:sz w:val="20"/>
              </w:rPr>
            </w:pPr>
            <w:r w:rsidRPr="00074CA1">
              <w:rPr>
                <w:rFonts w:asciiTheme="minorHAnsi" w:hAnsiTheme="minorHAnsi"/>
                <w:b/>
                <w:sz w:val="20"/>
              </w:rPr>
              <w:t>Type 1 Diabetes</w:t>
            </w:r>
          </w:p>
        </w:tc>
        <w:tc>
          <w:tcPr>
            <w:tcW w:w="1843" w:type="dxa"/>
            <w:shd w:val="clear" w:color="auto" w:fill="BFBFBF" w:themeFill="background1" w:themeFillShade="BF"/>
            <w:vAlign w:val="center"/>
          </w:tcPr>
          <w:p w:rsidR="00077566" w:rsidRPr="00074CA1" w:rsidRDefault="00077566" w:rsidP="00DA2056">
            <w:pPr>
              <w:pStyle w:val="NoSpacing"/>
              <w:jc w:val="center"/>
              <w:rPr>
                <w:rFonts w:asciiTheme="minorHAnsi" w:hAnsiTheme="minorHAnsi"/>
                <w:b/>
                <w:sz w:val="20"/>
              </w:rPr>
            </w:pPr>
            <w:r w:rsidRPr="00074CA1">
              <w:rPr>
                <w:rFonts w:asciiTheme="minorHAnsi" w:hAnsiTheme="minorHAnsi"/>
                <w:b/>
                <w:sz w:val="20"/>
              </w:rPr>
              <w:t>p-value</w:t>
            </w:r>
          </w:p>
        </w:tc>
      </w:tr>
      <w:tr w:rsidR="00077566" w:rsidRPr="00CC039D" w:rsidTr="00DA2056">
        <w:trPr>
          <w:trHeight w:val="382"/>
        </w:trPr>
        <w:tc>
          <w:tcPr>
            <w:tcW w:w="4706" w:type="dxa"/>
            <w:vAlign w:val="center"/>
          </w:tcPr>
          <w:p w:rsidR="00077566" w:rsidRPr="00074CA1" w:rsidRDefault="00077566" w:rsidP="00DA2056">
            <w:pPr>
              <w:pStyle w:val="NoSpacing"/>
              <w:rPr>
                <w:rFonts w:asciiTheme="minorHAnsi" w:hAnsiTheme="minorHAnsi"/>
                <w:sz w:val="20"/>
              </w:rPr>
            </w:pPr>
            <w:r w:rsidRPr="00074CA1">
              <w:rPr>
                <w:rFonts w:asciiTheme="minorHAnsi" w:hAnsiTheme="minorHAnsi"/>
                <w:sz w:val="20"/>
              </w:rPr>
              <w:t>n</w:t>
            </w:r>
          </w:p>
        </w:tc>
        <w:tc>
          <w:tcPr>
            <w:tcW w:w="2025" w:type="dxa"/>
            <w:vAlign w:val="center"/>
          </w:tcPr>
          <w:p w:rsidR="00077566" w:rsidRPr="00074CA1" w:rsidRDefault="00077566" w:rsidP="00DA2056">
            <w:pPr>
              <w:pStyle w:val="NoSpacing"/>
              <w:jc w:val="center"/>
              <w:rPr>
                <w:rFonts w:asciiTheme="minorHAnsi" w:hAnsiTheme="minorHAnsi"/>
                <w:sz w:val="20"/>
              </w:rPr>
            </w:pPr>
            <w:r w:rsidRPr="00074CA1">
              <w:rPr>
                <w:rFonts w:asciiTheme="minorHAnsi" w:hAnsiTheme="minorHAnsi"/>
                <w:sz w:val="20"/>
              </w:rPr>
              <w:t>30</w:t>
            </w:r>
          </w:p>
        </w:tc>
        <w:tc>
          <w:tcPr>
            <w:tcW w:w="2126" w:type="dxa"/>
            <w:vAlign w:val="center"/>
          </w:tcPr>
          <w:p w:rsidR="00077566" w:rsidRPr="00074CA1" w:rsidRDefault="00077566" w:rsidP="00DA2056">
            <w:pPr>
              <w:pStyle w:val="NoSpacing"/>
              <w:jc w:val="center"/>
              <w:rPr>
                <w:rFonts w:asciiTheme="minorHAnsi" w:hAnsiTheme="minorHAnsi"/>
                <w:sz w:val="20"/>
              </w:rPr>
            </w:pPr>
            <w:r w:rsidRPr="00074CA1">
              <w:rPr>
                <w:rFonts w:asciiTheme="minorHAnsi" w:hAnsiTheme="minorHAnsi"/>
                <w:sz w:val="20"/>
              </w:rPr>
              <w:t>70</w:t>
            </w:r>
          </w:p>
        </w:tc>
        <w:tc>
          <w:tcPr>
            <w:tcW w:w="1843" w:type="dxa"/>
          </w:tcPr>
          <w:p w:rsidR="00077566" w:rsidRPr="00074CA1" w:rsidRDefault="00077566" w:rsidP="00DA2056">
            <w:pPr>
              <w:pStyle w:val="NoSpacing"/>
              <w:jc w:val="center"/>
              <w:rPr>
                <w:rFonts w:asciiTheme="minorHAnsi" w:hAnsiTheme="minorHAnsi"/>
                <w:sz w:val="20"/>
              </w:rPr>
            </w:pPr>
          </w:p>
        </w:tc>
      </w:tr>
      <w:tr w:rsidR="00077566" w:rsidRPr="00CC039D" w:rsidTr="00DA2056">
        <w:trPr>
          <w:trHeight w:val="174"/>
        </w:trPr>
        <w:tc>
          <w:tcPr>
            <w:tcW w:w="4706" w:type="dxa"/>
            <w:vAlign w:val="center"/>
          </w:tcPr>
          <w:p w:rsidR="00077566" w:rsidRPr="00074CA1" w:rsidRDefault="00077566" w:rsidP="00DA2056">
            <w:pPr>
              <w:pStyle w:val="NoSpacing"/>
              <w:rPr>
                <w:rFonts w:asciiTheme="minorHAnsi" w:hAnsiTheme="minorHAnsi"/>
                <w:sz w:val="20"/>
              </w:rPr>
            </w:pPr>
          </w:p>
        </w:tc>
        <w:tc>
          <w:tcPr>
            <w:tcW w:w="2025" w:type="dxa"/>
            <w:vAlign w:val="center"/>
          </w:tcPr>
          <w:p w:rsidR="00077566" w:rsidRPr="00074CA1" w:rsidRDefault="00077566" w:rsidP="00DA2056">
            <w:pPr>
              <w:pStyle w:val="NoSpacing"/>
              <w:jc w:val="center"/>
              <w:rPr>
                <w:rFonts w:asciiTheme="minorHAnsi" w:hAnsiTheme="minorHAnsi"/>
                <w:sz w:val="20"/>
              </w:rPr>
            </w:pPr>
          </w:p>
        </w:tc>
        <w:tc>
          <w:tcPr>
            <w:tcW w:w="2126" w:type="dxa"/>
            <w:vAlign w:val="center"/>
          </w:tcPr>
          <w:p w:rsidR="00077566" w:rsidRPr="00074CA1" w:rsidRDefault="00077566" w:rsidP="00DA2056">
            <w:pPr>
              <w:pStyle w:val="NoSpacing"/>
              <w:jc w:val="center"/>
              <w:rPr>
                <w:rFonts w:asciiTheme="minorHAnsi" w:hAnsiTheme="minorHAnsi"/>
                <w:sz w:val="20"/>
              </w:rPr>
            </w:pPr>
          </w:p>
        </w:tc>
        <w:tc>
          <w:tcPr>
            <w:tcW w:w="1843" w:type="dxa"/>
          </w:tcPr>
          <w:p w:rsidR="00077566" w:rsidRPr="00074CA1" w:rsidRDefault="00077566" w:rsidP="00DA2056">
            <w:pPr>
              <w:pStyle w:val="NoSpacing"/>
              <w:jc w:val="center"/>
              <w:rPr>
                <w:rFonts w:asciiTheme="minorHAnsi" w:hAnsiTheme="minorHAnsi"/>
                <w:sz w:val="20"/>
              </w:rPr>
            </w:pPr>
          </w:p>
        </w:tc>
      </w:tr>
      <w:tr w:rsidR="00077566" w:rsidRPr="00CC039D" w:rsidTr="00DA2056">
        <w:tc>
          <w:tcPr>
            <w:tcW w:w="4706" w:type="dxa"/>
            <w:vAlign w:val="center"/>
          </w:tcPr>
          <w:p w:rsidR="00077566" w:rsidRPr="00074CA1" w:rsidRDefault="00077566" w:rsidP="00DA2056">
            <w:pPr>
              <w:pStyle w:val="NoSpacing"/>
              <w:rPr>
                <w:rFonts w:asciiTheme="minorHAnsi" w:hAnsiTheme="minorHAnsi"/>
                <w:b/>
                <w:i/>
                <w:sz w:val="20"/>
              </w:rPr>
            </w:pPr>
            <w:r w:rsidRPr="00074CA1">
              <w:rPr>
                <w:rFonts w:asciiTheme="minorHAnsi" w:hAnsiTheme="minorHAnsi"/>
                <w:b/>
                <w:i/>
                <w:sz w:val="20"/>
              </w:rPr>
              <w:t>Demographics</w:t>
            </w:r>
          </w:p>
        </w:tc>
        <w:tc>
          <w:tcPr>
            <w:tcW w:w="2025" w:type="dxa"/>
            <w:vAlign w:val="center"/>
          </w:tcPr>
          <w:p w:rsidR="00077566" w:rsidRPr="00074CA1" w:rsidRDefault="00077566" w:rsidP="00DA2056">
            <w:pPr>
              <w:pStyle w:val="NoSpacing"/>
              <w:jc w:val="center"/>
              <w:rPr>
                <w:rFonts w:asciiTheme="minorHAnsi" w:hAnsiTheme="minorHAnsi"/>
                <w:sz w:val="20"/>
              </w:rPr>
            </w:pPr>
          </w:p>
        </w:tc>
        <w:tc>
          <w:tcPr>
            <w:tcW w:w="2126" w:type="dxa"/>
            <w:vAlign w:val="center"/>
          </w:tcPr>
          <w:p w:rsidR="00077566" w:rsidRPr="00074CA1" w:rsidRDefault="00077566" w:rsidP="00DA2056">
            <w:pPr>
              <w:pStyle w:val="NoSpacing"/>
              <w:jc w:val="center"/>
              <w:rPr>
                <w:rFonts w:asciiTheme="minorHAnsi" w:hAnsiTheme="minorHAnsi"/>
                <w:sz w:val="20"/>
              </w:rPr>
            </w:pPr>
          </w:p>
        </w:tc>
        <w:tc>
          <w:tcPr>
            <w:tcW w:w="1843" w:type="dxa"/>
          </w:tcPr>
          <w:p w:rsidR="00077566" w:rsidRPr="00074CA1" w:rsidRDefault="00077566" w:rsidP="00DA2056">
            <w:pPr>
              <w:pStyle w:val="NoSpacing"/>
              <w:jc w:val="center"/>
              <w:rPr>
                <w:rFonts w:asciiTheme="minorHAnsi" w:hAnsiTheme="minorHAnsi"/>
                <w:sz w:val="20"/>
              </w:rPr>
            </w:pPr>
          </w:p>
        </w:tc>
      </w:tr>
      <w:tr w:rsidR="00077566" w:rsidRPr="00CC039D" w:rsidTr="00DA2056">
        <w:tc>
          <w:tcPr>
            <w:tcW w:w="4706" w:type="dxa"/>
            <w:vAlign w:val="center"/>
          </w:tcPr>
          <w:p w:rsidR="00077566" w:rsidRPr="00074CA1" w:rsidRDefault="00077566" w:rsidP="00DA2056">
            <w:pPr>
              <w:pStyle w:val="NoSpacing"/>
              <w:rPr>
                <w:rFonts w:asciiTheme="minorHAnsi" w:hAnsiTheme="minorHAnsi"/>
                <w:sz w:val="20"/>
              </w:rPr>
            </w:pPr>
            <w:r w:rsidRPr="00074CA1">
              <w:rPr>
                <w:rFonts w:asciiTheme="minorHAnsi" w:hAnsiTheme="minorHAnsi"/>
                <w:sz w:val="20"/>
              </w:rPr>
              <w:t>Age(yr)</w:t>
            </w:r>
          </w:p>
        </w:tc>
        <w:tc>
          <w:tcPr>
            <w:tcW w:w="2025" w:type="dxa"/>
            <w:vAlign w:val="center"/>
          </w:tcPr>
          <w:p w:rsidR="00077566" w:rsidRPr="00074CA1" w:rsidRDefault="00077566" w:rsidP="00DA2056">
            <w:pPr>
              <w:pStyle w:val="NoSpacing"/>
              <w:jc w:val="center"/>
              <w:rPr>
                <w:rFonts w:asciiTheme="minorHAnsi" w:hAnsiTheme="minorHAnsi"/>
                <w:sz w:val="20"/>
              </w:rPr>
            </w:pPr>
            <w:r w:rsidRPr="00074CA1">
              <w:rPr>
                <w:rFonts w:asciiTheme="minorHAnsi" w:hAnsiTheme="minorHAnsi"/>
                <w:sz w:val="20"/>
              </w:rPr>
              <w:t>13.9</w:t>
            </w:r>
            <w:r w:rsidRPr="00074CA1">
              <w:rPr>
                <w:rFonts w:asciiTheme="minorHAnsi" w:hAnsiTheme="minorHAnsi" w:cs="Times New Roman"/>
                <w:sz w:val="20"/>
              </w:rPr>
              <w:t>±2.1</w:t>
            </w:r>
            <w:r w:rsidRPr="00074CA1">
              <w:rPr>
                <w:rFonts w:asciiTheme="minorHAnsi" w:hAnsiTheme="minorHAnsi"/>
                <w:sz w:val="20"/>
              </w:rPr>
              <w:t xml:space="preserve"> </w:t>
            </w:r>
          </w:p>
        </w:tc>
        <w:tc>
          <w:tcPr>
            <w:tcW w:w="2126" w:type="dxa"/>
            <w:vAlign w:val="center"/>
          </w:tcPr>
          <w:p w:rsidR="00077566" w:rsidRPr="00074CA1" w:rsidRDefault="00077566" w:rsidP="00DA2056">
            <w:pPr>
              <w:pStyle w:val="NoSpacing"/>
              <w:jc w:val="center"/>
              <w:rPr>
                <w:rFonts w:asciiTheme="minorHAnsi" w:hAnsiTheme="minorHAnsi"/>
                <w:sz w:val="20"/>
              </w:rPr>
            </w:pPr>
            <w:r w:rsidRPr="00074CA1">
              <w:rPr>
                <w:rFonts w:asciiTheme="minorHAnsi" w:hAnsiTheme="minorHAnsi"/>
                <w:sz w:val="20"/>
              </w:rPr>
              <w:t>14.6</w:t>
            </w:r>
            <w:r w:rsidRPr="00074CA1">
              <w:rPr>
                <w:rFonts w:asciiTheme="minorHAnsi" w:hAnsiTheme="minorHAnsi" w:cs="Times New Roman"/>
                <w:sz w:val="20"/>
              </w:rPr>
              <w:t>±1.7</w:t>
            </w:r>
          </w:p>
        </w:tc>
        <w:tc>
          <w:tcPr>
            <w:tcW w:w="1843" w:type="dxa"/>
          </w:tcPr>
          <w:p w:rsidR="00077566" w:rsidRPr="00074CA1" w:rsidRDefault="00077566" w:rsidP="00DA2056">
            <w:pPr>
              <w:pStyle w:val="NoSpacing"/>
              <w:jc w:val="center"/>
              <w:rPr>
                <w:rFonts w:asciiTheme="minorHAnsi" w:hAnsiTheme="minorHAnsi"/>
                <w:sz w:val="20"/>
              </w:rPr>
            </w:pPr>
            <w:r w:rsidRPr="00074CA1">
              <w:rPr>
                <w:rFonts w:asciiTheme="minorHAnsi" w:hAnsiTheme="minorHAnsi"/>
                <w:sz w:val="20"/>
              </w:rPr>
              <w:t>0.103</w:t>
            </w:r>
          </w:p>
        </w:tc>
      </w:tr>
      <w:tr w:rsidR="00077566" w:rsidRPr="00CC039D" w:rsidTr="00DA2056">
        <w:tc>
          <w:tcPr>
            <w:tcW w:w="4706" w:type="dxa"/>
            <w:vAlign w:val="center"/>
          </w:tcPr>
          <w:p w:rsidR="00077566" w:rsidRPr="00074CA1" w:rsidRDefault="00077566" w:rsidP="00DA2056">
            <w:pPr>
              <w:pStyle w:val="NoSpacing"/>
              <w:rPr>
                <w:rFonts w:asciiTheme="minorHAnsi" w:hAnsiTheme="minorHAnsi"/>
                <w:sz w:val="20"/>
              </w:rPr>
            </w:pPr>
            <w:r w:rsidRPr="00074CA1">
              <w:rPr>
                <w:rFonts w:asciiTheme="minorHAnsi" w:hAnsiTheme="minorHAnsi"/>
                <w:sz w:val="20"/>
              </w:rPr>
              <w:t>Sex(% Male)</w:t>
            </w:r>
          </w:p>
        </w:tc>
        <w:tc>
          <w:tcPr>
            <w:tcW w:w="2025" w:type="dxa"/>
            <w:vAlign w:val="center"/>
          </w:tcPr>
          <w:p w:rsidR="00077566" w:rsidRPr="00074CA1" w:rsidRDefault="00077566" w:rsidP="00DA2056">
            <w:pPr>
              <w:pStyle w:val="NoSpacing"/>
              <w:jc w:val="center"/>
              <w:rPr>
                <w:rFonts w:asciiTheme="minorHAnsi" w:hAnsiTheme="minorHAnsi"/>
                <w:sz w:val="20"/>
              </w:rPr>
            </w:pPr>
            <w:r w:rsidRPr="00074CA1">
              <w:rPr>
                <w:rFonts w:asciiTheme="minorHAnsi" w:hAnsiTheme="minorHAnsi"/>
                <w:sz w:val="20"/>
              </w:rPr>
              <w:t>53</w:t>
            </w:r>
          </w:p>
        </w:tc>
        <w:tc>
          <w:tcPr>
            <w:tcW w:w="2126" w:type="dxa"/>
            <w:vAlign w:val="center"/>
          </w:tcPr>
          <w:p w:rsidR="00077566" w:rsidRPr="00074CA1" w:rsidRDefault="00077566" w:rsidP="00DA2056">
            <w:pPr>
              <w:pStyle w:val="NoSpacing"/>
              <w:jc w:val="center"/>
              <w:rPr>
                <w:rFonts w:asciiTheme="minorHAnsi" w:hAnsiTheme="minorHAnsi"/>
                <w:sz w:val="20"/>
              </w:rPr>
            </w:pPr>
            <w:r w:rsidRPr="00074CA1">
              <w:rPr>
                <w:rFonts w:asciiTheme="minorHAnsi" w:hAnsiTheme="minorHAnsi"/>
                <w:sz w:val="20"/>
              </w:rPr>
              <w:t>39</w:t>
            </w:r>
          </w:p>
        </w:tc>
        <w:tc>
          <w:tcPr>
            <w:tcW w:w="1843" w:type="dxa"/>
          </w:tcPr>
          <w:p w:rsidR="00077566" w:rsidRPr="00074CA1" w:rsidRDefault="00077566" w:rsidP="00DA2056">
            <w:pPr>
              <w:pStyle w:val="NoSpacing"/>
              <w:jc w:val="center"/>
              <w:rPr>
                <w:rFonts w:asciiTheme="minorHAnsi" w:hAnsiTheme="minorHAnsi"/>
                <w:sz w:val="20"/>
              </w:rPr>
            </w:pPr>
            <w:r w:rsidRPr="00074CA1">
              <w:rPr>
                <w:rFonts w:asciiTheme="minorHAnsi" w:hAnsiTheme="minorHAnsi"/>
                <w:sz w:val="20"/>
              </w:rPr>
              <w:t>0.184</w:t>
            </w:r>
          </w:p>
        </w:tc>
      </w:tr>
      <w:tr w:rsidR="00077566" w:rsidRPr="00CC039D" w:rsidTr="00DA2056">
        <w:tc>
          <w:tcPr>
            <w:tcW w:w="4706" w:type="dxa"/>
            <w:vAlign w:val="center"/>
          </w:tcPr>
          <w:p w:rsidR="00077566" w:rsidRPr="00074CA1" w:rsidRDefault="00077566" w:rsidP="00DA2056">
            <w:pPr>
              <w:pStyle w:val="NoSpacing"/>
              <w:rPr>
                <w:rFonts w:asciiTheme="minorHAnsi" w:hAnsiTheme="minorHAnsi"/>
                <w:sz w:val="20"/>
              </w:rPr>
            </w:pPr>
            <w:r w:rsidRPr="00074CA1">
              <w:rPr>
                <w:rFonts w:asciiTheme="minorHAnsi" w:hAnsiTheme="minorHAnsi"/>
                <w:sz w:val="20"/>
              </w:rPr>
              <w:t>BMI z-score</w:t>
            </w:r>
          </w:p>
        </w:tc>
        <w:tc>
          <w:tcPr>
            <w:tcW w:w="2025" w:type="dxa"/>
            <w:vAlign w:val="center"/>
          </w:tcPr>
          <w:p w:rsidR="00077566" w:rsidRPr="00074CA1" w:rsidRDefault="00077566" w:rsidP="00DA2056">
            <w:pPr>
              <w:pStyle w:val="NoSpacing"/>
              <w:jc w:val="center"/>
              <w:rPr>
                <w:rFonts w:asciiTheme="minorHAnsi" w:hAnsiTheme="minorHAnsi"/>
                <w:sz w:val="20"/>
              </w:rPr>
            </w:pPr>
            <w:r w:rsidRPr="00074CA1">
              <w:rPr>
                <w:rFonts w:asciiTheme="minorHAnsi" w:hAnsiTheme="minorHAnsi"/>
                <w:sz w:val="20"/>
              </w:rPr>
              <w:t>0.47</w:t>
            </w:r>
            <w:r w:rsidRPr="00074CA1">
              <w:rPr>
                <w:rFonts w:asciiTheme="minorHAnsi" w:hAnsiTheme="minorHAnsi" w:cs="Times New Roman"/>
                <w:sz w:val="20"/>
              </w:rPr>
              <w:t>±0.95</w:t>
            </w:r>
          </w:p>
        </w:tc>
        <w:tc>
          <w:tcPr>
            <w:tcW w:w="2126" w:type="dxa"/>
            <w:vAlign w:val="center"/>
          </w:tcPr>
          <w:p w:rsidR="00077566" w:rsidRPr="00074CA1" w:rsidRDefault="00077566" w:rsidP="00DA2056">
            <w:pPr>
              <w:pStyle w:val="NoSpacing"/>
              <w:jc w:val="center"/>
              <w:rPr>
                <w:rFonts w:asciiTheme="minorHAnsi" w:hAnsiTheme="minorHAnsi"/>
                <w:sz w:val="20"/>
              </w:rPr>
            </w:pPr>
            <w:r w:rsidRPr="00074CA1">
              <w:rPr>
                <w:rFonts w:asciiTheme="minorHAnsi" w:hAnsiTheme="minorHAnsi"/>
                <w:sz w:val="20"/>
              </w:rPr>
              <w:t>0.70</w:t>
            </w:r>
            <w:r w:rsidRPr="00074CA1">
              <w:rPr>
                <w:rFonts w:asciiTheme="minorHAnsi" w:hAnsiTheme="minorHAnsi" w:cs="Times New Roman"/>
                <w:sz w:val="20"/>
              </w:rPr>
              <w:t>±0.80</w:t>
            </w:r>
          </w:p>
        </w:tc>
        <w:tc>
          <w:tcPr>
            <w:tcW w:w="1843" w:type="dxa"/>
          </w:tcPr>
          <w:p w:rsidR="00077566" w:rsidRPr="00074CA1" w:rsidRDefault="00077566" w:rsidP="00DA2056">
            <w:pPr>
              <w:pStyle w:val="NoSpacing"/>
              <w:jc w:val="center"/>
              <w:rPr>
                <w:rFonts w:asciiTheme="minorHAnsi" w:hAnsiTheme="minorHAnsi"/>
                <w:sz w:val="20"/>
              </w:rPr>
            </w:pPr>
            <w:r w:rsidRPr="00074CA1">
              <w:rPr>
                <w:rFonts w:asciiTheme="minorHAnsi" w:hAnsiTheme="minorHAnsi"/>
                <w:sz w:val="20"/>
              </w:rPr>
              <w:t>0.262</w:t>
            </w:r>
          </w:p>
        </w:tc>
      </w:tr>
      <w:tr w:rsidR="00077566" w:rsidRPr="00CC039D" w:rsidTr="00DA2056">
        <w:tc>
          <w:tcPr>
            <w:tcW w:w="4706" w:type="dxa"/>
            <w:vAlign w:val="center"/>
          </w:tcPr>
          <w:p w:rsidR="00077566" w:rsidRPr="00074CA1" w:rsidRDefault="00077566" w:rsidP="00DA2056">
            <w:pPr>
              <w:pStyle w:val="NoSpacing"/>
              <w:rPr>
                <w:rFonts w:asciiTheme="minorHAnsi" w:hAnsiTheme="minorHAnsi"/>
                <w:sz w:val="20"/>
              </w:rPr>
            </w:pPr>
          </w:p>
        </w:tc>
        <w:tc>
          <w:tcPr>
            <w:tcW w:w="2025" w:type="dxa"/>
            <w:vAlign w:val="center"/>
          </w:tcPr>
          <w:p w:rsidR="00077566" w:rsidRPr="00074CA1" w:rsidRDefault="00077566" w:rsidP="00DA2056">
            <w:pPr>
              <w:pStyle w:val="NoSpacing"/>
              <w:jc w:val="center"/>
              <w:rPr>
                <w:rFonts w:asciiTheme="minorHAnsi" w:hAnsiTheme="minorHAnsi"/>
                <w:sz w:val="20"/>
              </w:rPr>
            </w:pPr>
          </w:p>
        </w:tc>
        <w:tc>
          <w:tcPr>
            <w:tcW w:w="2126" w:type="dxa"/>
            <w:vAlign w:val="center"/>
          </w:tcPr>
          <w:p w:rsidR="00077566" w:rsidRPr="00074CA1" w:rsidRDefault="00077566" w:rsidP="00DA2056">
            <w:pPr>
              <w:pStyle w:val="NoSpacing"/>
              <w:jc w:val="center"/>
              <w:rPr>
                <w:rFonts w:asciiTheme="minorHAnsi" w:hAnsiTheme="minorHAnsi"/>
                <w:sz w:val="20"/>
              </w:rPr>
            </w:pPr>
          </w:p>
        </w:tc>
        <w:tc>
          <w:tcPr>
            <w:tcW w:w="1843" w:type="dxa"/>
          </w:tcPr>
          <w:p w:rsidR="00077566" w:rsidRPr="00074CA1" w:rsidRDefault="00077566" w:rsidP="00DA2056">
            <w:pPr>
              <w:pStyle w:val="NoSpacing"/>
              <w:jc w:val="center"/>
              <w:rPr>
                <w:rFonts w:asciiTheme="minorHAnsi" w:hAnsiTheme="minorHAnsi"/>
                <w:sz w:val="20"/>
              </w:rPr>
            </w:pPr>
          </w:p>
        </w:tc>
      </w:tr>
      <w:tr w:rsidR="00077566" w:rsidRPr="00CC039D" w:rsidTr="00DA2056">
        <w:tc>
          <w:tcPr>
            <w:tcW w:w="4706" w:type="dxa"/>
            <w:vAlign w:val="center"/>
          </w:tcPr>
          <w:p w:rsidR="00077566" w:rsidRPr="00074CA1" w:rsidRDefault="00077566" w:rsidP="00DA2056">
            <w:pPr>
              <w:pStyle w:val="NoSpacing"/>
              <w:rPr>
                <w:rFonts w:asciiTheme="minorHAnsi" w:hAnsiTheme="minorHAnsi"/>
                <w:b/>
                <w:i/>
                <w:sz w:val="20"/>
              </w:rPr>
            </w:pPr>
            <w:r w:rsidRPr="00074CA1">
              <w:rPr>
                <w:rFonts w:asciiTheme="minorHAnsi" w:hAnsiTheme="minorHAnsi"/>
                <w:b/>
                <w:i/>
                <w:sz w:val="20"/>
              </w:rPr>
              <w:t>Type 1 Diabetes Associated Risk Factors</w:t>
            </w:r>
          </w:p>
        </w:tc>
        <w:tc>
          <w:tcPr>
            <w:tcW w:w="2025" w:type="dxa"/>
            <w:vAlign w:val="center"/>
          </w:tcPr>
          <w:p w:rsidR="00077566" w:rsidRPr="00074CA1" w:rsidRDefault="00077566" w:rsidP="00DA2056">
            <w:pPr>
              <w:pStyle w:val="NoSpacing"/>
              <w:jc w:val="center"/>
              <w:rPr>
                <w:rFonts w:asciiTheme="minorHAnsi" w:hAnsiTheme="minorHAnsi"/>
                <w:sz w:val="20"/>
              </w:rPr>
            </w:pPr>
          </w:p>
        </w:tc>
        <w:tc>
          <w:tcPr>
            <w:tcW w:w="2126" w:type="dxa"/>
            <w:vAlign w:val="center"/>
          </w:tcPr>
          <w:p w:rsidR="00077566" w:rsidRPr="00074CA1" w:rsidRDefault="00077566" w:rsidP="00DA2056">
            <w:pPr>
              <w:pStyle w:val="NoSpacing"/>
              <w:jc w:val="center"/>
              <w:rPr>
                <w:rFonts w:asciiTheme="minorHAnsi" w:hAnsiTheme="minorHAnsi"/>
                <w:sz w:val="20"/>
              </w:rPr>
            </w:pPr>
          </w:p>
        </w:tc>
        <w:tc>
          <w:tcPr>
            <w:tcW w:w="1843" w:type="dxa"/>
          </w:tcPr>
          <w:p w:rsidR="00077566" w:rsidRPr="00074CA1" w:rsidRDefault="00077566" w:rsidP="00DA2056">
            <w:pPr>
              <w:pStyle w:val="NoSpacing"/>
              <w:jc w:val="center"/>
              <w:rPr>
                <w:rFonts w:asciiTheme="minorHAnsi" w:hAnsiTheme="minorHAnsi"/>
                <w:sz w:val="20"/>
              </w:rPr>
            </w:pPr>
          </w:p>
        </w:tc>
      </w:tr>
      <w:tr w:rsidR="00077566" w:rsidRPr="00CC039D" w:rsidTr="00DA2056">
        <w:tc>
          <w:tcPr>
            <w:tcW w:w="4706" w:type="dxa"/>
            <w:vAlign w:val="center"/>
          </w:tcPr>
          <w:p w:rsidR="00077566" w:rsidRPr="00074CA1" w:rsidRDefault="00077566" w:rsidP="00DA2056">
            <w:pPr>
              <w:pStyle w:val="NoSpacing"/>
              <w:rPr>
                <w:rFonts w:asciiTheme="minorHAnsi" w:hAnsiTheme="minorHAnsi"/>
                <w:sz w:val="20"/>
              </w:rPr>
            </w:pPr>
            <w:r w:rsidRPr="00074CA1">
              <w:rPr>
                <w:rFonts w:asciiTheme="minorHAnsi" w:hAnsiTheme="minorHAnsi"/>
                <w:sz w:val="20"/>
              </w:rPr>
              <w:t>Disease Duration(yr)</w:t>
            </w:r>
          </w:p>
        </w:tc>
        <w:tc>
          <w:tcPr>
            <w:tcW w:w="2025" w:type="dxa"/>
            <w:vAlign w:val="center"/>
          </w:tcPr>
          <w:p w:rsidR="00077566" w:rsidRPr="00074CA1" w:rsidRDefault="00077566" w:rsidP="00DA2056">
            <w:pPr>
              <w:pStyle w:val="NoSpacing"/>
              <w:jc w:val="center"/>
              <w:rPr>
                <w:rFonts w:asciiTheme="minorHAnsi" w:hAnsiTheme="minorHAnsi"/>
                <w:sz w:val="20"/>
              </w:rPr>
            </w:pPr>
            <w:r w:rsidRPr="00074CA1">
              <w:rPr>
                <w:rFonts w:asciiTheme="minorHAnsi" w:hAnsiTheme="minorHAnsi"/>
                <w:sz w:val="20"/>
              </w:rPr>
              <w:t>-</w:t>
            </w:r>
          </w:p>
        </w:tc>
        <w:tc>
          <w:tcPr>
            <w:tcW w:w="2126" w:type="dxa"/>
            <w:vAlign w:val="center"/>
          </w:tcPr>
          <w:p w:rsidR="00077566" w:rsidRPr="00074CA1" w:rsidRDefault="00077566" w:rsidP="00DA2056">
            <w:pPr>
              <w:pStyle w:val="NoSpacing"/>
              <w:jc w:val="center"/>
              <w:rPr>
                <w:rFonts w:asciiTheme="minorHAnsi" w:hAnsiTheme="minorHAnsi"/>
                <w:sz w:val="20"/>
              </w:rPr>
            </w:pPr>
            <w:r w:rsidRPr="00074CA1">
              <w:rPr>
                <w:rFonts w:asciiTheme="minorHAnsi" w:hAnsiTheme="minorHAnsi"/>
                <w:sz w:val="20"/>
              </w:rPr>
              <w:t>8.9±3.8</w:t>
            </w:r>
          </w:p>
        </w:tc>
        <w:tc>
          <w:tcPr>
            <w:tcW w:w="1843" w:type="dxa"/>
          </w:tcPr>
          <w:p w:rsidR="00077566" w:rsidRPr="00074CA1" w:rsidRDefault="00077566" w:rsidP="00DA2056">
            <w:pPr>
              <w:pStyle w:val="NoSpacing"/>
              <w:jc w:val="center"/>
              <w:rPr>
                <w:rFonts w:asciiTheme="minorHAnsi" w:hAnsiTheme="minorHAnsi"/>
                <w:b/>
                <w:sz w:val="20"/>
              </w:rPr>
            </w:pPr>
            <w:r w:rsidRPr="00074CA1">
              <w:rPr>
                <w:rFonts w:asciiTheme="minorHAnsi" w:hAnsiTheme="minorHAnsi"/>
                <w:b/>
                <w:sz w:val="20"/>
              </w:rPr>
              <w:t>-</w:t>
            </w:r>
          </w:p>
        </w:tc>
      </w:tr>
      <w:tr w:rsidR="00077566" w:rsidRPr="00CC039D" w:rsidTr="00DA2056">
        <w:tc>
          <w:tcPr>
            <w:tcW w:w="4706" w:type="dxa"/>
            <w:vAlign w:val="center"/>
          </w:tcPr>
          <w:p w:rsidR="00077566" w:rsidRPr="00074CA1" w:rsidRDefault="00077566" w:rsidP="00DA2056">
            <w:pPr>
              <w:pStyle w:val="NoSpacing"/>
              <w:rPr>
                <w:rFonts w:asciiTheme="minorHAnsi" w:hAnsiTheme="minorHAnsi"/>
                <w:sz w:val="20"/>
              </w:rPr>
            </w:pPr>
            <w:r w:rsidRPr="00074CA1">
              <w:rPr>
                <w:rFonts w:asciiTheme="minorHAnsi" w:hAnsiTheme="minorHAnsi"/>
                <w:sz w:val="20"/>
              </w:rPr>
              <w:t>HbA</w:t>
            </w:r>
            <w:r w:rsidRPr="00074CA1">
              <w:rPr>
                <w:rFonts w:asciiTheme="minorHAnsi" w:hAnsiTheme="minorHAnsi"/>
                <w:sz w:val="20"/>
                <w:vertAlign w:val="subscript"/>
              </w:rPr>
              <w:t>1c</w:t>
            </w:r>
            <w:r w:rsidRPr="00074CA1">
              <w:rPr>
                <w:rFonts w:asciiTheme="minorHAnsi" w:hAnsiTheme="minorHAnsi"/>
                <w:sz w:val="20"/>
              </w:rPr>
              <w:t xml:space="preserve">(% )           </w:t>
            </w:r>
          </w:p>
        </w:tc>
        <w:tc>
          <w:tcPr>
            <w:tcW w:w="2025" w:type="dxa"/>
            <w:vAlign w:val="center"/>
          </w:tcPr>
          <w:p w:rsidR="00077566" w:rsidRPr="00074CA1" w:rsidRDefault="00077566" w:rsidP="00DA2056">
            <w:pPr>
              <w:pStyle w:val="NoSpacing"/>
              <w:jc w:val="center"/>
              <w:rPr>
                <w:rFonts w:asciiTheme="minorHAnsi" w:hAnsiTheme="minorHAnsi"/>
                <w:sz w:val="20"/>
              </w:rPr>
            </w:pPr>
            <w:r w:rsidRPr="00074CA1">
              <w:rPr>
                <w:rFonts w:ascii="Calibri" w:hAnsi="Calibri"/>
                <w:sz w:val="20"/>
              </w:rPr>
              <w:t>5.4(5.3–5.5)</w:t>
            </w:r>
          </w:p>
        </w:tc>
        <w:tc>
          <w:tcPr>
            <w:tcW w:w="2126" w:type="dxa"/>
            <w:vAlign w:val="center"/>
          </w:tcPr>
          <w:p w:rsidR="00077566" w:rsidRPr="00074CA1" w:rsidRDefault="00077566" w:rsidP="00DA2056">
            <w:pPr>
              <w:pStyle w:val="NoSpacing"/>
              <w:jc w:val="center"/>
              <w:rPr>
                <w:rFonts w:asciiTheme="minorHAnsi" w:hAnsiTheme="minorHAnsi"/>
                <w:sz w:val="20"/>
              </w:rPr>
            </w:pPr>
            <w:r w:rsidRPr="00074CA1">
              <w:rPr>
                <w:rFonts w:ascii="Calibri" w:hAnsi="Calibri"/>
                <w:sz w:val="20"/>
              </w:rPr>
              <w:t>8.3(7.8–9.1)</w:t>
            </w:r>
          </w:p>
        </w:tc>
        <w:tc>
          <w:tcPr>
            <w:tcW w:w="1843" w:type="dxa"/>
            <w:vAlign w:val="center"/>
          </w:tcPr>
          <w:p w:rsidR="00077566" w:rsidRPr="00074CA1" w:rsidRDefault="00077566" w:rsidP="00DA2056">
            <w:pPr>
              <w:pStyle w:val="NoSpacing"/>
              <w:jc w:val="center"/>
              <w:rPr>
                <w:rFonts w:asciiTheme="minorHAnsi" w:hAnsiTheme="minorHAnsi"/>
                <w:b/>
                <w:sz w:val="20"/>
              </w:rPr>
            </w:pPr>
            <w:r w:rsidRPr="00074CA1">
              <w:rPr>
                <w:rFonts w:asciiTheme="minorHAnsi" w:hAnsiTheme="minorHAnsi"/>
                <w:b/>
                <w:sz w:val="20"/>
              </w:rPr>
              <w:t>&lt;0.001</w:t>
            </w:r>
          </w:p>
        </w:tc>
      </w:tr>
      <w:tr w:rsidR="00077566" w:rsidRPr="00CC039D" w:rsidTr="00DA2056">
        <w:tc>
          <w:tcPr>
            <w:tcW w:w="4706" w:type="dxa"/>
            <w:vAlign w:val="center"/>
          </w:tcPr>
          <w:p w:rsidR="00077566" w:rsidRPr="00074CA1" w:rsidRDefault="00077566" w:rsidP="00DA2056">
            <w:pPr>
              <w:pStyle w:val="NoSpacing"/>
              <w:rPr>
                <w:rFonts w:asciiTheme="minorHAnsi" w:hAnsiTheme="minorHAnsi"/>
                <w:sz w:val="20"/>
              </w:rPr>
            </w:pPr>
            <w:r w:rsidRPr="00074CA1">
              <w:rPr>
                <w:rFonts w:asciiTheme="minorHAnsi" w:hAnsiTheme="minorHAnsi"/>
                <w:sz w:val="20"/>
              </w:rPr>
              <w:t>eGFR(ml/min/1.73m</w:t>
            </w:r>
            <w:r w:rsidRPr="00074CA1">
              <w:rPr>
                <w:rFonts w:asciiTheme="minorHAnsi" w:hAnsiTheme="minorHAnsi"/>
                <w:sz w:val="20"/>
                <w:vertAlign w:val="superscript"/>
              </w:rPr>
              <w:t>2</w:t>
            </w:r>
            <w:r w:rsidRPr="00074CA1">
              <w:rPr>
                <w:rFonts w:asciiTheme="minorHAnsi" w:hAnsiTheme="minorHAnsi"/>
                <w:sz w:val="20"/>
              </w:rPr>
              <w:t>)</w:t>
            </w:r>
          </w:p>
        </w:tc>
        <w:tc>
          <w:tcPr>
            <w:tcW w:w="2025" w:type="dxa"/>
            <w:vAlign w:val="center"/>
          </w:tcPr>
          <w:p w:rsidR="00077566" w:rsidRPr="00074CA1" w:rsidRDefault="00077566" w:rsidP="00DA2056">
            <w:pPr>
              <w:pStyle w:val="NoSpacing"/>
              <w:jc w:val="center"/>
              <w:rPr>
                <w:rFonts w:asciiTheme="minorHAnsi" w:hAnsiTheme="minorHAnsi"/>
                <w:sz w:val="20"/>
              </w:rPr>
            </w:pPr>
            <w:r w:rsidRPr="00074CA1">
              <w:rPr>
                <w:rFonts w:asciiTheme="minorHAnsi" w:hAnsiTheme="minorHAnsi"/>
                <w:sz w:val="20"/>
              </w:rPr>
              <w:t>116</w:t>
            </w:r>
            <w:r w:rsidRPr="00074CA1">
              <w:rPr>
                <w:rFonts w:asciiTheme="minorHAnsi" w:hAnsiTheme="minorHAnsi" w:cs="Times New Roman"/>
                <w:sz w:val="20"/>
              </w:rPr>
              <w:t>±18</w:t>
            </w:r>
          </w:p>
        </w:tc>
        <w:tc>
          <w:tcPr>
            <w:tcW w:w="2126" w:type="dxa"/>
            <w:vAlign w:val="center"/>
          </w:tcPr>
          <w:p w:rsidR="00077566" w:rsidRPr="00074CA1" w:rsidRDefault="00077566" w:rsidP="00DA2056">
            <w:pPr>
              <w:pStyle w:val="NoSpacing"/>
              <w:jc w:val="center"/>
              <w:rPr>
                <w:rFonts w:asciiTheme="minorHAnsi" w:hAnsiTheme="minorHAnsi"/>
                <w:sz w:val="20"/>
              </w:rPr>
            </w:pPr>
            <w:r w:rsidRPr="00074CA1">
              <w:rPr>
                <w:rFonts w:asciiTheme="minorHAnsi" w:hAnsiTheme="minorHAnsi"/>
                <w:sz w:val="20"/>
              </w:rPr>
              <w:t>125</w:t>
            </w:r>
            <w:r w:rsidRPr="00074CA1">
              <w:rPr>
                <w:rFonts w:asciiTheme="minorHAnsi" w:hAnsiTheme="minorHAnsi" w:cs="Times New Roman"/>
                <w:sz w:val="20"/>
              </w:rPr>
              <w:t>±21</w:t>
            </w:r>
          </w:p>
        </w:tc>
        <w:tc>
          <w:tcPr>
            <w:tcW w:w="1843" w:type="dxa"/>
          </w:tcPr>
          <w:p w:rsidR="00077566" w:rsidRPr="00074CA1" w:rsidRDefault="00077566" w:rsidP="00DA2056">
            <w:pPr>
              <w:pStyle w:val="NoSpacing"/>
              <w:jc w:val="center"/>
              <w:rPr>
                <w:rFonts w:asciiTheme="minorHAnsi" w:hAnsiTheme="minorHAnsi"/>
                <w:b/>
                <w:sz w:val="20"/>
              </w:rPr>
            </w:pPr>
            <w:r w:rsidRPr="00074CA1">
              <w:rPr>
                <w:rFonts w:asciiTheme="minorHAnsi" w:hAnsiTheme="minorHAnsi"/>
                <w:b/>
                <w:sz w:val="20"/>
              </w:rPr>
              <w:t>0.048</w:t>
            </w:r>
          </w:p>
        </w:tc>
      </w:tr>
      <w:tr w:rsidR="00077566" w:rsidRPr="00CC039D" w:rsidTr="00DA2056">
        <w:tc>
          <w:tcPr>
            <w:tcW w:w="4706" w:type="dxa"/>
            <w:vAlign w:val="center"/>
          </w:tcPr>
          <w:p w:rsidR="00077566" w:rsidRPr="00074CA1" w:rsidRDefault="00077566" w:rsidP="00DA2056">
            <w:pPr>
              <w:pStyle w:val="NoSpacing"/>
              <w:rPr>
                <w:rFonts w:asciiTheme="minorHAnsi" w:hAnsiTheme="minorHAnsi"/>
                <w:sz w:val="20"/>
              </w:rPr>
            </w:pPr>
          </w:p>
        </w:tc>
        <w:tc>
          <w:tcPr>
            <w:tcW w:w="2025" w:type="dxa"/>
            <w:vAlign w:val="center"/>
          </w:tcPr>
          <w:p w:rsidR="00077566" w:rsidRPr="00074CA1" w:rsidRDefault="00077566" w:rsidP="00DA2056">
            <w:pPr>
              <w:pStyle w:val="NoSpacing"/>
              <w:jc w:val="center"/>
              <w:rPr>
                <w:rFonts w:asciiTheme="minorHAnsi" w:hAnsiTheme="minorHAnsi"/>
                <w:sz w:val="20"/>
              </w:rPr>
            </w:pPr>
          </w:p>
        </w:tc>
        <w:tc>
          <w:tcPr>
            <w:tcW w:w="2126" w:type="dxa"/>
            <w:vAlign w:val="center"/>
          </w:tcPr>
          <w:p w:rsidR="00077566" w:rsidRPr="00074CA1" w:rsidRDefault="00077566" w:rsidP="00DA2056">
            <w:pPr>
              <w:pStyle w:val="NoSpacing"/>
              <w:jc w:val="center"/>
              <w:rPr>
                <w:rFonts w:asciiTheme="minorHAnsi" w:hAnsiTheme="minorHAnsi"/>
                <w:sz w:val="20"/>
              </w:rPr>
            </w:pPr>
          </w:p>
        </w:tc>
        <w:tc>
          <w:tcPr>
            <w:tcW w:w="1843" w:type="dxa"/>
          </w:tcPr>
          <w:p w:rsidR="00077566" w:rsidRPr="00074CA1" w:rsidRDefault="00077566" w:rsidP="00DA2056">
            <w:pPr>
              <w:pStyle w:val="NoSpacing"/>
              <w:jc w:val="center"/>
              <w:rPr>
                <w:rFonts w:asciiTheme="minorHAnsi" w:hAnsiTheme="minorHAnsi"/>
                <w:sz w:val="20"/>
              </w:rPr>
            </w:pPr>
          </w:p>
        </w:tc>
      </w:tr>
      <w:tr w:rsidR="00077566" w:rsidRPr="00CC039D" w:rsidTr="00DA2056">
        <w:tc>
          <w:tcPr>
            <w:tcW w:w="4706" w:type="dxa"/>
            <w:vAlign w:val="center"/>
          </w:tcPr>
          <w:p w:rsidR="00077566" w:rsidRPr="00074CA1" w:rsidRDefault="00077566" w:rsidP="00DA2056">
            <w:pPr>
              <w:pStyle w:val="NoSpacing"/>
              <w:rPr>
                <w:rFonts w:asciiTheme="minorHAnsi" w:hAnsiTheme="minorHAnsi"/>
                <w:sz w:val="20"/>
              </w:rPr>
            </w:pPr>
            <w:r w:rsidRPr="00074CA1">
              <w:rPr>
                <w:rFonts w:asciiTheme="minorHAnsi" w:hAnsiTheme="minorHAnsi"/>
                <w:b/>
                <w:i/>
                <w:sz w:val="20"/>
              </w:rPr>
              <w:t>Blood Pressure</w:t>
            </w:r>
          </w:p>
        </w:tc>
        <w:tc>
          <w:tcPr>
            <w:tcW w:w="2025" w:type="dxa"/>
            <w:vAlign w:val="center"/>
          </w:tcPr>
          <w:p w:rsidR="00077566" w:rsidRPr="00074CA1" w:rsidRDefault="00077566" w:rsidP="00DA2056">
            <w:pPr>
              <w:pStyle w:val="NoSpacing"/>
              <w:jc w:val="center"/>
              <w:rPr>
                <w:rFonts w:asciiTheme="minorHAnsi" w:hAnsiTheme="minorHAnsi"/>
                <w:sz w:val="20"/>
              </w:rPr>
            </w:pPr>
          </w:p>
        </w:tc>
        <w:tc>
          <w:tcPr>
            <w:tcW w:w="2126" w:type="dxa"/>
            <w:vAlign w:val="center"/>
          </w:tcPr>
          <w:p w:rsidR="00077566" w:rsidRPr="00074CA1" w:rsidRDefault="00077566" w:rsidP="00DA2056">
            <w:pPr>
              <w:pStyle w:val="NoSpacing"/>
              <w:jc w:val="center"/>
              <w:rPr>
                <w:rFonts w:asciiTheme="minorHAnsi" w:hAnsiTheme="minorHAnsi"/>
                <w:sz w:val="20"/>
              </w:rPr>
            </w:pPr>
          </w:p>
        </w:tc>
        <w:tc>
          <w:tcPr>
            <w:tcW w:w="1843" w:type="dxa"/>
          </w:tcPr>
          <w:p w:rsidR="00077566" w:rsidRPr="00074CA1" w:rsidRDefault="00077566" w:rsidP="00DA2056">
            <w:pPr>
              <w:pStyle w:val="NoSpacing"/>
              <w:jc w:val="center"/>
              <w:rPr>
                <w:rFonts w:asciiTheme="minorHAnsi" w:hAnsiTheme="minorHAnsi"/>
                <w:sz w:val="20"/>
              </w:rPr>
            </w:pPr>
          </w:p>
        </w:tc>
      </w:tr>
      <w:tr w:rsidR="00077566" w:rsidRPr="00CC039D" w:rsidTr="00DA2056">
        <w:tc>
          <w:tcPr>
            <w:tcW w:w="4706" w:type="dxa"/>
            <w:vAlign w:val="center"/>
          </w:tcPr>
          <w:p w:rsidR="00077566" w:rsidRPr="00074CA1" w:rsidRDefault="00077566" w:rsidP="00DA2056">
            <w:pPr>
              <w:pStyle w:val="NoSpacing"/>
              <w:rPr>
                <w:rFonts w:asciiTheme="minorHAnsi" w:hAnsiTheme="minorHAnsi"/>
                <w:sz w:val="20"/>
              </w:rPr>
            </w:pPr>
            <w:r w:rsidRPr="00074CA1">
              <w:rPr>
                <w:rFonts w:asciiTheme="minorHAnsi" w:hAnsiTheme="minorHAnsi"/>
                <w:sz w:val="20"/>
              </w:rPr>
              <w:t>SBP(mmHg)</w:t>
            </w:r>
          </w:p>
        </w:tc>
        <w:tc>
          <w:tcPr>
            <w:tcW w:w="2025" w:type="dxa"/>
            <w:vAlign w:val="center"/>
          </w:tcPr>
          <w:p w:rsidR="00077566" w:rsidRPr="00074CA1" w:rsidRDefault="00077566" w:rsidP="00DA2056">
            <w:pPr>
              <w:pStyle w:val="NoSpacing"/>
              <w:jc w:val="center"/>
              <w:rPr>
                <w:rFonts w:asciiTheme="minorHAnsi" w:hAnsiTheme="minorHAnsi"/>
                <w:sz w:val="20"/>
              </w:rPr>
            </w:pPr>
            <w:r w:rsidRPr="00074CA1">
              <w:rPr>
                <w:rFonts w:asciiTheme="minorHAnsi" w:hAnsiTheme="minorHAnsi"/>
                <w:sz w:val="20"/>
              </w:rPr>
              <w:t>111±11</w:t>
            </w:r>
          </w:p>
        </w:tc>
        <w:tc>
          <w:tcPr>
            <w:tcW w:w="2126" w:type="dxa"/>
            <w:vAlign w:val="center"/>
          </w:tcPr>
          <w:p w:rsidR="00077566" w:rsidRPr="00074CA1" w:rsidRDefault="00077566" w:rsidP="00DA2056">
            <w:pPr>
              <w:pStyle w:val="NoSpacing"/>
              <w:jc w:val="center"/>
              <w:rPr>
                <w:rFonts w:asciiTheme="minorHAnsi" w:hAnsiTheme="minorHAnsi"/>
                <w:sz w:val="20"/>
              </w:rPr>
            </w:pPr>
            <w:r w:rsidRPr="00074CA1">
              <w:rPr>
                <w:rFonts w:asciiTheme="minorHAnsi" w:hAnsiTheme="minorHAnsi"/>
                <w:sz w:val="20"/>
              </w:rPr>
              <w:t>115±10</w:t>
            </w:r>
          </w:p>
        </w:tc>
        <w:tc>
          <w:tcPr>
            <w:tcW w:w="1843" w:type="dxa"/>
          </w:tcPr>
          <w:p w:rsidR="00077566" w:rsidRPr="00074CA1" w:rsidRDefault="00077566" w:rsidP="00DA2056">
            <w:pPr>
              <w:pStyle w:val="NoSpacing"/>
              <w:jc w:val="center"/>
              <w:rPr>
                <w:rFonts w:asciiTheme="minorHAnsi" w:hAnsiTheme="minorHAnsi"/>
                <w:sz w:val="20"/>
              </w:rPr>
            </w:pPr>
            <w:r w:rsidRPr="00074CA1">
              <w:rPr>
                <w:rFonts w:asciiTheme="minorHAnsi" w:hAnsiTheme="minorHAnsi"/>
                <w:sz w:val="20"/>
              </w:rPr>
              <w:t>0.073</w:t>
            </w:r>
          </w:p>
        </w:tc>
      </w:tr>
      <w:tr w:rsidR="00077566" w:rsidRPr="00CC039D" w:rsidTr="00DA2056">
        <w:tc>
          <w:tcPr>
            <w:tcW w:w="4706" w:type="dxa"/>
            <w:vAlign w:val="center"/>
          </w:tcPr>
          <w:p w:rsidR="00077566" w:rsidRPr="00074CA1" w:rsidRDefault="00077566" w:rsidP="00DA2056">
            <w:pPr>
              <w:pStyle w:val="NoSpacing"/>
              <w:rPr>
                <w:rFonts w:asciiTheme="minorHAnsi" w:hAnsiTheme="minorHAnsi"/>
                <w:sz w:val="20"/>
              </w:rPr>
            </w:pPr>
            <w:r w:rsidRPr="00074CA1">
              <w:rPr>
                <w:rFonts w:asciiTheme="minorHAnsi" w:hAnsiTheme="minorHAnsi"/>
                <w:sz w:val="20"/>
              </w:rPr>
              <w:t>DBP(mmHg)</w:t>
            </w:r>
          </w:p>
        </w:tc>
        <w:tc>
          <w:tcPr>
            <w:tcW w:w="2025" w:type="dxa"/>
            <w:vAlign w:val="center"/>
          </w:tcPr>
          <w:p w:rsidR="00077566" w:rsidRPr="00074CA1" w:rsidRDefault="00077566" w:rsidP="00DA2056">
            <w:pPr>
              <w:pStyle w:val="NoSpacing"/>
              <w:jc w:val="center"/>
              <w:rPr>
                <w:rFonts w:asciiTheme="minorHAnsi" w:hAnsiTheme="minorHAnsi"/>
                <w:sz w:val="20"/>
              </w:rPr>
            </w:pPr>
            <w:r w:rsidRPr="00074CA1">
              <w:rPr>
                <w:rFonts w:asciiTheme="minorHAnsi" w:hAnsiTheme="minorHAnsi"/>
                <w:sz w:val="20"/>
              </w:rPr>
              <w:t>66±8</w:t>
            </w:r>
          </w:p>
        </w:tc>
        <w:tc>
          <w:tcPr>
            <w:tcW w:w="2126" w:type="dxa"/>
            <w:vAlign w:val="center"/>
          </w:tcPr>
          <w:p w:rsidR="00077566" w:rsidRPr="00074CA1" w:rsidRDefault="00077566" w:rsidP="00DA2056">
            <w:pPr>
              <w:pStyle w:val="NoSpacing"/>
              <w:jc w:val="center"/>
              <w:rPr>
                <w:rFonts w:asciiTheme="minorHAnsi" w:hAnsiTheme="minorHAnsi"/>
                <w:sz w:val="20"/>
              </w:rPr>
            </w:pPr>
            <w:r w:rsidRPr="00074CA1">
              <w:rPr>
                <w:rFonts w:asciiTheme="minorHAnsi" w:hAnsiTheme="minorHAnsi"/>
                <w:sz w:val="20"/>
              </w:rPr>
              <w:t>67±7</w:t>
            </w:r>
          </w:p>
        </w:tc>
        <w:tc>
          <w:tcPr>
            <w:tcW w:w="1843" w:type="dxa"/>
          </w:tcPr>
          <w:p w:rsidR="00077566" w:rsidRPr="00074CA1" w:rsidRDefault="00077566" w:rsidP="00DA2056">
            <w:pPr>
              <w:pStyle w:val="NoSpacing"/>
              <w:jc w:val="center"/>
              <w:rPr>
                <w:rFonts w:asciiTheme="minorHAnsi" w:hAnsiTheme="minorHAnsi"/>
                <w:sz w:val="20"/>
              </w:rPr>
            </w:pPr>
            <w:r w:rsidRPr="00074CA1">
              <w:rPr>
                <w:rFonts w:asciiTheme="minorHAnsi" w:hAnsiTheme="minorHAnsi"/>
                <w:sz w:val="20"/>
              </w:rPr>
              <w:t>0.670</w:t>
            </w:r>
          </w:p>
        </w:tc>
      </w:tr>
      <w:tr w:rsidR="00077566" w:rsidRPr="00CC039D" w:rsidTr="00DA2056">
        <w:tc>
          <w:tcPr>
            <w:tcW w:w="4706" w:type="dxa"/>
            <w:vAlign w:val="center"/>
          </w:tcPr>
          <w:p w:rsidR="00077566" w:rsidRPr="00074CA1" w:rsidRDefault="00077566" w:rsidP="00DA2056">
            <w:pPr>
              <w:pStyle w:val="NoSpacing"/>
              <w:rPr>
                <w:rFonts w:asciiTheme="minorHAnsi" w:hAnsiTheme="minorHAnsi"/>
                <w:sz w:val="20"/>
              </w:rPr>
            </w:pPr>
            <w:r w:rsidRPr="00074CA1">
              <w:rPr>
                <w:rFonts w:asciiTheme="minorHAnsi" w:hAnsiTheme="minorHAnsi"/>
                <w:sz w:val="20"/>
              </w:rPr>
              <w:t>MAP(mmHg)</w:t>
            </w:r>
          </w:p>
        </w:tc>
        <w:tc>
          <w:tcPr>
            <w:tcW w:w="2025" w:type="dxa"/>
            <w:vAlign w:val="center"/>
          </w:tcPr>
          <w:p w:rsidR="00077566" w:rsidRPr="00074CA1" w:rsidRDefault="00077566" w:rsidP="00DA2056">
            <w:pPr>
              <w:pStyle w:val="NoSpacing"/>
              <w:jc w:val="center"/>
              <w:rPr>
                <w:rFonts w:asciiTheme="minorHAnsi" w:hAnsiTheme="minorHAnsi"/>
                <w:sz w:val="20"/>
              </w:rPr>
            </w:pPr>
            <w:r w:rsidRPr="00074CA1">
              <w:rPr>
                <w:rFonts w:asciiTheme="minorHAnsi" w:hAnsiTheme="minorHAnsi"/>
                <w:sz w:val="20"/>
              </w:rPr>
              <w:t>81±8</w:t>
            </w:r>
          </w:p>
        </w:tc>
        <w:tc>
          <w:tcPr>
            <w:tcW w:w="2126" w:type="dxa"/>
            <w:vAlign w:val="center"/>
          </w:tcPr>
          <w:p w:rsidR="00077566" w:rsidRPr="00074CA1" w:rsidRDefault="00077566" w:rsidP="00DA2056">
            <w:pPr>
              <w:pStyle w:val="NoSpacing"/>
              <w:jc w:val="center"/>
              <w:rPr>
                <w:rFonts w:asciiTheme="minorHAnsi" w:hAnsiTheme="minorHAnsi"/>
                <w:sz w:val="20"/>
              </w:rPr>
            </w:pPr>
            <w:r w:rsidRPr="00074CA1">
              <w:rPr>
                <w:rFonts w:asciiTheme="minorHAnsi" w:hAnsiTheme="minorHAnsi"/>
                <w:sz w:val="20"/>
              </w:rPr>
              <w:t>83±6</w:t>
            </w:r>
          </w:p>
        </w:tc>
        <w:tc>
          <w:tcPr>
            <w:tcW w:w="1843" w:type="dxa"/>
          </w:tcPr>
          <w:p w:rsidR="00077566" w:rsidRPr="00074CA1" w:rsidRDefault="00077566" w:rsidP="00DA2056">
            <w:pPr>
              <w:pStyle w:val="NoSpacing"/>
              <w:jc w:val="center"/>
              <w:rPr>
                <w:rFonts w:asciiTheme="minorHAnsi" w:hAnsiTheme="minorHAnsi"/>
                <w:sz w:val="20"/>
              </w:rPr>
            </w:pPr>
            <w:r w:rsidRPr="00074CA1">
              <w:rPr>
                <w:rFonts w:asciiTheme="minorHAnsi" w:hAnsiTheme="minorHAnsi"/>
                <w:sz w:val="20"/>
              </w:rPr>
              <w:t>0.258</w:t>
            </w:r>
          </w:p>
        </w:tc>
      </w:tr>
      <w:tr w:rsidR="00077566" w:rsidRPr="00CC039D" w:rsidTr="00DA2056">
        <w:tc>
          <w:tcPr>
            <w:tcW w:w="4706" w:type="dxa"/>
            <w:vAlign w:val="center"/>
          </w:tcPr>
          <w:p w:rsidR="00077566" w:rsidRPr="00074CA1" w:rsidRDefault="00077566" w:rsidP="00DA2056">
            <w:pPr>
              <w:pStyle w:val="NoSpacing"/>
              <w:rPr>
                <w:rFonts w:asciiTheme="minorHAnsi" w:hAnsiTheme="minorHAnsi"/>
                <w:sz w:val="20"/>
              </w:rPr>
            </w:pPr>
          </w:p>
        </w:tc>
        <w:tc>
          <w:tcPr>
            <w:tcW w:w="2025" w:type="dxa"/>
            <w:vAlign w:val="center"/>
          </w:tcPr>
          <w:p w:rsidR="00077566" w:rsidRPr="00074CA1" w:rsidRDefault="00077566" w:rsidP="00DA2056">
            <w:pPr>
              <w:pStyle w:val="NoSpacing"/>
              <w:jc w:val="center"/>
              <w:rPr>
                <w:rFonts w:asciiTheme="minorHAnsi" w:hAnsiTheme="minorHAnsi"/>
                <w:sz w:val="20"/>
              </w:rPr>
            </w:pPr>
          </w:p>
        </w:tc>
        <w:tc>
          <w:tcPr>
            <w:tcW w:w="2126" w:type="dxa"/>
            <w:vAlign w:val="center"/>
          </w:tcPr>
          <w:p w:rsidR="00077566" w:rsidRPr="00074CA1" w:rsidRDefault="00077566" w:rsidP="00DA2056">
            <w:pPr>
              <w:pStyle w:val="NoSpacing"/>
              <w:jc w:val="center"/>
              <w:rPr>
                <w:rFonts w:asciiTheme="minorHAnsi" w:hAnsiTheme="minorHAnsi"/>
                <w:sz w:val="20"/>
              </w:rPr>
            </w:pPr>
          </w:p>
        </w:tc>
        <w:tc>
          <w:tcPr>
            <w:tcW w:w="1843" w:type="dxa"/>
          </w:tcPr>
          <w:p w:rsidR="00077566" w:rsidRPr="00074CA1" w:rsidRDefault="00077566" w:rsidP="00DA2056">
            <w:pPr>
              <w:pStyle w:val="NoSpacing"/>
              <w:jc w:val="center"/>
              <w:rPr>
                <w:rFonts w:asciiTheme="minorHAnsi" w:hAnsiTheme="minorHAnsi"/>
                <w:sz w:val="20"/>
              </w:rPr>
            </w:pPr>
          </w:p>
        </w:tc>
      </w:tr>
      <w:tr w:rsidR="00077566" w:rsidRPr="00CC039D" w:rsidTr="00DA2056">
        <w:tc>
          <w:tcPr>
            <w:tcW w:w="4706" w:type="dxa"/>
            <w:vAlign w:val="center"/>
          </w:tcPr>
          <w:p w:rsidR="00077566" w:rsidRPr="00074CA1" w:rsidRDefault="00077566" w:rsidP="00DA2056">
            <w:pPr>
              <w:pStyle w:val="NoSpacing"/>
              <w:rPr>
                <w:rFonts w:asciiTheme="minorHAnsi" w:hAnsiTheme="minorHAnsi"/>
                <w:b/>
                <w:i/>
                <w:sz w:val="20"/>
              </w:rPr>
            </w:pPr>
            <w:r w:rsidRPr="00074CA1">
              <w:rPr>
                <w:rFonts w:asciiTheme="minorHAnsi" w:hAnsiTheme="minorHAnsi"/>
                <w:b/>
                <w:i/>
                <w:sz w:val="20"/>
              </w:rPr>
              <w:t>Lipids</w:t>
            </w:r>
          </w:p>
        </w:tc>
        <w:tc>
          <w:tcPr>
            <w:tcW w:w="2025" w:type="dxa"/>
            <w:vAlign w:val="center"/>
          </w:tcPr>
          <w:p w:rsidR="00077566" w:rsidRPr="00074CA1" w:rsidRDefault="00077566" w:rsidP="00DA2056">
            <w:pPr>
              <w:pStyle w:val="NoSpacing"/>
              <w:jc w:val="center"/>
              <w:rPr>
                <w:rFonts w:asciiTheme="minorHAnsi" w:hAnsiTheme="minorHAnsi"/>
                <w:sz w:val="20"/>
              </w:rPr>
            </w:pPr>
          </w:p>
        </w:tc>
        <w:tc>
          <w:tcPr>
            <w:tcW w:w="2126" w:type="dxa"/>
            <w:vAlign w:val="center"/>
          </w:tcPr>
          <w:p w:rsidR="00077566" w:rsidRPr="00074CA1" w:rsidRDefault="00077566" w:rsidP="00DA2056">
            <w:pPr>
              <w:pStyle w:val="NoSpacing"/>
              <w:jc w:val="center"/>
              <w:rPr>
                <w:rFonts w:asciiTheme="minorHAnsi" w:hAnsiTheme="minorHAnsi"/>
                <w:sz w:val="20"/>
              </w:rPr>
            </w:pPr>
          </w:p>
        </w:tc>
        <w:tc>
          <w:tcPr>
            <w:tcW w:w="1843" w:type="dxa"/>
          </w:tcPr>
          <w:p w:rsidR="00077566" w:rsidRPr="00074CA1" w:rsidRDefault="00077566" w:rsidP="00DA2056">
            <w:pPr>
              <w:pStyle w:val="NoSpacing"/>
              <w:jc w:val="center"/>
              <w:rPr>
                <w:rFonts w:asciiTheme="minorHAnsi" w:hAnsiTheme="minorHAnsi"/>
                <w:sz w:val="20"/>
              </w:rPr>
            </w:pPr>
          </w:p>
        </w:tc>
      </w:tr>
      <w:tr w:rsidR="00077566" w:rsidRPr="00CC039D" w:rsidTr="00DA2056">
        <w:tc>
          <w:tcPr>
            <w:tcW w:w="4706" w:type="dxa"/>
            <w:vAlign w:val="center"/>
          </w:tcPr>
          <w:p w:rsidR="00077566" w:rsidRPr="00074CA1" w:rsidRDefault="00077566" w:rsidP="00DA2056">
            <w:pPr>
              <w:pStyle w:val="NoSpacing"/>
              <w:rPr>
                <w:rFonts w:asciiTheme="minorHAnsi" w:hAnsiTheme="minorHAnsi"/>
                <w:sz w:val="20"/>
              </w:rPr>
            </w:pPr>
            <w:r w:rsidRPr="00074CA1">
              <w:rPr>
                <w:rFonts w:asciiTheme="minorHAnsi" w:hAnsiTheme="minorHAnsi"/>
                <w:sz w:val="20"/>
              </w:rPr>
              <w:t>HDL-c(mmol/l)</w:t>
            </w:r>
          </w:p>
        </w:tc>
        <w:tc>
          <w:tcPr>
            <w:tcW w:w="2025" w:type="dxa"/>
            <w:vAlign w:val="center"/>
          </w:tcPr>
          <w:p w:rsidR="00077566" w:rsidRPr="00074CA1" w:rsidRDefault="00077566" w:rsidP="00DA2056">
            <w:pPr>
              <w:pStyle w:val="NoSpacing"/>
              <w:jc w:val="center"/>
              <w:rPr>
                <w:rFonts w:asciiTheme="minorHAnsi" w:hAnsiTheme="minorHAnsi"/>
                <w:sz w:val="20"/>
              </w:rPr>
            </w:pPr>
            <w:r w:rsidRPr="00074CA1">
              <w:rPr>
                <w:rFonts w:asciiTheme="minorHAnsi" w:hAnsiTheme="minorHAnsi"/>
                <w:sz w:val="20"/>
              </w:rPr>
              <w:t>1.44±0.29</w:t>
            </w:r>
          </w:p>
        </w:tc>
        <w:tc>
          <w:tcPr>
            <w:tcW w:w="2126" w:type="dxa"/>
            <w:vAlign w:val="center"/>
          </w:tcPr>
          <w:p w:rsidR="00077566" w:rsidRPr="00074CA1" w:rsidRDefault="00077566" w:rsidP="00DA2056">
            <w:pPr>
              <w:pStyle w:val="NoSpacing"/>
              <w:jc w:val="center"/>
              <w:rPr>
                <w:rFonts w:asciiTheme="minorHAnsi" w:hAnsiTheme="minorHAnsi"/>
                <w:sz w:val="20"/>
              </w:rPr>
            </w:pPr>
            <w:r w:rsidRPr="00074CA1">
              <w:rPr>
                <w:rFonts w:asciiTheme="minorHAnsi" w:hAnsiTheme="minorHAnsi"/>
                <w:sz w:val="20"/>
              </w:rPr>
              <w:t>1.67±0.38</w:t>
            </w:r>
          </w:p>
        </w:tc>
        <w:tc>
          <w:tcPr>
            <w:tcW w:w="1843" w:type="dxa"/>
          </w:tcPr>
          <w:p w:rsidR="00077566" w:rsidRPr="00074CA1" w:rsidRDefault="00077566" w:rsidP="00DA2056">
            <w:pPr>
              <w:pStyle w:val="NoSpacing"/>
              <w:jc w:val="center"/>
              <w:rPr>
                <w:rFonts w:asciiTheme="minorHAnsi" w:hAnsiTheme="minorHAnsi"/>
                <w:b/>
                <w:sz w:val="20"/>
              </w:rPr>
            </w:pPr>
            <w:r w:rsidRPr="00074CA1">
              <w:rPr>
                <w:rFonts w:asciiTheme="minorHAnsi" w:hAnsiTheme="minorHAnsi"/>
                <w:b/>
                <w:sz w:val="20"/>
              </w:rPr>
              <w:t>0.001</w:t>
            </w:r>
          </w:p>
        </w:tc>
      </w:tr>
      <w:tr w:rsidR="00077566" w:rsidRPr="00CC039D" w:rsidTr="00DA2056">
        <w:tc>
          <w:tcPr>
            <w:tcW w:w="4706" w:type="dxa"/>
            <w:vAlign w:val="center"/>
          </w:tcPr>
          <w:p w:rsidR="00077566" w:rsidRPr="00074CA1" w:rsidRDefault="00077566" w:rsidP="00DA2056">
            <w:pPr>
              <w:pStyle w:val="NoSpacing"/>
              <w:rPr>
                <w:rFonts w:asciiTheme="minorHAnsi" w:hAnsiTheme="minorHAnsi"/>
                <w:sz w:val="20"/>
                <w:lang w:val="it-IT"/>
              </w:rPr>
            </w:pPr>
            <w:r w:rsidRPr="00074CA1">
              <w:rPr>
                <w:rFonts w:asciiTheme="minorHAnsi" w:hAnsiTheme="minorHAnsi"/>
                <w:sz w:val="20"/>
                <w:lang w:val="it-IT"/>
              </w:rPr>
              <w:t>Non-HDL-c(mmol/l)</w:t>
            </w:r>
          </w:p>
        </w:tc>
        <w:tc>
          <w:tcPr>
            <w:tcW w:w="2025" w:type="dxa"/>
            <w:vAlign w:val="center"/>
          </w:tcPr>
          <w:p w:rsidR="00077566" w:rsidRPr="00074CA1" w:rsidRDefault="00077566" w:rsidP="00DA2056">
            <w:pPr>
              <w:pStyle w:val="NoSpacing"/>
              <w:jc w:val="center"/>
              <w:rPr>
                <w:rFonts w:asciiTheme="minorHAnsi" w:hAnsiTheme="minorHAnsi"/>
                <w:sz w:val="20"/>
              </w:rPr>
            </w:pPr>
            <w:r w:rsidRPr="00074CA1">
              <w:rPr>
                <w:rFonts w:asciiTheme="minorHAnsi" w:hAnsiTheme="minorHAnsi"/>
                <w:sz w:val="20"/>
              </w:rPr>
              <w:t>2.65±0.55</w:t>
            </w:r>
          </w:p>
        </w:tc>
        <w:tc>
          <w:tcPr>
            <w:tcW w:w="2126" w:type="dxa"/>
            <w:vAlign w:val="center"/>
          </w:tcPr>
          <w:p w:rsidR="00077566" w:rsidRPr="00074CA1" w:rsidRDefault="00077566" w:rsidP="00DA2056">
            <w:pPr>
              <w:pStyle w:val="NoSpacing"/>
              <w:jc w:val="center"/>
              <w:rPr>
                <w:rFonts w:asciiTheme="minorHAnsi" w:hAnsiTheme="minorHAnsi"/>
                <w:sz w:val="20"/>
              </w:rPr>
            </w:pPr>
            <w:r w:rsidRPr="00074CA1">
              <w:rPr>
                <w:rFonts w:asciiTheme="minorHAnsi" w:hAnsiTheme="minorHAnsi"/>
                <w:sz w:val="20"/>
              </w:rPr>
              <w:t>2.59±0.63</w:t>
            </w:r>
          </w:p>
        </w:tc>
        <w:tc>
          <w:tcPr>
            <w:tcW w:w="1843" w:type="dxa"/>
          </w:tcPr>
          <w:p w:rsidR="00077566" w:rsidRPr="00074CA1" w:rsidRDefault="00077566" w:rsidP="00DA2056">
            <w:pPr>
              <w:pStyle w:val="NoSpacing"/>
              <w:jc w:val="center"/>
              <w:rPr>
                <w:rFonts w:asciiTheme="minorHAnsi" w:hAnsiTheme="minorHAnsi"/>
                <w:sz w:val="20"/>
              </w:rPr>
            </w:pPr>
            <w:r w:rsidRPr="00074CA1">
              <w:rPr>
                <w:rFonts w:asciiTheme="minorHAnsi" w:hAnsiTheme="minorHAnsi"/>
                <w:sz w:val="20"/>
              </w:rPr>
              <w:t>0.617</w:t>
            </w:r>
          </w:p>
        </w:tc>
      </w:tr>
      <w:tr w:rsidR="00077566" w:rsidRPr="00CC039D" w:rsidTr="00DA2056">
        <w:tc>
          <w:tcPr>
            <w:tcW w:w="4706" w:type="dxa"/>
            <w:vAlign w:val="center"/>
          </w:tcPr>
          <w:p w:rsidR="00077566" w:rsidRPr="00074CA1" w:rsidRDefault="00077566" w:rsidP="00DA2056">
            <w:pPr>
              <w:pStyle w:val="NoSpacing"/>
              <w:rPr>
                <w:rFonts w:asciiTheme="minorHAnsi" w:hAnsiTheme="minorHAnsi"/>
                <w:sz w:val="20"/>
              </w:rPr>
            </w:pPr>
            <w:r w:rsidRPr="00074CA1">
              <w:rPr>
                <w:rFonts w:asciiTheme="minorHAnsi" w:hAnsiTheme="minorHAnsi"/>
                <w:sz w:val="20"/>
              </w:rPr>
              <w:t>LDL-c(mmol/l)</w:t>
            </w:r>
          </w:p>
        </w:tc>
        <w:tc>
          <w:tcPr>
            <w:tcW w:w="2025" w:type="dxa"/>
            <w:vAlign w:val="center"/>
          </w:tcPr>
          <w:p w:rsidR="00077566" w:rsidRPr="00074CA1" w:rsidRDefault="00077566" w:rsidP="00DA2056">
            <w:pPr>
              <w:pStyle w:val="NoSpacing"/>
              <w:jc w:val="center"/>
              <w:rPr>
                <w:rFonts w:asciiTheme="minorHAnsi" w:hAnsiTheme="minorHAnsi"/>
                <w:sz w:val="20"/>
              </w:rPr>
            </w:pPr>
            <w:r w:rsidRPr="00074CA1">
              <w:rPr>
                <w:rFonts w:asciiTheme="minorHAnsi" w:hAnsiTheme="minorHAnsi"/>
                <w:sz w:val="20"/>
              </w:rPr>
              <w:t>2.23±0.51</w:t>
            </w:r>
          </w:p>
        </w:tc>
        <w:tc>
          <w:tcPr>
            <w:tcW w:w="2126" w:type="dxa"/>
            <w:vAlign w:val="center"/>
          </w:tcPr>
          <w:p w:rsidR="00077566" w:rsidRPr="00074CA1" w:rsidRDefault="00077566" w:rsidP="00DA2056">
            <w:pPr>
              <w:pStyle w:val="NoSpacing"/>
              <w:jc w:val="center"/>
              <w:rPr>
                <w:rFonts w:asciiTheme="minorHAnsi" w:hAnsiTheme="minorHAnsi"/>
                <w:sz w:val="20"/>
              </w:rPr>
            </w:pPr>
            <w:r w:rsidRPr="00074CA1">
              <w:rPr>
                <w:rFonts w:asciiTheme="minorHAnsi" w:hAnsiTheme="minorHAnsi"/>
                <w:sz w:val="20"/>
              </w:rPr>
              <w:t>2.20±0.58</w:t>
            </w:r>
          </w:p>
        </w:tc>
        <w:tc>
          <w:tcPr>
            <w:tcW w:w="1843" w:type="dxa"/>
          </w:tcPr>
          <w:p w:rsidR="00077566" w:rsidRPr="00074CA1" w:rsidRDefault="00077566" w:rsidP="00DA2056">
            <w:pPr>
              <w:pStyle w:val="NoSpacing"/>
              <w:jc w:val="center"/>
              <w:rPr>
                <w:rFonts w:asciiTheme="minorHAnsi" w:hAnsiTheme="minorHAnsi"/>
                <w:sz w:val="20"/>
              </w:rPr>
            </w:pPr>
            <w:r w:rsidRPr="00074CA1">
              <w:rPr>
                <w:rFonts w:asciiTheme="minorHAnsi" w:hAnsiTheme="minorHAnsi"/>
                <w:sz w:val="20"/>
              </w:rPr>
              <w:t>0.743</w:t>
            </w:r>
          </w:p>
        </w:tc>
      </w:tr>
      <w:tr w:rsidR="00077566" w:rsidRPr="00CC039D" w:rsidTr="00DA2056">
        <w:tc>
          <w:tcPr>
            <w:tcW w:w="4706" w:type="dxa"/>
            <w:vAlign w:val="center"/>
          </w:tcPr>
          <w:p w:rsidR="00077566" w:rsidRPr="00074CA1" w:rsidRDefault="00077566" w:rsidP="00DA2056">
            <w:pPr>
              <w:pStyle w:val="NoSpacing"/>
              <w:rPr>
                <w:rFonts w:asciiTheme="minorHAnsi" w:hAnsiTheme="minorHAnsi"/>
                <w:sz w:val="20"/>
              </w:rPr>
            </w:pPr>
            <w:r w:rsidRPr="00074CA1">
              <w:rPr>
                <w:rFonts w:asciiTheme="minorHAnsi" w:hAnsiTheme="minorHAnsi"/>
                <w:sz w:val="20"/>
              </w:rPr>
              <w:t>Triglycerides(mmol/l)</w:t>
            </w:r>
          </w:p>
        </w:tc>
        <w:tc>
          <w:tcPr>
            <w:tcW w:w="2025" w:type="dxa"/>
            <w:vAlign w:val="center"/>
          </w:tcPr>
          <w:p w:rsidR="00077566" w:rsidRPr="00074CA1" w:rsidRDefault="00077566" w:rsidP="00DA2056">
            <w:pPr>
              <w:pStyle w:val="NoSpacing"/>
              <w:jc w:val="center"/>
              <w:rPr>
                <w:rFonts w:asciiTheme="minorHAnsi" w:hAnsiTheme="minorHAnsi"/>
                <w:sz w:val="20"/>
              </w:rPr>
            </w:pPr>
            <w:r w:rsidRPr="00074CA1">
              <w:rPr>
                <w:rFonts w:asciiTheme="minorHAnsi" w:hAnsiTheme="minorHAnsi"/>
                <w:sz w:val="20"/>
              </w:rPr>
              <w:t>0.75(0.63–1.31)</w:t>
            </w:r>
          </w:p>
        </w:tc>
        <w:tc>
          <w:tcPr>
            <w:tcW w:w="2126" w:type="dxa"/>
            <w:vAlign w:val="center"/>
          </w:tcPr>
          <w:p w:rsidR="00077566" w:rsidRPr="00074CA1" w:rsidRDefault="00077566" w:rsidP="00DA2056">
            <w:pPr>
              <w:pStyle w:val="NoSpacing"/>
              <w:jc w:val="center"/>
              <w:rPr>
                <w:rFonts w:asciiTheme="minorHAnsi" w:hAnsiTheme="minorHAnsi"/>
                <w:sz w:val="20"/>
              </w:rPr>
            </w:pPr>
            <w:r w:rsidRPr="00074CA1">
              <w:rPr>
                <w:rFonts w:asciiTheme="minorHAnsi" w:hAnsiTheme="minorHAnsi"/>
                <w:sz w:val="20"/>
              </w:rPr>
              <w:t>0.78(0.62–0.95)</w:t>
            </w:r>
          </w:p>
        </w:tc>
        <w:tc>
          <w:tcPr>
            <w:tcW w:w="1843" w:type="dxa"/>
          </w:tcPr>
          <w:p w:rsidR="00077566" w:rsidRPr="00074CA1" w:rsidRDefault="00077566" w:rsidP="00DA2056">
            <w:pPr>
              <w:pStyle w:val="NoSpacing"/>
              <w:jc w:val="center"/>
              <w:rPr>
                <w:rFonts w:asciiTheme="minorHAnsi" w:hAnsiTheme="minorHAnsi"/>
                <w:sz w:val="20"/>
              </w:rPr>
            </w:pPr>
            <w:r w:rsidRPr="00074CA1">
              <w:rPr>
                <w:rFonts w:asciiTheme="minorHAnsi" w:hAnsiTheme="minorHAnsi"/>
                <w:sz w:val="20"/>
              </w:rPr>
              <w:t>0.422</w:t>
            </w:r>
          </w:p>
        </w:tc>
      </w:tr>
      <w:tr w:rsidR="00077566" w:rsidRPr="00CC039D" w:rsidTr="00DA2056">
        <w:tc>
          <w:tcPr>
            <w:tcW w:w="4706" w:type="dxa"/>
            <w:vAlign w:val="center"/>
          </w:tcPr>
          <w:p w:rsidR="00077566" w:rsidRPr="00074CA1" w:rsidRDefault="00077566" w:rsidP="00DA2056">
            <w:pPr>
              <w:pStyle w:val="NoSpacing"/>
              <w:rPr>
                <w:rFonts w:asciiTheme="minorHAnsi" w:hAnsiTheme="minorHAnsi"/>
                <w:sz w:val="20"/>
              </w:rPr>
            </w:pPr>
          </w:p>
        </w:tc>
        <w:tc>
          <w:tcPr>
            <w:tcW w:w="2025" w:type="dxa"/>
            <w:vAlign w:val="center"/>
          </w:tcPr>
          <w:p w:rsidR="00077566" w:rsidRPr="00074CA1" w:rsidRDefault="00077566" w:rsidP="00DA2056">
            <w:pPr>
              <w:pStyle w:val="NoSpacing"/>
              <w:jc w:val="center"/>
              <w:rPr>
                <w:rFonts w:asciiTheme="minorHAnsi" w:hAnsiTheme="minorHAnsi"/>
                <w:sz w:val="20"/>
              </w:rPr>
            </w:pPr>
          </w:p>
        </w:tc>
        <w:tc>
          <w:tcPr>
            <w:tcW w:w="2126" w:type="dxa"/>
            <w:vAlign w:val="center"/>
          </w:tcPr>
          <w:p w:rsidR="00077566" w:rsidRPr="00074CA1" w:rsidRDefault="00077566" w:rsidP="00DA2056">
            <w:pPr>
              <w:pStyle w:val="NoSpacing"/>
              <w:jc w:val="center"/>
              <w:rPr>
                <w:rFonts w:asciiTheme="minorHAnsi" w:hAnsiTheme="minorHAnsi"/>
                <w:sz w:val="20"/>
              </w:rPr>
            </w:pPr>
          </w:p>
        </w:tc>
        <w:tc>
          <w:tcPr>
            <w:tcW w:w="1843" w:type="dxa"/>
          </w:tcPr>
          <w:p w:rsidR="00077566" w:rsidRPr="00074CA1" w:rsidRDefault="00077566" w:rsidP="00DA2056">
            <w:pPr>
              <w:pStyle w:val="NoSpacing"/>
              <w:jc w:val="center"/>
              <w:rPr>
                <w:rFonts w:asciiTheme="minorHAnsi" w:hAnsiTheme="minorHAnsi"/>
                <w:sz w:val="20"/>
              </w:rPr>
            </w:pPr>
          </w:p>
        </w:tc>
      </w:tr>
      <w:tr w:rsidR="00077566" w:rsidRPr="00CC039D" w:rsidTr="00DA2056">
        <w:tc>
          <w:tcPr>
            <w:tcW w:w="4706" w:type="dxa"/>
            <w:vAlign w:val="center"/>
          </w:tcPr>
          <w:p w:rsidR="00077566" w:rsidRPr="00074CA1" w:rsidRDefault="00077566" w:rsidP="00DA2056">
            <w:pPr>
              <w:pStyle w:val="NoSpacing"/>
              <w:rPr>
                <w:rFonts w:asciiTheme="minorHAnsi" w:hAnsiTheme="minorHAnsi"/>
                <w:b/>
                <w:i/>
                <w:sz w:val="20"/>
              </w:rPr>
            </w:pPr>
            <w:r w:rsidRPr="00074CA1">
              <w:rPr>
                <w:rFonts w:asciiTheme="minorHAnsi" w:hAnsiTheme="minorHAnsi"/>
                <w:b/>
                <w:i/>
                <w:sz w:val="20"/>
              </w:rPr>
              <w:t>HDL Function</w:t>
            </w:r>
          </w:p>
        </w:tc>
        <w:tc>
          <w:tcPr>
            <w:tcW w:w="2025" w:type="dxa"/>
            <w:vAlign w:val="center"/>
          </w:tcPr>
          <w:p w:rsidR="00077566" w:rsidRPr="00074CA1" w:rsidRDefault="00077566" w:rsidP="00DA2056">
            <w:pPr>
              <w:pStyle w:val="NoSpacing"/>
              <w:jc w:val="center"/>
              <w:rPr>
                <w:rFonts w:asciiTheme="minorHAnsi" w:hAnsiTheme="minorHAnsi"/>
                <w:sz w:val="20"/>
              </w:rPr>
            </w:pPr>
          </w:p>
        </w:tc>
        <w:tc>
          <w:tcPr>
            <w:tcW w:w="2126" w:type="dxa"/>
            <w:vAlign w:val="center"/>
          </w:tcPr>
          <w:p w:rsidR="00077566" w:rsidRPr="00074CA1" w:rsidRDefault="00077566" w:rsidP="00DA2056">
            <w:pPr>
              <w:pStyle w:val="NoSpacing"/>
              <w:jc w:val="center"/>
              <w:rPr>
                <w:rFonts w:asciiTheme="minorHAnsi" w:hAnsiTheme="minorHAnsi"/>
                <w:sz w:val="20"/>
              </w:rPr>
            </w:pPr>
          </w:p>
        </w:tc>
        <w:tc>
          <w:tcPr>
            <w:tcW w:w="1843" w:type="dxa"/>
          </w:tcPr>
          <w:p w:rsidR="00077566" w:rsidRPr="00074CA1" w:rsidRDefault="00077566" w:rsidP="00DA2056">
            <w:pPr>
              <w:pStyle w:val="NoSpacing"/>
              <w:jc w:val="center"/>
              <w:rPr>
                <w:rFonts w:asciiTheme="minorHAnsi" w:hAnsiTheme="minorHAnsi"/>
                <w:sz w:val="20"/>
              </w:rPr>
            </w:pPr>
          </w:p>
        </w:tc>
      </w:tr>
      <w:tr w:rsidR="00077566" w:rsidRPr="00CC039D" w:rsidTr="00DA2056">
        <w:tc>
          <w:tcPr>
            <w:tcW w:w="4706" w:type="dxa"/>
            <w:vAlign w:val="center"/>
          </w:tcPr>
          <w:p w:rsidR="00077566" w:rsidRPr="00074CA1" w:rsidRDefault="00077566" w:rsidP="00DA2056">
            <w:pPr>
              <w:pStyle w:val="NoSpacing"/>
              <w:rPr>
                <w:rFonts w:asciiTheme="minorHAnsi" w:hAnsiTheme="minorHAnsi"/>
                <w:sz w:val="20"/>
              </w:rPr>
            </w:pPr>
            <w:r w:rsidRPr="00074CA1">
              <w:rPr>
                <w:rFonts w:asciiTheme="minorHAnsi" w:hAnsiTheme="minorHAnsi"/>
                <w:sz w:val="20"/>
              </w:rPr>
              <w:t>NO Bioavailability(% change from buffer-treated cells)</w:t>
            </w:r>
          </w:p>
        </w:tc>
        <w:tc>
          <w:tcPr>
            <w:tcW w:w="2025" w:type="dxa"/>
            <w:vAlign w:val="center"/>
          </w:tcPr>
          <w:p w:rsidR="00077566" w:rsidRPr="00074CA1" w:rsidRDefault="00077566" w:rsidP="00DA2056">
            <w:pPr>
              <w:pStyle w:val="NoSpacing"/>
              <w:jc w:val="center"/>
              <w:rPr>
                <w:rFonts w:asciiTheme="minorHAnsi" w:hAnsiTheme="minorHAnsi"/>
                <w:sz w:val="20"/>
              </w:rPr>
            </w:pPr>
            <w:r w:rsidRPr="00074CA1">
              <w:rPr>
                <w:rFonts w:asciiTheme="minorHAnsi" w:hAnsiTheme="minorHAnsi"/>
                <w:sz w:val="20"/>
              </w:rPr>
              <w:t>38.0±8.9</w:t>
            </w:r>
          </w:p>
        </w:tc>
        <w:tc>
          <w:tcPr>
            <w:tcW w:w="2126" w:type="dxa"/>
            <w:vAlign w:val="center"/>
          </w:tcPr>
          <w:p w:rsidR="00077566" w:rsidRPr="00074CA1" w:rsidRDefault="00077566" w:rsidP="00DA2056">
            <w:pPr>
              <w:pStyle w:val="NoSpacing"/>
              <w:jc w:val="center"/>
              <w:rPr>
                <w:rFonts w:asciiTheme="minorHAnsi" w:hAnsiTheme="minorHAnsi"/>
                <w:sz w:val="20"/>
              </w:rPr>
            </w:pPr>
            <w:r w:rsidRPr="00074CA1">
              <w:rPr>
                <w:rFonts w:asciiTheme="minorHAnsi" w:hAnsiTheme="minorHAnsi"/>
                <w:sz w:val="20"/>
              </w:rPr>
              <w:t>29.5±8.5</w:t>
            </w:r>
          </w:p>
        </w:tc>
        <w:tc>
          <w:tcPr>
            <w:tcW w:w="1843" w:type="dxa"/>
          </w:tcPr>
          <w:p w:rsidR="00077566" w:rsidRPr="00074CA1" w:rsidRDefault="00077566" w:rsidP="00DA2056">
            <w:pPr>
              <w:pStyle w:val="NoSpacing"/>
              <w:jc w:val="center"/>
              <w:rPr>
                <w:rFonts w:asciiTheme="minorHAnsi" w:hAnsiTheme="minorHAnsi"/>
                <w:b/>
                <w:sz w:val="20"/>
              </w:rPr>
            </w:pPr>
            <w:r w:rsidRPr="00074CA1">
              <w:rPr>
                <w:rFonts w:asciiTheme="minorHAnsi" w:hAnsiTheme="minorHAnsi"/>
                <w:b/>
                <w:sz w:val="20"/>
              </w:rPr>
              <w:t>&lt;0.001</w:t>
            </w:r>
          </w:p>
        </w:tc>
      </w:tr>
      <w:tr w:rsidR="00077566" w:rsidRPr="00CC039D" w:rsidTr="00DA2056">
        <w:tc>
          <w:tcPr>
            <w:tcW w:w="4706" w:type="dxa"/>
            <w:vAlign w:val="center"/>
          </w:tcPr>
          <w:p w:rsidR="00077566" w:rsidRPr="00074CA1" w:rsidRDefault="00077566" w:rsidP="00DA2056">
            <w:pPr>
              <w:pStyle w:val="NoSpacing"/>
              <w:rPr>
                <w:rFonts w:asciiTheme="minorHAnsi" w:hAnsiTheme="minorHAnsi"/>
                <w:sz w:val="20"/>
              </w:rPr>
            </w:pPr>
            <w:r w:rsidRPr="00074CA1">
              <w:rPr>
                <w:rFonts w:asciiTheme="minorHAnsi" w:hAnsiTheme="minorHAnsi"/>
                <w:sz w:val="20"/>
              </w:rPr>
              <w:t>SO Production(nmol O</w:t>
            </w:r>
            <w:r w:rsidRPr="00074CA1">
              <w:rPr>
                <w:rFonts w:asciiTheme="minorHAnsi" w:hAnsiTheme="minorHAnsi"/>
                <w:sz w:val="20"/>
                <w:vertAlign w:val="subscript"/>
              </w:rPr>
              <w:t>2</w:t>
            </w:r>
            <w:r w:rsidRPr="00074CA1">
              <w:rPr>
                <w:rFonts w:asciiTheme="minorHAnsi" w:hAnsiTheme="minorHAnsi"/>
                <w:sz w:val="20"/>
              </w:rPr>
              <w:t xml:space="preserve"> per 250,000 cells)</w:t>
            </w:r>
          </w:p>
        </w:tc>
        <w:tc>
          <w:tcPr>
            <w:tcW w:w="2025" w:type="dxa"/>
            <w:vAlign w:val="center"/>
          </w:tcPr>
          <w:p w:rsidR="00077566" w:rsidRPr="00074CA1" w:rsidRDefault="00077566" w:rsidP="00DA2056">
            <w:pPr>
              <w:pStyle w:val="NoSpacing"/>
              <w:jc w:val="center"/>
              <w:rPr>
                <w:rFonts w:asciiTheme="minorHAnsi" w:hAnsiTheme="minorHAnsi"/>
                <w:sz w:val="20"/>
              </w:rPr>
            </w:pPr>
            <w:r w:rsidRPr="00074CA1">
              <w:rPr>
                <w:rFonts w:asciiTheme="minorHAnsi" w:hAnsiTheme="minorHAnsi"/>
                <w:sz w:val="20"/>
              </w:rPr>
              <w:t>1.91±2.46</w:t>
            </w:r>
          </w:p>
        </w:tc>
        <w:tc>
          <w:tcPr>
            <w:tcW w:w="2126" w:type="dxa"/>
            <w:vAlign w:val="center"/>
          </w:tcPr>
          <w:p w:rsidR="00077566" w:rsidRPr="00074CA1" w:rsidRDefault="00077566" w:rsidP="00DA2056">
            <w:pPr>
              <w:pStyle w:val="NoSpacing"/>
              <w:jc w:val="center"/>
              <w:rPr>
                <w:rFonts w:asciiTheme="minorHAnsi" w:hAnsiTheme="minorHAnsi"/>
                <w:sz w:val="20"/>
              </w:rPr>
            </w:pPr>
            <w:r w:rsidRPr="00074CA1">
              <w:rPr>
                <w:rFonts w:asciiTheme="minorHAnsi" w:hAnsiTheme="minorHAnsi"/>
                <w:sz w:val="20"/>
              </w:rPr>
              <w:t>2.86±3.59</w:t>
            </w:r>
          </w:p>
        </w:tc>
        <w:tc>
          <w:tcPr>
            <w:tcW w:w="1843" w:type="dxa"/>
          </w:tcPr>
          <w:p w:rsidR="00077566" w:rsidRPr="00074CA1" w:rsidRDefault="00077566" w:rsidP="00DA2056">
            <w:pPr>
              <w:pStyle w:val="NoSpacing"/>
              <w:jc w:val="center"/>
              <w:rPr>
                <w:rFonts w:asciiTheme="minorHAnsi" w:hAnsiTheme="minorHAnsi"/>
                <w:sz w:val="20"/>
              </w:rPr>
            </w:pPr>
            <w:r w:rsidRPr="00074CA1">
              <w:rPr>
                <w:rFonts w:asciiTheme="minorHAnsi" w:hAnsiTheme="minorHAnsi"/>
                <w:sz w:val="20"/>
              </w:rPr>
              <w:t>0.140</w:t>
            </w:r>
          </w:p>
        </w:tc>
      </w:tr>
      <w:tr w:rsidR="00077566" w:rsidRPr="00CC039D" w:rsidTr="00DA2056">
        <w:tc>
          <w:tcPr>
            <w:tcW w:w="4706" w:type="dxa"/>
            <w:vAlign w:val="center"/>
          </w:tcPr>
          <w:p w:rsidR="00077566" w:rsidRPr="00074CA1" w:rsidRDefault="00077566" w:rsidP="00DA2056">
            <w:pPr>
              <w:pStyle w:val="NoSpacing"/>
              <w:rPr>
                <w:rFonts w:asciiTheme="minorHAnsi" w:hAnsiTheme="minorHAnsi"/>
                <w:sz w:val="20"/>
              </w:rPr>
            </w:pPr>
            <w:r w:rsidRPr="00074CA1">
              <w:rPr>
                <w:rFonts w:asciiTheme="minorHAnsi" w:hAnsiTheme="minorHAnsi"/>
                <w:sz w:val="20"/>
              </w:rPr>
              <w:t>PON-1 Activity(µMol P-Nitrophenol/L/serum/min)</w:t>
            </w:r>
          </w:p>
        </w:tc>
        <w:tc>
          <w:tcPr>
            <w:tcW w:w="2025" w:type="dxa"/>
            <w:vAlign w:val="center"/>
          </w:tcPr>
          <w:p w:rsidR="00077566" w:rsidRPr="00074CA1" w:rsidRDefault="00077566" w:rsidP="00DA2056">
            <w:pPr>
              <w:pStyle w:val="NoSpacing"/>
              <w:jc w:val="center"/>
              <w:rPr>
                <w:rFonts w:asciiTheme="minorHAnsi" w:hAnsiTheme="minorHAnsi"/>
                <w:sz w:val="20"/>
              </w:rPr>
            </w:pPr>
            <w:r w:rsidRPr="00074CA1">
              <w:rPr>
                <w:rFonts w:ascii="Calibri" w:hAnsi="Calibri"/>
                <w:sz w:val="20"/>
              </w:rPr>
              <w:t>671(418–923)</w:t>
            </w:r>
          </w:p>
        </w:tc>
        <w:tc>
          <w:tcPr>
            <w:tcW w:w="2126" w:type="dxa"/>
            <w:vAlign w:val="center"/>
          </w:tcPr>
          <w:p w:rsidR="00077566" w:rsidRPr="00074CA1" w:rsidRDefault="00077566" w:rsidP="00DA2056">
            <w:pPr>
              <w:pStyle w:val="NoSpacing"/>
              <w:jc w:val="center"/>
              <w:rPr>
                <w:rFonts w:asciiTheme="minorHAnsi" w:hAnsiTheme="minorHAnsi"/>
                <w:sz w:val="20"/>
              </w:rPr>
            </w:pPr>
            <w:r w:rsidRPr="00074CA1">
              <w:rPr>
                <w:rFonts w:ascii="Calibri" w:hAnsi="Calibri"/>
                <w:sz w:val="20"/>
              </w:rPr>
              <w:t>472(213–799)</w:t>
            </w:r>
          </w:p>
        </w:tc>
        <w:tc>
          <w:tcPr>
            <w:tcW w:w="1843" w:type="dxa"/>
          </w:tcPr>
          <w:p w:rsidR="00077566" w:rsidRPr="00074CA1" w:rsidRDefault="00077566" w:rsidP="00DA2056">
            <w:pPr>
              <w:pStyle w:val="NoSpacing"/>
              <w:jc w:val="center"/>
              <w:rPr>
                <w:rFonts w:asciiTheme="minorHAnsi" w:hAnsiTheme="minorHAnsi"/>
                <w:b/>
                <w:sz w:val="20"/>
              </w:rPr>
            </w:pPr>
            <w:r w:rsidRPr="00074CA1">
              <w:rPr>
                <w:rFonts w:asciiTheme="minorHAnsi" w:hAnsiTheme="minorHAnsi"/>
                <w:b/>
                <w:sz w:val="20"/>
              </w:rPr>
              <w:t>0.045</w:t>
            </w:r>
          </w:p>
        </w:tc>
      </w:tr>
      <w:tr w:rsidR="00077566" w:rsidRPr="00CC039D" w:rsidTr="00DA2056">
        <w:trPr>
          <w:trHeight w:val="85"/>
        </w:trPr>
        <w:tc>
          <w:tcPr>
            <w:tcW w:w="4706" w:type="dxa"/>
            <w:vAlign w:val="center"/>
          </w:tcPr>
          <w:p w:rsidR="00077566" w:rsidRPr="00074CA1" w:rsidRDefault="00077566" w:rsidP="00DA2056">
            <w:pPr>
              <w:pStyle w:val="NoSpacing"/>
              <w:rPr>
                <w:rFonts w:asciiTheme="minorHAnsi" w:hAnsiTheme="minorHAnsi"/>
                <w:sz w:val="20"/>
              </w:rPr>
            </w:pPr>
          </w:p>
        </w:tc>
        <w:tc>
          <w:tcPr>
            <w:tcW w:w="2025" w:type="dxa"/>
            <w:vAlign w:val="center"/>
          </w:tcPr>
          <w:p w:rsidR="00077566" w:rsidRPr="00074CA1" w:rsidRDefault="00077566" w:rsidP="00DA2056">
            <w:pPr>
              <w:pStyle w:val="NoSpacing"/>
              <w:jc w:val="center"/>
              <w:rPr>
                <w:rFonts w:asciiTheme="minorHAnsi" w:hAnsiTheme="minorHAnsi"/>
                <w:sz w:val="20"/>
              </w:rPr>
            </w:pPr>
          </w:p>
        </w:tc>
        <w:tc>
          <w:tcPr>
            <w:tcW w:w="2126" w:type="dxa"/>
            <w:vAlign w:val="center"/>
          </w:tcPr>
          <w:p w:rsidR="00077566" w:rsidRPr="00074CA1" w:rsidRDefault="00077566" w:rsidP="00DA2056">
            <w:pPr>
              <w:pStyle w:val="NoSpacing"/>
              <w:jc w:val="center"/>
              <w:rPr>
                <w:rFonts w:asciiTheme="minorHAnsi" w:hAnsiTheme="minorHAnsi"/>
                <w:sz w:val="20"/>
              </w:rPr>
            </w:pPr>
          </w:p>
        </w:tc>
        <w:tc>
          <w:tcPr>
            <w:tcW w:w="1843" w:type="dxa"/>
          </w:tcPr>
          <w:p w:rsidR="00077566" w:rsidRPr="00074CA1" w:rsidRDefault="00077566" w:rsidP="00DA2056">
            <w:pPr>
              <w:pStyle w:val="NoSpacing"/>
              <w:jc w:val="center"/>
              <w:rPr>
                <w:rFonts w:asciiTheme="minorHAnsi" w:hAnsiTheme="minorHAnsi"/>
                <w:sz w:val="20"/>
              </w:rPr>
            </w:pPr>
          </w:p>
        </w:tc>
      </w:tr>
      <w:tr w:rsidR="00077566" w:rsidRPr="00CC039D" w:rsidTr="00DA2056">
        <w:trPr>
          <w:trHeight w:val="85"/>
        </w:trPr>
        <w:tc>
          <w:tcPr>
            <w:tcW w:w="4706" w:type="dxa"/>
            <w:vAlign w:val="center"/>
          </w:tcPr>
          <w:p w:rsidR="00077566" w:rsidRPr="00074CA1" w:rsidRDefault="00077566" w:rsidP="00DA2056">
            <w:pPr>
              <w:pStyle w:val="NoSpacing"/>
              <w:rPr>
                <w:rFonts w:asciiTheme="minorHAnsi" w:hAnsiTheme="minorHAnsi"/>
                <w:b/>
                <w:i/>
                <w:sz w:val="20"/>
              </w:rPr>
            </w:pPr>
            <w:r w:rsidRPr="00074CA1">
              <w:rPr>
                <w:rFonts w:asciiTheme="minorHAnsi" w:hAnsiTheme="minorHAnsi"/>
                <w:b/>
                <w:i/>
                <w:sz w:val="20"/>
              </w:rPr>
              <w:t>Endothelial Function</w:t>
            </w:r>
          </w:p>
        </w:tc>
        <w:tc>
          <w:tcPr>
            <w:tcW w:w="2025" w:type="dxa"/>
            <w:vAlign w:val="center"/>
          </w:tcPr>
          <w:p w:rsidR="00077566" w:rsidRPr="00074CA1" w:rsidRDefault="00077566" w:rsidP="00DA2056">
            <w:pPr>
              <w:pStyle w:val="NoSpacing"/>
              <w:jc w:val="center"/>
              <w:rPr>
                <w:rFonts w:asciiTheme="minorHAnsi" w:hAnsiTheme="minorHAnsi"/>
                <w:sz w:val="20"/>
              </w:rPr>
            </w:pPr>
          </w:p>
        </w:tc>
        <w:tc>
          <w:tcPr>
            <w:tcW w:w="2126" w:type="dxa"/>
            <w:vAlign w:val="center"/>
          </w:tcPr>
          <w:p w:rsidR="00077566" w:rsidRPr="00074CA1" w:rsidRDefault="00077566" w:rsidP="00DA2056">
            <w:pPr>
              <w:pStyle w:val="NoSpacing"/>
              <w:jc w:val="center"/>
              <w:rPr>
                <w:rFonts w:asciiTheme="minorHAnsi" w:hAnsiTheme="minorHAnsi"/>
                <w:sz w:val="20"/>
              </w:rPr>
            </w:pPr>
          </w:p>
        </w:tc>
        <w:tc>
          <w:tcPr>
            <w:tcW w:w="1843" w:type="dxa"/>
          </w:tcPr>
          <w:p w:rsidR="00077566" w:rsidRPr="00074CA1" w:rsidRDefault="00077566" w:rsidP="00DA2056">
            <w:pPr>
              <w:pStyle w:val="NoSpacing"/>
              <w:jc w:val="center"/>
              <w:rPr>
                <w:rFonts w:asciiTheme="minorHAnsi" w:hAnsiTheme="minorHAnsi"/>
                <w:sz w:val="20"/>
              </w:rPr>
            </w:pPr>
          </w:p>
        </w:tc>
      </w:tr>
      <w:tr w:rsidR="00077566" w:rsidRPr="00CC039D" w:rsidTr="00DA2056">
        <w:trPr>
          <w:trHeight w:val="85"/>
        </w:trPr>
        <w:tc>
          <w:tcPr>
            <w:tcW w:w="4706" w:type="dxa"/>
            <w:vAlign w:val="center"/>
          </w:tcPr>
          <w:p w:rsidR="00077566" w:rsidRPr="00074CA1" w:rsidRDefault="00077566" w:rsidP="00DA2056">
            <w:pPr>
              <w:pStyle w:val="NoSpacing"/>
              <w:rPr>
                <w:rFonts w:asciiTheme="minorHAnsi" w:hAnsiTheme="minorHAnsi"/>
                <w:sz w:val="20"/>
              </w:rPr>
            </w:pPr>
            <w:r w:rsidRPr="00074CA1">
              <w:rPr>
                <w:rFonts w:asciiTheme="minorHAnsi" w:hAnsiTheme="minorHAnsi"/>
                <w:sz w:val="20"/>
              </w:rPr>
              <w:t>FMD(%)</w:t>
            </w:r>
          </w:p>
        </w:tc>
        <w:tc>
          <w:tcPr>
            <w:tcW w:w="2025" w:type="dxa"/>
            <w:vAlign w:val="center"/>
          </w:tcPr>
          <w:p w:rsidR="00077566" w:rsidRPr="00074CA1" w:rsidRDefault="00077566" w:rsidP="00DA2056">
            <w:pPr>
              <w:pStyle w:val="NoSpacing"/>
              <w:jc w:val="center"/>
              <w:rPr>
                <w:rFonts w:asciiTheme="minorHAnsi" w:hAnsiTheme="minorHAnsi"/>
                <w:sz w:val="20"/>
              </w:rPr>
            </w:pPr>
            <w:r w:rsidRPr="00074CA1">
              <w:rPr>
                <w:rFonts w:asciiTheme="minorHAnsi" w:hAnsiTheme="minorHAnsi"/>
                <w:sz w:val="20"/>
              </w:rPr>
              <w:t>6.9</w:t>
            </w:r>
            <w:r w:rsidRPr="00074CA1">
              <w:rPr>
                <w:rFonts w:asciiTheme="minorHAnsi" w:hAnsiTheme="minorHAnsi" w:cs="Times New Roman"/>
                <w:sz w:val="20"/>
              </w:rPr>
              <w:t>±3.1</w:t>
            </w:r>
          </w:p>
        </w:tc>
        <w:tc>
          <w:tcPr>
            <w:tcW w:w="2126" w:type="dxa"/>
            <w:vAlign w:val="center"/>
          </w:tcPr>
          <w:p w:rsidR="00077566" w:rsidRPr="00074CA1" w:rsidRDefault="00077566" w:rsidP="00DA2056">
            <w:pPr>
              <w:pStyle w:val="NoSpacing"/>
              <w:jc w:val="center"/>
              <w:rPr>
                <w:rFonts w:asciiTheme="minorHAnsi" w:hAnsiTheme="minorHAnsi"/>
                <w:sz w:val="20"/>
              </w:rPr>
            </w:pPr>
            <w:r w:rsidRPr="00074CA1">
              <w:rPr>
                <w:rFonts w:asciiTheme="minorHAnsi" w:hAnsiTheme="minorHAnsi"/>
                <w:sz w:val="20"/>
              </w:rPr>
              <w:t>6.9</w:t>
            </w:r>
            <w:r w:rsidRPr="00074CA1">
              <w:rPr>
                <w:rFonts w:asciiTheme="minorHAnsi" w:hAnsiTheme="minorHAnsi" w:cs="Times New Roman"/>
                <w:sz w:val="20"/>
              </w:rPr>
              <w:t>±3.3</w:t>
            </w:r>
          </w:p>
        </w:tc>
        <w:tc>
          <w:tcPr>
            <w:tcW w:w="1843" w:type="dxa"/>
          </w:tcPr>
          <w:p w:rsidR="00077566" w:rsidRPr="00074CA1" w:rsidRDefault="00077566" w:rsidP="00DA2056">
            <w:pPr>
              <w:pStyle w:val="NoSpacing"/>
              <w:jc w:val="center"/>
              <w:rPr>
                <w:rFonts w:asciiTheme="minorHAnsi" w:hAnsiTheme="minorHAnsi"/>
                <w:sz w:val="20"/>
              </w:rPr>
            </w:pPr>
            <w:r w:rsidRPr="00074CA1">
              <w:rPr>
                <w:rFonts w:asciiTheme="minorHAnsi" w:hAnsiTheme="minorHAnsi"/>
                <w:sz w:val="20"/>
              </w:rPr>
              <w:t>0.996</w:t>
            </w:r>
          </w:p>
        </w:tc>
      </w:tr>
      <w:tr w:rsidR="00077566" w:rsidRPr="00CC039D" w:rsidTr="00DA2056">
        <w:trPr>
          <w:trHeight w:val="85"/>
        </w:trPr>
        <w:tc>
          <w:tcPr>
            <w:tcW w:w="4706" w:type="dxa"/>
            <w:vAlign w:val="center"/>
          </w:tcPr>
          <w:p w:rsidR="00077566" w:rsidRPr="00074CA1" w:rsidRDefault="00077566" w:rsidP="00DA2056">
            <w:pPr>
              <w:pStyle w:val="NoSpacing"/>
              <w:rPr>
                <w:rFonts w:asciiTheme="minorHAnsi" w:hAnsiTheme="minorHAnsi"/>
                <w:sz w:val="20"/>
              </w:rPr>
            </w:pPr>
          </w:p>
        </w:tc>
        <w:tc>
          <w:tcPr>
            <w:tcW w:w="2025" w:type="dxa"/>
            <w:vAlign w:val="center"/>
          </w:tcPr>
          <w:p w:rsidR="00077566" w:rsidRPr="00074CA1" w:rsidRDefault="00077566" w:rsidP="00DA2056">
            <w:pPr>
              <w:pStyle w:val="NoSpacing"/>
              <w:jc w:val="center"/>
              <w:rPr>
                <w:rFonts w:asciiTheme="minorHAnsi" w:hAnsiTheme="minorHAnsi"/>
                <w:sz w:val="20"/>
              </w:rPr>
            </w:pPr>
          </w:p>
        </w:tc>
        <w:tc>
          <w:tcPr>
            <w:tcW w:w="2126" w:type="dxa"/>
            <w:vAlign w:val="center"/>
          </w:tcPr>
          <w:p w:rsidR="00077566" w:rsidRPr="00074CA1" w:rsidRDefault="00077566" w:rsidP="00DA2056">
            <w:pPr>
              <w:pStyle w:val="NoSpacing"/>
              <w:jc w:val="center"/>
              <w:rPr>
                <w:rFonts w:asciiTheme="minorHAnsi" w:hAnsiTheme="minorHAnsi"/>
                <w:sz w:val="20"/>
              </w:rPr>
            </w:pPr>
          </w:p>
        </w:tc>
        <w:tc>
          <w:tcPr>
            <w:tcW w:w="1843" w:type="dxa"/>
          </w:tcPr>
          <w:p w:rsidR="00077566" w:rsidRPr="00074CA1" w:rsidRDefault="00077566" w:rsidP="00DA2056">
            <w:pPr>
              <w:pStyle w:val="NoSpacing"/>
              <w:jc w:val="center"/>
              <w:rPr>
                <w:rFonts w:asciiTheme="minorHAnsi" w:hAnsiTheme="minorHAnsi"/>
                <w:sz w:val="20"/>
              </w:rPr>
            </w:pPr>
          </w:p>
        </w:tc>
      </w:tr>
      <w:tr w:rsidR="00077566" w:rsidRPr="00CC039D" w:rsidTr="00DA2056">
        <w:tc>
          <w:tcPr>
            <w:tcW w:w="4706" w:type="dxa"/>
            <w:vAlign w:val="center"/>
          </w:tcPr>
          <w:p w:rsidR="00077566" w:rsidRPr="00074CA1" w:rsidRDefault="00077566" w:rsidP="00DA2056">
            <w:pPr>
              <w:pStyle w:val="NoSpacing"/>
              <w:rPr>
                <w:rFonts w:asciiTheme="minorHAnsi" w:hAnsiTheme="minorHAnsi"/>
                <w:b/>
                <w:i/>
                <w:sz w:val="20"/>
              </w:rPr>
            </w:pPr>
            <w:r w:rsidRPr="00074CA1">
              <w:rPr>
                <w:rFonts w:asciiTheme="minorHAnsi" w:hAnsiTheme="minorHAnsi"/>
                <w:b/>
                <w:i/>
                <w:sz w:val="20"/>
              </w:rPr>
              <w:t>Inflammatory Measures</w:t>
            </w:r>
          </w:p>
        </w:tc>
        <w:tc>
          <w:tcPr>
            <w:tcW w:w="2025" w:type="dxa"/>
            <w:vAlign w:val="center"/>
          </w:tcPr>
          <w:p w:rsidR="00077566" w:rsidRPr="00074CA1" w:rsidRDefault="00077566" w:rsidP="00DA2056">
            <w:pPr>
              <w:pStyle w:val="NoSpacing"/>
              <w:jc w:val="center"/>
              <w:rPr>
                <w:rFonts w:asciiTheme="minorHAnsi" w:hAnsiTheme="minorHAnsi"/>
                <w:sz w:val="20"/>
              </w:rPr>
            </w:pPr>
          </w:p>
        </w:tc>
        <w:tc>
          <w:tcPr>
            <w:tcW w:w="2126" w:type="dxa"/>
            <w:vAlign w:val="center"/>
          </w:tcPr>
          <w:p w:rsidR="00077566" w:rsidRPr="00074CA1" w:rsidRDefault="00077566" w:rsidP="00DA2056">
            <w:pPr>
              <w:pStyle w:val="NoSpacing"/>
              <w:jc w:val="center"/>
              <w:rPr>
                <w:rFonts w:asciiTheme="minorHAnsi" w:hAnsiTheme="minorHAnsi"/>
                <w:sz w:val="20"/>
              </w:rPr>
            </w:pPr>
          </w:p>
        </w:tc>
        <w:tc>
          <w:tcPr>
            <w:tcW w:w="1843" w:type="dxa"/>
          </w:tcPr>
          <w:p w:rsidR="00077566" w:rsidRPr="00074CA1" w:rsidRDefault="00077566" w:rsidP="00DA2056">
            <w:pPr>
              <w:pStyle w:val="NoSpacing"/>
              <w:jc w:val="center"/>
              <w:rPr>
                <w:rFonts w:asciiTheme="minorHAnsi" w:hAnsiTheme="minorHAnsi"/>
                <w:sz w:val="20"/>
              </w:rPr>
            </w:pPr>
          </w:p>
        </w:tc>
      </w:tr>
      <w:tr w:rsidR="00077566" w:rsidRPr="00CC039D" w:rsidTr="00DA2056">
        <w:tc>
          <w:tcPr>
            <w:tcW w:w="4706" w:type="dxa"/>
            <w:vAlign w:val="center"/>
          </w:tcPr>
          <w:p w:rsidR="00077566" w:rsidRPr="00074CA1" w:rsidRDefault="00077566" w:rsidP="00DA2056">
            <w:pPr>
              <w:pStyle w:val="NoSpacing"/>
              <w:rPr>
                <w:rFonts w:asciiTheme="minorHAnsi" w:hAnsiTheme="minorHAnsi"/>
                <w:sz w:val="20"/>
              </w:rPr>
            </w:pPr>
            <w:r w:rsidRPr="00074CA1">
              <w:rPr>
                <w:rFonts w:asciiTheme="minorHAnsi" w:hAnsiTheme="minorHAnsi"/>
                <w:sz w:val="20"/>
              </w:rPr>
              <w:t>EGF(pg/ml)</w:t>
            </w:r>
          </w:p>
        </w:tc>
        <w:tc>
          <w:tcPr>
            <w:tcW w:w="2025" w:type="dxa"/>
            <w:vAlign w:val="center"/>
          </w:tcPr>
          <w:p w:rsidR="00077566" w:rsidRPr="00074CA1" w:rsidRDefault="00077566" w:rsidP="00DA2056">
            <w:pPr>
              <w:pStyle w:val="NoSpacing"/>
              <w:jc w:val="center"/>
              <w:rPr>
                <w:rFonts w:asciiTheme="minorHAnsi" w:hAnsiTheme="minorHAnsi"/>
                <w:sz w:val="20"/>
              </w:rPr>
            </w:pPr>
            <w:r w:rsidRPr="00074CA1">
              <w:rPr>
                <w:rFonts w:asciiTheme="minorHAnsi" w:hAnsiTheme="minorHAnsi"/>
                <w:sz w:val="20"/>
              </w:rPr>
              <w:t>15.7(9.2–35.3)</w:t>
            </w:r>
          </w:p>
        </w:tc>
        <w:tc>
          <w:tcPr>
            <w:tcW w:w="2126" w:type="dxa"/>
            <w:vAlign w:val="center"/>
          </w:tcPr>
          <w:p w:rsidR="00077566" w:rsidRPr="00074CA1" w:rsidRDefault="00077566" w:rsidP="00DA2056">
            <w:pPr>
              <w:pStyle w:val="NoSpacing"/>
              <w:jc w:val="center"/>
              <w:rPr>
                <w:rFonts w:asciiTheme="minorHAnsi" w:hAnsiTheme="minorHAnsi"/>
                <w:sz w:val="20"/>
              </w:rPr>
            </w:pPr>
            <w:r w:rsidRPr="00074CA1">
              <w:rPr>
                <w:rFonts w:asciiTheme="minorHAnsi" w:hAnsiTheme="minorHAnsi"/>
                <w:sz w:val="20"/>
              </w:rPr>
              <w:t>24.8(14.1–52.6)</w:t>
            </w:r>
          </w:p>
        </w:tc>
        <w:tc>
          <w:tcPr>
            <w:tcW w:w="1843" w:type="dxa"/>
          </w:tcPr>
          <w:p w:rsidR="00077566" w:rsidRPr="00074CA1" w:rsidRDefault="00077566" w:rsidP="00DA2056">
            <w:pPr>
              <w:pStyle w:val="NoSpacing"/>
              <w:jc w:val="center"/>
              <w:rPr>
                <w:rFonts w:asciiTheme="minorHAnsi" w:hAnsiTheme="minorHAnsi"/>
                <w:b/>
                <w:sz w:val="20"/>
              </w:rPr>
            </w:pPr>
            <w:r w:rsidRPr="00074CA1">
              <w:rPr>
                <w:rFonts w:asciiTheme="minorHAnsi" w:hAnsiTheme="minorHAnsi"/>
                <w:b/>
                <w:sz w:val="20"/>
              </w:rPr>
              <w:t>0.031</w:t>
            </w:r>
          </w:p>
        </w:tc>
      </w:tr>
      <w:tr w:rsidR="00077566" w:rsidRPr="00CC039D" w:rsidTr="00DA2056">
        <w:tc>
          <w:tcPr>
            <w:tcW w:w="4706" w:type="dxa"/>
            <w:vAlign w:val="center"/>
          </w:tcPr>
          <w:p w:rsidR="00077566" w:rsidRPr="00074CA1" w:rsidRDefault="00077566" w:rsidP="00DA2056">
            <w:pPr>
              <w:pStyle w:val="NoSpacing"/>
              <w:rPr>
                <w:rFonts w:asciiTheme="minorHAnsi" w:hAnsiTheme="minorHAnsi"/>
                <w:sz w:val="20"/>
              </w:rPr>
            </w:pPr>
            <w:r w:rsidRPr="00074CA1">
              <w:rPr>
                <w:rFonts w:asciiTheme="minorHAnsi" w:hAnsiTheme="minorHAnsi"/>
                <w:sz w:val="20"/>
              </w:rPr>
              <w:t>GRO(pg/ml)</w:t>
            </w:r>
          </w:p>
        </w:tc>
        <w:tc>
          <w:tcPr>
            <w:tcW w:w="2025" w:type="dxa"/>
            <w:vAlign w:val="center"/>
          </w:tcPr>
          <w:p w:rsidR="00077566" w:rsidRPr="00074CA1" w:rsidRDefault="00077566" w:rsidP="00DA2056">
            <w:pPr>
              <w:pStyle w:val="NoSpacing"/>
              <w:jc w:val="center"/>
              <w:rPr>
                <w:rFonts w:asciiTheme="minorHAnsi" w:hAnsiTheme="minorHAnsi"/>
                <w:sz w:val="20"/>
              </w:rPr>
            </w:pPr>
            <w:r w:rsidRPr="00074CA1">
              <w:rPr>
                <w:rFonts w:asciiTheme="minorHAnsi" w:hAnsiTheme="minorHAnsi"/>
                <w:sz w:val="20"/>
              </w:rPr>
              <w:t>490(286–594)</w:t>
            </w:r>
          </w:p>
        </w:tc>
        <w:tc>
          <w:tcPr>
            <w:tcW w:w="2126" w:type="dxa"/>
            <w:vAlign w:val="center"/>
          </w:tcPr>
          <w:p w:rsidR="00077566" w:rsidRPr="00074CA1" w:rsidRDefault="00077566" w:rsidP="00DA2056">
            <w:pPr>
              <w:pStyle w:val="NoSpacing"/>
              <w:jc w:val="center"/>
              <w:rPr>
                <w:rFonts w:asciiTheme="minorHAnsi" w:hAnsiTheme="minorHAnsi"/>
                <w:sz w:val="20"/>
              </w:rPr>
            </w:pPr>
            <w:r w:rsidRPr="00074CA1">
              <w:rPr>
                <w:rFonts w:asciiTheme="minorHAnsi" w:hAnsiTheme="minorHAnsi"/>
                <w:sz w:val="20"/>
              </w:rPr>
              <w:t>535(378–765)</w:t>
            </w:r>
          </w:p>
        </w:tc>
        <w:tc>
          <w:tcPr>
            <w:tcW w:w="1843" w:type="dxa"/>
          </w:tcPr>
          <w:p w:rsidR="00077566" w:rsidRPr="00074CA1" w:rsidRDefault="00077566" w:rsidP="00DA2056">
            <w:pPr>
              <w:pStyle w:val="NoSpacing"/>
              <w:jc w:val="center"/>
              <w:rPr>
                <w:rFonts w:asciiTheme="minorHAnsi" w:hAnsiTheme="minorHAnsi"/>
                <w:b/>
                <w:sz w:val="20"/>
              </w:rPr>
            </w:pPr>
            <w:r w:rsidRPr="00074CA1">
              <w:rPr>
                <w:rFonts w:asciiTheme="minorHAnsi" w:hAnsiTheme="minorHAnsi"/>
                <w:b/>
                <w:sz w:val="20"/>
              </w:rPr>
              <w:t>0.037</w:t>
            </w:r>
          </w:p>
        </w:tc>
      </w:tr>
      <w:tr w:rsidR="00077566" w:rsidRPr="00CC039D" w:rsidTr="00DA2056">
        <w:tc>
          <w:tcPr>
            <w:tcW w:w="4706" w:type="dxa"/>
            <w:vAlign w:val="center"/>
          </w:tcPr>
          <w:p w:rsidR="00077566" w:rsidRPr="00074CA1" w:rsidRDefault="00077566" w:rsidP="00DA2056">
            <w:pPr>
              <w:pStyle w:val="NoSpacing"/>
              <w:rPr>
                <w:rFonts w:asciiTheme="minorHAnsi" w:hAnsiTheme="minorHAnsi"/>
                <w:sz w:val="20"/>
              </w:rPr>
            </w:pPr>
            <w:r w:rsidRPr="00074CA1">
              <w:rPr>
                <w:rFonts w:asciiTheme="minorHAnsi" w:hAnsiTheme="minorHAnsi"/>
                <w:sz w:val="20"/>
              </w:rPr>
              <w:t>PDGF-AA(ng/ml)</w:t>
            </w:r>
          </w:p>
        </w:tc>
        <w:tc>
          <w:tcPr>
            <w:tcW w:w="2025" w:type="dxa"/>
            <w:vAlign w:val="center"/>
          </w:tcPr>
          <w:p w:rsidR="00077566" w:rsidRPr="00074CA1" w:rsidRDefault="00077566" w:rsidP="00DA2056">
            <w:pPr>
              <w:pStyle w:val="NoSpacing"/>
              <w:jc w:val="center"/>
              <w:rPr>
                <w:rFonts w:asciiTheme="minorHAnsi" w:hAnsiTheme="minorHAnsi"/>
                <w:sz w:val="20"/>
              </w:rPr>
            </w:pPr>
            <w:r w:rsidRPr="00074CA1">
              <w:rPr>
                <w:rFonts w:asciiTheme="minorHAnsi" w:hAnsiTheme="minorHAnsi"/>
                <w:sz w:val="20"/>
              </w:rPr>
              <w:t>1035(752–1874)</w:t>
            </w:r>
          </w:p>
        </w:tc>
        <w:tc>
          <w:tcPr>
            <w:tcW w:w="2126" w:type="dxa"/>
            <w:vAlign w:val="center"/>
          </w:tcPr>
          <w:p w:rsidR="00077566" w:rsidRPr="00074CA1" w:rsidRDefault="00077566" w:rsidP="00DA2056">
            <w:pPr>
              <w:pStyle w:val="NoSpacing"/>
              <w:jc w:val="center"/>
              <w:rPr>
                <w:rFonts w:asciiTheme="minorHAnsi" w:hAnsiTheme="minorHAnsi"/>
                <w:sz w:val="20"/>
              </w:rPr>
            </w:pPr>
            <w:r w:rsidRPr="00074CA1">
              <w:rPr>
                <w:rFonts w:asciiTheme="minorHAnsi" w:hAnsiTheme="minorHAnsi"/>
                <w:sz w:val="20"/>
              </w:rPr>
              <w:t>1817(1078–2004)</w:t>
            </w:r>
          </w:p>
        </w:tc>
        <w:tc>
          <w:tcPr>
            <w:tcW w:w="1843" w:type="dxa"/>
          </w:tcPr>
          <w:p w:rsidR="00077566" w:rsidRPr="00074CA1" w:rsidRDefault="00077566" w:rsidP="00DA2056">
            <w:pPr>
              <w:pStyle w:val="NoSpacing"/>
              <w:jc w:val="center"/>
              <w:rPr>
                <w:rFonts w:asciiTheme="minorHAnsi" w:hAnsiTheme="minorHAnsi"/>
                <w:b/>
                <w:sz w:val="20"/>
              </w:rPr>
            </w:pPr>
            <w:r w:rsidRPr="00074CA1">
              <w:rPr>
                <w:rFonts w:asciiTheme="minorHAnsi" w:hAnsiTheme="minorHAnsi"/>
                <w:b/>
                <w:sz w:val="20"/>
              </w:rPr>
              <w:t>0.013</w:t>
            </w:r>
          </w:p>
        </w:tc>
      </w:tr>
      <w:tr w:rsidR="00077566" w:rsidRPr="00CC039D" w:rsidTr="00DA2056">
        <w:tc>
          <w:tcPr>
            <w:tcW w:w="4706" w:type="dxa"/>
            <w:vAlign w:val="center"/>
          </w:tcPr>
          <w:p w:rsidR="00077566" w:rsidRPr="00074CA1" w:rsidRDefault="00077566" w:rsidP="00DA2056">
            <w:pPr>
              <w:pStyle w:val="NoSpacing"/>
              <w:rPr>
                <w:rFonts w:asciiTheme="minorHAnsi" w:hAnsiTheme="minorHAnsi"/>
                <w:sz w:val="20"/>
              </w:rPr>
            </w:pPr>
            <w:r w:rsidRPr="00074CA1">
              <w:rPr>
                <w:rFonts w:asciiTheme="minorHAnsi" w:hAnsiTheme="minorHAnsi"/>
                <w:sz w:val="20"/>
              </w:rPr>
              <w:t>PDGF-BB(ng/ml)</w:t>
            </w:r>
          </w:p>
        </w:tc>
        <w:tc>
          <w:tcPr>
            <w:tcW w:w="2025" w:type="dxa"/>
            <w:vAlign w:val="center"/>
          </w:tcPr>
          <w:p w:rsidR="00077566" w:rsidRPr="00074CA1" w:rsidRDefault="00077566" w:rsidP="00DA2056">
            <w:pPr>
              <w:pStyle w:val="NoSpacing"/>
              <w:jc w:val="center"/>
              <w:rPr>
                <w:rFonts w:asciiTheme="minorHAnsi" w:hAnsiTheme="minorHAnsi"/>
                <w:sz w:val="20"/>
              </w:rPr>
            </w:pPr>
            <w:r w:rsidRPr="00074CA1">
              <w:rPr>
                <w:rFonts w:asciiTheme="minorHAnsi" w:hAnsiTheme="minorHAnsi"/>
                <w:sz w:val="20"/>
              </w:rPr>
              <w:t>8708(5633–10549)</w:t>
            </w:r>
          </w:p>
        </w:tc>
        <w:tc>
          <w:tcPr>
            <w:tcW w:w="2126" w:type="dxa"/>
            <w:vAlign w:val="center"/>
          </w:tcPr>
          <w:p w:rsidR="00077566" w:rsidRPr="00074CA1" w:rsidRDefault="00077566" w:rsidP="00DA2056">
            <w:pPr>
              <w:pStyle w:val="NoSpacing"/>
              <w:jc w:val="center"/>
              <w:rPr>
                <w:rFonts w:asciiTheme="minorHAnsi" w:hAnsiTheme="minorHAnsi"/>
                <w:sz w:val="20"/>
              </w:rPr>
            </w:pPr>
            <w:r w:rsidRPr="00074CA1">
              <w:rPr>
                <w:rFonts w:asciiTheme="minorHAnsi" w:hAnsiTheme="minorHAnsi"/>
                <w:sz w:val="20"/>
              </w:rPr>
              <w:t>9200(7693–10493)</w:t>
            </w:r>
          </w:p>
        </w:tc>
        <w:tc>
          <w:tcPr>
            <w:tcW w:w="1843" w:type="dxa"/>
          </w:tcPr>
          <w:p w:rsidR="00077566" w:rsidRPr="00074CA1" w:rsidRDefault="00077566" w:rsidP="00DA2056">
            <w:pPr>
              <w:pStyle w:val="NoSpacing"/>
              <w:jc w:val="center"/>
              <w:rPr>
                <w:rFonts w:asciiTheme="minorHAnsi" w:hAnsiTheme="minorHAnsi"/>
                <w:sz w:val="20"/>
              </w:rPr>
            </w:pPr>
            <w:r w:rsidRPr="00074CA1">
              <w:rPr>
                <w:rFonts w:asciiTheme="minorHAnsi" w:hAnsiTheme="minorHAnsi"/>
                <w:sz w:val="20"/>
              </w:rPr>
              <w:t>0.259</w:t>
            </w:r>
          </w:p>
        </w:tc>
      </w:tr>
      <w:tr w:rsidR="00077566" w:rsidRPr="00CC039D" w:rsidTr="00DA2056">
        <w:tc>
          <w:tcPr>
            <w:tcW w:w="4706" w:type="dxa"/>
            <w:vAlign w:val="center"/>
          </w:tcPr>
          <w:p w:rsidR="00077566" w:rsidRPr="00074CA1" w:rsidRDefault="00077566" w:rsidP="00DA2056">
            <w:pPr>
              <w:pStyle w:val="NoSpacing"/>
              <w:rPr>
                <w:rFonts w:asciiTheme="minorHAnsi" w:hAnsiTheme="minorHAnsi"/>
                <w:sz w:val="20"/>
              </w:rPr>
            </w:pPr>
            <w:r w:rsidRPr="00074CA1">
              <w:rPr>
                <w:rFonts w:asciiTheme="minorHAnsi" w:hAnsiTheme="minorHAnsi"/>
                <w:sz w:val="20"/>
              </w:rPr>
              <w:t>sCD40L(ng/ml)</w:t>
            </w:r>
          </w:p>
        </w:tc>
        <w:tc>
          <w:tcPr>
            <w:tcW w:w="2025" w:type="dxa"/>
            <w:vAlign w:val="center"/>
          </w:tcPr>
          <w:p w:rsidR="00077566" w:rsidRPr="00074CA1" w:rsidRDefault="00077566" w:rsidP="00DA2056">
            <w:pPr>
              <w:pStyle w:val="NoSpacing"/>
              <w:jc w:val="center"/>
              <w:rPr>
                <w:rFonts w:asciiTheme="minorHAnsi" w:hAnsiTheme="minorHAnsi"/>
                <w:sz w:val="20"/>
              </w:rPr>
            </w:pPr>
            <w:r w:rsidRPr="00074CA1">
              <w:rPr>
                <w:rFonts w:asciiTheme="minorHAnsi" w:hAnsiTheme="minorHAnsi"/>
                <w:sz w:val="20"/>
              </w:rPr>
              <w:t>3233(1441–6411)</w:t>
            </w:r>
          </w:p>
        </w:tc>
        <w:tc>
          <w:tcPr>
            <w:tcW w:w="2126" w:type="dxa"/>
            <w:vAlign w:val="center"/>
          </w:tcPr>
          <w:p w:rsidR="00077566" w:rsidRPr="00074CA1" w:rsidRDefault="00077566" w:rsidP="00DA2056">
            <w:pPr>
              <w:pStyle w:val="NoSpacing"/>
              <w:jc w:val="center"/>
              <w:rPr>
                <w:rFonts w:asciiTheme="minorHAnsi" w:hAnsiTheme="minorHAnsi"/>
                <w:sz w:val="20"/>
              </w:rPr>
            </w:pPr>
            <w:r w:rsidRPr="00074CA1">
              <w:rPr>
                <w:rFonts w:asciiTheme="minorHAnsi" w:hAnsiTheme="minorHAnsi"/>
                <w:sz w:val="20"/>
              </w:rPr>
              <w:t>6228(2478–15067)</w:t>
            </w:r>
          </w:p>
        </w:tc>
        <w:tc>
          <w:tcPr>
            <w:tcW w:w="1843" w:type="dxa"/>
          </w:tcPr>
          <w:p w:rsidR="00077566" w:rsidRPr="00074CA1" w:rsidRDefault="00077566" w:rsidP="00DA2056">
            <w:pPr>
              <w:pStyle w:val="NoSpacing"/>
              <w:jc w:val="center"/>
              <w:rPr>
                <w:rFonts w:asciiTheme="minorHAnsi" w:hAnsiTheme="minorHAnsi"/>
                <w:b/>
                <w:sz w:val="20"/>
              </w:rPr>
            </w:pPr>
            <w:r w:rsidRPr="00074CA1">
              <w:rPr>
                <w:rFonts w:asciiTheme="minorHAnsi" w:hAnsiTheme="minorHAnsi"/>
                <w:b/>
                <w:sz w:val="20"/>
              </w:rPr>
              <w:t>0.012</w:t>
            </w:r>
          </w:p>
        </w:tc>
      </w:tr>
      <w:tr w:rsidR="00077566" w:rsidRPr="00CC039D" w:rsidTr="00DA2056">
        <w:tc>
          <w:tcPr>
            <w:tcW w:w="4706" w:type="dxa"/>
            <w:vAlign w:val="center"/>
          </w:tcPr>
          <w:p w:rsidR="00077566" w:rsidRPr="00074CA1" w:rsidRDefault="00077566" w:rsidP="00DA2056">
            <w:pPr>
              <w:pStyle w:val="NoSpacing"/>
              <w:rPr>
                <w:rFonts w:asciiTheme="minorHAnsi" w:hAnsiTheme="minorHAnsi"/>
                <w:sz w:val="20"/>
              </w:rPr>
            </w:pPr>
            <w:r w:rsidRPr="00074CA1">
              <w:rPr>
                <w:rFonts w:asciiTheme="minorHAnsi" w:hAnsiTheme="minorHAnsi"/>
                <w:sz w:val="20"/>
              </w:rPr>
              <w:t>Inflammatory Risk Score</w:t>
            </w:r>
          </w:p>
        </w:tc>
        <w:tc>
          <w:tcPr>
            <w:tcW w:w="2025" w:type="dxa"/>
            <w:vAlign w:val="center"/>
          </w:tcPr>
          <w:p w:rsidR="00077566" w:rsidRPr="00074CA1" w:rsidRDefault="00077566" w:rsidP="00DA2056">
            <w:pPr>
              <w:pStyle w:val="NoSpacing"/>
              <w:jc w:val="center"/>
              <w:rPr>
                <w:rFonts w:asciiTheme="minorHAnsi" w:hAnsiTheme="minorHAnsi"/>
                <w:sz w:val="20"/>
              </w:rPr>
            </w:pPr>
            <w:r w:rsidRPr="00074CA1">
              <w:rPr>
                <w:rFonts w:asciiTheme="minorHAnsi" w:hAnsiTheme="minorHAnsi"/>
                <w:sz w:val="20"/>
              </w:rPr>
              <w:t>9.2</w:t>
            </w:r>
            <w:r w:rsidRPr="00074CA1">
              <w:rPr>
                <w:rFonts w:asciiTheme="minorHAnsi" w:hAnsiTheme="minorHAnsi" w:cs="Times New Roman"/>
                <w:sz w:val="20"/>
              </w:rPr>
              <w:t>±2.4</w:t>
            </w:r>
          </w:p>
        </w:tc>
        <w:tc>
          <w:tcPr>
            <w:tcW w:w="2126" w:type="dxa"/>
            <w:vAlign w:val="center"/>
          </w:tcPr>
          <w:p w:rsidR="00077566" w:rsidRPr="00074CA1" w:rsidRDefault="00077566" w:rsidP="00DA2056">
            <w:pPr>
              <w:pStyle w:val="NoSpacing"/>
              <w:jc w:val="center"/>
              <w:rPr>
                <w:rFonts w:asciiTheme="minorHAnsi" w:hAnsiTheme="minorHAnsi"/>
                <w:sz w:val="20"/>
              </w:rPr>
            </w:pPr>
            <w:r w:rsidRPr="00074CA1">
              <w:rPr>
                <w:rFonts w:asciiTheme="minorHAnsi" w:hAnsiTheme="minorHAnsi"/>
                <w:sz w:val="20"/>
              </w:rPr>
              <w:t>10.4</w:t>
            </w:r>
            <w:r w:rsidRPr="00074CA1">
              <w:rPr>
                <w:rFonts w:asciiTheme="minorHAnsi" w:hAnsiTheme="minorHAnsi" w:cs="Times New Roman"/>
                <w:sz w:val="20"/>
              </w:rPr>
              <w:t>±2.6</w:t>
            </w:r>
          </w:p>
        </w:tc>
        <w:tc>
          <w:tcPr>
            <w:tcW w:w="1843" w:type="dxa"/>
          </w:tcPr>
          <w:p w:rsidR="00077566" w:rsidRPr="00074CA1" w:rsidRDefault="00077566" w:rsidP="00DA2056">
            <w:pPr>
              <w:pStyle w:val="NoSpacing"/>
              <w:jc w:val="center"/>
              <w:rPr>
                <w:rFonts w:asciiTheme="minorHAnsi" w:hAnsiTheme="minorHAnsi"/>
                <w:b/>
                <w:sz w:val="20"/>
              </w:rPr>
            </w:pPr>
            <w:r w:rsidRPr="00074CA1">
              <w:rPr>
                <w:rFonts w:asciiTheme="minorHAnsi" w:hAnsiTheme="minorHAnsi"/>
                <w:b/>
                <w:sz w:val="20"/>
              </w:rPr>
              <w:t>0.030</w:t>
            </w:r>
          </w:p>
        </w:tc>
      </w:tr>
    </w:tbl>
    <w:p w:rsidR="00077566" w:rsidRDefault="00077566" w:rsidP="00077566">
      <w:pPr>
        <w:rPr>
          <w:b/>
          <w:sz w:val="28"/>
        </w:rPr>
      </w:pPr>
    </w:p>
    <w:p w:rsidR="00077566" w:rsidRDefault="00077566" w:rsidP="003E52DE">
      <w:pPr>
        <w:sectPr w:rsidR="00077566" w:rsidSect="00074CA1">
          <w:pgSz w:w="11906" w:h="16838"/>
          <w:pgMar w:top="1440" w:right="1440" w:bottom="1440" w:left="426" w:header="708" w:footer="708" w:gutter="0"/>
          <w:cols w:space="708"/>
          <w:docGrid w:linePitch="360"/>
        </w:sectPr>
      </w:pPr>
    </w:p>
    <w:tbl>
      <w:tblPr>
        <w:tblStyle w:val="TableGrid"/>
        <w:tblpPr w:leftFromText="180" w:rightFromText="180" w:vertAnchor="page" w:horzAnchor="margin" w:tblpXSpec="center" w:tblpY="2671"/>
        <w:tblW w:w="12582" w:type="dxa"/>
        <w:tblLayout w:type="fixed"/>
        <w:tblLook w:val="04A0" w:firstRow="1" w:lastRow="0" w:firstColumn="1" w:lastColumn="0" w:noHBand="0" w:noVBand="1"/>
      </w:tblPr>
      <w:tblGrid>
        <w:gridCol w:w="5557"/>
        <w:gridCol w:w="2126"/>
        <w:gridCol w:w="2058"/>
        <w:gridCol w:w="1770"/>
        <w:gridCol w:w="1071"/>
      </w:tblGrid>
      <w:tr w:rsidR="00077566" w:rsidTr="00DA2056">
        <w:trPr>
          <w:trHeight w:val="270"/>
        </w:trPr>
        <w:tc>
          <w:tcPr>
            <w:tcW w:w="5557" w:type="dxa"/>
            <w:shd w:val="clear" w:color="auto" w:fill="BFBFBF" w:themeFill="background1" w:themeFillShade="BF"/>
          </w:tcPr>
          <w:p w:rsidR="00077566" w:rsidRPr="00662210" w:rsidRDefault="00077566" w:rsidP="00DA2056">
            <w:pPr>
              <w:pStyle w:val="NoSpacing"/>
              <w:jc w:val="center"/>
              <w:rPr>
                <w:rFonts w:asciiTheme="minorHAnsi" w:hAnsiTheme="minorHAnsi"/>
                <w:sz w:val="20"/>
                <w:szCs w:val="20"/>
              </w:rPr>
            </w:pPr>
          </w:p>
        </w:tc>
        <w:tc>
          <w:tcPr>
            <w:tcW w:w="2126"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077566" w:rsidRPr="00662210" w:rsidRDefault="00077566" w:rsidP="00DA2056">
            <w:pPr>
              <w:pStyle w:val="NoSpacing"/>
              <w:jc w:val="center"/>
              <w:rPr>
                <w:rFonts w:asciiTheme="minorHAnsi" w:hAnsiTheme="minorHAnsi"/>
                <w:b/>
                <w:sz w:val="20"/>
                <w:szCs w:val="20"/>
              </w:rPr>
            </w:pPr>
            <w:r w:rsidRPr="00662210">
              <w:rPr>
                <w:rFonts w:asciiTheme="minorHAnsi" w:hAnsiTheme="minorHAnsi"/>
                <w:b/>
                <w:sz w:val="20"/>
                <w:szCs w:val="20"/>
              </w:rPr>
              <w:t>Low ACR</w:t>
            </w:r>
          </w:p>
          <w:p w:rsidR="00077566" w:rsidRPr="00662210" w:rsidRDefault="00077566" w:rsidP="00DA2056">
            <w:pPr>
              <w:pStyle w:val="NoSpacing"/>
              <w:jc w:val="center"/>
              <w:rPr>
                <w:rFonts w:asciiTheme="minorHAnsi" w:hAnsiTheme="minorHAnsi"/>
                <w:b/>
                <w:sz w:val="20"/>
                <w:szCs w:val="20"/>
              </w:rPr>
            </w:pPr>
            <w:r w:rsidRPr="00662210">
              <w:rPr>
                <w:rFonts w:asciiTheme="minorHAnsi" w:hAnsiTheme="minorHAnsi"/>
                <w:b/>
                <w:sz w:val="20"/>
                <w:szCs w:val="20"/>
              </w:rPr>
              <w:t>Mean±SD</w:t>
            </w:r>
          </w:p>
        </w:tc>
        <w:tc>
          <w:tcPr>
            <w:tcW w:w="205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077566" w:rsidRPr="00662210" w:rsidRDefault="00077566" w:rsidP="00DA2056">
            <w:pPr>
              <w:pStyle w:val="NoSpacing"/>
              <w:jc w:val="center"/>
              <w:rPr>
                <w:rFonts w:asciiTheme="minorHAnsi" w:hAnsiTheme="minorHAnsi"/>
                <w:b/>
                <w:sz w:val="20"/>
                <w:szCs w:val="20"/>
              </w:rPr>
            </w:pPr>
            <w:r w:rsidRPr="00662210">
              <w:rPr>
                <w:rFonts w:asciiTheme="minorHAnsi" w:hAnsiTheme="minorHAnsi"/>
                <w:b/>
                <w:sz w:val="20"/>
                <w:szCs w:val="20"/>
              </w:rPr>
              <w:t>High ACR</w:t>
            </w:r>
          </w:p>
          <w:p w:rsidR="00077566" w:rsidRPr="00662210" w:rsidRDefault="00077566" w:rsidP="00DA2056">
            <w:pPr>
              <w:pStyle w:val="NoSpacing"/>
              <w:jc w:val="center"/>
              <w:rPr>
                <w:rFonts w:asciiTheme="minorHAnsi" w:hAnsiTheme="minorHAnsi"/>
                <w:b/>
                <w:sz w:val="20"/>
                <w:szCs w:val="20"/>
              </w:rPr>
            </w:pPr>
            <w:r w:rsidRPr="00662210">
              <w:rPr>
                <w:rFonts w:asciiTheme="minorHAnsi" w:hAnsiTheme="minorHAnsi"/>
                <w:b/>
                <w:sz w:val="20"/>
                <w:szCs w:val="20"/>
              </w:rPr>
              <w:t>Mean±SD</w:t>
            </w:r>
          </w:p>
        </w:tc>
        <w:tc>
          <w:tcPr>
            <w:tcW w:w="177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077566" w:rsidRPr="00662210" w:rsidRDefault="00077566" w:rsidP="00DA2056">
            <w:pPr>
              <w:pStyle w:val="NoSpacing"/>
              <w:jc w:val="center"/>
              <w:rPr>
                <w:rFonts w:asciiTheme="minorHAnsi" w:hAnsiTheme="minorHAnsi"/>
                <w:b/>
                <w:sz w:val="20"/>
                <w:szCs w:val="20"/>
              </w:rPr>
            </w:pPr>
            <w:r w:rsidRPr="00662210">
              <w:rPr>
                <w:rFonts w:asciiTheme="minorHAnsi" w:hAnsiTheme="minorHAnsi"/>
                <w:b/>
                <w:sz w:val="20"/>
                <w:szCs w:val="20"/>
              </w:rPr>
              <w:t>Mean Difference</w:t>
            </w:r>
          </w:p>
          <w:p w:rsidR="00077566" w:rsidRPr="00662210" w:rsidRDefault="00077566" w:rsidP="00DA2056">
            <w:pPr>
              <w:pStyle w:val="NoSpacing"/>
              <w:jc w:val="center"/>
              <w:rPr>
                <w:rFonts w:asciiTheme="minorHAnsi" w:hAnsiTheme="minorHAnsi"/>
                <w:b/>
                <w:sz w:val="20"/>
                <w:szCs w:val="20"/>
              </w:rPr>
            </w:pPr>
            <w:r w:rsidRPr="00662210">
              <w:rPr>
                <w:rFonts w:asciiTheme="minorHAnsi" w:hAnsiTheme="minorHAnsi"/>
                <w:b/>
                <w:sz w:val="20"/>
                <w:szCs w:val="20"/>
              </w:rPr>
              <w:t>(95% CI)</w:t>
            </w:r>
          </w:p>
        </w:tc>
        <w:tc>
          <w:tcPr>
            <w:tcW w:w="107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077566" w:rsidRPr="00662210" w:rsidRDefault="00077566" w:rsidP="00DA2056">
            <w:pPr>
              <w:pStyle w:val="NoSpacing"/>
              <w:jc w:val="center"/>
              <w:rPr>
                <w:rFonts w:asciiTheme="minorHAnsi" w:hAnsiTheme="minorHAnsi"/>
                <w:b/>
                <w:sz w:val="20"/>
                <w:szCs w:val="20"/>
              </w:rPr>
            </w:pPr>
            <w:r w:rsidRPr="00662210">
              <w:rPr>
                <w:rFonts w:asciiTheme="minorHAnsi" w:hAnsiTheme="minorHAnsi"/>
                <w:b/>
                <w:sz w:val="20"/>
                <w:szCs w:val="20"/>
              </w:rPr>
              <w:t>p-value</w:t>
            </w:r>
          </w:p>
        </w:tc>
      </w:tr>
      <w:tr w:rsidR="00077566" w:rsidTr="00DA2056">
        <w:trPr>
          <w:trHeight w:val="382"/>
        </w:trPr>
        <w:tc>
          <w:tcPr>
            <w:tcW w:w="5557" w:type="dxa"/>
            <w:vAlign w:val="center"/>
          </w:tcPr>
          <w:p w:rsidR="00077566" w:rsidRPr="00662210" w:rsidRDefault="00077566" w:rsidP="00DA2056">
            <w:pPr>
              <w:pStyle w:val="NoSpacing"/>
              <w:jc w:val="center"/>
              <w:rPr>
                <w:rFonts w:asciiTheme="minorHAnsi" w:hAnsiTheme="minorHAnsi"/>
                <w:sz w:val="20"/>
                <w:szCs w:val="20"/>
              </w:rPr>
            </w:pPr>
            <w:r w:rsidRPr="00662210">
              <w:rPr>
                <w:rFonts w:asciiTheme="minorHAnsi" w:hAnsiTheme="minorHAnsi"/>
                <w:sz w:val="20"/>
                <w:szCs w:val="20"/>
              </w:rPr>
              <w:t>n</w:t>
            </w:r>
          </w:p>
        </w:tc>
        <w:tc>
          <w:tcPr>
            <w:tcW w:w="2126" w:type="dxa"/>
            <w:tcBorders>
              <w:top w:val="single" w:sz="4" w:space="0" w:color="auto"/>
            </w:tcBorders>
            <w:vAlign w:val="center"/>
          </w:tcPr>
          <w:p w:rsidR="00077566" w:rsidRPr="00662210" w:rsidRDefault="00077566" w:rsidP="00DA2056">
            <w:pPr>
              <w:pStyle w:val="NoSpacing"/>
              <w:jc w:val="center"/>
              <w:rPr>
                <w:rFonts w:asciiTheme="minorHAnsi" w:hAnsiTheme="minorHAnsi"/>
                <w:sz w:val="20"/>
                <w:szCs w:val="20"/>
              </w:rPr>
            </w:pPr>
            <w:r w:rsidRPr="00662210">
              <w:rPr>
                <w:rFonts w:asciiTheme="minorHAnsi" w:hAnsiTheme="minorHAnsi"/>
                <w:sz w:val="20"/>
                <w:szCs w:val="20"/>
              </w:rPr>
              <w:t>36</w:t>
            </w:r>
          </w:p>
        </w:tc>
        <w:tc>
          <w:tcPr>
            <w:tcW w:w="2058" w:type="dxa"/>
            <w:tcBorders>
              <w:top w:val="single" w:sz="4" w:space="0" w:color="auto"/>
            </w:tcBorders>
            <w:vAlign w:val="center"/>
          </w:tcPr>
          <w:p w:rsidR="00077566" w:rsidRPr="00662210" w:rsidRDefault="00077566" w:rsidP="00DA2056">
            <w:pPr>
              <w:pStyle w:val="NoSpacing"/>
              <w:jc w:val="center"/>
              <w:rPr>
                <w:rFonts w:asciiTheme="minorHAnsi" w:hAnsiTheme="minorHAnsi"/>
                <w:sz w:val="20"/>
                <w:szCs w:val="20"/>
              </w:rPr>
            </w:pPr>
            <w:r w:rsidRPr="00662210">
              <w:rPr>
                <w:rFonts w:asciiTheme="minorHAnsi" w:hAnsiTheme="minorHAnsi"/>
                <w:sz w:val="20"/>
                <w:szCs w:val="20"/>
              </w:rPr>
              <w:t>34</w:t>
            </w:r>
          </w:p>
        </w:tc>
        <w:tc>
          <w:tcPr>
            <w:tcW w:w="1770" w:type="dxa"/>
            <w:tcBorders>
              <w:top w:val="single" w:sz="4" w:space="0" w:color="auto"/>
            </w:tcBorders>
            <w:vAlign w:val="center"/>
          </w:tcPr>
          <w:p w:rsidR="00077566" w:rsidRPr="00662210" w:rsidRDefault="00077566" w:rsidP="00DA2056">
            <w:pPr>
              <w:pStyle w:val="NoSpacing"/>
              <w:jc w:val="center"/>
              <w:rPr>
                <w:rFonts w:asciiTheme="minorHAnsi" w:hAnsiTheme="minorHAnsi"/>
                <w:sz w:val="20"/>
                <w:szCs w:val="20"/>
              </w:rPr>
            </w:pPr>
          </w:p>
        </w:tc>
        <w:tc>
          <w:tcPr>
            <w:tcW w:w="1071" w:type="dxa"/>
            <w:tcBorders>
              <w:top w:val="single" w:sz="4" w:space="0" w:color="auto"/>
            </w:tcBorders>
          </w:tcPr>
          <w:p w:rsidR="00077566" w:rsidRPr="00662210" w:rsidRDefault="00077566" w:rsidP="00DA2056">
            <w:pPr>
              <w:pStyle w:val="NoSpacing"/>
              <w:jc w:val="center"/>
              <w:rPr>
                <w:rFonts w:asciiTheme="minorHAnsi" w:hAnsiTheme="minorHAnsi"/>
                <w:sz w:val="20"/>
                <w:szCs w:val="20"/>
              </w:rPr>
            </w:pPr>
          </w:p>
        </w:tc>
      </w:tr>
      <w:tr w:rsidR="00077566" w:rsidTr="00DA2056">
        <w:tc>
          <w:tcPr>
            <w:tcW w:w="5557" w:type="dxa"/>
            <w:vAlign w:val="center"/>
          </w:tcPr>
          <w:p w:rsidR="00077566" w:rsidRPr="00662210" w:rsidRDefault="00077566" w:rsidP="00DA2056">
            <w:pPr>
              <w:pStyle w:val="NoSpacing"/>
              <w:rPr>
                <w:rFonts w:asciiTheme="minorHAnsi" w:hAnsiTheme="minorHAnsi"/>
                <w:sz w:val="20"/>
                <w:szCs w:val="20"/>
              </w:rPr>
            </w:pPr>
          </w:p>
        </w:tc>
        <w:tc>
          <w:tcPr>
            <w:tcW w:w="2126" w:type="dxa"/>
            <w:vAlign w:val="center"/>
          </w:tcPr>
          <w:p w:rsidR="00077566" w:rsidRPr="00662210" w:rsidRDefault="00077566" w:rsidP="00DA2056">
            <w:pPr>
              <w:pStyle w:val="NoSpacing"/>
              <w:jc w:val="center"/>
              <w:rPr>
                <w:rFonts w:asciiTheme="minorHAnsi" w:hAnsiTheme="minorHAnsi"/>
                <w:sz w:val="20"/>
                <w:szCs w:val="20"/>
              </w:rPr>
            </w:pPr>
          </w:p>
        </w:tc>
        <w:tc>
          <w:tcPr>
            <w:tcW w:w="2058" w:type="dxa"/>
            <w:vAlign w:val="center"/>
          </w:tcPr>
          <w:p w:rsidR="00077566" w:rsidRPr="00662210" w:rsidRDefault="00077566" w:rsidP="00DA2056">
            <w:pPr>
              <w:pStyle w:val="NoSpacing"/>
              <w:jc w:val="center"/>
              <w:rPr>
                <w:rFonts w:asciiTheme="minorHAnsi" w:hAnsiTheme="minorHAnsi"/>
                <w:sz w:val="20"/>
                <w:szCs w:val="20"/>
              </w:rPr>
            </w:pPr>
          </w:p>
        </w:tc>
        <w:tc>
          <w:tcPr>
            <w:tcW w:w="1770" w:type="dxa"/>
            <w:vAlign w:val="center"/>
          </w:tcPr>
          <w:p w:rsidR="00077566" w:rsidRPr="00662210" w:rsidRDefault="00077566" w:rsidP="00DA2056">
            <w:pPr>
              <w:pStyle w:val="NoSpacing"/>
              <w:jc w:val="center"/>
              <w:rPr>
                <w:rFonts w:asciiTheme="minorHAnsi" w:hAnsiTheme="minorHAnsi"/>
                <w:sz w:val="20"/>
                <w:szCs w:val="20"/>
              </w:rPr>
            </w:pPr>
          </w:p>
        </w:tc>
        <w:tc>
          <w:tcPr>
            <w:tcW w:w="1071" w:type="dxa"/>
          </w:tcPr>
          <w:p w:rsidR="00077566" w:rsidRPr="00662210" w:rsidRDefault="00077566" w:rsidP="00DA2056">
            <w:pPr>
              <w:pStyle w:val="NoSpacing"/>
              <w:jc w:val="center"/>
              <w:rPr>
                <w:rFonts w:asciiTheme="minorHAnsi" w:hAnsiTheme="minorHAnsi"/>
                <w:sz w:val="20"/>
                <w:szCs w:val="20"/>
              </w:rPr>
            </w:pPr>
          </w:p>
        </w:tc>
      </w:tr>
      <w:tr w:rsidR="00077566" w:rsidTr="00DA2056">
        <w:tc>
          <w:tcPr>
            <w:tcW w:w="5557" w:type="dxa"/>
            <w:vAlign w:val="center"/>
          </w:tcPr>
          <w:p w:rsidR="00077566" w:rsidRPr="00662210" w:rsidRDefault="00077566" w:rsidP="00DA2056">
            <w:pPr>
              <w:pStyle w:val="NoSpacing"/>
              <w:rPr>
                <w:rFonts w:asciiTheme="minorHAnsi" w:hAnsiTheme="minorHAnsi"/>
                <w:sz w:val="20"/>
                <w:szCs w:val="20"/>
              </w:rPr>
            </w:pPr>
            <w:r w:rsidRPr="00662210">
              <w:rPr>
                <w:rFonts w:asciiTheme="minorHAnsi" w:hAnsiTheme="minorHAnsi"/>
                <w:sz w:val="20"/>
                <w:szCs w:val="20"/>
              </w:rPr>
              <w:t>HDL-c(mmol/l)</w:t>
            </w:r>
          </w:p>
        </w:tc>
        <w:tc>
          <w:tcPr>
            <w:tcW w:w="2126" w:type="dxa"/>
            <w:vAlign w:val="center"/>
          </w:tcPr>
          <w:p w:rsidR="00077566" w:rsidRPr="00662210" w:rsidRDefault="00077566" w:rsidP="00DA2056">
            <w:pPr>
              <w:pStyle w:val="NoSpacing"/>
              <w:jc w:val="center"/>
              <w:rPr>
                <w:rFonts w:asciiTheme="minorHAnsi" w:hAnsiTheme="minorHAnsi"/>
                <w:sz w:val="20"/>
                <w:szCs w:val="20"/>
              </w:rPr>
            </w:pPr>
            <w:r w:rsidRPr="00662210">
              <w:rPr>
                <w:rFonts w:asciiTheme="minorHAnsi" w:hAnsiTheme="minorHAnsi"/>
                <w:sz w:val="20"/>
                <w:szCs w:val="20"/>
              </w:rPr>
              <w:t>1.69±0.41</w:t>
            </w:r>
          </w:p>
        </w:tc>
        <w:tc>
          <w:tcPr>
            <w:tcW w:w="2058" w:type="dxa"/>
            <w:vAlign w:val="center"/>
          </w:tcPr>
          <w:p w:rsidR="00077566" w:rsidRPr="00662210" w:rsidRDefault="00077566" w:rsidP="00DA2056">
            <w:pPr>
              <w:pStyle w:val="NoSpacing"/>
              <w:jc w:val="center"/>
              <w:rPr>
                <w:rFonts w:asciiTheme="minorHAnsi" w:hAnsiTheme="minorHAnsi"/>
                <w:sz w:val="20"/>
                <w:szCs w:val="20"/>
              </w:rPr>
            </w:pPr>
            <w:r w:rsidRPr="00662210">
              <w:rPr>
                <w:rFonts w:asciiTheme="minorHAnsi" w:hAnsiTheme="minorHAnsi"/>
                <w:sz w:val="20"/>
                <w:szCs w:val="20"/>
              </w:rPr>
              <w:t>1.66±0.35</w:t>
            </w:r>
          </w:p>
        </w:tc>
        <w:tc>
          <w:tcPr>
            <w:tcW w:w="1770" w:type="dxa"/>
            <w:vAlign w:val="center"/>
          </w:tcPr>
          <w:p w:rsidR="00077566" w:rsidRPr="00662210" w:rsidRDefault="00077566" w:rsidP="00DA2056">
            <w:pPr>
              <w:pStyle w:val="NoSpacing"/>
              <w:jc w:val="center"/>
              <w:rPr>
                <w:rFonts w:asciiTheme="minorHAnsi" w:hAnsiTheme="minorHAnsi"/>
                <w:sz w:val="20"/>
                <w:szCs w:val="20"/>
              </w:rPr>
            </w:pPr>
            <w:r w:rsidRPr="00662210">
              <w:rPr>
                <w:rFonts w:asciiTheme="minorHAnsi" w:hAnsiTheme="minorHAnsi"/>
                <w:sz w:val="20"/>
                <w:szCs w:val="20"/>
              </w:rPr>
              <w:t>-0.03(-0.22,0.15)</w:t>
            </w:r>
          </w:p>
        </w:tc>
        <w:tc>
          <w:tcPr>
            <w:tcW w:w="1071" w:type="dxa"/>
          </w:tcPr>
          <w:p w:rsidR="00077566" w:rsidRPr="00662210" w:rsidRDefault="00077566" w:rsidP="00DA2056">
            <w:pPr>
              <w:pStyle w:val="NoSpacing"/>
              <w:jc w:val="center"/>
              <w:rPr>
                <w:rFonts w:asciiTheme="minorHAnsi" w:hAnsiTheme="minorHAnsi"/>
                <w:sz w:val="20"/>
                <w:szCs w:val="20"/>
              </w:rPr>
            </w:pPr>
            <w:r w:rsidRPr="00662210">
              <w:rPr>
                <w:rFonts w:asciiTheme="minorHAnsi" w:hAnsiTheme="minorHAnsi"/>
                <w:sz w:val="20"/>
                <w:szCs w:val="20"/>
              </w:rPr>
              <w:t>0.793</w:t>
            </w:r>
          </w:p>
        </w:tc>
      </w:tr>
      <w:tr w:rsidR="00077566" w:rsidTr="00DA2056">
        <w:tc>
          <w:tcPr>
            <w:tcW w:w="5557" w:type="dxa"/>
            <w:vAlign w:val="center"/>
          </w:tcPr>
          <w:p w:rsidR="00077566" w:rsidRPr="00662210" w:rsidRDefault="00077566" w:rsidP="00DA2056">
            <w:pPr>
              <w:pStyle w:val="NoSpacing"/>
              <w:rPr>
                <w:rFonts w:asciiTheme="minorHAnsi" w:hAnsiTheme="minorHAnsi"/>
                <w:sz w:val="20"/>
                <w:szCs w:val="20"/>
              </w:rPr>
            </w:pPr>
            <w:r w:rsidRPr="00662210">
              <w:rPr>
                <w:rFonts w:asciiTheme="minorHAnsi" w:hAnsiTheme="minorHAnsi"/>
                <w:sz w:val="20"/>
                <w:szCs w:val="20"/>
              </w:rPr>
              <w:t>HbA</w:t>
            </w:r>
            <w:r w:rsidRPr="00662210">
              <w:rPr>
                <w:rFonts w:asciiTheme="minorHAnsi" w:hAnsiTheme="minorHAnsi"/>
                <w:sz w:val="20"/>
                <w:szCs w:val="20"/>
                <w:vertAlign w:val="subscript"/>
              </w:rPr>
              <w:t>1c</w:t>
            </w:r>
            <w:r w:rsidRPr="00662210">
              <w:rPr>
                <w:rFonts w:asciiTheme="minorHAnsi" w:hAnsiTheme="minorHAnsi"/>
                <w:sz w:val="20"/>
                <w:szCs w:val="20"/>
              </w:rPr>
              <w:t>(%)</w:t>
            </w:r>
          </w:p>
        </w:tc>
        <w:tc>
          <w:tcPr>
            <w:tcW w:w="2126" w:type="dxa"/>
            <w:vAlign w:val="center"/>
          </w:tcPr>
          <w:p w:rsidR="00077566" w:rsidRPr="00662210" w:rsidRDefault="00077566" w:rsidP="00DA2056">
            <w:pPr>
              <w:pStyle w:val="NoSpacing"/>
              <w:jc w:val="center"/>
              <w:rPr>
                <w:rFonts w:asciiTheme="minorHAnsi" w:hAnsiTheme="minorHAnsi"/>
                <w:sz w:val="20"/>
                <w:szCs w:val="20"/>
              </w:rPr>
            </w:pPr>
            <w:r w:rsidRPr="00662210">
              <w:rPr>
                <w:rFonts w:asciiTheme="minorHAnsi" w:hAnsiTheme="minorHAnsi"/>
                <w:sz w:val="20"/>
                <w:szCs w:val="20"/>
              </w:rPr>
              <w:t xml:space="preserve">8.2±1.1 </w:t>
            </w:r>
          </w:p>
        </w:tc>
        <w:tc>
          <w:tcPr>
            <w:tcW w:w="2058" w:type="dxa"/>
            <w:vAlign w:val="center"/>
          </w:tcPr>
          <w:p w:rsidR="00077566" w:rsidRPr="00662210" w:rsidRDefault="00077566" w:rsidP="00DA2056">
            <w:pPr>
              <w:pStyle w:val="NoSpacing"/>
              <w:jc w:val="center"/>
              <w:rPr>
                <w:rFonts w:asciiTheme="minorHAnsi" w:hAnsiTheme="minorHAnsi"/>
                <w:sz w:val="20"/>
                <w:szCs w:val="20"/>
              </w:rPr>
            </w:pPr>
            <w:r w:rsidRPr="00662210">
              <w:rPr>
                <w:rFonts w:asciiTheme="minorHAnsi" w:hAnsiTheme="minorHAnsi"/>
                <w:sz w:val="20"/>
                <w:szCs w:val="20"/>
              </w:rPr>
              <w:t>8.5±1.1</w:t>
            </w:r>
          </w:p>
        </w:tc>
        <w:tc>
          <w:tcPr>
            <w:tcW w:w="1770" w:type="dxa"/>
            <w:vAlign w:val="center"/>
          </w:tcPr>
          <w:p w:rsidR="00077566" w:rsidRPr="00662210" w:rsidRDefault="00077566" w:rsidP="00DA2056">
            <w:pPr>
              <w:pStyle w:val="NoSpacing"/>
              <w:jc w:val="center"/>
              <w:rPr>
                <w:rFonts w:asciiTheme="minorHAnsi" w:hAnsiTheme="minorHAnsi"/>
                <w:sz w:val="20"/>
                <w:szCs w:val="20"/>
              </w:rPr>
            </w:pPr>
            <w:r w:rsidRPr="00662210">
              <w:rPr>
                <w:rFonts w:asciiTheme="minorHAnsi" w:hAnsiTheme="minorHAnsi"/>
                <w:sz w:val="20"/>
                <w:szCs w:val="20"/>
              </w:rPr>
              <w:t>0.3(-0.2,0.9)</w:t>
            </w:r>
          </w:p>
        </w:tc>
        <w:tc>
          <w:tcPr>
            <w:tcW w:w="1071" w:type="dxa"/>
          </w:tcPr>
          <w:p w:rsidR="00077566" w:rsidRPr="00662210" w:rsidRDefault="00077566" w:rsidP="00DA2056">
            <w:pPr>
              <w:pStyle w:val="NoSpacing"/>
              <w:jc w:val="center"/>
              <w:rPr>
                <w:rFonts w:asciiTheme="minorHAnsi" w:hAnsiTheme="minorHAnsi"/>
                <w:sz w:val="20"/>
                <w:szCs w:val="20"/>
              </w:rPr>
            </w:pPr>
            <w:r w:rsidRPr="00662210">
              <w:rPr>
                <w:rFonts w:asciiTheme="minorHAnsi" w:hAnsiTheme="minorHAnsi"/>
                <w:sz w:val="20"/>
                <w:szCs w:val="20"/>
              </w:rPr>
              <w:t>0.200</w:t>
            </w:r>
          </w:p>
        </w:tc>
      </w:tr>
      <w:tr w:rsidR="00077566" w:rsidTr="00DA2056">
        <w:tc>
          <w:tcPr>
            <w:tcW w:w="5557" w:type="dxa"/>
            <w:vAlign w:val="center"/>
          </w:tcPr>
          <w:p w:rsidR="00077566" w:rsidRPr="00662210" w:rsidRDefault="00077566" w:rsidP="00DA2056">
            <w:pPr>
              <w:pStyle w:val="NoSpacing"/>
              <w:rPr>
                <w:rFonts w:asciiTheme="minorHAnsi" w:hAnsiTheme="minorHAnsi"/>
                <w:sz w:val="20"/>
                <w:szCs w:val="20"/>
              </w:rPr>
            </w:pPr>
            <w:r w:rsidRPr="00662210">
              <w:rPr>
                <w:rFonts w:asciiTheme="minorHAnsi" w:hAnsiTheme="minorHAnsi"/>
                <w:sz w:val="20"/>
                <w:szCs w:val="20"/>
              </w:rPr>
              <w:t>eGFR(ml/min/1.73m</w:t>
            </w:r>
            <w:r w:rsidRPr="00662210">
              <w:rPr>
                <w:rFonts w:asciiTheme="minorHAnsi" w:hAnsiTheme="minorHAnsi"/>
                <w:sz w:val="20"/>
                <w:szCs w:val="20"/>
                <w:vertAlign w:val="superscript"/>
              </w:rPr>
              <w:t>2</w:t>
            </w:r>
            <w:r w:rsidRPr="00662210">
              <w:rPr>
                <w:rFonts w:asciiTheme="minorHAnsi" w:hAnsiTheme="minorHAnsi"/>
                <w:sz w:val="20"/>
                <w:szCs w:val="20"/>
              </w:rPr>
              <w:t>)</w:t>
            </w:r>
          </w:p>
        </w:tc>
        <w:tc>
          <w:tcPr>
            <w:tcW w:w="2126" w:type="dxa"/>
            <w:vAlign w:val="center"/>
          </w:tcPr>
          <w:p w:rsidR="00077566" w:rsidRPr="00662210" w:rsidRDefault="00077566" w:rsidP="00DA2056">
            <w:pPr>
              <w:pStyle w:val="NoSpacing"/>
              <w:jc w:val="center"/>
              <w:rPr>
                <w:rFonts w:asciiTheme="minorHAnsi" w:hAnsiTheme="minorHAnsi"/>
                <w:sz w:val="20"/>
                <w:szCs w:val="20"/>
              </w:rPr>
            </w:pPr>
            <w:r w:rsidRPr="00662210">
              <w:rPr>
                <w:rFonts w:asciiTheme="minorHAnsi" w:hAnsiTheme="minorHAnsi"/>
                <w:sz w:val="20"/>
                <w:szCs w:val="20"/>
              </w:rPr>
              <w:t>119</w:t>
            </w:r>
            <w:r w:rsidRPr="00662210">
              <w:rPr>
                <w:rFonts w:asciiTheme="minorHAnsi" w:hAnsiTheme="minorHAnsi" w:cs="Times New Roman"/>
                <w:sz w:val="20"/>
                <w:szCs w:val="20"/>
              </w:rPr>
              <w:t>±17</w:t>
            </w:r>
          </w:p>
        </w:tc>
        <w:tc>
          <w:tcPr>
            <w:tcW w:w="2058" w:type="dxa"/>
            <w:vAlign w:val="center"/>
          </w:tcPr>
          <w:p w:rsidR="00077566" w:rsidRPr="00662210" w:rsidRDefault="00077566" w:rsidP="00DA2056">
            <w:pPr>
              <w:pStyle w:val="NoSpacing"/>
              <w:jc w:val="center"/>
              <w:rPr>
                <w:rFonts w:asciiTheme="minorHAnsi" w:hAnsiTheme="minorHAnsi"/>
                <w:sz w:val="20"/>
                <w:szCs w:val="20"/>
              </w:rPr>
            </w:pPr>
            <w:r w:rsidRPr="00662210">
              <w:rPr>
                <w:rFonts w:asciiTheme="minorHAnsi" w:hAnsiTheme="minorHAnsi"/>
                <w:sz w:val="20"/>
                <w:szCs w:val="20"/>
              </w:rPr>
              <w:t>131</w:t>
            </w:r>
            <w:r w:rsidRPr="00662210">
              <w:rPr>
                <w:rFonts w:asciiTheme="minorHAnsi" w:hAnsiTheme="minorHAnsi" w:cs="Times New Roman"/>
                <w:sz w:val="20"/>
                <w:szCs w:val="20"/>
              </w:rPr>
              <w:t>±23</w:t>
            </w:r>
          </w:p>
        </w:tc>
        <w:tc>
          <w:tcPr>
            <w:tcW w:w="1770" w:type="dxa"/>
            <w:vAlign w:val="center"/>
          </w:tcPr>
          <w:p w:rsidR="00077566" w:rsidRPr="00662210" w:rsidRDefault="00077566" w:rsidP="00DA2056">
            <w:pPr>
              <w:pStyle w:val="NoSpacing"/>
              <w:jc w:val="center"/>
              <w:rPr>
                <w:rFonts w:asciiTheme="minorHAnsi" w:hAnsiTheme="minorHAnsi"/>
                <w:sz w:val="20"/>
                <w:szCs w:val="20"/>
              </w:rPr>
            </w:pPr>
            <w:r w:rsidRPr="00662210">
              <w:rPr>
                <w:rFonts w:asciiTheme="minorHAnsi" w:hAnsiTheme="minorHAnsi"/>
                <w:sz w:val="20"/>
                <w:szCs w:val="20"/>
              </w:rPr>
              <w:t>11(2,21)</w:t>
            </w:r>
          </w:p>
        </w:tc>
        <w:tc>
          <w:tcPr>
            <w:tcW w:w="1071" w:type="dxa"/>
          </w:tcPr>
          <w:p w:rsidR="00077566" w:rsidRPr="00662210" w:rsidRDefault="00077566" w:rsidP="00DA2056">
            <w:pPr>
              <w:pStyle w:val="NoSpacing"/>
              <w:jc w:val="center"/>
              <w:rPr>
                <w:rFonts w:asciiTheme="minorHAnsi" w:hAnsiTheme="minorHAnsi"/>
                <w:b/>
                <w:sz w:val="20"/>
                <w:szCs w:val="20"/>
              </w:rPr>
            </w:pPr>
            <w:r w:rsidRPr="00662210">
              <w:rPr>
                <w:rFonts w:asciiTheme="minorHAnsi" w:hAnsiTheme="minorHAnsi"/>
                <w:b/>
                <w:sz w:val="20"/>
                <w:szCs w:val="20"/>
              </w:rPr>
              <w:t>0.022</w:t>
            </w:r>
          </w:p>
        </w:tc>
      </w:tr>
      <w:tr w:rsidR="00077566" w:rsidTr="00DA2056">
        <w:tc>
          <w:tcPr>
            <w:tcW w:w="5557" w:type="dxa"/>
            <w:vAlign w:val="center"/>
          </w:tcPr>
          <w:p w:rsidR="00077566" w:rsidRPr="00662210" w:rsidRDefault="00077566" w:rsidP="00DA2056">
            <w:pPr>
              <w:pStyle w:val="NoSpacing"/>
              <w:rPr>
                <w:rFonts w:asciiTheme="minorHAnsi" w:hAnsiTheme="minorHAnsi"/>
                <w:sz w:val="20"/>
                <w:szCs w:val="20"/>
              </w:rPr>
            </w:pPr>
            <w:r w:rsidRPr="00662210">
              <w:rPr>
                <w:rFonts w:asciiTheme="minorHAnsi" w:hAnsiTheme="minorHAnsi"/>
                <w:sz w:val="20"/>
                <w:szCs w:val="20"/>
              </w:rPr>
              <w:t>ACR (mg/mmol)</w:t>
            </w:r>
          </w:p>
        </w:tc>
        <w:tc>
          <w:tcPr>
            <w:tcW w:w="2126" w:type="dxa"/>
            <w:vAlign w:val="center"/>
          </w:tcPr>
          <w:p w:rsidR="00077566" w:rsidRPr="00662210" w:rsidRDefault="00077566" w:rsidP="00DA2056">
            <w:pPr>
              <w:pStyle w:val="NoSpacing"/>
              <w:jc w:val="center"/>
              <w:rPr>
                <w:rFonts w:asciiTheme="minorHAnsi" w:hAnsiTheme="minorHAnsi"/>
                <w:sz w:val="20"/>
                <w:szCs w:val="20"/>
              </w:rPr>
            </w:pPr>
            <w:r w:rsidRPr="00662210">
              <w:rPr>
                <w:rFonts w:asciiTheme="minorHAnsi" w:hAnsiTheme="minorHAnsi"/>
                <w:sz w:val="20"/>
                <w:szCs w:val="20"/>
              </w:rPr>
              <w:t>0.67</w:t>
            </w:r>
            <w:r w:rsidRPr="00662210">
              <w:rPr>
                <w:rFonts w:asciiTheme="minorHAnsi" w:hAnsiTheme="minorHAnsi" w:cs="Times New Roman"/>
                <w:sz w:val="20"/>
                <w:szCs w:val="20"/>
              </w:rPr>
              <w:t>±0.11</w:t>
            </w:r>
          </w:p>
        </w:tc>
        <w:tc>
          <w:tcPr>
            <w:tcW w:w="2058" w:type="dxa"/>
            <w:vAlign w:val="center"/>
          </w:tcPr>
          <w:p w:rsidR="00077566" w:rsidRPr="00662210" w:rsidRDefault="00077566" w:rsidP="00DA2056">
            <w:pPr>
              <w:pStyle w:val="NoSpacing"/>
              <w:jc w:val="center"/>
              <w:rPr>
                <w:rFonts w:asciiTheme="minorHAnsi" w:hAnsiTheme="minorHAnsi"/>
                <w:sz w:val="20"/>
                <w:szCs w:val="20"/>
              </w:rPr>
            </w:pPr>
            <w:r w:rsidRPr="00662210">
              <w:rPr>
                <w:rFonts w:asciiTheme="minorHAnsi" w:hAnsiTheme="minorHAnsi"/>
                <w:sz w:val="20"/>
                <w:szCs w:val="20"/>
              </w:rPr>
              <w:t>2.24</w:t>
            </w:r>
            <w:r w:rsidRPr="00662210">
              <w:rPr>
                <w:rFonts w:asciiTheme="minorHAnsi" w:hAnsiTheme="minorHAnsi" w:cs="Times New Roman"/>
                <w:sz w:val="20"/>
                <w:szCs w:val="20"/>
              </w:rPr>
              <w:t>±1.22</w:t>
            </w:r>
          </w:p>
        </w:tc>
        <w:tc>
          <w:tcPr>
            <w:tcW w:w="1770" w:type="dxa"/>
            <w:vAlign w:val="center"/>
          </w:tcPr>
          <w:p w:rsidR="00077566" w:rsidRPr="00662210" w:rsidRDefault="00077566" w:rsidP="00DA2056">
            <w:pPr>
              <w:pStyle w:val="NoSpacing"/>
              <w:jc w:val="center"/>
              <w:rPr>
                <w:rFonts w:asciiTheme="minorHAnsi" w:hAnsiTheme="minorHAnsi"/>
                <w:sz w:val="20"/>
                <w:szCs w:val="20"/>
              </w:rPr>
            </w:pPr>
            <w:r w:rsidRPr="00662210">
              <w:rPr>
                <w:rFonts w:asciiTheme="minorHAnsi" w:hAnsiTheme="minorHAnsi"/>
                <w:sz w:val="20"/>
                <w:szCs w:val="20"/>
              </w:rPr>
              <w:t>1.57(1.16,1.97)</w:t>
            </w:r>
          </w:p>
        </w:tc>
        <w:tc>
          <w:tcPr>
            <w:tcW w:w="1071" w:type="dxa"/>
          </w:tcPr>
          <w:p w:rsidR="00077566" w:rsidRPr="00662210" w:rsidRDefault="00077566" w:rsidP="00DA2056">
            <w:pPr>
              <w:pStyle w:val="NoSpacing"/>
              <w:jc w:val="center"/>
              <w:rPr>
                <w:rFonts w:asciiTheme="minorHAnsi" w:hAnsiTheme="minorHAnsi"/>
                <w:b/>
                <w:sz w:val="20"/>
                <w:szCs w:val="20"/>
              </w:rPr>
            </w:pPr>
            <w:r w:rsidRPr="00662210">
              <w:rPr>
                <w:rFonts w:asciiTheme="minorHAnsi" w:hAnsiTheme="minorHAnsi"/>
                <w:b/>
                <w:sz w:val="20"/>
                <w:szCs w:val="20"/>
              </w:rPr>
              <w:t>&lt;0.001</w:t>
            </w:r>
          </w:p>
        </w:tc>
      </w:tr>
      <w:tr w:rsidR="00077566" w:rsidTr="00DA2056">
        <w:tc>
          <w:tcPr>
            <w:tcW w:w="5557" w:type="dxa"/>
            <w:vAlign w:val="center"/>
          </w:tcPr>
          <w:p w:rsidR="00077566" w:rsidRPr="00662210" w:rsidRDefault="00077566" w:rsidP="00DA2056">
            <w:pPr>
              <w:pStyle w:val="NoSpacing"/>
              <w:rPr>
                <w:rFonts w:asciiTheme="minorHAnsi" w:hAnsiTheme="minorHAnsi"/>
                <w:sz w:val="20"/>
                <w:szCs w:val="20"/>
              </w:rPr>
            </w:pPr>
            <w:r w:rsidRPr="00662210">
              <w:rPr>
                <w:rFonts w:asciiTheme="minorHAnsi" w:hAnsiTheme="minorHAnsi"/>
                <w:sz w:val="20"/>
                <w:szCs w:val="20"/>
              </w:rPr>
              <w:t>Inflammatory Risk Score</w:t>
            </w:r>
          </w:p>
        </w:tc>
        <w:tc>
          <w:tcPr>
            <w:tcW w:w="2126" w:type="dxa"/>
            <w:vAlign w:val="center"/>
          </w:tcPr>
          <w:p w:rsidR="00077566" w:rsidRPr="00662210" w:rsidRDefault="00077566" w:rsidP="00DA2056">
            <w:pPr>
              <w:pStyle w:val="NoSpacing"/>
              <w:jc w:val="center"/>
              <w:rPr>
                <w:rFonts w:asciiTheme="minorHAnsi" w:hAnsiTheme="minorHAnsi"/>
                <w:sz w:val="20"/>
                <w:szCs w:val="20"/>
              </w:rPr>
            </w:pPr>
            <w:r w:rsidRPr="00662210">
              <w:rPr>
                <w:rFonts w:asciiTheme="minorHAnsi" w:hAnsiTheme="minorHAnsi"/>
                <w:sz w:val="20"/>
                <w:szCs w:val="20"/>
              </w:rPr>
              <w:t>9.5</w:t>
            </w:r>
            <w:r w:rsidRPr="00662210">
              <w:rPr>
                <w:rFonts w:asciiTheme="minorHAnsi" w:hAnsiTheme="minorHAnsi" w:cs="Times New Roman"/>
                <w:sz w:val="20"/>
                <w:szCs w:val="20"/>
              </w:rPr>
              <w:t>±2.4</w:t>
            </w:r>
          </w:p>
        </w:tc>
        <w:tc>
          <w:tcPr>
            <w:tcW w:w="2058" w:type="dxa"/>
            <w:vAlign w:val="center"/>
          </w:tcPr>
          <w:p w:rsidR="00077566" w:rsidRPr="00662210" w:rsidRDefault="00077566" w:rsidP="00DA2056">
            <w:pPr>
              <w:pStyle w:val="NoSpacing"/>
              <w:jc w:val="center"/>
              <w:rPr>
                <w:rFonts w:asciiTheme="minorHAnsi" w:hAnsiTheme="minorHAnsi"/>
                <w:sz w:val="20"/>
                <w:szCs w:val="20"/>
              </w:rPr>
            </w:pPr>
            <w:r w:rsidRPr="00662210">
              <w:rPr>
                <w:rFonts w:asciiTheme="minorHAnsi" w:hAnsiTheme="minorHAnsi"/>
                <w:sz w:val="20"/>
                <w:szCs w:val="20"/>
              </w:rPr>
              <w:t>11.3</w:t>
            </w:r>
            <w:r w:rsidRPr="00662210">
              <w:rPr>
                <w:rFonts w:asciiTheme="minorHAnsi" w:hAnsiTheme="minorHAnsi" w:cs="Times New Roman"/>
                <w:sz w:val="20"/>
                <w:szCs w:val="20"/>
              </w:rPr>
              <w:t>±2.5</w:t>
            </w:r>
            <w:r w:rsidRPr="00662210">
              <w:rPr>
                <w:rFonts w:asciiTheme="minorHAnsi" w:hAnsiTheme="minorHAnsi"/>
                <w:sz w:val="20"/>
                <w:szCs w:val="20"/>
              </w:rPr>
              <w:t>*</w:t>
            </w:r>
          </w:p>
        </w:tc>
        <w:tc>
          <w:tcPr>
            <w:tcW w:w="1770" w:type="dxa"/>
            <w:vAlign w:val="center"/>
          </w:tcPr>
          <w:p w:rsidR="00077566" w:rsidRPr="00662210" w:rsidRDefault="00077566" w:rsidP="00DA2056">
            <w:pPr>
              <w:pStyle w:val="NoSpacing"/>
              <w:jc w:val="center"/>
              <w:rPr>
                <w:rFonts w:asciiTheme="minorHAnsi" w:hAnsiTheme="minorHAnsi"/>
                <w:sz w:val="20"/>
                <w:szCs w:val="20"/>
              </w:rPr>
            </w:pPr>
            <w:r w:rsidRPr="00662210">
              <w:rPr>
                <w:rFonts w:asciiTheme="minorHAnsi" w:hAnsiTheme="minorHAnsi"/>
                <w:sz w:val="20"/>
                <w:szCs w:val="20"/>
              </w:rPr>
              <w:t>1.8(0.6,2.9)</w:t>
            </w:r>
          </w:p>
        </w:tc>
        <w:tc>
          <w:tcPr>
            <w:tcW w:w="1071" w:type="dxa"/>
          </w:tcPr>
          <w:p w:rsidR="00077566" w:rsidRPr="00662210" w:rsidRDefault="00077566" w:rsidP="00DA2056">
            <w:pPr>
              <w:pStyle w:val="NoSpacing"/>
              <w:jc w:val="center"/>
              <w:rPr>
                <w:rFonts w:asciiTheme="minorHAnsi" w:hAnsiTheme="minorHAnsi"/>
                <w:b/>
                <w:sz w:val="20"/>
                <w:szCs w:val="20"/>
              </w:rPr>
            </w:pPr>
            <w:r w:rsidRPr="00662210">
              <w:rPr>
                <w:rFonts w:asciiTheme="minorHAnsi" w:hAnsiTheme="minorHAnsi"/>
                <w:b/>
                <w:sz w:val="20"/>
                <w:szCs w:val="20"/>
              </w:rPr>
              <w:t>0.004</w:t>
            </w:r>
          </w:p>
        </w:tc>
      </w:tr>
      <w:tr w:rsidR="00077566" w:rsidTr="00DA2056">
        <w:tc>
          <w:tcPr>
            <w:tcW w:w="5557" w:type="dxa"/>
            <w:vAlign w:val="center"/>
          </w:tcPr>
          <w:p w:rsidR="00077566" w:rsidRPr="00662210" w:rsidRDefault="00077566" w:rsidP="00DA2056">
            <w:pPr>
              <w:pStyle w:val="NoSpacing"/>
              <w:rPr>
                <w:rFonts w:asciiTheme="minorHAnsi" w:hAnsiTheme="minorHAnsi"/>
                <w:sz w:val="20"/>
                <w:szCs w:val="20"/>
              </w:rPr>
            </w:pPr>
            <w:r w:rsidRPr="00662210">
              <w:rPr>
                <w:rFonts w:asciiTheme="minorHAnsi" w:hAnsiTheme="minorHAnsi"/>
                <w:sz w:val="20"/>
                <w:szCs w:val="20"/>
              </w:rPr>
              <w:t>FMD (%)</w:t>
            </w:r>
          </w:p>
        </w:tc>
        <w:tc>
          <w:tcPr>
            <w:tcW w:w="2126" w:type="dxa"/>
            <w:vAlign w:val="center"/>
          </w:tcPr>
          <w:p w:rsidR="00077566" w:rsidRPr="00662210" w:rsidRDefault="00077566" w:rsidP="00DA2056">
            <w:pPr>
              <w:pStyle w:val="NoSpacing"/>
              <w:jc w:val="center"/>
              <w:rPr>
                <w:rFonts w:asciiTheme="minorHAnsi" w:hAnsiTheme="minorHAnsi"/>
                <w:sz w:val="20"/>
                <w:szCs w:val="20"/>
              </w:rPr>
            </w:pPr>
            <w:r w:rsidRPr="00662210">
              <w:rPr>
                <w:rFonts w:asciiTheme="minorHAnsi" w:hAnsiTheme="minorHAnsi"/>
                <w:sz w:val="20"/>
                <w:szCs w:val="20"/>
              </w:rPr>
              <w:t>7.0</w:t>
            </w:r>
            <w:r w:rsidRPr="00662210">
              <w:rPr>
                <w:rFonts w:asciiTheme="minorHAnsi" w:hAnsiTheme="minorHAnsi" w:cs="Times New Roman"/>
                <w:sz w:val="20"/>
                <w:szCs w:val="20"/>
              </w:rPr>
              <w:t>±3.4</w:t>
            </w:r>
          </w:p>
        </w:tc>
        <w:tc>
          <w:tcPr>
            <w:tcW w:w="2058" w:type="dxa"/>
            <w:vAlign w:val="center"/>
          </w:tcPr>
          <w:p w:rsidR="00077566" w:rsidRPr="00662210" w:rsidRDefault="00077566" w:rsidP="00DA2056">
            <w:pPr>
              <w:pStyle w:val="NoSpacing"/>
              <w:jc w:val="center"/>
              <w:rPr>
                <w:rFonts w:asciiTheme="minorHAnsi" w:hAnsiTheme="minorHAnsi"/>
                <w:sz w:val="20"/>
                <w:szCs w:val="20"/>
              </w:rPr>
            </w:pPr>
            <w:r w:rsidRPr="00662210">
              <w:rPr>
                <w:rFonts w:asciiTheme="minorHAnsi" w:hAnsiTheme="minorHAnsi"/>
                <w:sz w:val="20"/>
                <w:szCs w:val="20"/>
              </w:rPr>
              <w:t>6.8</w:t>
            </w:r>
            <w:r w:rsidRPr="00662210">
              <w:rPr>
                <w:rFonts w:asciiTheme="minorHAnsi" w:hAnsiTheme="minorHAnsi" w:cs="Times New Roman"/>
                <w:sz w:val="20"/>
                <w:szCs w:val="20"/>
              </w:rPr>
              <w:t>±3.1</w:t>
            </w:r>
          </w:p>
        </w:tc>
        <w:tc>
          <w:tcPr>
            <w:tcW w:w="1770" w:type="dxa"/>
            <w:vAlign w:val="center"/>
          </w:tcPr>
          <w:p w:rsidR="00077566" w:rsidRPr="00662210" w:rsidRDefault="00077566" w:rsidP="00DA2056">
            <w:pPr>
              <w:pStyle w:val="NoSpacing"/>
              <w:jc w:val="center"/>
              <w:rPr>
                <w:rFonts w:asciiTheme="minorHAnsi" w:hAnsiTheme="minorHAnsi"/>
                <w:sz w:val="20"/>
                <w:szCs w:val="20"/>
              </w:rPr>
            </w:pPr>
            <w:r w:rsidRPr="00662210">
              <w:rPr>
                <w:rFonts w:asciiTheme="minorHAnsi" w:hAnsiTheme="minorHAnsi"/>
                <w:sz w:val="20"/>
                <w:szCs w:val="20"/>
              </w:rPr>
              <w:t>-0.2(-1.8,1.4)</w:t>
            </w:r>
          </w:p>
        </w:tc>
        <w:tc>
          <w:tcPr>
            <w:tcW w:w="1071" w:type="dxa"/>
          </w:tcPr>
          <w:p w:rsidR="00077566" w:rsidRPr="00662210" w:rsidRDefault="00077566" w:rsidP="00DA2056">
            <w:pPr>
              <w:pStyle w:val="NoSpacing"/>
              <w:jc w:val="center"/>
              <w:rPr>
                <w:rFonts w:asciiTheme="minorHAnsi" w:hAnsiTheme="minorHAnsi"/>
                <w:b/>
                <w:sz w:val="20"/>
                <w:szCs w:val="20"/>
              </w:rPr>
            </w:pPr>
            <w:r w:rsidRPr="00662210">
              <w:rPr>
                <w:rFonts w:asciiTheme="minorHAnsi" w:hAnsiTheme="minorHAnsi"/>
                <w:b/>
                <w:sz w:val="20"/>
                <w:szCs w:val="20"/>
              </w:rPr>
              <w:t>0.805</w:t>
            </w:r>
          </w:p>
        </w:tc>
      </w:tr>
      <w:tr w:rsidR="00077566" w:rsidTr="00DA2056">
        <w:tc>
          <w:tcPr>
            <w:tcW w:w="5557" w:type="dxa"/>
            <w:vAlign w:val="center"/>
          </w:tcPr>
          <w:p w:rsidR="00077566" w:rsidRPr="00662210" w:rsidRDefault="00077566" w:rsidP="00DA2056">
            <w:pPr>
              <w:pStyle w:val="NoSpacing"/>
              <w:rPr>
                <w:rFonts w:asciiTheme="minorHAnsi" w:hAnsiTheme="minorHAnsi"/>
                <w:sz w:val="20"/>
                <w:szCs w:val="20"/>
              </w:rPr>
            </w:pPr>
          </w:p>
        </w:tc>
        <w:tc>
          <w:tcPr>
            <w:tcW w:w="2126" w:type="dxa"/>
            <w:vAlign w:val="center"/>
          </w:tcPr>
          <w:p w:rsidR="00077566" w:rsidRPr="00662210" w:rsidRDefault="00077566" w:rsidP="00DA2056">
            <w:pPr>
              <w:pStyle w:val="NoSpacing"/>
              <w:jc w:val="center"/>
              <w:rPr>
                <w:rFonts w:asciiTheme="minorHAnsi" w:hAnsiTheme="minorHAnsi"/>
                <w:sz w:val="20"/>
                <w:szCs w:val="20"/>
              </w:rPr>
            </w:pPr>
          </w:p>
        </w:tc>
        <w:tc>
          <w:tcPr>
            <w:tcW w:w="2058" w:type="dxa"/>
            <w:vAlign w:val="center"/>
          </w:tcPr>
          <w:p w:rsidR="00077566" w:rsidRPr="00662210" w:rsidRDefault="00077566" w:rsidP="00DA2056">
            <w:pPr>
              <w:pStyle w:val="NoSpacing"/>
              <w:jc w:val="center"/>
              <w:rPr>
                <w:rFonts w:asciiTheme="minorHAnsi" w:hAnsiTheme="minorHAnsi"/>
                <w:sz w:val="20"/>
                <w:szCs w:val="20"/>
              </w:rPr>
            </w:pPr>
          </w:p>
        </w:tc>
        <w:tc>
          <w:tcPr>
            <w:tcW w:w="1770" w:type="dxa"/>
            <w:vAlign w:val="center"/>
          </w:tcPr>
          <w:p w:rsidR="00077566" w:rsidRPr="00662210" w:rsidRDefault="00077566" w:rsidP="00DA2056">
            <w:pPr>
              <w:pStyle w:val="NoSpacing"/>
              <w:jc w:val="center"/>
              <w:rPr>
                <w:rFonts w:asciiTheme="minorHAnsi" w:hAnsiTheme="minorHAnsi"/>
                <w:sz w:val="20"/>
                <w:szCs w:val="20"/>
              </w:rPr>
            </w:pPr>
          </w:p>
        </w:tc>
        <w:tc>
          <w:tcPr>
            <w:tcW w:w="1071" w:type="dxa"/>
          </w:tcPr>
          <w:p w:rsidR="00077566" w:rsidRPr="00662210" w:rsidRDefault="00077566" w:rsidP="00DA2056">
            <w:pPr>
              <w:pStyle w:val="NoSpacing"/>
              <w:jc w:val="center"/>
              <w:rPr>
                <w:rFonts w:asciiTheme="minorHAnsi" w:hAnsiTheme="minorHAnsi"/>
                <w:sz w:val="20"/>
                <w:szCs w:val="20"/>
              </w:rPr>
            </w:pPr>
          </w:p>
        </w:tc>
      </w:tr>
      <w:tr w:rsidR="00077566" w:rsidRPr="00514F8F" w:rsidTr="00DA2056">
        <w:tc>
          <w:tcPr>
            <w:tcW w:w="5557" w:type="dxa"/>
            <w:vAlign w:val="center"/>
          </w:tcPr>
          <w:p w:rsidR="00077566" w:rsidRPr="00662210" w:rsidRDefault="00077566" w:rsidP="00DA2056">
            <w:pPr>
              <w:pStyle w:val="NoSpacing"/>
              <w:rPr>
                <w:rFonts w:asciiTheme="minorHAnsi" w:hAnsiTheme="minorHAnsi"/>
                <w:sz w:val="20"/>
                <w:szCs w:val="20"/>
              </w:rPr>
            </w:pPr>
            <w:r w:rsidRPr="00662210">
              <w:rPr>
                <w:rFonts w:asciiTheme="minorHAnsi" w:hAnsiTheme="minorHAnsi"/>
                <w:sz w:val="20"/>
                <w:szCs w:val="20"/>
              </w:rPr>
              <w:t>NO Bioavailability(% change from buffer-treated cells)</w:t>
            </w:r>
          </w:p>
        </w:tc>
        <w:tc>
          <w:tcPr>
            <w:tcW w:w="2126" w:type="dxa"/>
            <w:vAlign w:val="center"/>
          </w:tcPr>
          <w:p w:rsidR="00077566" w:rsidRPr="00662210" w:rsidRDefault="00077566" w:rsidP="00DA2056">
            <w:pPr>
              <w:pStyle w:val="NoSpacing"/>
              <w:jc w:val="center"/>
              <w:rPr>
                <w:rFonts w:asciiTheme="minorHAnsi" w:hAnsiTheme="minorHAnsi"/>
                <w:sz w:val="20"/>
                <w:szCs w:val="20"/>
              </w:rPr>
            </w:pPr>
            <w:r w:rsidRPr="00662210">
              <w:rPr>
                <w:rFonts w:asciiTheme="minorHAnsi" w:hAnsiTheme="minorHAnsi"/>
                <w:sz w:val="20"/>
                <w:szCs w:val="20"/>
              </w:rPr>
              <w:t>33.3±7.3</w:t>
            </w:r>
          </w:p>
        </w:tc>
        <w:tc>
          <w:tcPr>
            <w:tcW w:w="2058" w:type="dxa"/>
            <w:vAlign w:val="center"/>
          </w:tcPr>
          <w:p w:rsidR="00077566" w:rsidRPr="00662210" w:rsidRDefault="00077566" w:rsidP="00DA2056">
            <w:pPr>
              <w:pStyle w:val="NoSpacing"/>
              <w:jc w:val="center"/>
              <w:rPr>
                <w:rFonts w:asciiTheme="minorHAnsi" w:hAnsiTheme="minorHAnsi"/>
                <w:sz w:val="20"/>
                <w:szCs w:val="20"/>
              </w:rPr>
            </w:pPr>
            <w:r w:rsidRPr="00662210">
              <w:rPr>
                <w:rFonts w:asciiTheme="minorHAnsi" w:hAnsiTheme="minorHAnsi"/>
                <w:sz w:val="20"/>
                <w:szCs w:val="20"/>
              </w:rPr>
              <w:t>25.0±7.7*</w:t>
            </w:r>
          </w:p>
        </w:tc>
        <w:tc>
          <w:tcPr>
            <w:tcW w:w="1770" w:type="dxa"/>
            <w:vAlign w:val="center"/>
          </w:tcPr>
          <w:p w:rsidR="00077566" w:rsidRPr="00662210" w:rsidRDefault="00077566" w:rsidP="00DA2056">
            <w:pPr>
              <w:pStyle w:val="NoSpacing"/>
              <w:jc w:val="center"/>
              <w:rPr>
                <w:rFonts w:asciiTheme="minorHAnsi" w:hAnsiTheme="minorHAnsi"/>
                <w:sz w:val="20"/>
                <w:szCs w:val="20"/>
              </w:rPr>
            </w:pPr>
            <w:r w:rsidRPr="00662210">
              <w:rPr>
                <w:rFonts w:asciiTheme="minorHAnsi" w:hAnsiTheme="minorHAnsi"/>
                <w:sz w:val="20"/>
                <w:szCs w:val="20"/>
              </w:rPr>
              <w:t>-8(-12,-4)</w:t>
            </w:r>
          </w:p>
        </w:tc>
        <w:tc>
          <w:tcPr>
            <w:tcW w:w="1071" w:type="dxa"/>
          </w:tcPr>
          <w:p w:rsidR="00077566" w:rsidRPr="00662210" w:rsidRDefault="00077566" w:rsidP="00DA2056">
            <w:pPr>
              <w:pStyle w:val="NoSpacing"/>
              <w:jc w:val="center"/>
              <w:rPr>
                <w:rFonts w:asciiTheme="minorHAnsi" w:hAnsiTheme="minorHAnsi"/>
                <w:b/>
                <w:sz w:val="20"/>
                <w:szCs w:val="20"/>
              </w:rPr>
            </w:pPr>
            <w:r w:rsidRPr="00662210">
              <w:rPr>
                <w:rFonts w:asciiTheme="minorHAnsi" w:hAnsiTheme="minorHAnsi"/>
                <w:b/>
                <w:sz w:val="20"/>
                <w:szCs w:val="20"/>
              </w:rPr>
              <w:t>&lt;0.001</w:t>
            </w:r>
          </w:p>
        </w:tc>
      </w:tr>
      <w:tr w:rsidR="00077566" w:rsidRPr="00514F8F" w:rsidTr="00DA2056">
        <w:tc>
          <w:tcPr>
            <w:tcW w:w="5557" w:type="dxa"/>
            <w:vAlign w:val="center"/>
          </w:tcPr>
          <w:p w:rsidR="00077566" w:rsidRPr="00662210" w:rsidRDefault="00077566" w:rsidP="00DA2056">
            <w:pPr>
              <w:pStyle w:val="NoSpacing"/>
              <w:rPr>
                <w:rFonts w:asciiTheme="minorHAnsi" w:hAnsiTheme="minorHAnsi"/>
                <w:sz w:val="20"/>
                <w:szCs w:val="20"/>
              </w:rPr>
            </w:pPr>
            <w:r w:rsidRPr="00662210">
              <w:rPr>
                <w:rFonts w:asciiTheme="minorHAnsi" w:hAnsiTheme="minorHAnsi"/>
                <w:sz w:val="20"/>
                <w:szCs w:val="20"/>
              </w:rPr>
              <w:t>SO Production(nmol O</w:t>
            </w:r>
            <w:r w:rsidRPr="00662210">
              <w:rPr>
                <w:rFonts w:asciiTheme="minorHAnsi" w:hAnsiTheme="minorHAnsi"/>
                <w:sz w:val="20"/>
                <w:szCs w:val="20"/>
                <w:vertAlign w:val="subscript"/>
              </w:rPr>
              <w:t>2</w:t>
            </w:r>
            <w:r w:rsidRPr="00662210">
              <w:rPr>
                <w:rFonts w:asciiTheme="minorHAnsi" w:hAnsiTheme="minorHAnsi"/>
                <w:sz w:val="20"/>
                <w:szCs w:val="20"/>
              </w:rPr>
              <w:t xml:space="preserve"> per 250,000 cells)</w:t>
            </w:r>
          </w:p>
        </w:tc>
        <w:tc>
          <w:tcPr>
            <w:tcW w:w="2126" w:type="dxa"/>
            <w:vAlign w:val="center"/>
          </w:tcPr>
          <w:p w:rsidR="00077566" w:rsidRPr="00662210" w:rsidRDefault="00077566" w:rsidP="00DA2056">
            <w:pPr>
              <w:pStyle w:val="NoSpacing"/>
              <w:jc w:val="center"/>
              <w:rPr>
                <w:rFonts w:asciiTheme="minorHAnsi" w:hAnsiTheme="minorHAnsi"/>
                <w:sz w:val="20"/>
                <w:szCs w:val="20"/>
              </w:rPr>
            </w:pPr>
            <w:r w:rsidRPr="00662210">
              <w:rPr>
                <w:rFonts w:asciiTheme="minorHAnsi" w:hAnsiTheme="minorHAnsi"/>
                <w:sz w:val="20"/>
                <w:szCs w:val="20"/>
              </w:rPr>
              <w:t>2.11±3.49</w:t>
            </w:r>
          </w:p>
        </w:tc>
        <w:tc>
          <w:tcPr>
            <w:tcW w:w="2058" w:type="dxa"/>
            <w:vAlign w:val="center"/>
          </w:tcPr>
          <w:p w:rsidR="00077566" w:rsidRPr="00662210" w:rsidRDefault="00077566" w:rsidP="00DA2056">
            <w:pPr>
              <w:pStyle w:val="NoSpacing"/>
              <w:jc w:val="center"/>
              <w:rPr>
                <w:rFonts w:asciiTheme="minorHAnsi" w:hAnsiTheme="minorHAnsi"/>
                <w:sz w:val="20"/>
                <w:szCs w:val="20"/>
              </w:rPr>
            </w:pPr>
            <w:r w:rsidRPr="00662210">
              <w:rPr>
                <w:rFonts w:asciiTheme="minorHAnsi" w:hAnsiTheme="minorHAnsi"/>
                <w:sz w:val="20"/>
                <w:szCs w:val="20"/>
              </w:rPr>
              <w:t xml:space="preserve">3.95±3.57* </w:t>
            </w:r>
          </w:p>
        </w:tc>
        <w:tc>
          <w:tcPr>
            <w:tcW w:w="1770" w:type="dxa"/>
            <w:vAlign w:val="center"/>
          </w:tcPr>
          <w:p w:rsidR="00077566" w:rsidRPr="00662210" w:rsidRDefault="00077566" w:rsidP="00DA2056">
            <w:pPr>
              <w:pStyle w:val="NoSpacing"/>
              <w:jc w:val="center"/>
              <w:rPr>
                <w:rFonts w:asciiTheme="minorHAnsi" w:hAnsiTheme="minorHAnsi"/>
                <w:sz w:val="20"/>
                <w:szCs w:val="20"/>
              </w:rPr>
            </w:pPr>
            <w:r w:rsidRPr="00662210">
              <w:rPr>
                <w:rFonts w:asciiTheme="minorHAnsi" w:hAnsiTheme="minorHAnsi"/>
                <w:sz w:val="20"/>
                <w:szCs w:val="20"/>
              </w:rPr>
              <w:t>1.8(0.1,3.5)</w:t>
            </w:r>
          </w:p>
        </w:tc>
        <w:tc>
          <w:tcPr>
            <w:tcW w:w="1071" w:type="dxa"/>
          </w:tcPr>
          <w:p w:rsidR="00077566" w:rsidRPr="00662210" w:rsidRDefault="00077566" w:rsidP="00DA2056">
            <w:pPr>
              <w:pStyle w:val="NoSpacing"/>
              <w:jc w:val="center"/>
              <w:rPr>
                <w:rFonts w:asciiTheme="minorHAnsi" w:hAnsiTheme="minorHAnsi"/>
                <w:b/>
                <w:sz w:val="20"/>
                <w:szCs w:val="20"/>
              </w:rPr>
            </w:pPr>
            <w:r w:rsidRPr="00662210">
              <w:rPr>
                <w:rFonts w:asciiTheme="minorHAnsi" w:hAnsiTheme="minorHAnsi"/>
                <w:b/>
                <w:sz w:val="20"/>
                <w:szCs w:val="20"/>
              </w:rPr>
              <w:t>0.048</w:t>
            </w:r>
          </w:p>
        </w:tc>
      </w:tr>
      <w:tr w:rsidR="00077566" w:rsidRPr="00514F8F" w:rsidTr="00DA2056">
        <w:trPr>
          <w:trHeight w:val="282"/>
        </w:trPr>
        <w:tc>
          <w:tcPr>
            <w:tcW w:w="5557" w:type="dxa"/>
            <w:vAlign w:val="center"/>
          </w:tcPr>
          <w:p w:rsidR="00077566" w:rsidRPr="00662210" w:rsidRDefault="00077566" w:rsidP="00DA2056">
            <w:pPr>
              <w:pStyle w:val="NoSpacing"/>
              <w:rPr>
                <w:rFonts w:asciiTheme="minorHAnsi" w:hAnsiTheme="minorHAnsi"/>
                <w:sz w:val="20"/>
                <w:szCs w:val="20"/>
              </w:rPr>
            </w:pPr>
            <w:r w:rsidRPr="00662210">
              <w:rPr>
                <w:rFonts w:asciiTheme="minorHAnsi" w:hAnsiTheme="minorHAnsi"/>
                <w:sz w:val="20"/>
                <w:szCs w:val="20"/>
              </w:rPr>
              <w:t>PON-1 Activity(µMol P-Nitrophenol/L/serum/min)</w:t>
            </w:r>
          </w:p>
        </w:tc>
        <w:tc>
          <w:tcPr>
            <w:tcW w:w="2126" w:type="dxa"/>
            <w:vAlign w:val="center"/>
          </w:tcPr>
          <w:p w:rsidR="00077566" w:rsidRPr="00662210" w:rsidRDefault="00077566" w:rsidP="00DA2056">
            <w:pPr>
              <w:pStyle w:val="NoSpacing"/>
              <w:jc w:val="center"/>
              <w:rPr>
                <w:rFonts w:asciiTheme="minorHAnsi" w:hAnsiTheme="minorHAnsi"/>
                <w:sz w:val="20"/>
                <w:szCs w:val="20"/>
              </w:rPr>
            </w:pPr>
            <w:r w:rsidRPr="00662210">
              <w:rPr>
                <w:rFonts w:asciiTheme="minorHAnsi" w:hAnsiTheme="minorHAnsi"/>
                <w:sz w:val="20"/>
                <w:szCs w:val="20"/>
              </w:rPr>
              <w:t>564</w:t>
            </w:r>
            <w:r w:rsidRPr="00662210">
              <w:rPr>
                <w:rFonts w:asciiTheme="minorHAnsi" w:hAnsiTheme="minorHAnsi" w:cs="Times New Roman"/>
                <w:sz w:val="20"/>
                <w:szCs w:val="20"/>
              </w:rPr>
              <w:t>±373</w:t>
            </w:r>
          </w:p>
        </w:tc>
        <w:tc>
          <w:tcPr>
            <w:tcW w:w="2058" w:type="dxa"/>
            <w:vAlign w:val="center"/>
          </w:tcPr>
          <w:p w:rsidR="00077566" w:rsidRPr="00662210" w:rsidRDefault="00077566" w:rsidP="00DA2056">
            <w:pPr>
              <w:pStyle w:val="NoSpacing"/>
              <w:jc w:val="center"/>
              <w:rPr>
                <w:rFonts w:asciiTheme="minorHAnsi" w:hAnsiTheme="minorHAnsi"/>
                <w:sz w:val="20"/>
                <w:szCs w:val="20"/>
              </w:rPr>
            </w:pPr>
            <w:r w:rsidRPr="00662210">
              <w:rPr>
                <w:rFonts w:asciiTheme="minorHAnsi" w:hAnsiTheme="minorHAnsi"/>
                <w:sz w:val="20"/>
                <w:szCs w:val="20"/>
              </w:rPr>
              <w:t>533</w:t>
            </w:r>
            <w:r w:rsidRPr="00662210">
              <w:rPr>
                <w:rFonts w:asciiTheme="minorHAnsi" w:hAnsiTheme="minorHAnsi" w:cs="Times New Roman"/>
                <w:sz w:val="20"/>
                <w:szCs w:val="20"/>
              </w:rPr>
              <w:t>±407</w:t>
            </w:r>
          </w:p>
        </w:tc>
        <w:tc>
          <w:tcPr>
            <w:tcW w:w="1770" w:type="dxa"/>
            <w:vAlign w:val="center"/>
          </w:tcPr>
          <w:p w:rsidR="00077566" w:rsidRPr="00662210" w:rsidRDefault="00077566" w:rsidP="00DA2056">
            <w:pPr>
              <w:pStyle w:val="NoSpacing"/>
              <w:jc w:val="center"/>
              <w:rPr>
                <w:rFonts w:asciiTheme="minorHAnsi" w:hAnsiTheme="minorHAnsi"/>
                <w:sz w:val="20"/>
                <w:szCs w:val="20"/>
              </w:rPr>
            </w:pPr>
            <w:r w:rsidRPr="00662210">
              <w:rPr>
                <w:rFonts w:asciiTheme="minorHAnsi" w:hAnsiTheme="minorHAnsi"/>
                <w:sz w:val="20"/>
                <w:szCs w:val="20"/>
              </w:rPr>
              <w:t>-31(-212,149)</w:t>
            </w:r>
          </w:p>
        </w:tc>
        <w:tc>
          <w:tcPr>
            <w:tcW w:w="1071" w:type="dxa"/>
          </w:tcPr>
          <w:p w:rsidR="00077566" w:rsidRPr="00662210" w:rsidRDefault="00077566" w:rsidP="00DA2056">
            <w:pPr>
              <w:pStyle w:val="NoSpacing"/>
              <w:jc w:val="center"/>
              <w:rPr>
                <w:rFonts w:asciiTheme="minorHAnsi" w:hAnsiTheme="minorHAnsi"/>
                <w:sz w:val="20"/>
                <w:szCs w:val="20"/>
              </w:rPr>
            </w:pPr>
            <w:r w:rsidRPr="00662210">
              <w:rPr>
                <w:rFonts w:asciiTheme="minorHAnsi" w:hAnsiTheme="minorHAnsi"/>
                <w:sz w:val="20"/>
                <w:szCs w:val="20"/>
              </w:rPr>
              <w:t>0.735</w:t>
            </w:r>
          </w:p>
        </w:tc>
      </w:tr>
    </w:tbl>
    <w:p w:rsidR="00077566" w:rsidRDefault="00077566" w:rsidP="00077566">
      <w:pPr>
        <w:pStyle w:val="Heading1"/>
        <w:rPr>
          <w:noProof/>
          <w:lang w:eastAsia="en-GB"/>
        </w:rPr>
      </w:pPr>
    </w:p>
    <w:p w:rsidR="00077566" w:rsidRPr="00714BC6" w:rsidRDefault="00077566" w:rsidP="00077566">
      <w:pPr>
        <w:pStyle w:val="Heading1"/>
        <w:rPr>
          <w:noProof/>
          <w:lang w:eastAsia="en-GB"/>
        </w:rPr>
      </w:pPr>
      <w:r>
        <w:rPr>
          <w:noProof/>
          <w:lang w:eastAsia="en-GB"/>
        </w:rPr>
        <w:t>Table 2:</w:t>
      </w:r>
    </w:p>
    <w:p w:rsidR="00077566" w:rsidRDefault="00077566" w:rsidP="003E52DE">
      <w:pPr>
        <w:sectPr w:rsidR="00077566" w:rsidSect="00077566">
          <w:pgSz w:w="16838" w:h="11906" w:orient="landscape"/>
          <w:pgMar w:top="426" w:right="1440" w:bottom="1440" w:left="1440" w:header="708" w:footer="708" w:gutter="0"/>
          <w:cols w:space="708"/>
          <w:docGrid w:linePitch="360"/>
        </w:sectPr>
      </w:pPr>
    </w:p>
    <w:p w:rsidR="00077566" w:rsidRDefault="00077566" w:rsidP="00077566">
      <w:pPr>
        <w:pStyle w:val="Heading1"/>
        <w:rPr>
          <w:noProof/>
          <w:lang w:eastAsia="en-GB"/>
        </w:rPr>
      </w:pPr>
    </w:p>
    <w:p w:rsidR="00077566" w:rsidRDefault="00077566" w:rsidP="00077566">
      <w:pPr>
        <w:pStyle w:val="Heading1"/>
        <w:rPr>
          <w:noProof/>
          <w:lang w:eastAsia="en-GB"/>
        </w:rPr>
      </w:pPr>
      <w:r>
        <w:rPr>
          <w:noProof/>
          <w:lang w:eastAsia="en-GB"/>
        </w:rPr>
        <w:t>Table 3</w:t>
      </w:r>
    </w:p>
    <w:tbl>
      <w:tblPr>
        <w:tblStyle w:val="TableGrid"/>
        <w:tblpPr w:leftFromText="180" w:rightFromText="180" w:vertAnchor="page" w:horzAnchor="margin" w:tblpXSpec="center" w:tblpY="2657"/>
        <w:tblW w:w="12860" w:type="dxa"/>
        <w:tblLayout w:type="fixed"/>
        <w:tblLook w:val="04A0" w:firstRow="1" w:lastRow="0" w:firstColumn="1" w:lastColumn="0" w:noHBand="0" w:noVBand="1"/>
      </w:tblPr>
      <w:tblGrid>
        <w:gridCol w:w="2802"/>
        <w:gridCol w:w="2268"/>
        <w:gridCol w:w="992"/>
        <w:gridCol w:w="2410"/>
        <w:gridCol w:w="992"/>
        <w:gridCol w:w="2262"/>
        <w:gridCol w:w="1134"/>
      </w:tblGrid>
      <w:tr w:rsidR="00077566" w:rsidTr="00DA2056">
        <w:tc>
          <w:tcPr>
            <w:tcW w:w="2802" w:type="dxa"/>
            <w:shd w:val="clear" w:color="auto" w:fill="BFBFBF" w:themeFill="background1" w:themeFillShade="BF"/>
            <w:vAlign w:val="center"/>
          </w:tcPr>
          <w:p w:rsidR="00077566" w:rsidRPr="008B435F" w:rsidRDefault="00077566" w:rsidP="00DA2056">
            <w:pPr>
              <w:jc w:val="center"/>
              <w:rPr>
                <w:sz w:val="20"/>
                <w:szCs w:val="20"/>
              </w:rPr>
            </w:pPr>
          </w:p>
        </w:tc>
        <w:tc>
          <w:tcPr>
            <w:tcW w:w="3260" w:type="dxa"/>
            <w:gridSpan w:val="2"/>
            <w:shd w:val="clear" w:color="auto" w:fill="BFBFBF" w:themeFill="background1" w:themeFillShade="BF"/>
            <w:vAlign w:val="center"/>
          </w:tcPr>
          <w:p w:rsidR="00077566" w:rsidRPr="008B435F" w:rsidRDefault="00077566" w:rsidP="00DA2056">
            <w:pPr>
              <w:pStyle w:val="NoSpacing"/>
              <w:jc w:val="center"/>
              <w:rPr>
                <w:rFonts w:asciiTheme="minorHAnsi" w:hAnsiTheme="minorHAnsi"/>
                <w:b/>
                <w:sz w:val="20"/>
                <w:szCs w:val="20"/>
              </w:rPr>
            </w:pPr>
            <w:r w:rsidRPr="008B435F">
              <w:rPr>
                <w:rFonts w:asciiTheme="minorHAnsi" w:hAnsiTheme="minorHAnsi"/>
                <w:b/>
                <w:sz w:val="20"/>
                <w:szCs w:val="20"/>
              </w:rPr>
              <w:t>NO Bioavailability</w:t>
            </w:r>
          </w:p>
          <w:p w:rsidR="00077566" w:rsidRPr="008B435F" w:rsidRDefault="00077566" w:rsidP="00DA2056">
            <w:pPr>
              <w:pStyle w:val="NoSpacing"/>
              <w:jc w:val="center"/>
              <w:rPr>
                <w:rFonts w:asciiTheme="minorHAnsi" w:hAnsiTheme="minorHAnsi"/>
                <w:b/>
                <w:sz w:val="20"/>
                <w:szCs w:val="20"/>
              </w:rPr>
            </w:pPr>
            <w:r w:rsidRPr="008B435F">
              <w:rPr>
                <w:rFonts w:asciiTheme="minorHAnsi" w:hAnsiTheme="minorHAnsi"/>
                <w:b/>
                <w:sz w:val="20"/>
                <w:szCs w:val="20"/>
              </w:rPr>
              <w:t>(% change from buffer-treated cells)</w:t>
            </w:r>
          </w:p>
        </w:tc>
        <w:tc>
          <w:tcPr>
            <w:tcW w:w="3402" w:type="dxa"/>
            <w:gridSpan w:val="2"/>
            <w:shd w:val="clear" w:color="auto" w:fill="BFBFBF" w:themeFill="background1" w:themeFillShade="BF"/>
            <w:vAlign w:val="center"/>
          </w:tcPr>
          <w:p w:rsidR="00077566" w:rsidRPr="008B435F" w:rsidRDefault="00077566" w:rsidP="00DA2056">
            <w:pPr>
              <w:pStyle w:val="NoSpacing"/>
              <w:jc w:val="center"/>
              <w:rPr>
                <w:rFonts w:asciiTheme="minorHAnsi" w:hAnsiTheme="minorHAnsi"/>
                <w:b/>
                <w:sz w:val="20"/>
                <w:szCs w:val="20"/>
              </w:rPr>
            </w:pPr>
            <w:r w:rsidRPr="008B435F">
              <w:rPr>
                <w:rFonts w:asciiTheme="minorHAnsi" w:hAnsiTheme="minorHAnsi"/>
                <w:b/>
                <w:sz w:val="20"/>
                <w:szCs w:val="20"/>
              </w:rPr>
              <w:t>SO Production</w:t>
            </w:r>
          </w:p>
          <w:p w:rsidR="00077566" w:rsidRPr="008B435F" w:rsidRDefault="00077566" w:rsidP="00DA2056">
            <w:pPr>
              <w:pStyle w:val="NoSpacing"/>
              <w:jc w:val="center"/>
              <w:rPr>
                <w:rFonts w:asciiTheme="minorHAnsi" w:hAnsiTheme="minorHAnsi"/>
                <w:b/>
                <w:sz w:val="20"/>
                <w:szCs w:val="20"/>
              </w:rPr>
            </w:pPr>
            <w:r w:rsidRPr="008B435F">
              <w:rPr>
                <w:rFonts w:asciiTheme="minorHAnsi" w:hAnsiTheme="minorHAnsi"/>
                <w:b/>
                <w:sz w:val="20"/>
                <w:szCs w:val="20"/>
              </w:rPr>
              <w:t>(nmol O2 per 250,000 cells)</w:t>
            </w:r>
          </w:p>
        </w:tc>
        <w:tc>
          <w:tcPr>
            <w:tcW w:w="3396" w:type="dxa"/>
            <w:gridSpan w:val="2"/>
            <w:shd w:val="clear" w:color="auto" w:fill="BFBFBF" w:themeFill="background1" w:themeFillShade="BF"/>
            <w:vAlign w:val="center"/>
          </w:tcPr>
          <w:p w:rsidR="00077566" w:rsidRPr="008B435F" w:rsidRDefault="00077566" w:rsidP="00DA2056">
            <w:pPr>
              <w:pStyle w:val="NoSpacing"/>
              <w:jc w:val="center"/>
              <w:rPr>
                <w:rFonts w:asciiTheme="minorHAnsi" w:hAnsiTheme="minorHAnsi"/>
                <w:b/>
                <w:sz w:val="20"/>
                <w:szCs w:val="20"/>
              </w:rPr>
            </w:pPr>
            <w:r w:rsidRPr="008B435F">
              <w:rPr>
                <w:rFonts w:asciiTheme="minorHAnsi" w:hAnsiTheme="minorHAnsi"/>
                <w:b/>
                <w:sz w:val="20"/>
                <w:szCs w:val="20"/>
              </w:rPr>
              <w:t>PON-1 Activity</w:t>
            </w:r>
          </w:p>
          <w:p w:rsidR="00077566" w:rsidRPr="008B435F" w:rsidRDefault="00077566" w:rsidP="00DA2056">
            <w:pPr>
              <w:pStyle w:val="NoSpacing"/>
              <w:jc w:val="center"/>
              <w:rPr>
                <w:rFonts w:asciiTheme="minorHAnsi" w:hAnsiTheme="minorHAnsi"/>
                <w:b/>
                <w:sz w:val="20"/>
                <w:szCs w:val="20"/>
              </w:rPr>
            </w:pPr>
            <w:r w:rsidRPr="008B435F">
              <w:rPr>
                <w:rFonts w:asciiTheme="minorHAnsi" w:hAnsiTheme="minorHAnsi"/>
                <w:b/>
                <w:sz w:val="20"/>
                <w:szCs w:val="20"/>
              </w:rPr>
              <w:t>(µMol P-nitrophenol/L/serum/min)</w:t>
            </w:r>
          </w:p>
        </w:tc>
      </w:tr>
      <w:tr w:rsidR="00077566" w:rsidTr="00DA2056">
        <w:trPr>
          <w:trHeight w:val="247"/>
        </w:trPr>
        <w:tc>
          <w:tcPr>
            <w:tcW w:w="2802" w:type="dxa"/>
            <w:vAlign w:val="center"/>
          </w:tcPr>
          <w:p w:rsidR="00077566" w:rsidRPr="008B435F" w:rsidRDefault="00077566" w:rsidP="00DA2056">
            <w:pPr>
              <w:jc w:val="center"/>
              <w:rPr>
                <w:sz w:val="20"/>
                <w:szCs w:val="20"/>
              </w:rPr>
            </w:pPr>
          </w:p>
        </w:tc>
        <w:tc>
          <w:tcPr>
            <w:tcW w:w="2268" w:type="dxa"/>
            <w:vAlign w:val="center"/>
          </w:tcPr>
          <w:p w:rsidR="00077566" w:rsidRPr="008B435F" w:rsidRDefault="00077566" w:rsidP="00DA2056">
            <w:pPr>
              <w:jc w:val="center"/>
              <w:rPr>
                <w:i/>
                <w:sz w:val="20"/>
                <w:szCs w:val="20"/>
              </w:rPr>
            </w:pPr>
            <w:r w:rsidRPr="008B435F">
              <w:rPr>
                <w:i/>
                <w:sz w:val="20"/>
                <w:szCs w:val="20"/>
              </w:rPr>
              <w:t>Beta (95% CI)</w:t>
            </w:r>
          </w:p>
        </w:tc>
        <w:tc>
          <w:tcPr>
            <w:tcW w:w="992" w:type="dxa"/>
            <w:vAlign w:val="center"/>
          </w:tcPr>
          <w:p w:rsidR="00077566" w:rsidRPr="008B435F" w:rsidRDefault="00077566" w:rsidP="00DA2056">
            <w:pPr>
              <w:jc w:val="center"/>
              <w:rPr>
                <w:i/>
                <w:sz w:val="20"/>
                <w:szCs w:val="20"/>
              </w:rPr>
            </w:pPr>
            <w:r w:rsidRPr="008B435F">
              <w:rPr>
                <w:i/>
                <w:sz w:val="20"/>
                <w:szCs w:val="20"/>
              </w:rPr>
              <w:t>p</w:t>
            </w:r>
          </w:p>
        </w:tc>
        <w:tc>
          <w:tcPr>
            <w:tcW w:w="2410" w:type="dxa"/>
            <w:vAlign w:val="center"/>
          </w:tcPr>
          <w:p w:rsidR="00077566" w:rsidRPr="008B435F" w:rsidRDefault="00077566" w:rsidP="00DA2056">
            <w:pPr>
              <w:jc w:val="center"/>
              <w:rPr>
                <w:i/>
                <w:sz w:val="20"/>
                <w:szCs w:val="20"/>
              </w:rPr>
            </w:pPr>
            <w:r w:rsidRPr="008B435F">
              <w:rPr>
                <w:i/>
                <w:sz w:val="20"/>
                <w:szCs w:val="20"/>
              </w:rPr>
              <w:t>Beta (95% CI)</w:t>
            </w:r>
          </w:p>
        </w:tc>
        <w:tc>
          <w:tcPr>
            <w:tcW w:w="992" w:type="dxa"/>
            <w:vAlign w:val="center"/>
          </w:tcPr>
          <w:p w:rsidR="00077566" w:rsidRPr="008B435F" w:rsidRDefault="00077566" w:rsidP="00DA2056">
            <w:pPr>
              <w:jc w:val="center"/>
              <w:rPr>
                <w:i/>
                <w:sz w:val="20"/>
                <w:szCs w:val="20"/>
              </w:rPr>
            </w:pPr>
            <w:r w:rsidRPr="008B435F">
              <w:rPr>
                <w:i/>
                <w:sz w:val="20"/>
                <w:szCs w:val="20"/>
              </w:rPr>
              <w:t>p</w:t>
            </w:r>
          </w:p>
        </w:tc>
        <w:tc>
          <w:tcPr>
            <w:tcW w:w="2262" w:type="dxa"/>
            <w:vAlign w:val="center"/>
          </w:tcPr>
          <w:p w:rsidR="00077566" w:rsidRPr="008B435F" w:rsidRDefault="00077566" w:rsidP="00DA2056">
            <w:pPr>
              <w:jc w:val="center"/>
              <w:rPr>
                <w:i/>
                <w:sz w:val="20"/>
                <w:szCs w:val="20"/>
              </w:rPr>
            </w:pPr>
            <w:r w:rsidRPr="008B435F">
              <w:rPr>
                <w:i/>
                <w:sz w:val="20"/>
                <w:szCs w:val="20"/>
              </w:rPr>
              <w:t>Beta (95% CI)</w:t>
            </w:r>
          </w:p>
        </w:tc>
        <w:tc>
          <w:tcPr>
            <w:tcW w:w="1134" w:type="dxa"/>
            <w:vAlign w:val="center"/>
          </w:tcPr>
          <w:p w:rsidR="00077566" w:rsidRPr="008B435F" w:rsidRDefault="00077566" w:rsidP="00DA2056">
            <w:pPr>
              <w:jc w:val="center"/>
              <w:rPr>
                <w:i/>
                <w:sz w:val="20"/>
                <w:szCs w:val="20"/>
              </w:rPr>
            </w:pPr>
            <w:r w:rsidRPr="008B435F">
              <w:rPr>
                <w:i/>
                <w:sz w:val="20"/>
                <w:szCs w:val="20"/>
              </w:rPr>
              <w:t>p</w:t>
            </w:r>
          </w:p>
        </w:tc>
      </w:tr>
      <w:tr w:rsidR="00077566" w:rsidTr="00DA2056">
        <w:trPr>
          <w:trHeight w:val="355"/>
        </w:trPr>
        <w:tc>
          <w:tcPr>
            <w:tcW w:w="2802" w:type="dxa"/>
            <w:vAlign w:val="center"/>
          </w:tcPr>
          <w:p w:rsidR="00077566" w:rsidRPr="008B435F" w:rsidRDefault="00077566" w:rsidP="00DA2056">
            <w:pPr>
              <w:jc w:val="center"/>
              <w:rPr>
                <w:sz w:val="20"/>
                <w:szCs w:val="20"/>
              </w:rPr>
            </w:pPr>
            <w:r w:rsidRPr="008B435F">
              <w:rPr>
                <w:sz w:val="20"/>
                <w:szCs w:val="20"/>
              </w:rPr>
              <w:t>ACR Group(H/L)</w:t>
            </w:r>
          </w:p>
        </w:tc>
        <w:tc>
          <w:tcPr>
            <w:tcW w:w="2268" w:type="dxa"/>
            <w:vAlign w:val="center"/>
          </w:tcPr>
          <w:p w:rsidR="00077566" w:rsidRPr="008B435F" w:rsidRDefault="00077566" w:rsidP="00DA2056">
            <w:pPr>
              <w:jc w:val="center"/>
              <w:rPr>
                <w:sz w:val="20"/>
                <w:szCs w:val="20"/>
              </w:rPr>
            </w:pPr>
            <w:r w:rsidRPr="008B435F">
              <w:rPr>
                <w:b/>
                <w:sz w:val="20"/>
                <w:szCs w:val="20"/>
              </w:rPr>
              <w:t>-9.3(-13.7,-4.8)</w:t>
            </w:r>
          </w:p>
        </w:tc>
        <w:tc>
          <w:tcPr>
            <w:tcW w:w="992" w:type="dxa"/>
            <w:vAlign w:val="center"/>
          </w:tcPr>
          <w:p w:rsidR="00077566" w:rsidRPr="008B435F" w:rsidRDefault="00077566" w:rsidP="00DA2056">
            <w:pPr>
              <w:jc w:val="center"/>
              <w:rPr>
                <w:sz w:val="20"/>
                <w:szCs w:val="20"/>
              </w:rPr>
            </w:pPr>
            <w:r w:rsidRPr="008B435F">
              <w:rPr>
                <w:b/>
                <w:sz w:val="20"/>
                <w:szCs w:val="20"/>
              </w:rPr>
              <w:t>&lt;0.001</w:t>
            </w:r>
          </w:p>
        </w:tc>
        <w:tc>
          <w:tcPr>
            <w:tcW w:w="2410" w:type="dxa"/>
            <w:vAlign w:val="center"/>
          </w:tcPr>
          <w:p w:rsidR="00077566" w:rsidRPr="008B435F" w:rsidRDefault="00077566" w:rsidP="00DA2056">
            <w:pPr>
              <w:jc w:val="center"/>
              <w:rPr>
                <w:sz w:val="20"/>
                <w:szCs w:val="20"/>
              </w:rPr>
            </w:pPr>
            <w:r w:rsidRPr="008B435F">
              <w:rPr>
                <w:sz w:val="20"/>
                <w:szCs w:val="20"/>
              </w:rPr>
              <w:t>1.59(-0.38,3.56)</w:t>
            </w:r>
          </w:p>
        </w:tc>
        <w:tc>
          <w:tcPr>
            <w:tcW w:w="992" w:type="dxa"/>
            <w:vAlign w:val="center"/>
          </w:tcPr>
          <w:p w:rsidR="00077566" w:rsidRPr="008B435F" w:rsidRDefault="00077566" w:rsidP="00DA2056">
            <w:pPr>
              <w:jc w:val="center"/>
              <w:rPr>
                <w:sz w:val="20"/>
                <w:szCs w:val="20"/>
              </w:rPr>
            </w:pPr>
            <w:r w:rsidRPr="008B435F">
              <w:rPr>
                <w:sz w:val="20"/>
                <w:szCs w:val="20"/>
              </w:rPr>
              <w:t>0.112</w:t>
            </w:r>
          </w:p>
        </w:tc>
        <w:tc>
          <w:tcPr>
            <w:tcW w:w="2262" w:type="dxa"/>
            <w:vAlign w:val="center"/>
          </w:tcPr>
          <w:p w:rsidR="00077566" w:rsidRPr="008B435F" w:rsidRDefault="00077566" w:rsidP="00DA2056">
            <w:pPr>
              <w:jc w:val="center"/>
              <w:rPr>
                <w:sz w:val="20"/>
                <w:szCs w:val="20"/>
              </w:rPr>
            </w:pPr>
            <w:r w:rsidRPr="008B435F">
              <w:rPr>
                <w:sz w:val="20"/>
                <w:szCs w:val="20"/>
              </w:rPr>
              <w:t>-15(-234,204)</w:t>
            </w:r>
          </w:p>
        </w:tc>
        <w:tc>
          <w:tcPr>
            <w:tcW w:w="1134" w:type="dxa"/>
            <w:vAlign w:val="center"/>
          </w:tcPr>
          <w:p w:rsidR="00077566" w:rsidRPr="008B435F" w:rsidRDefault="00077566" w:rsidP="00DA2056">
            <w:pPr>
              <w:jc w:val="center"/>
              <w:rPr>
                <w:sz w:val="20"/>
                <w:szCs w:val="20"/>
              </w:rPr>
            </w:pPr>
            <w:r w:rsidRPr="008B435F">
              <w:rPr>
                <w:sz w:val="20"/>
                <w:szCs w:val="20"/>
              </w:rPr>
              <w:t>0.892</w:t>
            </w:r>
          </w:p>
        </w:tc>
      </w:tr>
      <w:tr w:rsidR="00077566" w:rsidTr="00DA2056">
        <w:tc>
          <w:tcPr>
            <w:tcW w:w="2802" w:type="dxa"/>
            <w:vAlign w:val="center"/>
          </w:tcPr>
          <w:p w:rsidR="00077566" w:rsidRPr="008B435F" w:rsidRDefault="00077566" w:rsidP="00DA2056">
            <w:pPr>
              <w:jc w:val="center"/>
              <w:rPr>
                <w:sz w:val="20"/>
                <w:szCs w:val="20"/>
              </w:rPr>
            </w:pPr>
            <w:r w:rsidRPr="008B435F">
              <w:rPr>
                <w:sz w:val="20"/>
                <w:szCs w:val="20"/>
              </w:rPr>
              <w:t>Inflammation(H/L)</w:t>
            </w:r>
          </w:p>
        </w:tc>
        <w:tc>
          <w:tcPr>
            <w:tcW w:w="2268" w:type="dxa"/>
            <w:vAlign w:val="center"/>
          </w:tcPr>
          <w:p w:rsidR="00077566" w:rsidRPr="008B435F" w:rsidRDefault="00077566" w:rsidP="00DA2056">
            <w:pPr>
              <w:jc w:val="center"/>
              <w:rPr>
                <w:b/>
                <w:sz w:val="20"/>
                <w:szCs w:val="20"/>
              </w:rPr>
            </w:pPr>
            <w:r w:rsidRPr="008B435F">
              <w:rPr>
                <w:sz w:val="20"/>
                <w:szCs w:val="20"/>
              </w:rPr>
              <w:t>-1.4(-5.7,3.0)</w:t>
            </w:r>
          </w:p>
        </w:tc>
        <w:tc>
          <w:tcPr>
            <w:tcW w:w="992" w:type="dxa"/>
            <w:vAlign w:val="center"/>
          </w:tcPr>
          <w:p w:rsidR="00077566" w:rsidRPr="008B435F" w:rsidRDefault="00077566" w:rsidP="00DA2056">
            <w:pPr>
              <w:jc w:val="center"/>
              <w:rPr>
                <w:b/>
                <w:sz w:val="20"/>
                <w:szCs w:val="20"/>
              </w:rPr>
            </w:pPr>
            <w:r w:rsidRPr="008B435F">
              <w:rPr>
                <w:sz w:val="20"/>
                <w:szCs w:val="20"/>
              </w:rPr>
              <w:t>0.527</w:t>
            </w:r>
          </w:p>
        </w:tc>
        <w:tc>
          <w:tcPr>
            <w:tcW w:w="2410" w:type="dxa"/>
            <w:vAlign w:val="center"/>
          </w:tcPr>
          <w:p w:rsidR="00077566" w:rsidRPr="008B435F" w:rsidRDefault="00077566" w:rsidP="00DA2056">
            <w:pPr>
              <w:jc w:val="center"/>
              <w:rPr>
                <w:sz w:val="20"/>
                <w:szCs w:val="20"/>
              </w:rPr>
            </w:pPr>
            <w:r w:rsidRPr="008B435F">
              <w:rPr>
                <w:b/>
                <w:sz w:val="20"/>
                <w:szCs w:val="20"/>
              </w:rPr>
              <w:t>2.35(0.42,4.27)</w:t>
            </w:r>
          </w:p>
        </w:tc>
        <w:tc>
          <w:tcPr>
            <w:tcW w:w="992" w:type="dxa"/>
            <w:vAlign w:val="center"/>
          </w:tcPr>
          <w:p w:rsidR="00077566" w:rsidRPr="008B435F" w:rsidRDefault="00077566" w:rsidP="00DA2056">
            <w:pPr>
              <w:jc w:val="center"/>
              <w:rPr>
                <w:b/>
                <w:sz w:val="20"/>
                <w:szCs w:val="20"/>
              </w:rPr>
            </w:pPr>
            <w:r w:rsidRPr="008B435F">
              <w:rPr>
                <w:b/>
                <w:sz w:val="20"/>
                <w:szCs w:val="20"/>
              </w:rPr>
              <w:t>0.018</w:t>
            </w:r>
          </w:p>
        </w:tc>
        <w:tc>
          <w:tcPr>
            <w:tcW w:w="2262" w:type="dxa"/>
            <w:vAlign w:val="center"/>
          </w:tcPr>
          <w:p w:rsidR="00077566" w:rsidRPr="008B435F" w:rsidRDefault="00077566" w:rsidP="00DA2056">
            <w:pPr>
              <w:jc w:val="center"/>
              <w:rPr>
                <w:sz w:val="20"/>
                <w:szCs w:val="20"/>
              </w:rPr>
            </w:pPr>
            <w:r w:rsidRPr="008B435F">
              <w:rPr>
                <w:sz w:val="20"/>
                <w:szCs w:val="20"/>
              </w:rPr>
              <w:t>70(-148,287)</w:t>
            </w:r>
          </w:p>
        </w:tc>
        <w:tc>
          <w:tcPr>
            <w:tcW w:w="1134" w:type="dxa"/>
            <w:vAlign w:val="center"/>
          </w:tcPr>
          <w:p w:rsidR="00077566" w:rsidRPr="008B435F" w:rsidRDefault="00077566" w:rsidP="00DA2056">
            <w:pPr>
              <w:jc w:val="center"/>
              <w:rPr>
                <w:sz w:val="20"/>
                <w:szCs w:val="20"/>
              </w:rPr>
            </w:pPr>
            <w:r w:rsidRPr="008B435F">
              <w:rPr>
                <w:sz w:val="20"/>
                <w:szCs w:val="20"/>
              </w:rPr>
              <w:t>0.523</w:t>
            </w:r>
          </w:p>
        </w:tc>
      </w:tr>
      <w:tr w:rsidR="00077566" w:rsidTr="00DA2056">
        <w:tc>
          <w:tcPr>
            <w:tcW w:w="2802" w:type="dxa"/>
            <w:vAlign w:val="center"/>
          </w:tcPr>
          <w:p w:rsidR="00077566" w:rsidRPr="008B435F" w:rsidRDefault="00077566" w:rsidP="00DA2056">
            <w:pPr>
              <w:jc w:val="center"/>
              <w:rPr>
                <w:sz w:val="20"/>
                <w:szCs w:val="20"/>
              </w:rPr>
            </w:pPr>
            <w:r w:rsidRPr="008B435F">
              <w:rPr>
                <w:sz w:val="20"/>
                <w:szCs w:val="20"/>
              </w:rPr>
              <w:t>eGFR(ml/min/m</w:t>
            </w:r>
            <w:r w:rsidRPr="008B435F">
              <w:rPr>
                <w:sz w:val="20"/>
                <w:szCs w:val="20"/>
                <w:vertAlign w:val="superscript"/>
              </w:rPr>
              <w:t>1.73</w:t>
            </w:r>
            <w:r w:rsidRPr="008B435F">
              <w:rPr>
                <w:sz w:val="20"/>
                <w:szCs w:val="20"/>
              </w:rPr>
              <w:t>)</w:t>
            </w:r>
          </w:p>
        </w:tc>
        <w:tc>
          <w:tcPr>
            <w:tcW w:w="2268" w:type="dxa"/>
            <w:vAlign w:val="center"/>
          </w:tcPr>
          <w:p w:rsidR="00077566" w:rsidRPr="008B435F" w:rsidRDefault="00077566" w:rsidP="00DA2056">
            <w:pPr>
              <w:jc w:val="center"/>
              <w:rPr>
                <w:sz w:val="20"/>
                <w:szCs w:val="20"/>
              </w:rPr>
            </w:pPr>
            <w:r w:rsidRPr="008B435F">
              <w:rPr>
                <w:sz w:val="20"/>
                <w:szCs w:val="20"/>
              </w:rPr>
              <w:t>0.1(0.0,0.2)</w:t>
            </w:r>
          </w:p>
        </w:tc>
        <w:tc>
          <w:tcPr>
            <w:tcW w:w="992" w:type="dxa"/>
            <w:vAlign w:val="center"/>
          </w:tcPr>
          <w:p w:rsidR="00077566" w:rsidRPr="008B435F" w:rsidRDefault="00077566" w:rsidP="00DA2056">
            <w:pPr>
              <w:jc w:val="center"/>
              <w:rPr>
                <w:sz w:val="20"/>
                <w:szCs w:val="20"/>
              </w:rPr>
            </w:pPr>
            <w:r w:rsidRPr="008B435F">
              <w:rPr>
                <w:sz w:val="20"/>
                <w:szCs w:val="20"/>
              </w:rPr>
              <w:t>0.093</w:t>
            </w:r>
          </w:p>
        </w:tc>
        <w:tc>
          <w:tcPr>
            <w:tcW w:w="2410" w:type="dxa"/>
            <w:vAlign w:val="center"/>
          </w:tcPr>
          <w:p w:rsidR="00077566" w:rsidRPr="008B435F" w:rsidRDefault="00077566" w:rsidP="00DA2056">
            <w:pPr>
              <w:jc w:val="center"/>
              <w:rPr>
                <w:sz w:val="20"/>
                <w:szCs w:val="20"/>
              </w:rPr>
            </w:pPr>
            <w:r w:rsidRPr="008B435F">
              <w:rPr>
                <w:sz w:val="20"/>
                <w:szCs w:val="20"/>
              </w:rPr>
              <w:t>-0.02(-0.07,0.03)</w:t>
            </w:r>
          </w:p>
        </w:tc>
        <w:tc>
          <w:tcPr>
            <w:tcW w:w="992" w:type="dxa"/>
            <w:vAlign w:val="center"/>
          </w:tcPr>
          <w:p w:rsidR="00077566" w:rsidRPr="008B435F" w:rsidRDefault="00077566" w:rsidP="00DA2056">
            <w:pPr>
              <w:jc w:val="center"/>
              <w:rPr>
                <w:sz w:val="20"/>
                <w:szCs w:val="20"/>
              </w:rPr>
            </w:pPr>
            <w:r w:rsidRPr="008B435F">
              <w:rPr>
                <w:sz w:val="20"/>
                <w:szCs w:val="20"/>
              </w:rPr>
              <w:t>0.446</w:t>
            </w:r>
          </w:p>
        </w:tc>
        <w:tc>
          <w:tcPr>
            <w:tcW w:w="2262" w:type="dxa"/>
            <w:vAlign w:val="center"/>
          </w:tcPr>
          <w:p w:rsidR="00077566" w:rsidRPr="008B435F" w:rsidRDefault="00077566" w:rsidP="00DA2056">
            <w:pPr>
              <w:jc w:val="center"/>
              <w:rPr>
                <w:sz w:val="20"/>
                <w:szCs w:val="20"/>
              </w:rPr>
            </w:pPr>
            <w:r w:rsidRPr="008B435F">
              <w:rPr>
                <w:sz w:val="20"/>
                <w:szCs w:val="20"/>
              </w:rPr>
              <w:t>0(-6,6)</w:t>
            </w:r>
          </w:p>
        </w:tc>
        <w:tc>
          <w:tcPr>
            <w:tcW w:w="1134" w:type="dxa"/>
            <w:vAlign w:val="center"/>
          </w:tcPr>
          <w:p w:rsidR="00077566" w:rsidRPr="008B435F" w:rsidRDefault="00077566" w:rsidP="00DA2056">
            <w:pPr>
              <w:jc w:val="center"/>
              <w:rPr>
                <w:sz w:val="20"/>
                <w:szCs w:val="20"/>
              </w:rPr>
            </w:pPr>
            <w:r w:rsidRPr="008B435F">
              <w:rPr>
                <w:sz w:val="20"/>
                <w:szCs w:val="20"/>
              </w:rPr>
              <w:t>0.955</w:t>
            </w:r>
          </w:p>
        </w:tc>
      </w:tr>
      <w:tr w:rsidR="00077566" w:rsidTr="00DA2056">
        <w:tc>
          <w:tcPr>
            <w:tcW w:w="2802" w:type="dxa"/>
            <w:vAlign w:val="center"/>
          </w:tcPr>
          <w:p w:rsidR="00077566" w:rsidRPr="008B435F" w:rsidRDefault="00077566" w:rsidP="00DA2056">
            <w:pPr>
              <w:jc w:val="center"/>
              <w:rPr>
                <w:sz w:val="20"/>
                <w:szCs w:val="20"/>
              </w:rPr>
            </w:pPr>
            <w:r w:rsidRPr="008B435F">
              <w:rPr>
                <w:sz w:val="20"/>
                <w:szCs w:val="20"/>
              </w:rPr>
              <w:t>HbA1c(%)</w:t>
            </w:r>
          </w:p>
        </w:tc>
        <w:tc>
          <w:tcPr>
            <w:tcW w:w="2268" w:type="dxa"/>
            <w:vAlign w:val="center"/>
          </w:tcPr>
          <w:p w:rsidR="00077566" w:rsidRPr="008B435F" w:rsidRDefault="00077566" w:rsidP="00DA2056">
            <w:pPr>
              <w:jc w:val="center"/>
              <w:rPr>
                <w:sz w:val="20"/>
                <w:szCs w:val="20"/>
              </w:rPr>
            </w:pPr>
            <w:r w:rsidRPr="008B435F">
              <w:rPr>
                <w:sz w:val="20"/>
                <w:szCs w:val="20"/>
              </w:rPr>
              <w:t>0.3(-1.7,2.3)</w:t>
            </w:r>
          </w:p>
        </w:tc>
        <w:tc>
          <w:tcPr>
            <w:tcW w:w="992" w:type="dxa"/>
            <w:vAlign w:val="center"/>
          </w:tcPr>
          <w:p w:rsidR="00077566" w:rsidRPr="008B435F" w:rsidRDefault="00077566" w:rsidP="00DA2056">
            <w:pPr>
              <w:jc w:val="center"/>
              <w:rPr>
                <w:sz w:val="20"/>
                <w:szCs w:val="20"/>
              </w:rPr>
            </w:pPr>
            <w:r w:rsidRPr="008B435F">
              <w:rPr>
                <w:sz w:val="20"/>
                <w:szCs w:val="20"/>
              </w:rPr>
              <w:t>0.763</w:t>
            </w:r>
          </w:p>
        </w:tc>
        <w:tc>
          <w:tcPr>
            <w:tcW w:w="2410" w:type="dxa"/>
            <w:vAlign w:val="center"/>
          </w:tcPr>
          <w:p w:rsidR="00077566" w:rsidRPr="008B435F" w:rsidRDefault="00077566" w:rsidP="00DA2056">
            <w:pPr>
              <w:jc w:val="center"/>
              <w:rPr>
                <w:b/>
                <w:sz w:val="20"/>
                <w:szCs w:val="20"/>
              </w:rPr>
            </w:pPr>
            <w:r w:rsidRPr="008B435F">
              <w:rPr>
                <w:sz w:val="20"/>
                <w:szCs w:val="20"/>
              </w:rPr>
              <w:t>-0.19(-1.06,0.69)</w:t>
            </w:r>
          </w:p>
        </w:tc>
        <w:tc>
          <w:tcPr>
            <w:tcW w:w="992" w:type="dxa"/>
            <w:vAlign w:val="center"/>
          </w:tcPr>
          <w:p w:rsidR="00077566" w:rsidRPr="008B435F" w:rsidRDefault="00077566" w:rsidP="00DA2056">
            <w:pPr>
              <w:jc w:val="center"/>
              <w:rPr>
                <w:b/>
                <w:sz w:val="20"/>
                <w:szCs w:val="20"/>
              </w:rPr>
            </w:pPr>
            <w:r w:rsidRPr="008B435F">
              <w:rPr>
                <w:sz w:val="20"/>
                <w:szCs w:val="20"/>
              </w:rPr>
              <w:t>0.672</w:t>
            </w:r>
          </w:p>
        </w:tc>
        <w:tc>
          <w:tcPr>
            <w:tcW w:w="2262" w:type="dxa"/>
            <w:vAlign w:val="center"/>
          </w:tcPr>
          <w:p w:rsidR="00077566" w:rsidRPr="008B435F" w:rsidRDefault="00077566" w:rsidP="00DA2056">
            <w:pPr>
              <w:jc w:val="center"/>
              <w:rPr>
                <w:sz w:val="20"/>
                <w:szCs w:val="20"/>
              </w:rPr>
            </w:pPr>
            <w:r w:rsidRPr="008B435F">
              <w:rPr>
                <w:sz w:val="20"/>
                <w:szCs w:val="20"/>
              </w:rPr>
              <w:t>2(-93,97)</w:t>
            </w:r>
          </w:p>
        </w:tc>
        <w:tc>
          <w:tcPr>
            <w:tcW w:w="1134" w:type="dxa"/>
            <w:vAlign w:val="center"/>
          </w:tcPr>
          <w:p w:rsidR="00077566" w:rsidRPr="008B435F" w:rsidRDefault="00077566" w:rsidP="00DA2056">
            <w:pPr>
              <w:jc w:val="center"/>
              <w:rPr>
                <w:sz w:val="20"/>
                <w:szCs w:val="20"/>
              </w:rPr>
            </w:pPr>
            <w:r w:rsidRPr="008B435F">
              <w:rPr>
                <w:sz w:val="20"/>
                <w:szCs w:val="20"/>
              </w:rPr>
              <w:t>0.966</w:t>
            </w:r>
          </w:p>
        </w:tc>
      </w:tr>
      <w:tr w:rsidR="00077566" w:rsidTr="00DA2056">
        <w:tc>
          <w:tcPr>
            <w:tcW w:w="2802" w:type="dxa"/>
            <w:vAlign w:val="center"/>
          </w:tcPr>
          <w:p w:rsidR="00077566" w:rsidRPr="008B435F" w:rsidRDefault="00077566" w:rsidP="00DA2056">
            <w:pPr>
              <w:jc w:val="center"/>
              <w:rPr>
                <w:sz w:val="20"/>
                <w:szCs w:val="20"/>
              </w:rPr>
            </w:pPr>
            <w:r w:rsidRPr="008B435F">
              <w:rPr>
                <w:sz w:val="20"/>
                <w:szCs w:val="20"/>
              </w:rPr>
              <w:t>Age(years)</w:t>
            </w:r>
          </w:p>
        </w:tc>
        <w:tc>
          <w:tcPr>
            <w:tcW w:w="2268" w:type="dxa"/>
            <w:vAlign w:val="center"/>
          </w:tcPr>
          <w:p w:rsidR="00077566" w:rsidRPr="008B435F" w:rsidRDefault="00077566" w:rsidP="00DA2056">
            <w:pPr>
              <w:jc w:val="center"/>
              <w:rPr>
                <w:sz w:val="20"/>
                <w:szCs w:val="20"/>
              </w:rPr>
            </w:pPr>
            <w:r w:rsidRPr="008B435F">
              <w:rPr>
                <w:sz w:val="20"/>
                <w:szCs w:val="20"/>
              </w:rPr>
              <w:t>-0.1(-1.2,1.4)</w:t>
            </w:r>
          </w:p>
        </w:tc>
        <w:tc>
          <w:tcPr>
            <w:tcW w:w="992" w:type="dxa"/>
            <w:vAlign w:val="center"/>
          </w:tcPr>
          <w:p w:rsidR="00077566" w:rsidRPr="008B435F" w:rsidRDefault="00077566" w:rsidP="00DA2056">
            <w:pPr>
              <w:jc w:val="center"/>
              <w:rPr>
                <w:sz w:val="20"/>
                <w:szCs w:val="20"/>
              </w:rPr>
            </w:pPr>
            <w:r w:rsidRPr="008B435F">
              <w:rPr>
                <w:sz w:val="20"/>
                <w:szCs w:val="20"/>
              </w:rPr>
              <w:t>0.887</w:t>
            </w:r>
          </w:p>
        </w:tc>
        <w:tc>
          <w:tcPr>
            <w:tcW w:w="2410" w:type="dxa"/>
            <w:vAlign w:val="center"/>
          </w:tcPr>
          <w:p w:rsidR="00077566" w:rsidRPr="008B435F" w:rsidRDefault="00077566" w:rsidP="00DA2056">
            <w:pPr>
              <w:jc w:val="center"/>
              <w:rPr>
                <w:b/>
                <w:sz w:val="20"/>
                <w:szCs w:val="20"/>
              </w:rPr>
            </w:pPr>
            <w:r w:rsidRPr="008B435F">
              <w:rPr>
                <w:sz w:val="20"/>
                <w:szCs w:val="20"/>
              </w:rPr>
              <w:t>-0.71(-0.33,0.41)</w:t>
            </w:r>
          </w:p>
        </w:tc>
        <w:tc>
          <w:tcPr>
            <w:tcW w:w="992" w:type="dxa"/>
            <w:vAlign w:val="center"/>
          </w:tcPr>
          <w:p w:rsidR="00077566" w:rsidRPr="008B435F" w:rsidRDefault="00077566" w:rsidP="00DA2056">
            <w:pPr>
              <w:jc w:val="center"/>
              <w:rPr>
                <w:b/>
                <w:sz w:val="20"/>
                <w:szCs w:val="20"/>
              </w:rPr>
            </w:pPr>
            <w:r w:rsidRPr="008B435F">
              <w:rPr>
                <w:sz w:val="20"/>
                <w:szCs w:val="20"/>
              </w:rPr>
              <w:t>0.604</w:t>
            </w:r>
          </w:p>
        </w:tc>
        <w:tc>
          <w:tcPr>
            <w:tcW w:w="2262" w:type="dxa"/>
            <w:vAlign w:val="center"/>
          </w:tcPr>
          <w:p w:rsidR="00077566" w:rsidRPr="008B435F" w:rsidRDefault="00077566" w:rsidP="00DA2056">
            <w:pPr>
              <w:jc w:val="center"/>
              <w:rPr>
                <w:sz w:val="20"/>
                <w:szCs w:val="20"/>
              </w:rPr>
            </w:pPr>
            <w:r w:rsidRPr="008B435F">
              <w:rPr>
                <w:sz w:val="20"/>
                <w:szCs w:val="20"/>
              </w:rPr>
              <w:t>-39(-104,26)</w:t>
            </w:r>
          </w:p>
        </w:tc>
        <w:tc>
          <w:tcPr>
            <w:tcW w:w="1134" w:type="dxa"/>
            <w:vAlign w:val="center"/>
          </w:tcPr>
          <w:p w:rsidR="00077566" w:rsidRPr="008B435F" w:rsidRDefault="00077566" w:rsidP="00DA2056">
            <w:pPr>
              <w:jc w:val="center"/>
              <w:rPr>
                <w:sz w:val="20"/>
                <w:szCs w:val="20"/>
              </w:rPr>
            </w:pPr>
            <w:r w:rsidRPr="008B435F">
              <w:rPr>
                <w:sz w:val="20"/>
                <w:szCs w:val="20"/>
              </w:rPr>
              <w:t>0.231</w:t>
            </w:r>
          </w:p>
        </w:tc>
      </w:tr>
      <w:tr w:rsidR="00077566" w:rsidTr="00DA2056">
        <w:tc>
          <w:tcPr>
            <w:tcW w:w="2802" w:type="dxa"/>
            <w:vAlign w:val="center"/>
          </w:tcPr>
          <w:p w:rsidR="00077566" w:rsidRPr="008B435F" w:rsidRDefault="00077566" w:rsidP="00DA2056">
            <w:pPr>
              <w:jc w:val="center"/>
              <w:rPr>
                <w:sz w:val="20"/>
                <w:szCs w:val="20"/>
              </w:rPr>
            </w:pPr>
            <w:r w:rsidRPr="008B435F">
              <w:rPr>
                <w:sz w:val="20"/>
                <w:szCs w:val="20"/>
              </w:rPr>
              <w:t>Disease Duration(years)</w:t>
            </w:r>
          </w:p>
        </w:tc>
        <w:tc>
          <w:tcPr>
            <w:tcW w:w="2268" w:type="dxa"/>
            <w:vAlign w:val="center"/>
          </w:tcPr>
          <w:p w:rsidR="00077566" w:rsidRPr="008B435F" w:rsidRDefault="00077566" w:rsidP="00DA2056">
            <w:pPr>
              <w:jc w:val="center"/>
              <w:rPr>
                <w:sz w:val="20"/>
                <w:szCs w:val="20"/>
              </w:rPr>
            </w:pPr>
            <w:r w:rsidRPr="008B435F">
              <w:rPr>
                <w:sz w:val="20"/>
                <w:szCs w:val="20"/>
              </w:rPr>
              <w:t>-0.2(-0.8,0.4)</w:t>
            </w:r>
          </w:p>
        </w:tc>
        <w:tc>
          <w:tcPr>
            <w:tcW w:w="992" w:type="dxa"/>
            <w:vAlign w:val="center"/>
          </w:tcPr>
          <w:p w:rsidR="00077566" w:rsidRPr="008B435F" w:rsidRDefault="00077566" w:rsidP="00DA2056">
            <w:pPr>
              <w:jc w:val="center"/>
              <w:rPr>
                <w:sz w:val="20"/>
                <w:szCs w:val="20"/>
              </w:rPr>
            </w:pPr>
            <w:r w:rsidRPr="008B435F">
              <w:rPr>
                <w:sz w:val="20"/>
                <w:szCs w:val="20"/>
              </w:rPr>
              <w:t>0.520</w:t>
            </w:r>
          </w:p>
        </w:tc>
        <w:tc>
          <w:tcPr>
            <w:tcW w:w="2410" w:type="dxa"/>
            <w:vAlign w:val="center"/>
          </w:tcPr>
          <w:p w:rsidR="00077566" w:rsidRPr="008B435F" w:rsidRDefault="00077566" w:rsidP="00DA2056">
            <w:pPr>
              <w:jc w:val="center"/>
              <w:rPr>
                <w:sz w:val="20"/>
                <w:szCs w:val="20"/>
              </w:rPr>
            </w:pPr>
            <w:r w:rsidRPr="008B435F">
              <w:rPr>
                <w:sz w:val="20"/>
                <w:szCs w:val="20"/>
              </w:rPr>
              <w:t>0.18(-0.07,0.43)</w:t>
            </w:r>
          </w:p>
        </w:tc>
        <w:tc>
          <w:tcPr>
            <w:tcW w:w="992" w:type="dxa"/>
            <w:vAlign w:val="center"/>
          </w:tcPr>
          <w:p w:rsidR="00077566" w:rsidRPr="008B435F" w:rsidRDefault="00077566" w:rsidP="00DA2056">
            <w:pPr>
              <w:jc w:val="center"/>
              <w:rPr>
                <w:sz w:val="20"/>
                <w:szCs w:val="20"/>
              </w:rPr>
            </w:pPr>
            <w:r w:rsidRPr="008B435F">
              <w:rPr>
                <w:sz w:val="20"/>
                <w:szCs w:val="20"/>
              </w:rPr>
              <w:t>0.151</w:t>
            </w:r>
          </w:p>
        </w:tc>
        <w:tc>
          <w:tcPr>
            <w:tcW w:w="2262" w:type="dxa"/>
            <w:vAlign w:val="center"/>
          </w:tcPr>
          <w:p w:rsidR="00077566" w:rsidRPr="008B435F" w:rsidRDefault="00077566" w:rsidP="00DA2056">
            <w:pPr>
              <w:jc w:val="center"/>
              <w:rPr>
                <w:sz w:val="20"/>
                <w:szCs w:val="20"/>
              </w:rPr>
            </w:pPr>
            <w:r w:rsidRPr="008B435F">
              <w:rPr>
                <w:sz w:val="20"/>
                <w:szCs w:val="20"/>
              </w:rPr>
              <w:t>13(-16,42)</w:t>
            </w:r>
          </w:p>
        </w:tc>
        <w:tc>
          <w:tcPr>
            <w:tcW w:w="1134" w:type="dxa"/>
            <w:vAlign w:val="center"/>
          </w:tcPr>
          <w:p w:rsidR="00077566" w:rsidRPr="008B435F" w:rsidRDefault="00077566" w:rsidP="00DA2056">
            <w:pPr>
              <w:jc w:val="center"/>
              <w:rPr>
                <w:sz w:val="20"/>
                <w:szCs w:val="20"/>
              </w:rPr>
            </w:pPr>
            <w:r w:rsidRPr="008B435F">
              <w:rPr>
                <w:sz w:val="20"/>
                <w:szCs w:val="20"/>
              </w:rPr>
              <w:t>0.372</w:t>
            </w:r>
          </w:p>
        </w:tc>
      </w:tr>
      <w:tr w:rsidR="00077566" w:rsidTr="00DA2056">
        <w:tc>
          <w:tcPr>
            <w:tcW w:w="2802" w:type="dxa"/>
            <w:vAlign w:val="center"/>
          </w:tcPr>
          <w:p w:rsidR="00077566" w:rsidRPr="008B435F" w:rsidRDefault="00077566" w:rsidP="00DA2056">
            <w:pPr>
              <w:jc w:val="center"/>
              <w:rPr>
                <w:sz w:val="20"/>
                <w:szCs w:val="20"/>
              </w:rPr>
            </w:pPr>
            <w:r w:rsidRPr="008B435F">
              <w:rPr>
                <w:sz w:val="20"/>
                <w:szCs w:val="20"/>
              </w:rPr>
              <w:t>Sex(M/F)</w:t>
            </w:r>
          </w:p>
        </w:tc>
        <w:tc>
          <w:tcPr>
            <w:tcW w:w="2268" w:type="dxa"/>
            <w:vAlign w:val="center"/>
          </w:tcPr>
          <w:p w:rsidR="00077566" w:rsidRPr="008B435F" w:rsidRDefault="00077566" w:rsidP="00DA2056">
            <w:pPr>
              <w:jc w:val="center"/>
              <w:rPr>
                <w:sz w:val="20"/>
                <w:szCs w:val="20"/>
              </w:rPr>
            </w:pPr>
            <w:r w:rsidRPr="008B435F">
              <w:rPr>
                <w:sz w:val="20"/>
                <w:szCs w:val="20"/>
              </w:rPr>
              <w:t>0.4(-.4.7,4.0)</w:t>
            </w:r>
          </w:p>
        </w:tc>
        <w:tc>
          <w:tcPr>
            <w:tcW w:w="992" w:type="dxa"/>
            <w:vAlign w:val="center"/>
          </w:tcPr>
          <w:p w:rsidR="00077566" w:rsidRPr="008B435F" w:rsidRDefault="00077566" w:rsidP="00DA2056">
            <w:pPr>
              <w:jc w:val="center"/>
              <w:rPr>
                <w:sz w:val="20"/>
                <w:szCs w:val="20"/>
              </w:rPr>
            </w:pPr>
            <w:r w:rsidRPr="008B435F">
              <w:rPr>
                <w:sz w:val="20"/>
                <w:szCs w:val="20"/>
              </w:rPr>
              <w:t>0.861</w:t>
            </w:r>
          </w:p>
        </w:tc>
        <w:tc>
          <w:tcPr>
            <w:tcW w:w="2410" w:type="dxa"/>
            <w:vAlign w:val="center"/>
          </w:tcPr>
          <w:p w:rsidR="00077566" w:rsidRPr="008B435F" w:rsidRDefault="00077566" w:rsidP="00DA2056">
            <w:pPr>
              <w:jc w:val="center"/>
              <w:rPr>
                <w:sz w:val="20"/>
                <w:szCs w:val="20"/>
              </w:rPr>
            </w:pPr>
            <w:r w:rsidRPr="008B435F">
              <w:rPr>
                <w:sz w:val="20"/>
                <w:szCs w:val="20"/>
              </w:rPr>
              <w:t>-0.35(-2.28,1.58)</w:t>
            </w:r>
          </w:p>
        </w:tc>
        <w:tc>
          <w:tcPr>
            <w:tcW w:w="992" w:type="dxa"/>
            <w:vAlign w:val="center"/>
          </w:tcPr>
          <w:p w:rsidR="00077566" w:rsidRPr="008B435F" w:rsidRDefault="00077566" w:rsidP="00DA2056">
            <w:pPr>
              <w:jc w:val="center"/>
              <w:rPr>
                <w:sz w:val="20"/>
                <w:szCs w:val="20"/>
              </w:rPr>
            </w:pPr>
            <w:r w:rsidRPr="008B435F">
              <w:rPr>
                <w:sz w:val="20"/>
                <w:szCs w:val="20"/>
              </w:rPr>
              <w:t>0.717</w:t>
            </w:r>
          </w:p>
        </w:tc>
        <w:tc>
          <w:tcPr>
            <w:tcW w:w="2262" w:type="dxa"/>
            <w:vAlign w:val="center"/>
          </w:tcPr>
          <w:p w:rsidR="00077566" w:rsidRPr="008B435F" w:rsidRDefault="00077566" w:rsidP="00DA2056">
            <w:pPr>
              <w:jc w:val="center"/>
              <w:rPr>
                <w:sz w:val="20"/>
                <w:szCs w:val="20"/>
              </w:rPr>
            </w:pPr>
            <w:r w:rsidRPr="008B435F">
              <w:rPr>
                <w:sz w:val="20"/>
                <w:szCs w:val="20"/>
              </w:rPr>
              <w:t>79(-141,300)</w:t>
            </w:r>
          </w:p>
        </w:tc>
        <w:tc>
          <w:tcPr>
            <w:tcW w:w="1134" w:type="dxa"/>
            <w:vAlign w:val="center"/>
          </w:tcPr>
          <w:p w:rsidR="00077566" w:rsidRPr="008B435F" w:rsidRDefault="00077566" w:rsidP="00DA2056">
            <w:pPr>
              <w:jc w:val="center"/>
              <w:rPr>
                <w:sz w:val="20"/>
                <w:szCs w:val="20"/>
              </w:rPr>
            </w:pPr>
            <w:r w:rsidRPr="008B435F">
              <w:rPr>
                <w:sz w:val="20"/>
                <w:szCs w:val="20"/>
              </w:rPr>
              <w:t>0.475</w:t>
            </w:r>
          </w:p>
        </w:tc>
      </w:tr>
      <w:tr w:rsidR="00077566" w:rsidTr="00DA2056">
        <w:tc>
          <w:tcPr>
            <w:tcW w:w="2802" w:type="dxa"/>
            <w:vAlign w:val="center"/>
          </w:tcPr>
          <w:p w:rsidR="00077566" w:rsidRPr="008B435F" w:rsidRDefault="00077566" w:rsidP="00DA2056">
            <w:pPr>
              <w:jc w:val="center"/>
              <w:rPr>
                <w:sz w:val="20"/>
                <w:szCs w:val="20"/>
              </w:rPr>
            </w:pPr>
            <w:r w:rsidRPr="008B435F">
              <w:rPr>
                <w:sz w:val="20"/>
                <w:szCs w:val="20"/>
              </w:rPr>
              <w:t>BMI(z-score)</w:t>
            </w:r>
          </w:p>
        </w:tc>
        <w:tc>
          <w:tcPr>
            <w:tcW w:w="2268" w:type="dxa"/>
            <w:vAlign w:val="center"/>
          </w:tcPr>
          <w:p w:rsidR="00077566" w:rsidRPr="008B435F" w:rsidRDefault="00077566" w:rsidP="00DA2056">
            <w:pPr>
              <w:jc w:val="center"/>
              <w:rPr>
                <w:sz w:val="20"/>
                <w:szCs w:val="20"/>
              </w:rPr>
            </w:pPr>
            <w:r w:rsidRPr="008B435F">
              <w:rPr>
                <w:sz w:val="20"/>
                <w:szCs w:val="20"/>
              </w:rPr>
              <w:t>-0.4(-2.8,2.1)</w:t>
            </w:r>
          </w:p>
        </w:tc>
        <w:tc>
          <w:tcPr>
            <w:tcW w:w="992" w:type="dxa"/>
            <w:vAlign w:val="center"/>
          </w:tcPr>
          <w:p w:rsidR="00077566" w:rsidRPr="008B435F" w:rsidRDefault="00077566" w:rsidP="00DA2056">
            <w:pPr>
              <w:jc w:val="center"/>
              <w:rPr>
                <w:sz w:val="20"/>
                <w:szCs w:val="20"/>
              </w:rPr>
            </w:pPr>
            <w:r w:rsidRPr="008B435F">
              <w:rPr>
                <w:sz w:val="20"/>
                <w:szCs w:val="20"/>
              </w:rPr>
              <w:t>0.765</w:t>
            </w:r>
          </w:p>
        </w:tc>
        <w:tc>
          <w:tcPr>
            <w:tcW w:w="2410" w:type="dxa"/>
            <w:vAlign w:val="center"/>
          </w:tcPr>
          <w:p w:rsidR="00077566" w:rsidRPr="008B435F" w:rsidRDefault="00077566" w:rsidP="00DA2056">
            <w:pPr>
              <w:jc w:val="center"/>
              <w:rPr>
                <w:sz w:val="20"/>
                <w:szCs w:val="20"/>
              </w:rPr>
            </w:pPr>
            <w:r w:rsidRPr="008B435F">
              <w:rPr>
                <w:sz w:val="20"/>
                <w:szCs w:val="20"/>
              </w:rPr>
              <w:t>-0.85(-1.93,0.23)</w:t>
            </w:r>
          </w:p>
        </w:tc>
        <w:tc>
          <w:tcPr>
            <w:tcW w:w="992" w:type="dxa"/>
            <w:vAlign w:val="center"/>
          </w:tcPr>
          <w:p w:rsidR="00077566" w:rsidRPr="008B435F" w:rsidRDefault="00077566" w:rsidP="00DA2056">
            <w:pPr>
              <w:jc w:val="center"/>
              <w:rPr>
                <w:sz w:val="20"/>
                <w:szCs w:val="20"/>
              </w:rPr>
            </w:pPr>
            <w:r w:rsidRPr="008B435F">
              <w:rPr>
                <w:sz w:val="20"/>
                <w:szCs w:val="20"/>
              </w:rPr>
              <w:t>0.119</w:t>
            </w:r>
          </w:p>
        </w:tc>
        <w:tc>
          <w:tcPr>
            <w:tcW w:w="2262" w:type="dxa"/>
            <w:vAlign w:val="center"/>
          </w:tcPr>
          <w:p w:rsidR="00077566" w:rsidRPr="008B435F" w:rsidRDefault="00077566" w:rsidP="00DA2056">
            <w:pPr>
              <w:jc w:val="center"/>
              <w:rPr>
                <w:sz w:val="20"/>
                <w:szCs w:val="20"/>
              </w:rPr>
            </w:pPr>
            <w:r w:rsidRPr="008B435F">
              <w:rPr>
                <w:sz w:val="20"/>
                <w:szCs w:val="20"/>
              </w:rPr>
              <w:t>23(-102,148)</w:t>
            </w:r>
          </w:p>
        </w:tc>
        <w:tc>
          <w:tcPr>
            <w:tcW w:w="1134" w:type="dxa"/>
            <w:vAlign w:val="center"/>
          </w:tcPr>
          <w:p w:rsidR="00077566" w:rsidRPr="008B435F" w:rsidRDefault="00077566" w:rsidP="00DA2056">
            <w:pPr>
              <w:jc w:val="center"/>
              <w:rPr>
                <w:sz w:val="20"/>
                <w:szCs w:val="20"/>
              </w:rPr>
            </w:pPr>
            <w:r w:rsidRPr="008B435F">
              <w:rPr>
                <w:sz w:val="20"/>
                <w:szCs w:val="20"/>
              </w:rPr>
              <w:t>0.712</w:t>
            </w:r>
          </w:p>
        </w:tc>
      </w:tr>
    </w:tbl>
    <w:p w:rsidR="00077566" w:rsidRDefault="00077566" w:rsidP="003E52DE">
      <w:pPr>
        <w:sectPr w:rsidR="00077566" w:rsidSect="00077566">
          <w:pgSz w:w="16838" w:h="11906" w:orient="landscape"/>
          <w:pgMar w:top="426" w:right="1440" w:bottom="1440" w:left="1440" w:header="708" w:footer="708" w:gutter="0"/>
          <w:cols w:space="708"/>
          <w:docGrid w:linePitch="360"/>
        </w:sectPr>
      </w:pPr>
    </w:p>
    <w:p w:rsidR="00A30959" w:rsidRDefault="00336334" w:rsidP="003E52DE"/>
    <w:p w:rsidR="00077566" w:rsidRDefault="00077566" w:rsidP="003E52DE">
      <w:pPr>
        <w:rPr>
          <w:b/>
          <w:sz w:val="28"/>
        </w:rPr>
      </w:pPr>
      <w:r>
        <w:rPr>
          <w:b/>
          <w:noProof/>
          <w:sz w:val="28"/>
          <w:lang w:eastAsia="en-GB"/>
        </w:rPr>
        <w:drawing>
          <wp:anchor distT="0" distB="0" distL="114300" distR="114300" simplePos="0" relativeHeight="251658240" behindDoc="0" locked="0" layoutInCell="1" allowOverlap="1">
            <wp:simplePos x="0" y="0"/>
            <wp:positionH relativeFrom="margin">
              <wp:align>left</wp:align>
            </wp:positionH>
            <wp:positionV relativeFrom="page">
              <wp:posOffset>1333500</wp:posOffset>
            </wp:positionV>
            <wp:extent cx="9213215" cy="4019550"/>
            <wp:effectExtent l="0" t="0" r="6985"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e 1 Scatter graph.tif"/>
                    <pic:cNvPicPr/>
                  </pic:nvPicPr>
                  <pic:blipFill>
                    <a:blip r:embed="rId11" cstate="print">
                      <a:extLst>
                        <a:ext uri="{28A0092B-C50C-407E-A947-70E740481C1C}">
                          <a14:useLocalDpi xmlns:a14="http://schemas.microsoft.com/office/drawing/2010/main" val="0"/>
                        </a:ext>
                      </a:extLst>
                    </a:blip>
                    <a:stretch>
                      <a:fillRect/>
                    </a:stretch>
                  </pic:blipFill>
                  <pic:spPr>
                    <a:xfrm>
                      <a:off x="0" y="0"/>
                      <a:ext cx="9213215" cy="4019550"/>
                    </a:xfrm>
                    <a:prstGeom prst="rect">
                      <a:avLst/>
                    </a:prstGeom>
                  </pic:spPr>
                </pic:pic>
              </a:graphicData>
            </a:graphic>
            <wp14:sizeRelH relativeFrom="margin">
              <wp14:pctWidth>0</wp14:pctWidth>
            </wp14:sizeRelH>
            <wp14:sizeRelV relativeFrom="margin">
              <wp14:pctHeight>0</wp14:pctHeight>
            </wp14:sizeRelV>
          </wp:anchor>
        </w:drawing>
      </w:r>
      <w:r w:rsidRPr="00077566">
        <w:rPr>
          <w:b/>
          <w:sz w:val="28"/>
        </w:rPr>
        <w:t>Figure 1</w:t>
      </w:r>
    </w:p>
    <w:p w:rsidR="00077566" w:rsidRDefault="00077566" w:rsidP="003E52DE">
      <w:pPr>
        <w:rPr>
          <w:b/>
          <w:sz w:val="28"/>
        </w:rPr>
        <w:sectPr w:rsidR="00077566" w:rsidSect="00077566">
          <w:pgSz w:w="16838" w:h="11906" w:orient="landscape"/>
          <w:pgMar w:top="426" w:right="1440" w:bottom="1440" w:left="1440" w:header="708" w:footer="708" w:gutter="0"/>
          <w:cols w:space="708"/>
          <w:docGrid w:linePitch="360"/>
        </w:sectPr>
      </w:pPr>
    </w:p>
    <w:p w:rsidR="00077566" w:rsidRDefault="00077566" w:rsidP="003E52DE">
      <w:pPr>
        <w:rPr>
          <w:b/>
          <w:sz w:val="28"/>
        </w:rPr>
      </w:pPr>
    </w:p>
    <w:p w:rsidR="00077566" w:rsidRDefault="00077566" w:rsidP="003E52DE">
      <w:pPr>
        <w:rPr>
          <w:b/>
          <w:sz w:val="28"/>
        </w:rPr>
      </w:pPr>
      <w:r>
        <w:rPr>
          <w:b/>
          <w:noProof/>
          <w:sz w:val="28"/>
          <w:lang w:eastAsia="en-GB"/>
        </w:rPr>
        <w:drawing>
          <wp:anchor distT="0" distB="0" distL="114300" distR="114300" simplePos="0" relativeHeight="251659264" behindDoc="0" locked="0" layoutInCell="1" allowOverlap="1">
            <wp:simplePos x="0" y="0"/>
            <wp:positionH relativeFrom="margin">
              <wp:posOffset>427990</wp:posOffset>
            </wp:positionH>
            <wp:positionV relativeFrom="margin">
              <wp:align>bottom</wp:align>
            </wp:positionV>
            <wp:extent cx="8315325" cy="5299710"/>
            <wp:effectExtent l="0" t="0" r="9525"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e 2 HR.tif"/>
                    <pic:cNvPicPr/>
                  </pic:nvPicPr>
                  <pic:blipFill>
                    <a:blip r:embed="rId12" cstate="print">
                      <a:extLst>
                        <a:ext uri="{28A0092B-C50C-407E-A947-70E740481C1C}">
                          <a14:useLocalDpi xmlns:a14="http://schemas.microsoft.com/office/drawing/2010/main" val="0"/>
                        </a:ext>
                      </a:extLst>
                    </a:blip>
                    <a:stretch>
                      <a:fillRect/>
                    </a:stretch>
                  </pic:blipFill>
                  <pic:spPr>
                    <a:xfrm>
                      <a:off x="0" y="0"/>
                      <a:ext cx="8315325" cy="5299710"/>
                    </a:xfrm>
                    <a:prstGeom prst="rect">
                      <a:avLst/>
                    </a:prstGeom>
                  </pic:spPr>
                </pic:pic>
              </a:graphicData>
            </a:graphic>
            <wp14:sizeRelH relativeFrom="margin">
              <wp14:pctWidth>0</wp14:pctWidth>
            </wp14:sizeRelH>
            <wp14:sizeRelV relativeFrom="margin">
              <wp14:pctHeight>0</wp14:pctHeight>
            </wp14:sizeRelV>
          </wp:anchor>
        </w:drawing>
      </w:r>
      <w:r>
        <w:rPr>
          <w:b/>
          <w:sz w:val="28"/>
        </w:rPr>
        <w:t>Figure 2</w:t>
      </w:r>
    </w:p>
    <w:p w:rsidR="00077566" w:rsidRDefault="00077566" w:rsidP="003E52DE">
      <w:pPr>
        <w:rPr>
          <w:b/>
          <w:sz w:val="28"/>
        </w:rPr>
        <w:sectPr w:rsidR="00077566" w:rsidSect="00077566">
          <w:pgSz w:w="16838" w:h="11906" w:orient="landscape"/>
          <w:pgMar w:top="426" w:right="1440" w:bottom="1440" w:left="1440" w:header="708" w:footer="708" w:gutter="0"/>
          <w:cols w:space="708"/>
          <w:docGrid w:linePitch="360"/>
        </w:sectPr>
      </w:pPr>
    </w:p>
    <w:p w:rsidR="00077566" w:rsidRDefault="00077566" w:rsidP="003E52DE">
      <w:pPr>
        <w:rPr>
          <w:b/>
          <w:sz w:val="28"/>
        </w:rPr>
      </w:pPr>
    </w:p>
    <w:p w:rsidR="00077566" w:rsidRDefault="00077566" w:rsidP="003E52DE">
      <w:pPr>
        <w:rPr>
          <w:b/>
          <w:sz w:val="28"/>
        </w:rPr>
      </w:pPr>
      <w:r>
        <w:rPr>
          <w:b/>
          <w:sz w:val="28"/>
        </w:rPr>
        <w:t>Take-Home Figure</w:t>
      </w:r>
    </w:p>
    <w:p w:rsidR="00077566" w:rsidRDefault="00077566" w:rsidP="003E52DE">
      <w:pPr>
        <w:rPr>
          <w:b/>
          <w:sz w:val="28"/>
        </w:rPr>
        <w:sectPr w:rsidR="00077566" w:rsidSect="00077566">
          <w:pgSz w:w="16838" w:h="11906" w:orient="landscape"/>
          <w:pgMar w:top="426" w:right="1440" w:bottom="1440" w:left="1440" w:header="708" w:footer="708" w:gutter="0"/>
          <w:cols w:space="708"/>
          <w:docGrid w:linePitch="360"/>
        </w:sectPr>
      </w:pPr>
      <w:r>
        <w:rPr>
          <w:b/>
          <w:noProof/>
          <w:sz w:val="28"/>
          <w:lang w:eastAsia="en-GB"/>
        </w:rPr>
        <w:drawing>
          <wp:inline distT="0" distB="0" distL="0" distR="0">
            <wp:extent cx="8863330" cy="4985385"/>
            <wp:effectExtent l="0" t="0" r="0" b="571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Take home figure 121218.tif"/>
                    <pic:cNvPicPr/>
                  </pic:nvPicPr>
                  <pic:blipFill>
                    <a:blip r:embed="rId13">
                      <a:extLst>
                        <a:ext uri="{28A0092B-C50C-407E-A947-70E740481C1C}">
                          <a14:useLocalDpi xmlns:a14="http://schemas.microsoft.com/office/drawing/2010/main" val="0"/>
                        </a:ext>
                      </a:extLst>
                    </a:blip>
                    <a:stretch>
                      <a:fillRect/>
                    </a:stretch>
                  </pic:blipFill>
                  <pic:spPr>
                    <a:xfrm>
                      <a:off x="0" y="0"/>
                      <a:ext cx="8863330" cy="4985385"/>
                    </a:xfrm>
                    <a:prstGeom prst="rect">
                      <a:avLst/>
                    </a:prstGeom>
                  </pic:spPr>
                </pic:pic>
              </a:graphicData>
            </a:graphic>
          </wp:inline>
        </w:drawing>
      </w:r>
    </w:p>
    <w:p w:rsidR="00077566" w:rsidRDefault="00077566" w:rsidP="00077566">
      <w:pPr>
        <w:jc w:val="center"/>
        <w:rPr>
          <w:b/>
          <w:sz w:val="32"/>
        </w:rPr>
      </w:pPr>
    </w:p>
    <w:p w:rsidR="00077566" w:rsidRDefault="00077566" w:rsidP="00077566">
      <w:pPr>
        <w:jc w:val="center"/>
        <w:rPr>
          <w:b/>
          <w:sz w:val="32"/>
        </w:rPr>
      </w:pPr>
    </w:p>
    <w:p w:rsidR="00077566" w:rsidRDefault="00077566" w:rsidP="00077566">
      <w:pPr>
        <w:jc w:val="center"/>
        <w:rPr>
          <w:b/>
          <w:sz w:val="32"/>
        </w:rPr>
      </w:pPr>
    </w:p>
    <w:p w:rsidR="00077566" w:rsidRDefault="00077566" w:rsidP="00077566">
      <w:pPr>
        <w:jc w:val="center"/>
        <w:rPr>
          <w:b/>
          <w:sz w:val="32"/>
        </w:rPr>
      </w:pPr>
    </w:p>
    <w:p w:rsidR="00077566" w:rsidRDefault="00077566" w:rsidP="00077566">
      <w:pPr>
        <w:jc w:val="center"/>
        <w:rPr>
          <w:b/>
          <w:sz w:val="32"/>
        </w:rPr>
      </w:pPr>
      <w:r w:rsidRPr="0081750F">
        <w:rPr>
          <w:b/>
          <w:sz w:val="32"/>
        </w:rPr>
        <w:t>SUPPLEMENTARY FILE</w:t>
      </w:r>
    </w:p>
    <w:p w:rsidR="00077566" w:rsidRDefault="00077566" w:rsidP="00077566">
      <w:pPr>
        <w:jc w:val="center"/>
        <w:rPr>
          <w:b/>
          <w:sz w:val="32"/>
        </w:rPr>
      </w:pPr>
      <w:r>
        <w:rPr>
          <w:b/>
          <w:sz w:val="32"/>
        </w:rPr>
        <w:t>Chiesa et al.</w:t>
      </w:r>
    </w:p>
    <w:p w:rsidR="00077566" w:rsidRDefault="00077566" w:rsidP="00077566">
      <w:pPr>
        <w:jc w:val="center"/>
        <w:rPr>
          <w:b/>
        </w:rPr>
        <w:sectPr w:rsidR="00077566">
          <w:pgSz w:w="11906" w:h="16838"/>
          <w:pgMar w:top="1440" w:right="1440" w:bottom="1440" w:left="1440" w:header="708" w:footer="708" w:gutter="0"/>
          <w:cols w:space="708"/>
          <w:docGrid w:linePitch="360"/>
        </w:sectPr>
      </w:pPr>
      <w:r w:rsidRPr="00A62A97">
        <w:rPr>
          <w:b/>
        </w:rPr>
        <w:t>Elevated high-density lipoprotein in adolescents with type 1 diabetes is associated with endothelial dysfunction in the presence of systemic inflammation</w:t>
      </w:r>
    </w:p>
    <w:p w:rsidR="00077566" w:rsidRPr="00A62A97" w:rsidRDefault="00077566" w:rsidP="00077566">
      <w:pPr>
        <w:jc w:val="both"/>
        <w:rPr>
          <w:b/>
        </w:rPr>
      </w:pPr>
      <w:r w:rsidRPr="00A62A97">
        <w:rPr>
          <w:b/>
        </w:rPr>
        <w:t>SUPPLEMENTARY METHODS</w:t>
      </w:r>
    </w:p>
    <w:p w:rsidR="00077566" w:rsidRDefault="00077566" w:rsidP="00077566">
      <w:pPr>
        <w:jc w:val="both"/>
        <w:rPr>
          <w:b/>
          <w:i/>
        </w:rPr>
      </w:pPr>
      <w:r w:rsidRPr="00A62A97">
        <w:rPr>
          <w:b/>
          <w:i/>
        </w:rPr>
        <w:t>Participant Recruitment</w:t>
      </w:r>
    </w:p>
    <w:p w:rsidR="00077566" w:rsidRDefault="00077566" w:rsidP="00077566">
      <w:pPr>
        <w:jc w:val="both"/>
      </w:pPr>
      <w:r>
        <w:t xml:space="preserve">Patients in this study consisted of a subsample of individuals from Toronto, Canada, who were originally screened and approached to take part in the Adolescent type 1 Diabetes cardio-renal Intervention Trial (AdDIT) – full details of which have been previously published </w:t>
      </w:r>
      <w:r>
        <w:fldChar w:fldCharType="begin" w:fldLock="1"/>
      </w:r>
      <w:r>
        <w:instrText>ADDIN CSL_CITATION {"citationItems":[{"id":"ITEM-1","itemData":{"DOI":"10.1186/1471-2431-9-79","ISSN":"1471-2431","abstract":"The prognosis for young people diagnosed with diabetes during childhood remains poor and this is mainly related to the long-term risk of developing vascular complications. Microalbuminuria identifies subjects at risk for diabetic nephropathy (DN) and cardiovascular disease (CVD). It is often detected in adolescence but is rarely treated before the age of 18 years, as at the end of puberty albumin excretion may decline and in some subjects will return into the normal range. However, evidence indicates that subjects with both transient and persistent microalbuminuria have experienced renal damage during puberty and thus reno-protection to prevent long-term complications is warranted. In adults with diabetes and microalbuminuria, the use of angiotensin converting enzyme inhibitors (ACEI) and Statins is increasing, and in order to determine whether these agents are of value in the adolescent population a large randomized controlled clinical trial is needed. The Adolescent type 1 Diabetes cardio-renal Intervention Trial (AdDIT) is a multi-center, randomized, double-blind, placebo-controlled trial of ACEI and Statin therapy in adolescents with type 1 diabetes. 500 high-risk adolescents, defined on the basis of their albumin excretion, are randomized to receive either ACEI (Quinapril) or Statins (Atorvastatin) or combination therapy or placebo for 3-4 years. There will also be a parallel open observational study, based on the follow-up of 400 low-risk non-randomized adolescents. The major endpoint of the study is the change in albumin excretion; secondary endpoints include markers of CVD, renal function, retinopathy, quality of life combined with assessment of compliance and potential health economic benefits. AdDIT will provide important data on the potential renal and cardiovascular protective effects of ACEI and Statins in high-risk adolescents. Long-term follow-up of the randomized subjects will provide direct evidence of disease outcomes, in addition to the data on early surrogate measures of DN and CVD. Follow-up of non-randomized low-risk subjects will determine the potential impact of intervention on DN and CVD. AdDIT will help to determine whether, in addition to encouraging young people to achieve good glycaemic control, pharmacological cardio-renal protection should also be implemented. 2007-001039-72 ISRCTN91419926","author":[{"dropping-particle":"","family":"Bryden","given":"KS","non-dropping-particle":"","parse-names":false,"suffix":""},{"dropping-particle":"","family":"Dunger","given":"DB","non-dropping-particle":"","parse-names":false,"suffix":""},{"dropping-particle":"","family":"Mayou","given":"RA","non-dropping-particle":"","parse-names":false,"suffix":""},{"dropping-particle":"","family":"Peveler","given":"RC","non-dropping-particle":"","parse-names":false,"suffix":""},{"dropping-particle":"","family":"Neil","given":"HA","non-dropping-particle":"","parse-names":false,"suffix":""},{"dropping-particle":"","family":"Laing","given":"SP","non-dropping-particle":"","parse-names":false,"suffix":""},{"dropping-particle":"","family":"Swerdlow","given":"AJ","non-dropping-particle":"","parse-names":false,"suffix":""},{"dropping-particle":"","family":"Slater","given":"SD","non-dropping-particle":"","parse-names":false,"suffix":""},{"dropping-particle":"","family":"Burden","given":"AC","non-dropping-particle":"","parse-names":false,"suffix":""},{"dropping-particle":"","family":"Morris","given":"A","non-dropping-particle":"","parse-names":false,"suffix":""},{"dropping-particle":"","family":"Waugh","given":"NR","non-dropping-particle":"","parse-names":false,"suffix":""},{"dropping-particle":"","family":"Gatling","given":"W","non-dropping-particle":"","parse-names":false,"suffix":""},{"dropping-particle":"","family":"Bingley","given":"PJ","non-dropping-particle":"","parse-names":false,"suffix":""},{"dropping-particle":"","family":"Patterson","given":"CC","non-dropping-particle":"","parse-names":false,"suffix":""},{"dropping-particle":"","family":"Narayan","given":"KM","non-dropping-particle":"","parse-names":false,"suffix":""},{"dropping-particle":"","family":"Boyle","given":"JP","non-dropping-particle":"","parse-names":false,"suffix":""},{"dropping-particle":"","family":"Thompson","given":"TJ","non-dropping-particle":"","parse-names":false,"suffix":""},{"dropping-particle":"","family":"Sorensen","given":"SW","non-dropping-particle":"","parse-names":false,"suffix":""},{"dropping-particle":"","family":"Williamson","given":"DF","non-dropping-particle":"","parse-names":false,"suffix":""},{"dropping-particle":"","family":"Skrivarhaug","given":"T","non-dropping-particle":"","parse-names":false,"suffix":""},{"dropping-particle":"","family":"Bangstad","given":"HJ","non-dropping-particle":"","parse-names":false,"suffix":""},{"dropping-particle":"","family":"Stene","given":"LC","non-dropping-particle":"","parse-names":false,"suffix":""},{"dropping-particle":"","family":"Sandvik","given":"L","non-dropping-particle":"","parse-names":false,"suffix":""},{"dropping-particle":"","family":"Hanssen","given":"KF","non-dropping-particle":"","parse-names":false,"suffix":""},{"dropping-particle":"","family":"Joner","given":"G","non-dropping-particle":"","parse-names":false,"suffix":""},{"dropping-particle":"","family":"Orchard","given":"TJ","non-dropping-particle":"","parse-names":false,"suffix":""},{"dropping-particle":"","family":"Borch-Johnsen","given":"K","non-dropping-particle":"","parse-names":false,"suffix":""},{"dropping-particle":"","family":"Kreiner","given":"S","non-dropping-particle":"","parse-names":false,"suffix":""},{"dropping-particle":"","family":"Kostraba","given":"JN","non-dropping-particle":"","parse-names":false,"suffix":""},{"dropping-particle":"","family":"Dorman","given":"JS","non-dropping-particle":"","parse-names":false,"suffix":""},{"dropping-particle":"","family":"Orchard","given":"TJ","non-dropping-particle":"","parse-names":false,"suffix":""},{"dropping-particle":"","family":"Becker","given":"DJ","non-dropping-particle":"","parse-names":false,"suffix":""},{"dropping-particle":"","family":"Ohki","given":"Y","non-dropping-particle":"","parse-names":false,"suffix":""},{"dropping-particle":"","family":"Ellis","given":"D","non-dropping-particle":"","parse-names":false,"suffix":""},{"dropping-particle":"","family":"Doft","given":"BH","non-dropping-particle":"","parse-names":false,"suffix":""},{"dropping-particle":"","family":"Lobes","given":"LA","non-dropping-particle":"","parse-names":false,"suffix":""},{"dropping-particle":"","family":"LaPorte","given":"RE","non-dropping-particle":"","parse-names":false,"suffix":""},{"dropping-particle":"","family":"Drash","given":"AL","non-dropping-particle":"","parse-names":false,"suffix":""},{"dropping-particle":"","family":"Lawson","given":"ML","non-dropping-particle":"","parse-names":false,"suffix":""},{"dropping-particle":"","family":"Sochett","given":"EB","non-dropping-particle":"","parse-names":false,"suffix":""},{"dropping-particle":"","family":"Chait","given":"PG","non-dropping-particle":"","parse-names":false,"suffix":""},{"dropping-particle":"","family":"Balfe","given":"JW","non-dropping-particle":"","parse-names":false,"suffix":""},{"dropping-particle":"","family":"Daneman","given":"D","non-dropping-particle":"","parse-names":false,"suffix":""},{"dropping-particle":"","family":"Lawson","given":"ML","non-dropping-particle":"","parse-names":false,"suffix":""},{"dropping-particle":"","family":"Gerstein","given":"HC","non-dropping-particle":"","parse-names":false,"suffix":""},{"dropping-particle":"","family":"Tsui","given":"E","non-dropping-particle":"","parse-names":false,"suffix":""},{"dropping-particle":"","family":"Zinman","given":"B","non-dropping-particle":"","parse-names":false,"suffix":""},{"dropping-particle":"","family":"Rudberg","given":"S","non-dropping-particle":"","parse-names":false,"suffix":""},{"dropping-particle":"","family":"Dahlquist","given":"G","non-dropping-particle":"","parse-names":false,"suffix":""},{"dropping-particle":"","family":"Schultz","given":"CJ","non-dropping-particle":"","parse-names":false,"suffix":""},{"dropping-particle":"","family":"Konopelska-Bahu","given":"T","non-dropping-particle":"","parse-names":false,"suffix":""},{"dropping-particle":"","family":"Dalton","given":"RN","non-dropping-particle":"","parse-names":false,"suffix":""},{"dropping-particle":"","family":"Carroll","given":"TA","non-dropping-particle":"","parse-names":false,"suffix":""},{"dropping-particle":"","family":"Stratton","given":"I","non-dropping-particle":"","parse-names":false,"suffix":""},{"dropping-particle":"","family":"Gale","given":"EA","non-dropping-particle":"","parse-names":false,"suffix":""},{"dropping-particle":"","family":"Neil","given":"A","non-dropping-particle":"","parse-names":false,"suffix":""},{"dropping-particle":"","family":"Dunger","given":"DB","non-dropping-particle":"","parse-names":false,"suffix":""},{"dropping-particle":"","family":"Gibb","given":"DM","non-dropping-particle":"","parse-names":false,"suffix":""},{"dropping-particle":"","family":"Dunger","given":"D","non-dropping-particle":"","parse-names":false,"suffix":""},{"dropping-particle":"","family":"Levin","given":"M","non-dropping-particle":"","parse-names":false,"suffix":""},{"dropping-particle":"","family":"Shah","given":"V","non-dropping-particle":"","parse-names":false,"suffix":""},{"dropping-particle":"","family":"Smith","given":"C","non-dropping-particle":"","parse-names":false,"suffix":""},{"dropping-particle":"","family":"Barratt","given":"TM","non-dropping-particle":"","parse-names":false,"suffix":""},{"dropping-particle":"","family":"Mortensen","given":"HB","non-dropping-particle":"","parse-names":false,"suffix":""},{"dropping-particle":"","family":"Marinelli","given":"K","non-dropping-particle":"","parse-names":false,"suffix":""},{"dropping-particle":"","family":"Norgaard","given":"K","non-dropping-particle":"","parse-names":false,"suffix":""},{"dropping-particle":"","family":"Main","given":"K","non-dropping-particle":"","parse-names":false,"suffix":""},{"dropping-particle":"","family":"Kastrup","given":"KW","non-dropping-particle":"","parse-names":false,"suffix":""},{"dropping-particle":"","family":"Ibsen","given":"KK","non-dropping-particle":"","parse-names":false,"suffix":""},{"dropping-particle":"","family":"Villumsen","given":"J","non-dropping-particle":"","parse-names":false,"suffix":""},{"dropping-particle":"","family":"Parving","given":"HH","non-dropping-particle":"","parse-names":false,"suffix":""},{"dropping-particle":"","family":"Quattrin","given":"T","non-dropping-particle":"","parse-names":false,"suffix":""},{"dropping-particle":"","family":"Waz","given":"WR","non-dropping-particle":"","parse-names":false,"suffix":""},{"dropping-particle":"","family":"Duffy","given":"LC","non-dropping-particle":"","parse-names":false,"suffix":""},{"dropping-particle":"","family":"Sheldon","given":"MW","non-dropping-particle":"","parse-names":false,"suffix":""},{"dropping-particle":"","family":"Campos","given":"SP","non-dropping-particle":"","parse-names":false,"suffix":""},{"dropping-particle":"","family":"Albini","given":"CH","non-dropping-particle":"","parse-names":false,"suffix":""},{"dropping-particle":"","family":"Feld","given":"LG","non-dropping-particle":"","parse-names":false,"suffix":""},{"dropping-particle":"","family":"Salardi","given":"S","non-dropping-particle":"","parse-names":false,"suffix":""},{"dropping-particle":"","family":"Cacciari","given":"E","non-dropping-particle":"","parse-names":false,"suffix":""},{"dropping-particle":"","family":"Pascucci","given":"MG","non-dropping-particle":"","parse-names":false,"suffix":""},{"dropping-particle":"","family":"Giambiasi","given":"E","non-dropping-particle":"","parse-names":false,"suffix":""},{"dropping-particle":"","family":"Tacconi","given":"M","non-dropping-particle":"","parse-names":false,"suffix":""},{"dropping-particle":"","family":"Tazzari","given":"R","non-dropping-particle":"","parse-names":false,"suffix":""},{"dropping-particle":"","family":"Cicognani","given":"A","non-dropping-particle":"","parse-names":false,"suffix":""},{"dropping-particle":"","family":"Boriani","given":"F","non-dropping-particle":"","parse-names":false,"suffix":""},{"dropping-particle":"","family":"Puglioli","given":"R","non-dropping-particle":"","parse-names":false,"suffix":""},{"dropping-particle":"","family":"Mantovani","given":"W","non-dropping-particle":"","parse-names":false,"suffix":""},{"dropping-particle":"","family":"Caramori","given":"ML","non-dropping-particle":"","parse-names":false,"suffix":""},{"dropping-particle":"","family":"Kim","given":"Y","non-dropping-particle":"","parse-names":false,"suffix":""},{"dropping-particle":"","family":"Huang","given":"C","non-dropping-particle":"","parse-names":false,"suffix":""},{"dropping-particle":"","family":"Fish","given":"AJ","non-dropping-particle":"","parse-names":false,"suffix":""},{"dropping-particle":"","family":"Rich","given":"SS","non-dropping-particle":"","parse-names":false,"suffix":""},{"dropping-particle":"","family":"Miller","given":"ME","non-dropping-particle":"","parse-names":false,"suffix":""},{"dropping-particle":"","family":"Russell","given":"G","non-dropping-particle":"","parse-names":false,"suffix":""},{"dropping-particle":"","family":"Mauer","given":"M","non-dropping-particle":"","parse-names":false,"suffix":""},{"dropping-particle":"","family":"Schultz","given":"CJ","non-dropping-particle":"","parse-names":false,"suffix":""},{"dropping-particle":"","family":"Amin","given":"R","non-dropping-particle":"","parse-names":false,"suffix":""},{"dropping-particle":"","family":"Dunger","given":"DB","non-dropping-particle":"","parse-names":false,"suffix":""},{"dropping-particle":"","family":"Abraha","given":"A","non-dropping-particle":"","parse-names":false,"suffix":""},{"dropping-particle":"","family":"Schultz","given":"C","non-dropping-particle":"","parse-names":false,"suffix":""},{"dropping-particle":"","family":"Konopelska-Bahu","given":"T","non-dropping-particle":"","parse-names":false,"suffix":""},{"dropping-particle":"","family":"James","given":"T","non-dropping-particle":"","parse-names":false,"suffix":""},{"dropping-particle":"","family":"Watts","given":"A","non-dropping-particle":"","parse-names":false,"suffix":""},{"dropping-particle":"","family":"Stratton","given":"IM","non-dropping-particle":"","parse-names":false,"suffix":""},{"dropping-particle":"","family":"Matthews","given":"DR","non-dropping-particle":"","parse-names":false,"suffix":""},{"dropping-particle":"","family":"Dunger","given":"DB","non-dropping-particle":"","parse-names":false,"suffix":""},{"dropping-particle":"","family":"Orchard","given":"TJ","non-dropping-particle":"","parse-names":false,"suffix":""},{"dropping-particle":"","family":"Forrest","given":"KY","non-dropping-particle":"","parse-names":false,"suffix":""},{"dropping-particle":"","family":"Kuller","given":"LH","non-dropping-particle":"","parse-names":false,"suffix":""},{"dropping-particle":"","family":"Becker","given":"DJ","non-dropping-particle":"","parse-names":false,"suffix":""},{"dropping-particle":"","family":"Schultz","given":"CJ","non-dropping-particle":"","parse-names":false,"suffix":""},{"dropping-particle":"","family":"Neil","given":"HA","non-dropping-particle":"","parse-names":false,"suffix":""},{"dropping-particle":"","family":"Dalton","given":"RN","non-dropping-particle":"","parse-names":false,"suffix":""},{"dropping-particle":"","family":"Bahu","given":"T Konopelska","non-dropping-particle":"","parse-names":false,"suffix":""},{"dropping-particle":"","family":"Dunger","given":"DB","non-dropping-particle":"","parse-names":false,"suffix":""},{"dropping-particle":"","family":"Amin","given":"R","non-dropping-particle":"","parse-names":false,"suffix":""},{"dropping-particle":"","family":"Turner","given":"C","non-dropping-particle":"","parse-names":false,"suffix":""},{"dropping-particle":"van","family":"Aken","given":"S","non-dropping-particle":"","parse-names":false,"suffix":""},{"dropping-particle":"","family":"Bahu","given":"TK","non-dropping-particle":"","parse-names":false,"suffix":""},{"dropping-particle":"","family":"Watts","given":"A","non-dropping-particle":"","parse-names":false,"suffix":""},{"dropping-particle":"","family":"Lindsell","given":"DR","non-dropping-particle":"","parse-names":false,"suffix":""},{"dropping-particle":"","family":"Dalton","given":"RN","non-dropping-particle":"","parse-names":false,"suffix":""},{"dropping-particle":"","family":"Dunger","given":"DB","non-dropping-particle":"","parse-names":false,"suffix":""},{"dropping-particle":"","family":"Gallego","given":"PH","non-dropping-particle":"","parse-names":false,"suffix":""},{"dropping-particle":"","family":"Craig","given":"ME","non-dropping-particle":"","parse-names":false,"suffix":""},{"dropping-particle":"","family":"Hing","given":"S","non-dropping-particle":"","parse-names":false,"suffix":""},{"dropping-particle":"","family":"Donaghue","given":"KC","non-dropping-particle":"","parse-names":false,"suffix":""},{"dropping-particle":"","family":"Deckert","given":"T","non-dropping-particle":"","parse-names":false,"suffix":""},{"dropping-particle":"","family":"Feldt-Rasmussen","given":"B","non-dropping-particle":"","parse-names":false,"suffix":""},{"dropping-particle":"","family":"Borch-Johnsen","given":"K","non-dropping-particle":"","parse-names":false,"suffix":""},{"dropping-particle":"","family":"Jensen","given":"T","non-dropping-particle":"","parse-names":false,"suffix":""},{"dropping-particle":"","family":"Kofoed-Enevoldsen","given":"A","non-dropping-particle":"","parse-names":false,"suffix":""},{"dropping-particle":"","family":"Jarvisalo","given":"MJ","non-dropping-particle":"","parse-names":false,"suffix":""},{"dropping-particle":"","family":"Raitakari","given":"M","non-dropping-particle":"","parse-names":false,"suffix":""},{"dropping-particle":"","family":"Toikka","given":"JO","non-dropping-particle":"","parse-names":false,"suffix":""},{"dropping-particle":"","family":"Putto-Laurila","given":"A","non-dropping-particle":"","parse-names":false,"suffix":""},{"dropping-particle":"","family":"Rontu","given":"R","non-dropping-particle":"","parse-names":false,"suffix":""},{"dropping-particle":"","family":"Laine","given":"S","non-dropping-particle":"","parse-names":false,"suffix":""},{"dropping-particle":"","family":"Lehtimaki","given":"T","non-dropping-particle":"","parse-names":false,"suffix":""},{"dropping-particle":"","family":"Ronnemaa","given":"T","non-dropping-particle":"","parse-names":false,"suffix":""},{"dropping-particle":"","family":"Viikari","given":"J","non-dropping-particle":"","parse-names":false,"suffix":""},{"dropping-particle":"","family":"Raitakari","given":"OT","non-dropping-particle":"","parse-names":false,"suffix":""},{"dropping-particle":"","family":"Lorenz","given":"MW","non-dropping-particle":"","parse-names":false,"suffix":""},{"dropping-particle":"","family":"Markus","given":"HS","non-dropping-particle":"","parse-names":false,"suffix":""},{"dropping-particle":"","family":"Bots","given":"ML","non-dropping-particle":"","parse-names":false,"suffix":""},{"dropping-particle":"","family":"Rosvall","given":"M","non-dropping-particle":"","parse-names":false,"suffix":""},{"dropping-particle":"","family":"Sitzer","given":"M","non-dropping-particle":"","parse-names":false,"suffix":""},{"dropping-particle":"","family":"Singh","given":"TP","non-dropping-particle":"","parse-names":false,"suffix":""},{"dropping-particle":"","family":"Groehn","given":"H","non-dropping-particle":"","parse-names":false,"suffix":""},{"dropping-particle":"","family":"Kazmers","given":"A","non-dropping-particle":"","parse-names":false,"suffix":""},{"dropping-particle":"","family":"Jarvisalo","given":"MJ","non-dropping-particle":"","parse-names":false,"suffix":""},{"dropping-particle":"","family":"Jartti","given":"L","non-dropping-particle":"","parse-names":false,"suffix":""},{"dropping-particle":"","family":"Nanto-Salonen","given":"K","non-dropping-particle":"","parse-names":false,"suffix":""},{"dropping-particle":"","family":"Irjala","given":"K","non-dropping-particle":"","parse-names":false,"suffix":""},{"dropping-particle":"","family":"Ronnemaa","given":"T","non-dropping-particle":"","parse-names":false,"suffix":""},{"dropping-particle":"","family":"Hartiala","given":"JJ","non-dropping-particle":"","parse-names":false,"suffix":""},{"dropping-particle":"","family":"Celermajer","given":"DS","non-dropping-particle":"","parse-names":false,"suffix":""},{"dropping-particle":"","family":"Raitakari","given":"OT","non-dropping-particle":"","parse-names":false,"suffix":""},{"dropping-particle":"","family":"Krantz","given":"JS","non-dropping-particle":"","parse-names":false,"suffix":""},{"dropping-particle":"","family":"Mack","given":"WJ","non-dropping-particle":"","parse-names":false,"suffix":""},{"dropping-particle":"","family":"Hodis","given":"HN","non-dropping-particle":"","parse-names":false,"suffix":""},{"dropping-particle":"","family":"Liu","given":"CR","non-dropping-particle":"","parse-names":false,"suffix":""},{"dropping-particle":"","family":"Liu","given":"CH","non-dropping-particle":"","parse-names":false,"suffix":""},{"dropping-particle":"","family":"Kaufman","given":"FR","non-dropping-particle":"","parse-names":false,"suffix":""},{"dropping-particle":"","family":"Peppa-Patrikiou","given":"M","non-dropping-particle":"","parse-names":false,"suffix":""},{"dropping-particle":"","family":"Scordili","given":"M","non-dropping-particle":"","parse-names":false,"suffix":""},{"dropping-particle":"","family":"Antoniou","given":"A","non-dropping-particle":"","parse-names":false,"suffix":""},{"dropping-particle":"","family":"Giannaki","given":"M","non-dropping-particle":"","parse-names":false,"suffix":""},{"dropping-particle":"","family":"Dracopoulou","given":"M","non-dropping-particle":"","parse-names":false,"suffix":""},{"dropping-particle":"","family":"Dacou-Voutetakis","given":"C","non-dropping-particle":"","parse-names":false,"suffix":""},{"dropping-particle":"","family":"Atabek","given":"ME","non-dropping-particle":"","parse-names":false,"suffix":""},{"dropping-particle":"","family":"Pirgon","given":"O","non-dropping-particle":"","parse-names":false,"suffix":""},{"dropping-particle":"","family":"Kurtoglu","given":"S","non-dropping-particle":"","parse-names":false,"suffix":""},{"dropping-particle":"","family":"Imamoglu","given":"H","non-dropping-particle":"","parse-names":false,"suffix":""},{"dropping-particle":"","family":"Kramer","given":"H","non-dropping-particle":"","parse-names":false,"suffix":""},{"dropping-particle":"","family":"Jacobs","given":"DR","non-dropping-particle":"","parse-names":false,"suffix":""},{"dropping-particle":"","family":"Bild","given":"D","non-dropping-particle":"","parse-names":false,"suffix":""},{"dropping-particle":"","family":"Post","given":"W","non-dropping-particle":"","parse-names":false,"suffix":""},{"dropping-particle":"","family":"Saad","given":"MF","non-dropping-particle":"","parse-names":false,"suffix":""},{"dropping-particle":"","family":"Detrano","given":"R","non-dropping-particle":"","parse-names":false,"suffix":""},{"dropping-particle":"","family":"Tracy","given":"R","non-dropping-particle":"","parse-names":false,"suffix":""},{"dropping-particle":"","family":"Cooper","given":"R","non-dropping-particle":"","parse-names":false,"suffix":""},{"dropping-particle":"","family":"Liu","given":"K","non-dropping-particle":"","parse-names":false,"suffix":""},{"dropping-particle":"","family":"Smith","given":"A","non-dropping-particle":"","parse-names":false,"suffix":""},{"dropping-particle":"","family":"Karalliedde","given":"J","non-dropping-particle":"","parse-names":false,"suffix":""},{"dropping-particle":"De","family":"Angelis","given":"L","non-dropping-particle":"","parse-names":false,"suffix":""},{"dropping-particle":"","family":"Goldsmith","given":"D","non-dropping-particle":"","parse-names":false,"suffix":""},{"dropping-particle":"","family":"Viberti","given":"G","non-dropping-particle":"","parse-names":false,"suffix":""},{"dropping-particle":"","family":"Meeking","given":"DR","non-dropping-particle":"","parse-names":false,"suffix":""},{"dropping-particle":"","family":"Cummings","given":"MH","non-dropping-particle":"","parse-names":false,"suffix":""},{"dropping-particle":"","family":"Thorne","given":"S","non-dropping-particle":"","parse-names":false,"suffix":""},{"dropping-particle":"","family":"Donald","given":"A","non-dropping-particle":"","parse-names":false,"suffix":""},{"dropping-particle":"","family":"Clarkson","given":"P","non-dropping-particle":"","parse-names":false,"suffix":""},{"dropping-particle":"","family":"Crook","given":"JR","non-dropping-particle":"","parse-names":false,"suffix":""},{"dropping-particle":"","family":"Watts","given":"GF","non-dropping-particle":"","parse-names":false,"suffix":""},{"dropping-particle":"","family":"Shaw","given":"KM","non-dropping-particle":"","parse-names":false,"suffix":""},{"dropping-particle":"","family":"Bojestig","given":"M","non-dropping-particle":"","parse-names":false,"suffix":""},{"dropping-particle":"","family":"Arnqvist","given":"HJ","non-dropping-particle":"","parse-names":false,"suffix":""},{"dropping-particle":"","family":"Karlberg","given":"BE","non-dropping-particle":"","parse-names":false,"suffix":""},{"dropping-particle":"","family":"Ludvigsson","given":"J","non-dropping-particle":"","parse-names":false,"suffix":""},{"dropping-particle":"","family":"Gorman","given":"D","non-dropping-particle":"","parse-names":false,"suffix":""},{"dropping-particle":"","family":"Sochett","given":"E","non-dropping-particle":"","parse-names":false,"suffix":""},{"dropping-particle":"","family":"Daneman","given":"D","non-dropping-particle":"","parse-names":false,"suffix":""},{"dropping-particle":"","family":"Rudberg","given":"S","non-dropping-particle":"","parse-names":false,"suffix":""},{"dropping-particle":"","family":"Persson","given":"B","non-dropping-particle":"","parse-names":false,"suffix":""},{"dropping-particle":"","family":"Dahlquist","given":"G","non-dropping-particle":"","parse-names":false,"suffix":""},{"dropping-particle":"","family":"Salardi","given":"S","non-dropping-particle":"","parse-names":false,"suffix":""},{"dropping-particle":"","family":"Cacciari","given":"E","non-dropping-particle":"","parse-names":false,"suffix":""},{"dropping-particle":"","family":"Shield","given":"JP","non-dropping-particle":"","parse-names":false,"suffix":""},{"dropping-particle":"","family":"Hunt","given":"LP","non-dropping-particle":"","parse-names":false,"suffix":""},{"dropping-particle":"","family":"Karachaliou","given":"F","non-dropping-particle":"","parse-names":false,"suffix":""},{"dropping-particle":"","family":"Karavanaki","given":"K","non-dropping-particle":"","parse-names":false,"suffix":""},{"dropping-particle":"","family":"Baum","given":"JD","non-dropping-particle":"","parse-names":false,"suffix":""},{"dropping-particle":"","family":"Amin","given":"R","non-dropping-particle":"","parse-names":false,"suffix":""},{"dropping-particle":"","family":"Widmer","given":"B","non-dropping-particle":"","parse-names":false,"suffix":""},{"dropping-particle":"","family":"Prevost","given":"AT","non-dropping-particle":"","parse-names":false,"suffix":""},{"dropping-particle":"","family":"Schwarze","given":"P","non-dropping-particle":"","parse-names":false,"suffix":""},{"dropping-particle":"","family":"Cooper","given":"J","non-dropping-particle":"","parse-names":false,"suffix":""},{"dropping-particle":"","family":"Edge","given":"J","non-dropping-particle":"","parse-names":false,"suffix":""},{"dropping-particle":"","family":"Marcovecchio","given":"L","non-dropping-particle":"","parse-names":false,"suffix":""},{"dropping-particle":"","family":"Neil","given":"A","non-dropping-particle":"","parse-names":false,"suffix":""},{"dropping-particle":"","family":"Dalton","given":"RN","non-dropping-particle":"","parse-names":false,"suffix":""},{"dropping-particle":"","family":"Dunger","given":"DB","non-dropping-particle":"","parse-names":false,"suffix":""},{"dropping-particle":"","family":"Hovind","given":"P","non-dropping-particle":"","parse-names":false,"suffix":""},{"dropping-particle":"","family":"Tarnow","given":"L","non-dropping-particle":"","parse-names":false,"suffix":""},{"dropping-particle":"","family":"Rossing","given":"P","non-dropping-particle":"","parse-names":false,"suffix":""},{"dropping-particle":"","family":"Jensen","given":"BR","non-dropping-particle":"","parse-names":false,"suffix":""},{"dropping-particle":"","family":"Graae","given":"M","non-dropping-particle":"","parse-names":false,"suffix":""},{"dropping-particle":"","family":"Torp","given":"I","non-dropping-particle":"","parse-names":false,"suffix":""},{"dropping-particle":"","family":"Binder","given":"C","non-dropping-particle":"","parse-names":false,"suffix":""},{"dropping-particle":"","family":"Parving","given":"HH","non-dropping-particle":"","parse-names":false,"suffix":""},{"dropping-particle":"","family":"Schultz","given":"CJ","non-dropping-particle":"","parse-names":false,"suffix":""},{"dropping-particle":"","family":"Neil","given":"HA","non-dropping-particle":"","parse-names":false,"suffix":""},{"dropping-particle":"","family":"Dalton","given":"RN","non-dropping-particle":"","parse-names":false,"suffix":""},{"dropping-particle":"","family":"Dunger","given":"DB","non-dropping-particle":"","parse-names":false,"suffix":""},{"dropping-particle":"","family":"Dunger","given":"DB","non-dropping-particle":"","parse-names":false,"suffix":""},{"dropping-particle":"","family":"Schwarze","given":"CP","non-dropping-particle":"","parse-names":false,"suffix":""},{"dropping-particle":"","family":"Cooper","given":"JD","non-dropping-particle":"","parse-names":false,"suffix":""},{"dropping-particle":"","family":"Widmer","given":"B","non-dropping-particle":"","parse-names":false,"suffix":""},{"dropping-particle":"","family":"Neil","given":"HA","non-dropping-particle":"","parse-names":false,"suffix":""},{"dropping-particle":"","family":"Shield","given":"J","non-dropping-particle":"","parse-names":false,"suffix":""},{"dropping-particle":"","family":"Edge","given":"JA","non-dropping-particle":"","parse-names":false,"suffix":""},{"dropping-particle":"","family":"Jones","given":"TW","non-dropping-particle":"","parse-names":false,"suffix":""},{"dropping-particle":"","family":"Daneman","given":"D","non-dropping-particle":"","parse-names":false,"suffix":""},{"dropping-particle":"","family":"Dalton","given":"RN","non-dropping-particle":"","parse-names":false,"suffix":""},{"dropping-particle":"","family":"Newman","given":"DJ","non-dropping-particle":"","parse-names":false,"suffix":""},{"dropping-particle":"","family":"Mattock","given":"MB","non-dropping-particle":"","parse-names":false,"suffix":""},{"dropping-particle":"","family":"Dawnay","given":"AB","non-dropping-particle":"","parse-names":false,"suffix":""},{"dropping-particle":"","family":"Kerry","given":"S","non-dropping-particle":"","parse-names":false,"suffix":""},{"dropping-particle":"","family":"McGuire","given":"A","non-dropping-particle":"","parse-names":false,"suffix":""},{"dropping-particle":"","family":"Yaqoob","given":"M","non-dropping-particle":"","parse-names":false,"suffix":""},{"dropping-particle":"","family":"Hitman","given":"GA","non-dropping-particle":"","parse-names":false,"suffix":""},{"dropping-particle":"","family":"Hawke","given":"C","non-dropping-particle":"","parse-names":false,"suffix":""},{"dropping-particle":"","family":"Donaghue","given":"KC","non-dropping-particle":"","parse-names":false,"suffix":""},{"dropping-particle":"","family":"Chiarelli","given":"F","non-dropping-particle":"","parse-names":false,"suffix":""},{"dropping-particle":"","family":"Trotta","given":"D","non-dropping-particle":"","parse-names":false,"suffix":""},{"dropping-particle":"","family":"Allgrove","given":"J","non-dropping-particle":"","parse-names":false,"suffix":""},{"dropping-particle":"","family":"Dahl-Jorgensen","given":"K","non-dropping-particle":"","parse-names":false,"suffix":""},{"dropping-particle":"","family":"Cook","given":"J","non-dropping-particle":"","parse-names":false,"suffix":""},{"dropping-particle":"","family":"Daneman","given":"D","non-dropping-particle":"","parse-names":false,"suffix":""},{"dropping-particle":"","family":"Spino","given":"M","non-dropping-particle":"","parse-names":false,"suffix":""},{"dropping-particle":"","family":"Sochett","given":"E","non-dropping-particle":"","parse-names":false,"suffix":""},{"dropping-particle":"","family":"Perlman","given":"K","non-dropping-particle":"","parse-names":false,"suffix":""},{"dropping-particle":"","family":"Balfe","given":"JW","non-dropping-particle":"","parse-names":false,"suffix":""},{"dropping-particle":"","family":"Rudberg","given":"S","non-dropping-particle":"","parse-names":false,"suffix":""},{"dropping-particle":"","family":"Aperia","given":"A","non-dropping-particle":"","parse-names":false,"suffix":""},{"dropping-particle":"","family":"Freyschuss","given":"U","non-dropping-particle":"","parse-names":false,"suffix":""},{"dropping-particle":"","family":"Persson","given":"B","non-dropping-particle":"","parse-names":false,"suffix":""},{"dropping-particle":"","family":"Yuksel","given":"H","non-dropping-particle":"","parse-names":false,"suffix":""},{"dropping-particle":"","family":"Darcan","given":"S","non-dropping-particle":"","parse-names":false,"suffix":""},{"dropping-particle":"","family":"Kabasakal","given":"C","non-dropping-particle":"","parse-names":false,"suffix":""},{"dropping-particle":"","family":"Cura","given":"A","non-dropping-particle":"","parse-names":false,"suffix":""},{"dropping-particle":"","family":"Mir","given":"S","non-dropping-particle":"","parse-names":false,"suffix":""},{"dropping-particle":"","family":"Mavi","given":"E","non-dropping-particle":"","parse-names":false,"suffix":""},{"dropping-particle":"","family":"Drummond","given":"K","non-dropping-particle":"","parse-names":false,"suffix":""},{"dropping-particle":"","family":"Levy-Marchal","given":"C","non-dropping-particle":"","parse-names":false,"suffix":""},{"dropping-particle":"","family":"Laborde","given":"K","non-dropping-particle":"","parse-names":false,"suffix":""},{"dropping-particle":"","family":"Kindermans","given":"C","non-dropping-particle":"","parse-names":false,"suffix":""},{"dropping-particle":"","family":"Wright","given":"C","non-dropping-particle":"","parse-names":false,"suffix":""},{"dropping-particle":"","family":"Dechaux","given":"M","non-dropping-particle":"","parse-names":false,"suffix":""},{"dropping-particle":"","family":"Czernichow","given":"P","non-dropping-particle":"","parse-names":false,"suffix":""},{"dropping-particle":"","family":"Rudberg","given":"S","non-dropping-particle":"","parse-names":false,"suffix":""},{"dropping-particle":"","family":"Osterby","given":"R","non-dropping-particle":"","parse-names":false,"suffix":""},{"dropping-particle":"","family":"Bangstad","given":"HJ","non-dropping-particle":"","parse-names":false,"suffix":""},{"dropping-particle":"","family":"Dahlquist","given":"G","non-dropping-particle":"","parse-names":false,"suffix":""},{"dropping-particle":"","family":"Persson","given":"B","non-dropping-particle":"","parse-names":false,"suffix":""},{"dropping-particle":"","family":"Chaturvedi","given":"N","non-dropping-particle":"","parse-names":false,"suffix":""},{"dropping-particle":"","family":"Sjolie","given":"AK","non-dropping-particle":"","parse-names":false,"suffix":""},{"dropping-particle":"","family":"Stephenson","given":"JM","non-dropping-particle":"","parse-names":false,"suffix":""},{"dropping-particle":"","family":"Abrahamian","given":"H","non-dropping-particle":"","parse-names":false,"suffix":""},{"dropping-particle":"","family":"Keipes","given":"M","non-dropping-particle":"","parse-names":false,"suffix":""},{"dropping-particle":"","family":"Castellarin","given":"A","non-dropping-particle":"","parse-names":false,"suffix":""},{"dropping-particle":"","family":"Rogulja-Pepeonik","given":"Z","non-dropping-particle":"","parse-names":false,"suffix":""},{"dropping-particle":"","family":"Fuller","given":"JH","non-dropping-particle":"","parse-names":false,"suffix":""},{"dropping-particle":"","family":"Mauer","given":"M","non-dropping-particle":"","parse-names":false,"suffix":""},{"dropping-particle":"","family":"Zinman","given":"B","non-dropping-particle":"","parse-names":false,"suffix":""},{"dropping-particle":"","family":"Gardiner","given":"R","non-dropping-particle":"","parse-names":false,"suffix":""},{"dropping-particle":"","family":"Suissa","given":"S","non-dropping-particle":"","parse-names":false,"suffix":""},{"dropping-particle":"","family":"Sinaiko","given":"A","non-dropping-particle":"","parse-names":false,"suffix":""},{"dropping-particle":"","family":"Strand","given":"T","non-dropping-particle":"","parse-names":false,"suffix":""},{"dropping-particle":"","family":"Drummond","given":"K","non-dropping-particle":"","parse-names":false,"suffix":""},{"dropping-particle":"","family":"Donnelly","given":"S","non-dropping-particle":"","parse-names":false,"suffix":""},{"dropping-particle":"","family":"Goodyer","given":"P","non-dropping-particle":"","parse-names":false,"suffix":""},{"dropping-particle":"","family":"Gubler","given":"MC","non-dropping-particle":"","parse-names":false,"suffix":""},{"dropping-particle":"","family":"Baigent","given":"C","non-dropping-particle":"","parse-names":false,"suffix":""},{"dropping-particle":"","family":"Keech","given":"A","non-dropping-particle":"","parse-names":false,"suffix":""},{"dropping-particle":"","family":"Kearney","given":"PM","non-dropping-particle":"","parse-names":false,"suffix":""},{"dropping-particle":"","family":"Blackwell","given":"L","non-dropping-particle":"","parse-names":false,"suffix":""},{"dropping-particle":"","family":"Buck","given":"G","non-dropping-particle":"","parse-names":false,"suffix":""},{"dropping-particle":"","family":"Pollicino","given":"C","non-dropping-particle":"","parse-names":false,"suffix":""},{"dropping-particle":"","family":"Kirby","given":"A","non-dropping-particle":"","parse-names":false,"suffix":""},{"dropping-particle":"","family":"Sourjina","given":"T","non-dropping-particle":"","parse-names":false,"suffix":""},{"dropping-particle":"","family":"Peto","given":"R","non-dropping-particle":"","parse-names":false,"suffix":""},{"dropping-particle":"","family":"Collins","given":"R","non-dropping-particle":"","parse-names":false,"suffix":""},{"dropping-particle":"","family":"Avis","given":"HJ","non-dropping-particle":"","parse-names":false,"suffix":""},{"dropping-particle":"","family":"Vissers","given":"MN","non-dropping-particle":"","parse-names":false,"suffix":""},{"dropping-particle":"","family":"Stein","given":"EA","non-dropping-particle":"","parse-names":false,"suffix":""},{"dropping-particle":"","family":"Wijburg","given":"FA","non-dropping-particle":"","parse-names":false,"suffix":""},{"dropping-particle":"","family":"Trip","given":"MD","non-dropping-particle":"","parse-names":false,"suffix":""},{"dropping-particle":"","family":"Kastelein","given":"JJ","non-dropping-particle":"","parse-names":false,"suffix":""},{"dropping-particle":"","family":"Hutten","given":"BA","non-dropping-particle":"","parse-names":false,"suffix":""},{"dropping-particle":"","family":"Arambepola","given":"C","non-dropping-particle":"","parse-names":false,"suffix":""},{"dropping-particle":"","family":"Farmer","given":"AJ","non-dropping-particle":"","parse-names":false,"suffix":""},{"dropping-particle":"","family":"Perera","given":"R","non-dropping-particle":"","parse-names":false,"suffix":""},{"dropping-particle":"","family":"Neil","given":"HA","non-dropping-particle":"","parse-names":false,"suffix":""},{"dropping-particle":"","family":"Dahl-Jorgensen","given":"K","non-dropping-particle":"","parse-names":false,"suffix":""},{"dropping-particle":"","family":"Larsen","given":"JR","non-dropping-particle":"","parse-names":false,"suffix":""},{"dropping-particle":"","family":"Hanssen","given":"KF","non-dropping-particle":"","parse-names":false,"suffix":""},{"dropping-particle":"","family":"Yamasaki","given":"Y","non-dropping-particle":"","parse-names":false,"suffix":""},{"dropping-particle":"","family":"Kawamori","given":"R","non-dropping-particle":"","parse-names":false,"suffix":""},{"dropping-particle":"","family":"Matsushima","given":"H","non-dropping-particle":"","parse-names":false,"suffix":""},{"dropping-particle":"","family":"Nishizawa","given":"H","non-dropping-particle":"","parse-names":false,"suffix":""},{"dropping-particle":"","family":"Kodama","given":"M","non-dropping-particle":"","parse-names":false,"suffix":""},{"dropping-particle":"","family":"Kajimoto","given":"Y","non-dropping-particle":"","parse-names":false,"suffix":""},{"dropping-particle":"","family":"Morishima","given":"T","non-dropping-particle":"","parse-names":false,"suffix":""},{"dropping-particle":"","family":"Kamada","given":"T","non-dropping-particle":"","parse-names":false,"suffix":""},{"dropping-particle":"","family":"Wiegman","given":"A","non-dropping-particle":"","parse-names":false,"suffix":""},{"dropping-particle":"de","family":"Groot","given":"E","non-dropping-particle":"","parse-names":false,"suffix":""},{"dropping-particle":"","family":"Hutten","given":"BA","non-dropping-particle":"","parse-names":false,"suffix":""},{"dropping-particle":"","family":"Rodenburg","given":"J","non-dropping-particle":"","parse-names":false,"suffix":""},{"dropping-particle":"","family":"Gort","given":"J","non-dropping-particle":"","parse-names":false,"suffix":""},{"dropping-particle":"","family":"Bakker","given":"HD","non-dropping-particle":"","parse-names":false,"suffix":""},{"dropping-particle":"","family":"Sijbrands","given":"EJ","non-dropping-particle":"","parse-names":false,"suffix":""},{"dropping-particle":"","family":"Kastelein","given":"JJ","non-dropping-particle":"","parse-names":false,"suffix":""},{"dropping-particle":"","family":"Kuvin","given":"JT","non-dropping-particle":"","parse-names":false,"suffix":""},{"dropping-particle":"","family":"Patel","given":"AR","non-dropping-particle":"","parse-names":false,"suffix":""},{"dropping-particle":"","family":"Sliney","given":"KA","non-dropping-particle":"","parse-names":false,"suffix":""},{"dropping-particle":"","family":"Pandian","given":"NG","non-dropping-particle":"","parse-names":false,"suffix":""},{"dropping-particle":"","family":"Sheffy","given":"J","non-dropping-particle":"","parse-names":false,"suffix":""},{"dropping-particle":"","family":"Schnall","given":"RP","non-dropping-particle":"","parse-names":false,"suffix":""},{"dropping-particle":"","family":"Karas","given":"RH","non-dropping-particle":"","parse-names":false,"suffix":""},{"dropping-particle":"","family":"Udelson","given":"JE","non-dropping-particle":"","parse-names":false,"suffix":""},{"dropping-particle":"","family":"Dhindsa","given":"M","non-dropping-particle":"","parse-names":false,"suffix":""},{"dropping-particle":"","family":"Sommerlad","given":"SM","non-dropping-particle":"","parse-names":false,"suffix":""},{"dropping-particle":"","family":"DeVan","given":"AE","non-dropping-particle":"","parse-names":false,"suffix":""},{"dropping-particle":"","family":"Barnes","given":"JN","non-dropping-particle":"","parse-names":false,"suffix":""},{"dropping-particle":"","family":"Sugawara","given":"J","non-dropping-particle":"","parse-names":false,"suffix":""},{"dropping-particle":"","family":"Ley","given":"O","non-dropping-particle":"","parse-names":false,"suffix":""},{"dropping-particle":"","family":"Tanaka","given":"H","non-dropping-particle":"","parse-names":false,"suffix":""},{"dropping-particle":"","family":"Haller","given":"MJ","non-dropping-particle":"","parse-names":false,"suffix":""},{"dropping-particle":"","family":"Stein","given":"J","non-dropping-particle":"","parse-names":false,"suffix":""},{"dropping-particle":"","family":"Shuster","given":"J","non-dropping-particle":"","parse-names":false,"suffix":""},{"dropping-particle":"","family":"Theriaque","given":"D","non-dropping-particle":"","parse-names":false,"suffix":""},{"dropping-particle":"","family":"Silverstein","given":"J","non-dropping-particle":"","parse-names":false,"suffix":""},{"dropping-particle":"","family":"Schatz","given":"DA","non-dropping-particle":"","parse-names":false,"suffix":""},{"dropping-particle":"","family":"Earing","given":"MG","non-dropping-particle":"","parse-names":false,"suffix":""},{"dropping-particle":"","family":"Lerman","given":"A","non-dropping-particle":"","parse-names":false,"suffix":""},{"dropping-particle":"","family":"Mahmud","given":"FH","non-dropping-particle":"","parse-names":false,"suffix":""},{"dropping-particle":"","family":"Haller","given":"MJ","non-dropping-particle":"","parse-names":false,"suffix":""},{"dropping-particle":"","family":"Samyn","given":"M","non-dropping-particle":"","parse-names":false,"suffix":""},{"dropping-particle":"","family":"Nichols","given":"WW","non-dropping-particle":"","parse-names":false,"suffix":""},{"dropping-particle":"","family":"Brusko","given":"T","non-dropping-particle":"","parse-names":false,"suffix":""},{"dropping-particle":"","family":"Wasserfall","given":"C","non-dropping-particle":"","parse-names":false,"suffix":""},{"dropping-particle":"","family":"Schwartz","given":"RF","non-dropping-particle":"","parse-names":false,"suffix":""},{"dropping-particle":"","family":"Atkinson","given":"M","non-dropping-particle":"","parse-names":false,"suffix":""},{"dropping-particle":"","family":"Shuster","given":"JJ","non-dropping-particle":"","parse-names":false,"suffix":""},{"dropping-particle":"","family":"Pierce","given":"GL","non-dropping-particle":"","parse-names":false,"suffix":""},{"dropping-particle":"","family":"Silverstein","given":"JH","non-dropping-particle":"","parse-names":false,"suffix":""},{"dropping-particle":"","family":"Wiegman","given":"A","non-dropping-particle":"","parse-names":false,"suffix":""},{"dropping-particle":"","family":"Hutten","given":"BA","non-dropping-particle":"","parse-names":false,"suffix":""},{"dropping-particle":"de","family":"Groot","given":"E","non-dropping-particle":"","parse-names":false,"suffix":""},{"dropping-particle":"","family":"Rodenburg","given":"J","non-dropping-particle":"","parse-names":false,"suffix":""},{"dropping-particle":"","family":"Bakker","given":"HD","non-dropping-particle":"","parse-names":false,"suffix":""},{"dropping-particle":"","family":"Buller","given":"HR","non-dropping-particle":"","parse-names":false,"suffix":""},{"dropping-particle":"","family":"Sijbrands","given":"EJ","non-dropping-particle":"","parse-names":false,"suffix":""},{"dropping-particle":"","family":"Kastelein","given":"JJ","non-dropping-particle":"","parse-names":false,"suffix":""},{"dropping-particle":"","family":"Keane","given":"WF","non-dropping-particle":"","parse-names":false,"suffix":""},{"dropping-particle":"","family":"Kasiske","given":"BL","non-dropping-particle":"","parse-names":false,"suffix":""},{"dropping-particle":"","family":"O'Donnell","given":"MP","non-dropping-particle":"","parse-names":false,"suffix":""},{"dropping-particle":"","family":"Kim","given":"Y","non-dropping-particle":"","parse-names":false,"suffix":""},{"dropping-particle":"","family":"O'Donnell","given":"MP","non-dropping-particle":"","parse-names":false,"suffix":""},{"dropping-particle":"","family":"Kasiske","given":"BL","non-dropping-particle":"","parse-names":false,"suffix":""},{"dropping-particle":"","family":"Kim","given":"Y","non-dropping-particle":"","parse-names":false,"suffix":""},{"dropping-particle":"","family":"Atluru","given":"D","non-dropping-particle":"","parse-names":false,"suffix":""},{"dropping-particle":"","family":"Keane","given":"WF","non-dropping-particle":"","parse-names":false,"suffix":""},{"dropping-particle":"","family":"Ota","given":"T","non-dropping-particle":"","parse-names":false,"suffix":""},{"dropping-particle":"","family":"Takamura","given":"T","non-dropping-particle":"","parse-names":false,"suffix":""},{"dropping-particle":"","family":"Ando","given":"H","non-dropping-particle":"","parse-names":false,"suffix":""},{"dropping-particle":"","family":"Nohara","given":"E","non-dropping-particle":"","parse-names":false,"suffix":""},{"dropping-particle":"","family":"Yamashita","given":"H","non-dropping-particle":"","parse-names":false,"suffix":""},{"dropping-particle":"","family":"Kobayashi","given":"K","non-dropping-particle":"","parse-names":false,"suffix":""},{"dropping-particle":"","family":"Collins","given":"R","non-dropping-particle":"","parse-names":false,"suffix":""},{"dropping-particle":"","family":"Armitage","given":"J","non-dropping-particle":"","parse-names":false,"suffix":""},{"dropping-particle":"","family":"Parish","given":"S","non-dropping-particle":"","parse-names":false,"suffix":""},{"dropping-particle":"","family":"Sleigh","given":"P","non-dropping-particle":"","parse-names":false,"suffix":""},{"dropping-particle":"","family":"Peto","given":"R","non-dropping-particle":"","parse-names":false,"suffix":""},{"dropping-particle":"","family":"Athyros","given":"VG","non-dropping-particle":"","parse-names":false,"suffix":""},{"dropping-particle":"","family":"Papageorgiou","given":"AA","non-dropping-particle":"","parse-names":false,"suffix":""},{"dropping-particle":"","family":"Symeonidis","given":"AN","non-dropping-particle":"","parse-names":false,"suffix":""},{"dropping-particle":"","family":"Didangelos","given":"TP","non-dropping-particle":"","parse-names":false,"suffix":""},{"dropping-particle":"","family":"Pehlivanidis","given":"AN","non-dropping-particle":"","parse-names":false,"suffix":""},{"dropping-particle":"","family":"Bouloukos","given":"VI","non-dropping-particle":"","parse-names":false,"suffix":""},{"dropping-particle":"","family":"Mikhailidis","given":"DP","non-dropping-particle":"","parse-names":false,"suffix":""},{"dropping-particle":"","family":"Mohamed","given":"Q","non-dropping-particle":"","parse-names":false,"suffix":""},{"dropping-particle":"","family":"Gillies","given":"MC","non-dropping-particle":"","parse-names":false,"suffix":""},{"dropping-particle":"","family":"Wong","given":"TY","non-dropping-particle":"","parse-names":false,"suffix":""},{"dropping-particle":"","family":"Keech","given":"AC","non-dropping-particle":"","parse-names":false,"suffix":""},{"dropping-particle":"","family":"Mitchell","given":"P","non-dropping-particle":"","parse-names":false,"suffix":""},{"dropping-particle":"","family":"Summanen","given":"PA","non-dropping-particle":"","parse-names":false,"suffix":""},{"dropping-particle":"","family":"O'Day","given":"J","non-dropping-particle":"","parse-names":false,"suffix":""},{"dropping-particle":"","family":"Davis","given":"TM","non-dropping-particle":"","parse-names":false,"suffix":""},{"dropping-particle":"","family":"Moffitt","given":"MS","non-dropping-particle":"","parse-names":false,"suffix":""},{"dropping-particle":"","family":"Taskinen","given":"MR","non-dropping-particle":"","parse-names":false,"suffix":""},{"dropping-particle":"","family":"Simes","given":"RJ","non-dropping-particle":"","parse-names":false,"suffix":""},{"dropping-particle":"","family":"Tse","given":"D","non-dropping-particle":"","parse-names":false,"suffix":""},{"dropping-particle":"","family":"Williamson","given":"E","non-dropping-particle":"","parse-names":false,"suffix":""},{"dropping-particle":"","family":"Marcovecchio","given":"ML","non-dropping-particle":"","parse-names":false,"suffix":""},{"dropping-particle":"","family":"Dalton","given":"RN","non-dropping-particle":"","parse-names":false,"suffix":""},{"dropping-particle":"","family":"Schwarze","given":"CP","non-dropping-particle":"","parse-names":false,"suffix":""},{"dropping-particle":"","family":"Prevost","given":"AT","non-dropping-particle":"","parse-names":false,"suffix":""},{"dropping-particle":"","family":"Neil","given":"HA","non-dropping-particle":"","parse-names":false,"suffix":""},{"dropping-particle":"","family":"Acerini","given":"CL","non-dropping-particle":"","parse-names":false,"suffix":""},{"dropping-particle":"","family":"Barrett","given":"T","non-dropping-particle":"","parse-names":false,"suffix":""},{"dropping-particle":"","family":"Cooper","given":"JD","non-dropping-particle":"","parse-names":false,"suffix":""},{"dropping-particle":"","family":"Edge","given":"J","non-dropping-particle":"","parse-names":false,"suffix":""},{"dropping-particle":"","family":"Shield","given":"J","non-dropping-particle":"","parse-names":false,"suffix":""},{"dropping-particle":"","family":"Pocock","given":"S","non-dropping-particle":"","parse-names":false,"suffix":""},{"dropping-particle":"","family":"Zindani","given":"GN","non-dropping-particle":"","parse-names":false,"suffix":""},{"dropping-particle":"","family":"Streetman","given":"DD","non-dropping-particle":"","parse-names":false,"suffix":""},{"dropping-particle":"","family":"Streetman","given":"DS","non-dropping-particle":"","parse-names":false,"suffix":""},{"dropping-particle":"","family":"Nasr","given":"SZ","non-dropping-particle":"","parse-names":false,"suffix":""},{"dropping-particle":"","family":"Vrijens","given":"B","non-dropping-particle":"","parse-names":false,"suffix":""},{"dropping-particle":"","family":"Tousset","given":"E","non-dropping-particle":"","parse-names":false,"suffix":""},{"dropping-particle":"","family":"Rode","given":"R","non-dropping-particle":"","parse-names":false,"suffix":""},{"dropping-particle":"","family":"Bertz","given":"R","non-dropping-particle":"","parse-names":false,"suffix":""},{"dropping-particle":"","family":"Mayer","given":"S","non-dropping-particle":"","parse-names":false,"suffix":""},{"dropping-particle":"","family":"Urquhart","given":"J","non-dropping-particle":"","parse-names":false,"suffix":""},{"dropping-particle":"","family":"Dalton","given":"RN","non-dropping-particle":"","parse-names":false,"suffix":""},{"dropping-particle":"","family":"Booth","given":"C","non-dropping-particle":"","parse-names":false,"suffix":""},{"dropping-particle":"","family":"Mallard","given":"B","non-dropping-particle":"","parse-names":false,"suffix":""},{"dropping-particle":"","family":"Rigby","given":"E","non-dropping-particle":"","parse-names":false,"suffix":""},{"dropping-particle":"","family":"Ridgen","given":"S","non-dropping-particle":"","parse-names":false,"suffix":""},{"dropping-particle":"","family":"Turner","given":"C","non-dropping-particle":"","parse-names":false,"suffix":""},{"dropping-particle":"","family":"Kielstein","given":"JT","non-dropping-particle":"","parse-names":false,"suffix":""},{"dropping-particle":"","family":"Salpeter","given":"SR","non-dropping-particle":"","parse-names":false,"suffix":""},{"dropping-particle":"","family":"Bode-Boeger","given":"SM","non-dropping-particle":"","parse-names":false,"suffix":""},{"dropping-particle":"","family":"Cooke","given":"JP","non-dropping-particle":"","parse-names":false,"suffix":""},{"dropping-particle":"","family":"Fliser","given":"D","non-dropping-particle":"","parse-names":false,"suffix":""},{"dropping-particle":"","family":"Bokenkamp","given":"A","non-dropping-particle":"","parse-names":false,"suffix":""},{"dropping-particle":"","family":"Domanetzki","given":"M","non-dropping-particle":"","parse-names":false,"suffix":""},{"dropping-particle":"","family":"Zinck","given":"R","non-dropping-particle":"","parse-names":false,"suffix":""},{"dropping-particle":"","family":"Schumann","given":"G","non-dropping-particle":"","parse-names":false,"suffix":""},{"dropping-particle":"","family":"Byrd","given":"D","non-dropping-particle":"","parse-names":false,"suffix":""},{"dropping-particle":"","family":"Brodehl","given":"J","non-dropping-particle":"","parse-names":false,"suffix":""},{"dropping-particle":"","family":"Fong","given":"DS","non-dropping-particle":"","parse-names":false,"suffix":""},{"dropping-particle":"","family":"Aiello","given":"LP","non-dropping-particle":"","parse-names":false,"suffix":""},{"dropping-particle":"","family":"Ferris","given":"FL","non-dropping-particle":"","parse-names":false,"suffix":""},{"dropping-particle":"","family":"Klein","given":"R","non-dropping-particle":"","parse-names":false,"suffix":""},{"dropping-particle":"","family":"Cheung","given":"N","non-dropping-particle":"","parse-names":false,"suffix":""},{"dropping-particle":"","family":"Donaghue","given":"KC","non-dropping-particle":"","parse-names":false,"suffix":""},{"dropping-particle":"","family":"Liew","given":"G","non-dropping-particle":"","parse-names":false,"suffix":""},{"dropping-particle":"","family":"Rogers","given":"SL","non-dropping-particle":"","parse-names":false,"suffix":""},{"dropping-particle":"","family":"Wang","given":"JJ","non-dropping-particle":"","parse-names":false,"suffix":""},{"dropping-particle":"","family":"Lim","given":"SW","non-dropping-particle":"","parse-names":false,"suffix":""},{"dropping-particle":"","family":"Jenkins","given":"AJ","non-dropping-particle":"","parse-names":false,"suffix":""},{"dropping-particle":"","family":"Hsu","given":"W","non-dropping-particle":"","parse-names":false,"suffix":""},{"dropping-particle":"","family":"Lee","given":"M Li","non-dropping-particle":"","parse-names":false,"suffix":""},{"dropping-particle":"","family":"Wong","given":"TY","non-dropping-particle":"","parse-names":false,"suffix":""},{"dropping-particle":"","family":"Cheung","given":"N","non-dropping-particle":"","parse-names":false,"suffix":""},{"dropping-particle":"","family":"Rogers","given":"SL","non-dropping-particle":"","parse-names":false,"suffix":""},{"dropping-particle":"","family":"Donaghue","given":"KC","non-dropping-particle":"","parse-names":false,"suffix":""},{"dropping-particle":"","family":"Jenkins","given":"AJ","non-dropping-particle":"","parse-names":false,"suffix":""},{"dropping-particle":"","family":"Tikellis","given":"G","non-dropping-particle":"","parse-names":false,"suffix":""},{"dropping-particle":"","family":"Wong","given":"TY","non-dropping-particle":"","parse-names":false,"suffix":""},{"dropping-particle":"","family":"Eastman","given":"RC","non-dropping-particle":"","parse-names":false,"suffix":""},{"dropping-particle":"","family":"Javitt","given":"JC","non-dropping-particle":"","parse-names":false,"suffix":""},{"dropping-particle":"","family":"Herman","given":"WH","non-dropping-particle":"","parse-names":false,"suffix":""},{"dropping-particle":"","family":"Dasbach","given":"EJ","non-dropping-particle":"","parse-names":false,"suffix":""},{"dropping-particle":"","family":"Zbrozek","given":"AS","non-dropping-particle":"","parse-names":false,"suffix":""},{"dropping-particle":"","family":"Dong","given":"F","non-dropping-particle":"","parse-names":false,"suffix":""},{"dropping-particle":"","family":"Manninen","given":"D","non-dropping-particle":"","parse-names":false,"suffix":""},{"dropping-particle":"","family":"Garfield","given":"SA","non-dropping-particle":"","parse-names":false,"suffix":""},{"dropping-particle":"","family":"Copley-Merriman","given":"C","non-dropping-particle":"","parse-names":false,"suffix":""},{"dropping-particle":"","family":"Maier","given":"W","non-dropping-particle":"","parse-names":false,"suffix":""},{"dropping-particle":"","family":"Dong","given":"FB","non-dropping-particle":"","parse-names":false,"suffix":""},{"dropping-particle":"","family":"Sorensen","given":"SW","non-dropping-particle":"","parse-names":false,"suffix":""},{"dropping-particle":"","family":"Manninen","given":"DL","non-dropping-particle":"","parse-names":false,"suffix":""},{"dropping-particle":"","family":"Thompson","given":"TJ","non-dropping-particle":"","parse-names":false,"suffix":""},{"dropping-particle":"","family":"Narayan","given":"V","non-dropping-particle":"","parse-names":false,"suffix":""},{"dropping-particle":"","family":"Orians","given":"CE","non-dropping-particle":"","parse-names":false,"suffix":""},{"dropping-particle":"","family":"Gregg","given":"EW","non-dropping-particle":"","parse-names":false,"suffix":""},{"dropping-particle":"","family":"Eastman","given":"RC","non-dropping-particle":"","parse-names":false,"suffix":""},{"dropping-particle":"","family":"Dasbach","given":"EJ","non-dropping-particle":"","parse-names":false,"suffix":""},{"dropping-particle":"","family":"Herman","given":"WH","non-dropping-particle":"","parse-names":false,"suffix":""},{"dropping-particle":"","family":"Schafer","given":"JL","non-dropping-particle":"","parse-names":false,"suffix":""},{"dropping-particle":"","family":"Montgomery","given":"AA","non-dropping-particle":"","parse-names":false,"suffix":""},{"dropping-particle":"","family":"Peters","given":"TJ","non-dropping-particle":"","parse-names":false,"suffix":""},{"dropping-particle":"","family":"Little","given":"P","non-dropping-particle":"","parse-names":false,"suffix":""},{"dropping-particle":"","family":"McAlister","given":"FA","non-dropping-particle":"","parse-names":false,"suffix":""},{"dropping-particle":"","family":"Straus","given":"SE","non-dropping-particle":"","parse-names":false,"suffix":""},{"dropping-particle":"","family":"Sackett","given":"DL","non-dropping-particle":"","parse-names":false,"suffix":""},{"dropping-particle":"","family":"Altman","given":"DG","non-dropping-particle":"","parse-names":false,"suffix":""},{"dropping-particle":"","family":"Dunger","given":"DB","non-dropping-particle":"","parse-names":false,"suffix":""},{"dropping-particle":"","family":"Silverstein","given":"J","non-dropping-particle":"","parse-names":false,"suffix":""},{"dropping-particle":"","family":"Klingensmith","given":"G","non-dropping-particle":"","parse-names":false,"suffix":""},{"dropping-particle":"","family":"Copeland","given":"K","non-dropping-particle":"","parse-names":false,"suffix":""},{"dropping-particle":"","family":"Plotnick","given":"L","non-dropping-particle":"","parse-names":false,"suffix":""},{"dropping-particle":"","family":"Kaufman","given":"F","non-dropping-particle":"","parse-names":false,"suffix":""},{"dropping-particle":"","family":"Laffel","given":"L","non-dropping-particle":"","parse-names":false,"suffix":""},{"dropping-particle":"","family":"Deeb","given":"L","non-dropping-particle":"","parse-names":false,"suffix":""},{"dropping-particle":"","family":"Grey","given":"M","non-dropping-particle":"","parse-names":false,"suffix":""},{"dropping-particle":"","family":"Anderson","given":"B","non-dropping-particle":"","parse-names":false,"suffix":""},{"dropping-particle":"","family":"Holzmeister","given":"LA","non-dropping-particle":"","parse-names":false,"suffix":""}],"container-title":"BMC Pediatrics","id":"ITEM-1","issue":"1","issued":{"date-parts":[["2009","12","17"]]},"page":"79","publisher":"BioMed Central","title":"Adolescent type 1 Diabetes cardio-renal Intervention Trial (AdDIT)","type":"article-journal","volume":"9"},"uris":["http://www.mendeley.com/documents/?uuid=e6bc442a-30f3-3578-bdb8-038f2171e607"]},{"id":"ITEM-2","itemData":{"DOI":"10.2337/dc13-1634","ISBN":"1935-5548 (Electronic)\\r0149-5992 (Linking)","ISSN":"01495992","PMID":"24198300","abstract":"OBJECTIVE: We assessed the association between early increases in albumin excretion and cardiovascular (CV) and renal markers in a large cohort of young people with type 1 diabetes.\\n\\nRESEARCH DESIGN AND METHODS: As part of preliminary screening for a multicenter, randomized controlled trial of statins/ACE inhibitors, we measured albumin-creatinine ratio (ACR) in six early morning urine samples from 3,353 adolescents (10-16 years of age) and calculated tertiles based on an established algorithm. From those subjects deemed to be at higher risk (upper ACR tertile), we recruited 400 into the intervention study (trial cohort). From those subjects deemed to be at lower risk (middle-lower ACR tertiles), we recruited 329 to the observation cohort. At baseline, vascular measurements (carotid intima-media thickness, pulse wave velocity [PWV], flow-mediated dilatation, digital pulse amplitude tonometry), renal markers (symmetric dimethylarginine, cystatin C, creatinine), and CV disease markers (lipids and apolipoproteins [Apo] A-1 and B, C-reactive protein, asymmetric dimethylarginine) were assessed.\\n\\nRESULTS: Age- and sex-adjusted PWV was higher in the trial than in the observational cohort (5.00 ± 0.84 vs. 4.86 ± 0.70 m/s; P = 0.021). Similarly, non-HDL cholesterol (2.95 ± 0.83 vs. 2.81 ± 0.78 mmol/L; P = 0.02) and ApoB-ApoA-1 ratio (0.50 ± 0.14 vs. 0.47 ± 0.11; P = 0.04) were higher in the trial cohort. Cystatin C and creatinine were decreased (0.88 ± 0.13 vs. 0.90 ± 0.13 mg/L, P = 0.04; 51.81 ± 10.45 vs. 55.35 ± 11.05 μmol/L, P &lt; 0.001; respectively) and estimated glomerular filtration rate (137.05 ± 23.89 vs. 129.31 ± 22.41 mL/min/1.73 m(2); P &lt; 0.001) increased in the trial compared with the observational cohort.\\n\\nCONCLUSIONS: Our data demonstrate that in adolescents with type 1 diabetes, the group with the highest tertile of albumin excretion showed more evidence of early renal and CV disease than those in the lower tertiles.","author":[{"dropping-particle":"","family":"Marcovecchio","given":"M. Loredana","non-dropping-particle":"","parse-names":false,"suffix":""},{"dropping-particle":"","family":"Woodside","given":"John","non-dropping-particle":"","parse-names":false,"suffix":""},{"dropping-particle":"","family":"Jones","given":"Timothy","non-dropping-particle":"","parse-names":false,"suffix":""},{"dropping-particle":"","family":"Daneman","given":"Denis","non-dropping-particle":"","parse-names":false,"suffix":""},{"dropping-particle":"","family":"Neil","given":"Andrew","non-dropping-particle":"","parse-names":false,"suffix":""},{"dropping-particle":"","family":"Prevost","given":"Toby","non-dropping-particle":"","parse-names":false,"suffix":""},{"dropping-particle":"","family":"Dalton","given":"R. Neil","non-dropping-particle":"","parse-names":false,"suffix":""},{"dropping-particle":"","family":"Deanfield","given":"John","non-dropping-particle":"","parse-names":false,"suffix":""},{"dropping-particle":"","family":"Dunger","given":"David B.","non-dropping-particle":"","parse-names":false,"suffix":""}],"container-title":"Diabetes Care","id":"ITEM-2","issue":"3","issued":{"date-parts":[["2014"]]},"page":"805-813","title":"Adolescent Type 1 Diabetes Cardio-Renal Intervention Trial (AdDIT): Urinary screening and baseline biochemical and cardiovascular assessments","type":"article-journal","volume":"37"},"uris":["http://www.mendeley.com/documents/?uuid=b639322d-4eb4-41c9-984b-52a56d497884"]},{"id":"ITEM-3","itemData":{"abstract":"BACKGROUND Among adolescents with type 1 diabetes, rapid increases in albumin excretion during puberty precede the development of microalbuminuria and macroalbuminuria, long-term risk factors for renal and cardiovascular disease. We hypothesized that adolescents with high levels of albumin excretion might benefit from angiotensin-converting-enzyme (ACE) inhibitors and statins, drugs that have not been fully evaluated in adolescents. METHODS We screened 4407 adolescents with type 1 diabetes between the ages of 10 and 16 years of age and identified 1287 with values in the upper third of the albumin-to-creatinine ratios; 443 were randomly assigned in a placebo-controlled trial of an ACE inhibitor and a statin with the use of a 2-by-2 factorial design minimizing differences in baseline characteristics such as age, sex, and duration of diabetes. The primary outcome for both interventions was the change in albumin excretion, assessed according to the albumin-to-creatinine ratio calculated from three early-morning urine samples obtained every 6 months over 2 to 4 years, and expressed as the area under the curve. Key secondary outcomes included the development of microalbuminuria, progression of retinopathy, changes in the glomerular filtration rate, lipid levels, and measures of cardiovascular risk (carotid intima-media thickness and levels of high-sensitivity C-reactive protein and asymmetric dimethylarginine). RESULTS The primary outcome was not affected by ACE inhibitor therapy, statin therapy, or the combination of the two. The use of an ACE inhibitor was associated with a lower incidence of microalbuminuria than the use of placebo; in the context of negative findings for the primary outcome and statistical analysis plan, this lower incidence was not considered significant (hazard ratio, 0.57; 95% confidence interval, 0.35 to 0.94). Statin use resulted in significant reductions in total, low-density lipoprotein, and non-high-density lipoprotein cholesterol levels, in triglyceride levels, and in the ratio of apolipoprotein B to apolipoprotein A1, whereas neither drug had significant effects on carotid intima-media thickness, other cardiovascular markers, the glomerular filtration rate, or progression of retinopathy. Overall adherence to the drug regimen was 75%, and serious adverse events were similar across the groups. CONCLUSIONS The use of an ACE inhibitor and a statin did not change the albumin-to-creatinine ratio over time. (Funded by the Juvenile Diab…","author":[{"dropping-particle":"","family":"Marcovecchio","given":"M. Loredana","non-dropping-particle":"","parse-names":false,"suffix":""},{"dropping-particle":"","family":"Chiesa","given":"Scott T.","non-dropping-particle":"","parse-names":false,"suffix":""},{"dropping-particle":"","family":"Bond","given":"Simon","non-dropping-particle":"","parse-names":false,"suffix":""},{"dropping-particle":"","family":"Daneman","given":"Denis","non-dropping-particle":"","parse-names":false,"suffix":""},{"dropping-particle":"","family":"Dawson","given":"Sarah","non-dropping-particle":"","parse-names":false,"suffix":""},{"dropping-particle":"","family":"Donaghue","given":"Kim C.","non-dropping-particle":"","parse-names":false,"suffix":""},{"dropping-particle":"","family":"Jones","given":"Timothy W.","non-dropping-particle":"","parse-names":false,"suffix":""},{"dropping-particle":"","family":"Mahmud","given":"Farid H.","non-dropping-particle":"","parse-names":false,"suffix":""},{"dropping-particle":"","family":"Marshall","given":"Sally M.","non-dropping-particle":"","parse-names":false,"suffix":""},{"dropping-particle":"","family":"Neil","given":"H. Andrew W.","non-dropping-particle":"","parse-names":false,"suffix":""},{"dropping-particle":"","family":"Dalton","given":"R. Neil","non-dropping-particle":"","parse-names":false,"suffix":""},{"dropping-particle":"","family":"Deanfield","given":"John","non-dropping-particle":"","parse-names":false,"suffix":""},{"dropping-particle":"","family":"Dunger","given":"David B.","non-dropping-particle":"","parse-names":false,"suffix":""},{"dropping-particle":"","family":"AdDIT Study Group","given":"","non-dropping-particle":"","parse-names":false,"suffix":""}],"container-title":"New England Journal of Medicine","id":"ITEM-3","issue":"18","issued":{"date-parts":[["2017","11","2"]]},"page":"1733-1745","title":"ACE Inhibitors and Statins in Adolescents with Type 1 Diabetes","type":"article-journal","volume":"377"},"uris":["http://www.mendeley.com/documents/?uuid=33ec1a43-8e2b-3511-8cb1-429036608fbe"]},{"id":"ITEM-4","itemData":{"abstract":"OBJECTIVE Baseline data from the Adolescent Type 1 Diabetes Cardio-Renal Intervention Trial (AdDIT) indicated that tertiles of urinary albumin-to-creatinine ratios (ACRs) in the normal range at age 10-16 years are associated with risk markers for diabetic nephropathy (DN) and cardiovascular disease (CVD). We aimed to determine whether the top ACR tertile remained associated with DN and CVD risk over the 2-4-year AdDIT study. RESEARCH DESIGN AND METHODS One hundred fifty adolescents (mean age 14.1 years [SD 1.6]) with baseline ACR in the upper tertile (high-ACR group) recruited to the AdDIT trial, who remained untreated, and 396 (age 14.3 years [1.6]) with ACR in the middle and lower tertiles (low-ACR group), who completed the parallel AdDIT observational study, were evaluated prospectively with assessments of ACR and renal and CVD markers, combined with carotid intima-media thickness (cIMT) at baseline and end of study. RESULTS After a median follow-up of 3.9 years, the cumulative incidence of microalbuminuria was 16.3% in the high-ACR versus 5.5% in the low-ACR group (log-rank P &lt; 0.001). Cox models showed independent contributions of the high-ACR group (hazard ratio 4.29 [95% CI 2.08-8.85]) and HbA1c (1.37 [1.10-1.72]) to microalbuminuria risk. cIMT change from baseline was significantly greater in the high- versus low-ACR group (mean difference 0.010 mm [0.079], P = 0.006). Changes in estimated glomerular filtration rate, systolic blood pressure, and hs-CRP were also significantly greater in the high-ACR group (P &lt; 0.05). CONCLUSIONS ACR at the higher end of the normal range at the age of 10-16 years is associated with an increased risk of progression to microalbuminuria and future CVD risk, independently of HbA1c.","author":[{"dropping-particle":"","family":"Marcovecchio","given":"M Loredana","non-dropping-particle":"","parse-names":false,"suffix":""},{"dropping-particle":"","family":"Chiesa","given":"Scott T","non-dropping-particle":"","parse-names":false,"suffix":""},{"dropping-particle":"","family":"Armitage","given":"Jane","non-dropping-particle":"","parse-names":false,"suffix":""},{"dropping-particle":"","family":"Daneman","given":"Denis","non-dropping-particle":"","parse-names":false,"suffix":""},{"dropping-particle":"","family":"Donaghue","given":"Kim C","non-dropping-particle":"","parse-names":false,"suffix":""},{"dropping-particle":"","family":"Jones","given":"Timothy W","non-dropping-particle":"","parse-names":false,"suffix":""},{"dropping-particle":"","family":"Mahmud","given":"Farid H","non-dropping-particle":"","parse-names":false,"suffix":""},{"dropping-particle":"","family":"Marshall","given":"Sally M","non-dropping-particle":"","parse-names":false,"suffix":""},{"dropping-particle":"","family":"Neil","given":"H Andrew W","non-dropping-particle":"","parse-names":false,"suffix":""},{"dropping-particle":"","family":"Dalton","given":"R Neil","non-dropping-particle":"","parse-names":false,"suffix":""},{"dropping-particle":"","family":"Deanfield","given":"John","non-dropping-particle":"","parse-names":false,"suffix":""},{"dropping-particle":"","family":"Dunger","given":"David B","non-dropping-particle":"","parse-names":false,"suffix":""},{"dropping-particle":"","family":"Adolescent Type 1 Diabetes Cardio-Renal Intervention Trial (AdDIT) Study Group","given":"","non-dropping-particle":"","parse-names":false,"suffix":""}],"container-title":"Diabetes care","id":"ITEM-4","issued":{"date-parts":[["2018","7"]]},"page":"dc181125","publisher":"American Diabetes Association","title":"Renal and Cardiovascular Risk According to Tertiles of Urinary Albumin-to-Creatinine Ratio: The Adolescent Type 1 Diabetes Cardio-Renal Intervention Trial (AdDIT).","type":"article-journal"},"uris":["http://www.mendeley.com/documents/?uuid=bd684bd0-5e8b-3db0-81a4-bceb9b9af318"]}],"mendeley":{"formattedCitation":"(1–4)","plainTextFormattedCitation":"(1–4)","previouslyFormattedCitation":"(1–4)"},"properties":{"noteIndex":0},"schema":"https://github.com/citation-style-language/schema/raw/master/csl-citation.json"}</w:instrText>
      </w:r>
      <w:r>
        <w:fldChar w:fldCharType="separate"/>
      </w:r>
      <w:r w:rsidRPr="00D3400A">
        <w:rPr>
          <w:noProof/>
        </w:rPr>
        <w:t>(1–4)</w:t>
      </w:r>
      <w:r>
        <w:fldChar w:fldCharType="end"/>
      </w:r>
      <w:r>
        <w:t xml:space="preserve">. Inclusion criteria for all patients were 1) age 10–16 years, 2) type 1 diabetes diagnosis for more than 1 year or C-peptide negative, and 3) centralised assessment of ACR based on six early morning urines and adjusted for age, sex, age at diagnosis, and duration of disease. Exclusion criteria were 1) other types of diabetes, 2) severe hyperlipidaemia and family history data to support diagnosis of familial hypercholesterolaemia, 3) established hypertension unrelated to diabetic nephropathy, 4) prior exposure to the investigational products (statins and ACE inhibitors), 5) other comorbidities considered unsuitable by the investigator (excluding treated hypothyroidism and coeliac disease), and 6) proliferative retinopathy. </w:t>
      </w:r>
      <w:r w:rsidRPr="006758F5">
        <w:t xml:space="preserve">Based on previous </w:t>
      </w:r>
      <w:r>
        <w:t>work from our group</w:t>
      </w:r>
      <w:r w:rsidRPr="006758F5">
        <w:t xml:space="preserve"> showing an increased risk of </w:t>
      </w:r>
      <w:r>
        <w:t>early</w:t>
      </w:r>
      <w:r w:rsidRPr="006758F5">
        <w:t xml:space="preserve"> </w:t>
      </w:r>
      <w:r>
        <w:t>adverse CV phenotypes</w:t>
      </w:r>
      <w:r w:rsidRPr="006758F5">
        <w:t xml:space="preserve"> in</w:t>
      </w:r>
      <w:r>
        <w:t xml:space="preserve"> patients with an elevated</w:t>
      </w:r>
      <w:r w:rsidRPr="006758F5">
        <w:t xml:space="preserve"> ACR, we </w:t>
      </w:r>
      <w:r>
        <w:t xml:space="preserve">opted to </w:t>
      </w:r>
      <w:r w:rsidRPr="006758F5">
        <w:t xml:space="preserve">recruit equal numbers of </w:t>
      </w:r>
      <w:r>
        <w:t>participants from high- and low-risk ACR groups</w:t>
      </w:r>
      <w:r w:rsidRPr="006758F5">
        <w:t xml:space="preserve">, </w:t>
      </w:r>
      <w:r>
        <w:t xml:space="preserve">described previously </w:t>
      </w:r>
      <w:r>
        <w:fldChar w:fldCharType="begin" w:fldLock="1"/>
      </w:r>
      <w:r>
        <w:instrText>ADDIN CSL_CITATION {"citationItems":[{"id":"ITEM-1","itemData":{"DOI":"10.1111/j.1464-5491.2006.02047.x","ISSN":"0742-3071","PMID":"17257274","abstract":"AIMS: To determine whether higher than average albumin excretion during early puberty identifies subjects who will subsequently develop microalbuminuria (MA) and clinical proteinuria.\\n\\nMETHODS: Longitudinal data from the Oxford Regional Prospective Study of Childhood Diabetes (ORPS; n = 554, median duration of follow-up 10 years; range 3.0-16.7) with assessment of albumin/creatinine ratios in three early morning urine samples collected annually. An albumin excretion phenotype was derived from longitudinal data, for each individual, defining deviation from the mean of regression models, including covariates gender, age, duration of diabetes and age at assessment. Tracking of the phenotypes was confirmed in a second independent cohort from Perth, Australia.\\n\\nRESULTS: The albumin excretion phenotype showed reasonable correlation between age 11-15 years and age 16-18 years in both cohorts, indicative of good 'tracking'. In the ORPS cohort, tertiles of the albumin excretion phenotype at aged 11-15 years were predictive of subsequent risk for the development of MA. All of the subjects developing clinical proteinuria had an albumin excretion phenotype in the upper tertile or an HbA(1c) &gt; 9% at aged 11-15 years.\\n\\nCONCLUSIONS: Identification of adolescents at risk of diabetic nephropathy using an albumin excretion phenotype is feasible. When combined with elevated HbA(1c), it may identify subjects for trial of early intervention with angiotensin-converting enzyme inhibitors/angiotensin-II receptor antagonists and statins to improve long-term prognosis in these subjects where sustained improvement in glycaemic control may be difficult to achieve.","author":[{"dropping-particle":"","family":"Dunger","given":"D B","non-dropping-particle":"","parse-names":false,"suffix":""},{"dropping-particle":"","family":"Schwarze","given":"C P","non-dropping-particle":"","parse-names":false,"suffix":""},{"dropping-particle":"","family":"Cooper","given":"J D","non-dropping-particle":"","parse-names":false,"suffix":""},{"dropping-particle":"","family":"Widmer","given":"B","non-dropping-particle":"","parse-names":false,"suffix":""},{"dropping-particle":"","family":"Neil","given":"H a W","non-dropping-particle":"","parse-names":false,"suffix":""},{"dropping-particle":"","family":"Shield","given":"J","non-dropping-particle":"","parse-names":false,"suffix":""},{"dropping-particle":"","family":"Edge","given":"J a","non-dropping-particle":"","parse-names":false,"suffix":""},{"dropping-particle":"","family":"Jones","given":"T W","non-dropping-particle":"","parse-names":false,"suffix":""},{"dropping-particle":"","family":"Daneman","given":"D","non-dropping-particle":"","parse-names":false,"suffix":""},{"dropping-particle":"","family":"Dalton","given":"R N","non-dropping-particle":"","parse-names":false,"suffix":""}],"container-title":"Diabetic medicine : a journal of the British Diabetic Association","id":"ITEM-1","issue":"2","issued":{"date-parts":[["2007"]]},"page":"131-6","title":"Can we identify adolescents at high risk for nephropathy before the development of microalbuminuria?","type":"article-journal","volume":"24"},"uris":["http://www.mendeley.com/documents/?uuid=868fe06a-2424-4fd9-8292-c9b9d4ee6164"]}],"mendeley":{"formattedCitation":"(5)","plainTextFormattedCitation":"(5)","previouslyFormattedCitation":"(5)"},"properties":{"noteIndex":0},"schema":"https://github.com/citation-style-language/schema/raw/master/csl-citation.json"}</w:instrText>
      </w:r>
      <w:r>
        <w:fldChar w:fldCharType="separate"/>
      </w:r>
      <w:r w:rsidRPr="00B70651">
        <w:rPr>
          <w:noProof/>
        </w:rPr>
        <w:t>(5)</w:t>
      </w:r>
      <w:r>
        <w:fldChar w:fldCharType="end"/>
      </w:r>
      <w:r>
        <w:t xml:space="preserve">, alongside </w:t>
      </w:r>
      <w:r w:rsidRPr="007E7C7C">
        <w:t>healthy age- and sex-matched controls. Power calculations suggested the need for 40 patients in each group in order to have 80% power to detect a 2</w:t>
      </w:r>
      <w:r w:rsidRPr="007E7C7C">
        <w:rPr>
          <w:rFonts w:cs="Arial"/>
        </w:rPr>
        <w:t xml:space="preserve"> nmol O</w:t>
      </w:r>
      <w:r w:rsidRPr="007E7C7C">
        <w:rPr>
          <w:rFonts w:cs="Arial"/>
          <w:vertAlign w:val="subscript"/>
        </w:rPr>
        <w:t>2</w:t>
      </w:r>
      <w:r w:rsidRPr="007E7C7C">
        <w:rPr>
          <w:rFonts w:cs="Arial"/>
          <w:vertAlign w:val="superscript"/>
        </w:rPr>
        <w:t>-</w:t>
      </w:r>
      <w:r w:rsidRPr="007E7C7C">
        <w:rPr>
          <w:rFonts w:cs="Arial"/>
        </w:rPr>
        <w:t>/250,000 cells</w:t>
      </w:r>
      <w:r w:rsidRPr="007E7C7C">
        <w:t xml:space="preserve"> difference in HDL-mediated SO production – the most variable of the HDL functionality measures – using a two-sided 5% level of significance. Accordingly</w:t>
      </w:r>
      <w:r w:rsidRPr="006758F5">
        <w:t xml:space="preserve">, forty </w:t>
      </w:r>
      <w:r>
        <w:t xml:space="preserve">high-risk patients were selected from an ancillary cohort </w:t>
      </w:r>
      <w:r w:rsidRPr="006758F5">
        <w:t xml:space="preserve">of participants who refused to </w:t>
      </w:r>
      <w:r>
        <w:t>participation</w:t>
      </w:r>
      <w:r w:rsidRPr="006758F5">
        <w:t xml:space="preserve"> in the </w:t>
      </w:r>
      <w:r>
        <w:t xml:space="preserve">AdDIT </w:t>
      </w:r>
      <w:r w:rsidRPr="006758F5">
        <w:t>RCT</w:t>
      </w:r>
      <w:r>
        <w:t>, but</w:t>
      </w:r>
      <w:r w:rsidRPr="006758F5">
        <w:t xml:space="preserve"> instead consented to being followed on an observational basis</w:t>
      </w:r>
      <w:r>
        <w:t xml:space="preserve">. </w:t>
      </w:r>
      <w:r w:rsidRPr="006758F5">
        <w:t xml:space="preserve">Any patients with missing data (HDL functionality, inflammatory assays, or </w:t>
      </w:r>
      <w:r>
        <w:t>FMD) were excluded</w:t>
      </w:r>
      <w:r w:rsidRPr="006758F5">
        <w:t>,</w:t>
      </w:r>
      <w:r>
        <w:t xml:space="preserve"> and the remainder were age- and sex-matched</w:t>
      </w:r>
      <w:r w:rsidRPr="006758F5">
        <w:t xml:space="preserve"> </w:t>
      </w:r>
      <w:r>
        <w:t xml:space="preserve">to </w:t>
      </w:r>
      <w:r w:rsidRPr="006758F5">
        <w:t>low</w:t>
      </w:r>
      <w:r>
        <w:t>-</w:t>
      </w:r>
      <w:r w:rsidRPr="006758F5">
        <w:t xml:space="preserve">risk and healthy control </w:t>
      </w:r>
      <w:r>
        <w:t>participants in order to conduct the current study.</w:t>
      </w:r>
    </w:p>
    <w:p w:rsidR="00077566" w:rsidRPr="00F27ACA" w:rsidRDefault="00077566" w:rsidP="00077566">
      <w:pPr>
        <w:jc w:val="both"/>
      </w:pPr>
    </w:p>
    <w:p w:rsidR="00077566" w:rsidRPr="00A62A97" w:rsidRDefault="00077566" w:rsidP="00077566">
      <w:pPr>
        <w:jc w:val="both"/>
        <w:rPr>
          <w:b/>
          <w:i/>
        </w:rPr>
      </w:pPr>
      <w:r w:rsidRPr="00A62A97">
        <w:rPr>
          <w:b/>
          <w:i/>
        </w:rPr>
        <w:t xml:space="preserve">HDL Function </w:t>
      </w:r>
    </w:p>
    <w:p w:rsidR="00077566" w:rsidRDefault="00077566" w:rsidP="00077566">
      <w:pPr>
        <w:jc w:val="both"/>
        <w:rPr>
          <w:rFonts w:cs="Arial"/>
        </w:rPr>
      </w:pPr>
      <w:r w:rsidRPr="00783A5C">
        <w:rPr>
          <w:rFonts w:cs="Arial"/>
          <w:i/>
        </w:rPr>
        <w:t>Nitric oxide bioavailability</w:t>
      </w:r>
      <w:r w:rsidRPr="004A73DD">
        <w:rPr>
          <w:rFonts w:cs="Arial"/>
        </w:rPr>
        <w:t xml:space="preserve">: The effect </w:t>
      </w:r>
      <w:r w:rsidRPr="00783A5C">
        <w:rPr>
          <w:rFonts w:cs="Arial"/>
        </w:rPr>
        <w:t>of</w:t>
      </w:r>
      <w:r w:rsidRPr="004A73DD">
        <w:rPr>
          <w:rFonts w:cs="Arial"/>
        </w:rPr>
        <w:t xml:space="preserve"> HDL on endothelial NO bioavailability (HDL 50 </w:t>
      </w:r>
      <w:r>
        <w:rPr>
          <w:rFonts w:cs="Arial"/>
        </w:rPr>
        <w:t>µ</w:t>
      </w:r>
      <w:r w:rsidRPr="004A73DD">
        <w:rPr>
          <w:rFonts w:cs="Arial"/>
        </w:rPr>
        <w:t xml:space="preserve">g/ml; 60 min, 37 </w:t>
      </w:r>
      <w:r>
        <w:rPr>
          <w:rFonts w:cs="Arial"/>
        </w:rPr>
        <w:t>°</w:t>
      </w:r>
      <w:r w:rsidRPr="004A73DD">
        <w:rPr>
          <w:rFonts w:cs="Arial"/>
        </w:rPr>
        <w:t xml:space="preserve">C) was measured using endothelial cells (bovine aortic endothelial cells BAEC; passage 4-7; Lonza Bio Science) incubated with 4,5-diaminofluorescein diacetate (DAF-2; 1 µM; Cayman Chemical), and triazolo- fluorescein fluorescence. NO bioavailability was quantified using a fluorescence protocol with an excitation wavelength of 485 nm using a FLUOstar Omega microplate reader (BMG Labtech) </w:t>
      </w:r>
      <w:r w:rsidRPr="004A73DD">
        <w:rPr>
          <w:rFonts w:cs="Arial"/>
          <w:i/>
        </w:rPr>
        <w:fldChar w:fldCharType="begin" w:fldLock="1"/>
      </w:r>
      <w:r>
        <w:rPr>
          <w:rFonts w:cs="Arial"/>
        </w:rPr>
        <w:instrText>ADDIN CSL_CITATION {"citationItems":[{"id":"ITEM-1","itemData":{"abstract":"Therapies that raise levels of HDL, which is thought to exert atheroprotective effects via effects on endothelium, are being examined for the treatment or prevention of coronary artery disease (CAD). However, the endothelial effects of HDL are highly heterogeneous, and the impact of HDL of patients with CAD on the activation of endothelial eNOS and eNOS-dependent pathways is unknown. Here we have demonstrated that, in contrast to HDL from healthy subjects, HDL from patients with stable CAD or an acute coronary syndrome (HDLCAD) does not have endothelial antiinflammatory effects and does not stimulate endothelial repair because it fails to induce endothelial NO production. Mechanistically, this was because HDLCAD activated endothelial lectin-like oxidized LDL receptor 1 (LOX-1), triggering endothelial PKCβII activation, which in turn inhibited eNOS-activating pathways and eNOS-dependent NO production. We then identified reduced HDL-associated paraoxonase 1 (PON1) activity as one molecular mechanism leading to the generation of HDL with endothelial PKCβII-activating properties, at least in part due to increased formation of malondialdehyde in HDL. Taken together, our data indicate that in patients with CAD, HDL gains endothelial LOX-1- and thereby PKCβII-activating properties due to reduced HDL-associated PON1 activity, and that this leads to inhibition of eNOS-activation and the subsequent loss of the endothelial antiinflammatory and endothelial repair-stimulating effects of HDL.","author":[{"dropping-particle":"","family":"Besler","given":"Christian","non-dropping-particle":"","parse-names":false,"suffix":""},{"dropping-particle":"","family":"Heinrich","given":"Kathrin","non-dropping-particle":"","parse-names":false,"suffix":""},{"dropping-particle":"","family":"Rohrer","given":"Lucia","non-dropping-particle":"","parse-names":false,"suffix":""},{"dropping-particle":"","family":"Doerries","given":"Carola","non-dropping-particle":"","parse-names":false,"suffix":""},{"dropping-particle":"","family":"Riwanto","given":"Meliana","non-dropping-particle":"","parse-names":false,"suffix":""},{"dropping-particle":"","family":"Shih","given":"Diana M","non-dropping-particle":"","parse-names":false,"suffix":""},{"dropping-particle":"","family":"Chroni","given":"Angeliki","non-dropping-particle":"","parse-names":false,"suffix":""},{"dropping-particle":"","family":"Yonekawa","given":"Keiko","non-dropping-particle":"","parse-names":false,"suffix":""},{"dropping-particle":"","family":"Stein","given":"Sokrates","non-dropping-particle":"","parse-names":false,"suffix":""},{"dropping-particle":"","family":"Schaefer","given":"Nicola","non-dropping-particle":"","parse-names":false,"suffix":""},{"dropping-particle":"","family":"Mueller","given":"Maja","non-dropping-particle":"","parse-names":false,"suffix":""},{"dropping-particle":"","family":"Akhmedov","given":"Alexander","non-dropping-particle":"","parse-names":false,"suffix":""},{"dropping-particle":"","family":"Daniil","given":"Georgios","non-dropping-particle":"","parse-names":false,"suffix":""},{"dropping-particle":"","family":"Manes","given":"Costantina","non-dropping-particle":"","parse-names":false,"suffix":""},{"dropping-particle":"","family":"Templin","given":"Christian","non-dropping-particle":"","parse-names":false,"suffix":""},{"dropping-particle":"","family":"Wyss","given":"Christophe","non-dropping-particle":"","parse-names":false,"suffix":""},{"dropping-particle":"","family":"Maier","given":"Willibald","non-dropping-particle":"","parse-names":false,"suffix":""},{"dropping-particle":"","family":"Tanner","given":"Felix C","non-dropping-particle":"","parse-names":false,"suffix":""},{"dropping-particle":"","family":"Matter","given":"Christian M","non-dropping-particle":"","parse-names":false,"suffix":""},{"dropping-particle":"","family":"Corti","given":"Roberto","non-dropping-particle":"","parse-names":false,"suffix":""},{"dropping-particle":"","family":"Furlong","given":"Clement","non-dropping-particle":"","parse-names":false,"suffix":""},{"dropping-particle":"","family":"Lusis","given":"Aldons J","non-dropping-particle":"","parse-names":false,"suffix":""},{"dropping-particle":"","family":"Eckardstein","given":"Arnold","non-dropping-particle":"von","parse-names":false,"suffix":""},{"dropping-particle":"","family":"Fogelman","given":"Alan M","non-dropping-particle":"","parse-names":false,"suffix":""},{"dropping-particle":"","family":"Lüscher","given":"Thomas F","non-dropping-particle":"","parse-names":false,"suffix":""},{"dropping-particle":"","family":"Landmesser","given":"Ulf","non-dropping-particle":"","parse-names":false,"suffix":""}],"container-title":"The Journal of clinical investigation","id":"ITEM-1","issue":"7","issued":{"date-parts":[["2011"]]},"page":"2693-708","title":"Mechanisms underlying adverse effects of HDL on eNOS-activating pathways in patients with coronary artery disease.","type":"article-journal","volume":"121"},"uris":["http://www.mendeley.com/documents/?uuid=e1a77f1f-6b57-4fef-b32e-baf3c52e506a"]}],"mendeley":{"formattedCitation":"(6)","plainTextFormattedCitation":"(6)","previouslyFormattedCitation":"(6)"},"properties":{"noteIndex":0},"schema":"https://github.com/citation-style-language/schema/raw/master/csl-citation.json"}</w:instrText>
      </w:r>
      <w:r w:rsidRPr="004A73DD">
        <w:rPr>
          <w:rFonts w:cs="Arial"/>
          <w:i/>
        </w:rPr>
        <w:fldChar w:fldCharType="separate"/>
      </w:r>
      <w:r w:rsidRPr="00B70651">
        <w:rPr>
          <w:rFonts w:cs="Arial"/>
          <w:noProof/>
        </w:rPr>
        <w:t>(6)</w:t>
      </w:r>
      <w:r w:rsidRPr="004A73DD">
        <w:rPr>
          <w:rFonts w:cs="Arial"/>
          <w:i/>
        </w:rPr>
        <w:fldChar w:fldCharType="end"/>
      </w:r>
      <w:r w:rsidRPr="004A73DD">
        <w:rPr>
          <w:rFonts w:cs="Arial"/>
        </w:rPr>
        <w:t>. Each assay was performed in duplicate and data are expressed as percent change versus buffer-treated cells.</w:t>
      </w:r>
    </w:p>
    <w:p w:rsidR="00077566" w:rsidRPr="004A73DD" w:rsidRDefault="00077566" w:rsidP="00077566">
      <w:pPr>
        <w:jc w:val="both"/>
        <w:rPr>
          <w:rFonts w:cs="Arial"/>
          <w:i/>
        </w:rPr>
      </w:pPr>
      <w:r w:rsidRPr="00783A5C">
        <w:rPr>
          <w:rFonts w:cs="Arial"/>
          <w:i/>
        </w:rPr>
        <w:t>Superoxide production</w:t>
      </w:r>
      <w:r w:rsidRPr="004A73DD">
        <w:rPr>
          <w:rFonts w:cs="Arial"/>
        </w:rPr>
        <w:t xml:space="preserve">: The effect of HDL on endothelial cell superoxide (SO) production was measured in TNFα-stimulated (5 ng/ml, R&amp;D Systems) human aortic endothelial cells (HAEC) by ESR spectroscopy. Briefly, HAEC were incubated with HDL (50 µg/ml, 60 min, 37 °C) and TNFα, and re-suspended in Krebs-Hepes buffer (pH 7,4; Noxygen) containing diethyldithiocarbamic acid sodium salt (5 µM, Noxygen) and deferoxamine methanesulfonate salt (25 µM, Noxygen). ESR spectra were recorded after addition of the spin probe 1-hydroxy- 3-methoxycarbonyl-2,2,5,5-tetramethylpyrrolidine (CMH; Noxygen; final concentration 200 µM) using a Bruker e-scan spectrometer (Bruker Biospin). The ESR instrumental settings were as follows: centre field (B0) 3495 G; field sweep width 10 G; microwave frequency 9.75 GHz; microwave power 19.91 mW; magnetic field modulation frequency 86.00 kHz; modulation amplitude 2.60 G; conversion time 10.24 msec; number of x-scans 1020 </w:t>
      </w:r>
      <w:r w:rsidRPr="004A73DD">
        <w:rPr>
          <w:rFonts w:cs="Arial"/>
          <w:i/>
        </w:rPr>
        <w:fldChar w:fldCharType="begin" w:fldLock="1"/>
      </w:r>
      <w:r>
        <w:rPr>
          <w:rFonts w:cs="Arial"/>
        </w:rPr>
        <w:instrText>ADDIN CSL_CITATION {"citationItems":[{"id":"ITEM-1","itemData":{"abstract":"BACKGROUND: High-density lipoprotein (HDL)-raising therapies are currently under intense evaluation, but the effects of HDL may be highly heterogeneous. We therefore compared the endothelial effects of HDL from healthy subjects and from patients with type 2 diabetes mellitus and low HDL (meeting the criteria for metabolic syndrome), who are frequently considered for HDL-raising therapies. Moreover, in diabetic patients, we examined the impact of extended-release (ER) niacin therapy on the endothelial effects of HDL. METHODS AND RESULTS: HDL was isolated from healthy subjects (n=10) and patients with type 2 diabetes (n=33) by sequential ultracentrifugation. Effects of HDL on endothelial nitric oxide and superoxide production were characterized by electron spin resonance spectroscopy analysis. Effects of HDL on endothelium-dependent vasodilation and early endothelial progenitor cell-mediated endothelial repair were examined. Patients with diabetes were randomized to a 3-month therapy with ER niacin (1500 mg/d) or placebo, and endothelial effects of HDL were characterized. HDL from healthy subjects stimulated endothelial nitric oxide production, reduced endothelial oxidant stress, and improved endothelium-dependent vasodilation and early endothelial progenitor cell-mediated endothelial repair. In contrast, these beneficial endothelial effects of HDL were not observed in HDL from diabetic patients, which suggests markedly impaired endothelial-protective properties of HDL. ER niacin therapy improved the capacity of HDL to stimulate endothelial nitric oxide, to reduce superoxide production, and to promote endothelial progenitor cell-mediated endothelial repair. Further measurements suggested increased lipid oxidation of HDL in diabetic patients, and a reduction after ER niacin therapy. CONCLUSIONS: HDL from patients with type 2 diabetes mellitus and metabolic syndrome has substantially impaired endothelial-protective effects compared with HDL from healthy subjects. ER niacin therapy not only increases HDL plasma levels but markedly improves endothelial-protective functions of HDL in these patients, which is potentially more important. CLINICAL TRIAL REGISTRATION: clinicaltrials.gov. Identifier: NCT00346970.","author":[{"dropping-particle":"","family":"Sorrentino","given":"Sajoscha A","non-dropping-particle":"","parse-names":false,"suffix":""},{"dropping-particle":"","family":"Besler","given":"Christian","non-dropping-particle":"","parse-names":false,"suffix":""},{"dropping-particle":"","family":"Rohrer","given":"Lucia","non-dropping-particle":"","parse-names":false,"suffix":""},{"dropping-particle":"","family":"Meyer","given":"Martin","non-dropping-particle":"","parse-names":false,"suffix":""},{"dropping-particle":"","family":"Heinrich","given":"Kathrin","non-dropping-particle":"","parse-names":false,"suffix":""},{"dropping-particle":"","family":"Bahlmann","given":"Ferdinand H","non-dropping-particle":"","parse-names":false,"suffix":""},{"dropping-particle":"","family":"Mueller","given":"Maja","non-dropping-particle":"","parse-names":false,"suffix":""},{"dropping-particle":"","family":"Horváth","given":"Tibor","non-dropping-particle":"","parse-names":false,"suffix":""},{"dropping-particle":"","family":"Doerries","given":"Carola","non-dropping-particle":"","parse-names":false,"suffix":""},{"dropping-particle":"","family":"Heinemann","given":"Mariko","non-dropping-particle":"","parse-names":false,"suffix":""},{"dropping-particle":"","family":"Flemmer","given":"Stella","non-dropping-particle":"","parse-names":false,"suffix":""},{"dropping-particle":"","family":"Markowski","given":"Andrea","non-dropping-particle":"","parse-names":false,"suffix":""},{"dropping-particle":"","family":"Manes","given":"Costantina","non-dropping-particle":"","parse-names":false,"suffix":""},{"dropping-particle":"","family":"Bahr","given":"Matthias J","non-dropping-particle":"","parse-names":false,"suffix":""},{"dropping-particle":"","family":"Haller","given":"Hermann","non-dropping-particle":"","parse-names":false,"suffix":""},{"dropping-particle":"","family":"Eckardstein","given":"Arnold","non-dropping-particle":"von","parse-names":false,"suffix":""},{"dropping-particle":"","family":"Drexler","given":"Helmut","non-dropping-particle":"","parse-names":false,"suffix":""},{"dropping-particle":"","family":"Landmesser","given":"Ulf","non-dropping-particle":"","parse-names":false,"suffix":""}],"container-title":"Circulation","id":"ITEM-1","issue":"1","issued":{"date-parts":[["2010"]]},"page":"110-22","title":"Endothelial-vasoprotective effects of high-density lipoprotein are impaired in patients with type 2 diabetes mellitus but are improved after extended-release niacin therapy.","type":"article-journal","volume":"121"},"uris":["http://www.mendeley.com/documents/?uuid=33c97819-80e9-4ca2-a727-feeed4ebb5ce"]}],"mendeley":{"formattedCitation":"(7)","plainTextFormattedCitation":"(7)","previouslyFormattedCitation":"(7)"},"properties":{"noteIndex":0},"schema":"https://github.com/citation-style-language/schema/raw/master/csl-citation.json"}</w:instrText>
      </w:r>
      <w:r w:rsidRPr="004A73DD">
        <w:rPr>
          <w:rFonts w:cs="Arial"/>
          <w:i/>
        </w:rPr>
        <w:fldChar w:fldCharType="separate"/>
      </w:r>
      <w:r w:rsidRPr="00B70651">
        <w:rPr>
          <w:rFonts w:cs="Arial"/>
          <w:noProof/>
        </w:rPr>
        <w:t>(7)</w:t>
      </w:r>
      <w:r w:rsidRPr="004A73DD">
        <w:rPr>
          <w:rFonts w:cs="Arial"/>
          <w:i/>
        </w:rPr>
        <w:fldChar w:fldCharType="end"/>
      </w:r>
      <w:r w:rsidRPr="004A73DD">
        <w:rPr>
          <w:rFonts w:cs="Arial"/>
        </w:rPr>
        <w:t xml:space="preserve">. Each assay was performed in duplicate and data are expressed as the absolute amount of SO produced </w:t>
      </w:r>
      <w:r>
        <w:rPr>
          <w:rFonts w:cs="Arial"/>
        </w:rPr>
        <w:t xml:space="preserve">relative to buffer treated cells </w:t>
      </w:r>
      <w:r w:rsidRPr="004A73DD">
        <w:rPr>
          <w:rFonts w:cs="Arial"/>
        </w:rPr>
        <w:t>(nmol O</w:t>
      </w:r>
      <w:r w:rsidRPr="004A73DD">
        <w:rPr>
          <w:rFonts w:cs="Arial"/>
          <w:vertAlign w:val="subscript"/>
        </w:rPr>
        <w:t>2</w:t>
      </w:r>
      <w:r w:rsidRPr="004A73DD">
        <w:rPr>
          <w:rFonts w:cs="Arial"/>
          <w:vertAlign w:val="superscript"/>
        </w:rPr>
        <w:t>-</w:t>
      </w:r>
      <w:r w:rsidRPr="004A73DD">
        <w:rPr>
          <w:rFonts w:cs="Arial"/>
        </w:rPr>
        <w:t>/250,000 cells).</w:t>
      </w:r>
    </w:p>
    <w:p w:rsidR="00077566" w:rsidRDefault="00077566" w:rsidP="00077566">
      <w:pPr>
        <w:pStyle w:val="Heading3"/>
        <w:jc w:val="both"/>
        <w:rPr>
          <w:rFonts w:cs="Arial"/>
          <w:i w:val="0"/>
        </w:rPr>
      </w:pPr>
      <w:r w:rsidRPr="004A73DD">
        <w:rPr>
          <w:rFonts w:cs="Arial"/>
        </w:rPr>
        <w:t>Paraoxonase Activity</w:t>
      </w:r>
      <w:r w:rsidRPr="004A73DD">
        <w:rPr>
          <w:rFonts w:cs="Arial"/>
          <w:i w:val="0"/>
        </w:rPr>
        <w:t>: Serum paraoxonase (PON-1) activities were measured by UV spectrophotometry in a 96-well plate format using paraoxon (SigmaeAldrich, St Louis, Missouri). Briefly, 10 µL of serum was diluted in a reaction mixture containing 10 mM Tris hydrochloride (pH 8.0), 1 M sodium chloride and 2 Mm calcium chloride. At 24 °C, 1.5 mM paraoxon was added to initiate the reaction, and the increase in absorbance at 405 nm was recorded over 30 min using a FLUOstar Omega microplate reader (BMG Labtech). An extinction coefficient of 17.000 M</w:t>
      </w:r>
      <w:r w:rsidRPr="004A73DD">
        <w:rPr>
          <w:rFonts w:cs="Arial"/>
          <w:i w:val="0"/>
          <w:vertAlign w:val="superscript"/>
        </w:rPr>
        <w:t>-1</w:t>
      </w:r>
      <w:r w:rsidRPr="004A73DD">
        <w:rPr>
          <w:rFonts w:cs="Arial"/>
          <w:i w:val="0"/>
        </w:rPr>
        <w:t xml:space="preserve"> cm</w:t>
      </w:r>
      <w:r w:rsidRPr="004A73DD">
        <w:rPr>
          <w:rFonts w:cs="Arial"/>
          <w:i w:val="0"/>
          <w:vertAlign w:val="superscript"/>
        </w:rPr>
        <w:t>-1</w:t>
      </w:r>
      <w:r w:rsidRPr="004A73DD">
        <w:rPr>
          <w:rFonts w:cs="Arial"/>
          <w:i w:val="0"/>
        </w:rPr>
        <w:t xml:space="preserve"> (at 24 °C) was used to calculate units of PON-1 activity </w:t>
      </w:r>
      <w:r w:rsidRPr="004A73DD">
        <w:rPr>
          <w:rFonts w:cs="Arial"/>
          <w:i w:val="0"/>
        </w:rPr>
        <w:fldChar w:fldCharType="begin" w:fldLock="1"/>
      </w:r>
      <w:r>
        <w:rPr>
          <w:rFonts w:cs="Arial"/>
          <w:i w:val="0"/>
        </w:rPr>
        <w:instrText>ADDIN CSL_CITATION {"citationItems":[{"id":"ITEM-1","itemData":{"abstract":"CONTEXT: Paraoxonase 1 (PON1) is reported to have antioxidant and cardioprotective properties. The relationship between PON1 genotypes and functional activity with systemic measures of oxidative stress and cardiovascular disease (CVD) risk in humans has not been systematically investigated. OBJECTIVE: To investigate the relationship of genetic and biochemical determinants of PON1 activity with systemic measures of oxidative stress and CVD risk in humans. DESIGN, SETTING, AND PARTICIPANTS: The association between systemic PON1 activity measures and a functional polymorphism (Q192R) resulting in high PON1 activity with prevalent CVD and future major adverse cardiac events (myocardial infarction, stroke, or death) was evaluated in 1399 sequential consenting patients undergoing diagnostic coronary angiography between September 2002 and November 2003 at the Cleveland Clinic. Patients were followed up until December 2006. Systemic levels of multiple structurally defined fatty acid oxidation products were also measured by mass spectrometry in 150 age-, sex-, and race-matched patients and compared with regard to PON1 genotype and activity. MAIN OUTCOME MEASURES: Relationship between a functional PON1 polymorphism and PON1 activity with global indices of systemic oxidative stress and risk of CVD. RESULTS: The PON1 genotype demonstrated significant dose-dependent associations (QQ192 &gt; QR192 &gt; RR192) with decreased levels of serum PON1 activity and with increased levels of systemic indices of oxidative stress. Compared with participants with either the PON1 RR192 or QR192 genotype, participants with the QQ192 genotype demonstrated an increased risk of all-cause mortality (43/681 deaths [6.75%] in RR192 and QR192 and 62/584 deaths [11.1%] in QQ192; adjusted hazard ratio, 2.05; 95% confidence interval [CI], 1.32-3.18) and of major adverse cardiac events (88/681 events [13.6%] in RR192 and QR192 and 102/584 events [18.0%] in QQ192; adjusted hazard ratio, 1.48; 95% CI, 1.09-2.03; P = .01). The incidence of major adverse cardiac events was significantly lower in participants in the highest PON1 activity quartile (23/315 [7.3%]) and 235/324 [7.7%] for paraoxonase and arylesterase, respectively) compared with those in the lowest activity quartile (78/311 [25.1%] and 75/319 [23.5%]; P &lt; .001 for paraoxonase and arylesterase, respectively). The adjusted hazard ratios for major adverse cardiac events between the highest and lowest PON1 activity quartiles were, for paraoxona…","author":[{"dropping-particle":"","family":"Bhattacharyya","given":"Tamali","non-dropping-particle":"","parse-names":false,"suffix":""},{"dropping-particle":"","family":"Nicholls","given":"Stephen J","non-dropping-particle":"","parse-names":false,"suffix":""},{"dropping-particle":"","family":"Topol","given":"Eric J","non-dropping-particle":"","parse-names":false,"suffix":""},{"dropping-particle":"","family":"Zhang","given":"Renliang","non-dropping-particle":"","parse-names":false,"suffix":""},{"dropping-particle":"","family":"Yang","given":"Xia","non-dropping-particle":"","parse-names":false,"suffix":""},{"dropping-particle":"","family":"Schmitt","given":"David","non-dropping-particle":"","parse-names":false,"suffix":""},{"dropping-particle":"","family":"Fu","given":"Xiaoming","non-dropping-particle":"","parse-names":false,"suffix":""},{"dropping-particle":"","family":"Shao","given":"Mingyuan","non-dropping-particle":"","parse-names":false,"suffix":""},{"dropping-particle":"","family":"Brennan","given":"Danielle M","non-dropping-particle":"","parse-names":false,"suffix":""},{"dropping-particle":"","family":"Ellis","given":"Stephen G","non-dropping-particle":"","parse-names":false,"suffix":""},{"dropping-particle":"","family":"Brennan","given":"Marie-Luise","non-dropping-particle":"","parse-names":false,"suffix":""},{"dropping-particle":"","family":"Allayee","given":"Hooman","non-dropping-particle":"","parse-names":false,"suffix":""},{"dropping-particle":"","family":"Lusis","given":"Aldons J","non-dropping-particle":"","parse-names":false,"suffix":""},{"dropping-particle":"","family":"Hazen","given":"Stanley L","non-dropping-particle":"","parse-names":false,"suffix":""}],"container-title":"JAMA","id":"ITEM-1","issue":"11","issued":{"date-parts":[["2008"]]},"page":"1265-76","title":"Relationship of paraoxonase 1 (PON1) gene polymorphisms and functional activity with systemic oxidative stress and cardiovascular risk.","type":"article-journal","volume":"299"},"uris":["http://www.mendeley.com/documents/?uuid=17fa39e0-5bb4-4186-86f8-13f9f0d25a66"]}],"mendeley":{"formattedCitation":"(8)","plainTextFormattedCitation":"(8)","previouslyFormattedCitation":"(8)"},"properties":{"noteIndex":0},"schema":"https://github.com/citation-style-language/schema/raw/master/csl-citation.json"}</w:instrText>
      </w:r>
      <w:r w:rsidRPr="004A73DD">
        <w:rPr>
          <w:rFonts w:cs="Arial"/>
          <w:i w:val="0"/>
        </w:rPr>
        <w:fldChar w:fldCharType="separate"/>
      </w:r>
      <w:r w:rsidRPr="00B70651">
        <w:rPr>
          <w:rFonts w:cs="Arial"/>
          <w:i w:val="0"/>
          <w:noProof/>
        </w:rPr>
        <w:t>(8)</w:t>
      </w:r>
      <w:r w:rsidRPr="004A73DD">
        <w:rPr>
          <w:rFonts w:cs="Arial"/>
          <w:i w:val="0"/>
        </w:rPr>
        <w:fldChar w:fldCharType="end"/>
      </w:r>
      <w:r w:rsidRPr="004A73DD">
        <w:rPr>
          <w:rFonts w:cs="Arial"/>
          <w:i w:val="0"/>
        </w:rPr>
        <w:t xml:space="preserve">. Each assay was performed in triplicate and data </w:t>
      </w:r>
      <w:r>
        <w:rPr>
          <w:rFonts w:cs="Arial"/>
          <w:i w:val="0"/>
        </w:rPr>
        <w:t>are</w:t>
      </w:r>
      <w:r w:rsidRPr="004A73DD">
        <w:rPr>
          <w:rFonts w:cs="Arial"/>
          <w:i w:val="0"/>
        </w:rPr>
        <w:t xml:space="preserve"> expressed as µmol p-nitrophenol/L/serum/min.</w:t>
      </w:r>
    </w:p>
    <w:p w:rsidR="00077566" w:rsidRDefault="00077566" w:rsidP="00077566">
      <w:pPr>
        <w:jc w:val="both"/>
        <w:rPr>
          <w:b/>
          <w:i/>
        </w:rPr>
      </w:pPr>
    </w:p>
    <w:p w:rsidR="00077566" w:rsidRDefault="00077566" w:rsidP="00077566">
      <w:pPr>
        <w:jc w:val="both"/>
        <w:rPr>
          <w:b/>
          <w:i/>
        </w:rPr>
      </w:pPr>
      <w:r>
        <w:rPr>
          <w:b/>
          <w:i/>
        </w:rPr>
        <w:t>Endothelial Function</w:t>
      </w:r>
    </w:p>
    <w:p w:rsidR="00077566" w:rsidRPr="00D73F98" w:rsidRDefault="00077566" w:rsidP="00077566">
      <w:pPr>
        <w:jc w:val="both"/>
        <w:rPr>
          <w:szCs w:val="24"/>
        </w:rPr>
      </w:pPr>
      <w:r>
        <w:rPr>
          <w:rFonts w:cs="Arial"/>
        </w:rPr>
        <w:t>E</w:t>
      </w:r>
      <w:r w:rsidRPr="004A73DD">
        <w:rPr>
          <w:rFonts w:cs="Arial"/>
          <w:szCs w:val="24"/>
        </w:rPr>
        <w:t>ach participant rested in a supine position for 10 min before an optimised longitudinal ECG-gated image of the right brachial artery was obtained by high-resolution ultrasound</w:t>
      </w:r>
      <w:r>
        <w:rPr>
          <w:rFonts w:cs="Arial"/>
          <w:szCs w:val="24"/>
        </w:rPr>
        <w:t xml:space="preserve"> (Vivid7, GE Healthcare) using a 12MHz probe</w:t>
      </w:r>
      <w:r w:rsidRPr="004A73DD">
        <w:rPr>
          <w:rFonts w:cs="Arial"/>
          <w:szCs w:val="24"/>
        </w:rPr>
        <w:t xml:space="preserve">. The test began with 5 min of rest, followed by 5 min of ischaemia stimulated by inflation of a pneumatic cuff around the forearm at 300 mmHg. Reactive hyperaemia was induced after cuff release and measurements continued for 5 min. The change in diameter of the brachial artery was measured offline using an automatic edge-detection algorithm (Brachial Tools, Medical Imaging Applications, Coralville, IA). FMD was </w:t>
      </w:r>
      <w:r w:rsidRPr="007E7C7C">
        <w:rPr>
          <w:rFonts w:cs="Arial"/>
          <w:szCs w:val="24"/>
        </w:rPr>
        <w:t xml:space="preserve">determined as the relative change from baseline diameter (%) following cuff release. Intra-session intra-observer variability from the Toronto site showed a mean difference in FMD of 0.1% with a COV of 16%, whereas inter-observer variability showed a mean difference in FMD of 0.9% with a COV of 26%. Based on power curves previously generated by our group </w:t>
      </w:r>
      <w:r w:rsidRPr="007E7C7C">
        <w:rPr>
          <w:rFonts w:cs="Arial"/>
          <w:szCs w:val="24"/>
        </w:rPr>
        <w:fldChar w:fldCharType="begin" w:fldLock="1"/>
      </w:r>
      <w:r w:rsidRPr="007E7C7C">
        <w:rPr>
          <w:rFonts w:cs="Arial"/>
          <w:szCs w:val="24"/>
        </w:rPr>
        <w:instrText>ADDIN CSL_CITATION {"citationItems":[{"id":"ITEM-1","itemData":{"abstract":"AIMS The aim of this study was to assess the reproducibility of flow-mediated dilatation (FMD) in a multicentre setting. METHODS AND RESULTS This study was performed as part of the dal-VESSEL trial in which FMD was measured in 19 vascular imaging centres in six European countries. A subgroup of patients who were allocated in the placebo group and scanned twice at each trial time point (substudy) was analysed. Intra-sonographer variability was calculated from FMD measurements 48 h apart. Centre variability and short-, medium-, and long-term reproducibility of FMD were calculated at 48 h and at 3 and 9 months intervals, respectively. Intra- and inter-reader variability was assessed by re-analysing the FMD images by three certified readers at two time intervals, 7 days apart. Sixty-seven patients were included. Variability between centres was comparable at 48 h and 3 months interval but almost doubled at 9 months. The mean absolute difference in %FMD was 1.04, 0.99, and 1.45% at the three time intervals, respectively. Curves were generated to indicate the number of patients required for adequate power in crossover and parallel study designs. CONCLUSION This study demonstrates for the first time that in a multicentre setting reproducible FMD measurements can be achieved for short- and medium-term evaluation, which are comparable with those reported from specialized laboratories. These findings justify the use of FMD as an outcome measure for short- and medium-term assessment of pharmacological interventions.","author":[{"dropping-particle":"","family":"Charakida","given":"Marietta","non-dropping-particle":"","parse-names":false,"suffix":""},{"dropping-particle":"","family":"Groot","given":"Eric","non-dropping-particle":"de","parse-names":false,"suffix":""},{"dropping-particle":"","family":"Loukogeorgakis","given":"Stavros P.","non-dropping-particle":"","parse-names":false,"suffix":""},{"dropping-particle":"","family":"Khan","given":"Tauseef","non-dropping-particle":"","parse-names":false,"suffix":""},{"dropping-particle":"","family":"Lüscher","given":"Thomas","non-dropping-particle":"","parse-names":false,"suffix":""},{"dropping-particle":"","family":"Kastelein","given":"John J.","non-dropping-particle":"","parse-names":false,"suffix":""},{"dropping-particle":"","family":"Gasser","given":"Theo","non-dropping-particle":"","parse-names":false,"suffix":""},{"dropping-particle":"","family":"Deanfield","given":"John E.","non-dropping-particle":"","parse-names":false,"suffix":""}],"container-title":"European Heart Journal","id":"ITEM-1","issue":"45","issued":{"date-parts":[["2013"]]},"page":"3501-3507","title":"Variability and reproducibility of flow-mediated dilatation in a multicentre clinical trial","type":"article-journal","volume":"34"},"uris":["http://www.mendeley.com/documents/?uuid=d6047485-bd8d-306d-82b1-64336970a1f4"]}],"mendeley":{"formattedCitation":"(9)","plainTextFormattedCitation":"(9)"},"properties":{"noteIndex":0},"schema":"https://github.com/citation-style-language/schema/raw/master/csl-citation.json"}</w:instrText>
      </w:r>
      <w:r w:rsidRPr="007E7C7C">
        <w:rPr>
          <w:rFonts w:cs="Arial"/>
          <w:szCs w:val="24"/>
        </w:rPr>
        <w:fldChar w:fldCharType="separate"/>
      </w:r>
      <w:r w:rsidRPr="007E7C7C">
        <w:rPr>
          <w:rFonts w:cs="Arial"/>
          <w:noProof/>
          <w:szCs w:val="24"/>
        </w:rPr>
        <w:t>(9)</w:t>
      </w:r>
      <w:r w:rsidRPr="007E7C7C">
        <w:rPr>
          <w:rFonts w:cs="Arial"/>
          <w:szCs w:val="24"/>
        </w:rPr>
        <w:fldChar w:fldCharType="end"/>
      </w:r>
      <w:r w:rsidRPr="007E7C7C">
        <w:rPr>
          <w:rFonts w:cs="Arial"/>
          <w:szCs w:val="24"/>
        </w:rPr>
        <w:t xml:space="preserve">, we calculated that the current study </w:t>
      </w:r>
      <w:r w:rsidRPr="007E7C7C">
        <w:rPr>
          <w:szCs w:val="24"/>
        </w:rPr>
        <w:t>would provide 80% power to detect a difference in FMD of ~ 1-2% between groups  with a two-sided 5% level of significance (based on a parallel study design including 15-30 participants per group and assuming a measurement COV of between 15-25%).</w:t>
      </w:r>
    </w:p>
    <w:p w:rsidR="00077566" w:rsidRDefault="00077566" w:rsidP="00077566">
      <w:pPr>
        <w:rPr>
          <w:b/>
        </w:rPr>
        <w:sectPr w:rsidR="00077566">
          <w:pgSz w:w="11906" w:h="16838"/>
          <w:pgMar w:top="1440" w:right="1440" w:bottom="1440" w:left="1440" w:header="708" w:footer="708" w:gutter="0"/>
          <w:cols w:space="708"/>
          <w:docGrid w:linePitch="360"/>
        </w:sectPr>
      </w:pPr>
    </w:p>
    <w:p w:rsidR="00077566" w:rsidRDefault="00077566" w:rsidP="00077566">
      <w:pPr>
        <w:rPr>
          <w:b/>
        </w:rPr>
      </w:pPr>
      <w:r>
        <w:rPr>
          <w:b/>
        </w:rPr>
        <w:t>SUPPLEMENTARY TABLES</w:t>
      </w:r>
    </w:p>
    <w:tbl>
      <w:tblPr>
        <w:tblStyle w:val="TableGrid"/>
        <w:tblpPr w:leftFromText="180" w:rightFromText="180" w:vertAnchor="page" w:horzAnchor="margin" w:tblpY="4078"/>
        <w:tblW w:w="9889" w:type="dxa"/>
        <w:tblLayout w:type="fixed"/>
        <w:tblLook w:val="04A0" w:firstRow="1" w:lastRow="0" w:firstColumn="1" w:lastColumn="0" w:noHBand="0" w:noVBand="1"/>
      </w:tblPr>
      <w:tblGrid>
        <w:gridCol w:w="3895"/>
        <w:gridCol w:w="2025"/>
        <w:gridCol w:w="2126"/>
        <w:gridCol w:w="1843"/>
      </w:tblGrid>
      <w:tr w:rsidR="00077566" w:rsidRPr="00CC039D" w:rsidTr="00DA2056">
        <w:trPr>
          <w:trHeight w:val="550"/>
        </w:trPr>
        <w:tc>
          <w:tcPr>
            <w:tcW w:w="3895" w:type="dxa"/>
            <w:shd w:val="clear" w:color="auto" w:fill="BFBFBF" w:themeFill="background1" w:themeFillShade="BF"/>
          </w:tcPr>
          <w:p w:rsidR="00077566" w:rsidRPr="006F7DF5" w:rsidRDefault="00077566" w:rsidP="00DA2056">
            <w:pPr>
              <w:pStyle w:val="NoSpacing"/>
              <w:jc w:val="center"/>
              <w:rPr>
                <w:rFonts w:asciiTheme="minorHAnsi" w:hAnsiTheme="minorHAnsi"/>
                <w:sz w:val="16"/>
              </w:rPr>
            </w:pPr>
          </w:p>
        </w:tc>
        <w:tc>
          <w:tcPr>
            <w:tcW w:w="2025" w:type="dxa"/>
            <w:shd w:val="clear" w:color="auto" w:fill="BFBFBF" w:themeFill="background1" w:themeFillShade="BF"/>
            <w:vAlign w:val="center"/>
          </w:tcPr>
          <w:p w:rsidR="00077566" w:rsidRPr="006F7DF5" w:rsidRDefault="00077566" w:rsidP="00DA2056">
            <w:pPr>
              <w:pStyle w:val="NoSpacing"/>
              <w:jc w:val="center"/>
              <w:rPr>
                <w:rFonts w:asciiTheme="minorHAnsi" w:hAnsiTheme="minorHAnsi"/>
                <w:b/>
                <w:sz w:val="16"/>
              </w:rPr>
            </w:pPr>
            <w:r w:rsidRPr="006F7DF5">
              <w:rPr>
                <w:rFonts w:asciiTheme="minorHAnsi" w:hAnsiTheme="minorHAnsi"/>
                <w:b/>
                <w:sz w:val="16"/>
              </w:rPr>
              <w:t>Healthy Controls</w:t>
            </w:r>
          </w:p>
        </w:tc>
        <w:tc>
          <w:tcPr>
            <w:tcW w:w="2126" w:type="dxa"/>
            <w:shd w:val="clear" w:color="auto" w:fill="BFBFBF" w:themeFill="background1" w:themeFillShade="BF"/>
            <w:vAlign w:val="center"/>
          </w:tcPr>
          <w:p w:rsidR="00077566" w:rsidRPr="006F7DF5" w:rsidRDefault="00077566" w:rsidP="00DA2056">
            <w:pPr>
              <w:pStyle w:val="NoSpacing"/>
              <w:jc w:val="center"/>
              <w:rPr>
                <w:rFonts w:asciiTheme="minorHAnsi" w:hAnsiTheme="minorHAnsi"/>
                <w:b/>
                <w:sz w:val="16"/>
              </w:rPr>
            </w:pPr>
            <w:r w:rsidRPr="006F7DF5">
              <w:rPr>
                <w:rFonts w:asciiTheme="minorHAnsi" w:hAnsiTheme="minorHAnsi"/>
                <w:b/>
                <w:sz w:val="16"/>
              </w:rPr>
              <w:t>Type 1 Diabetes</w:t>
            </w:r>
          </w:p>
        </w:tc>
        <w:tc>
          <w:tcPr>
            <w:tcW w:w="1843" w:type="dxa"/>
            <w:shd w:val="clear" w:color="auto" w:fill="BFBFBF" w:themeFill="background1" w:themeFillShade="BF"/>
            <w:vAlign w:val="center"/>
          </w:tcPr>
          <w:p w:rsidR="00077566" w:rsidRPr="006F7DF5" w:rsidRDefault="00077566" w:rsidP="00DA2056">
            <w:pPr>
              <w:pStyle w:val="NoSpacing"/>
              <w:jc w:val="center"/>
              <w:rPr>
                <w:rFonts w:asciiTheme="minorHAnsi" w:hAnsiTheme="minorHAnsi"/>
                <w:b/>
                <w:sz w:val="16"/>
              </w:rPr>
            </w:pPr>
            <w:r>
              <w:rPr>
                <w:rFonts w:asciiTheme="minorHAnsi" w:hAnsiTheme="minorHAnsi"/>
                <w:b/>
                <w:sz w:val="16"/>
              </w:rPr>
              <w:t>p value</w:t>
            </w:r>
          </w:p>
        </w:tc>
      </w:tr>
      <w:tr w:rsidR="00077566" w:rsidRPr="00CC039D" w:rsidTr="00DA2056">
        <w:trPr>
          <w:trHeight w:val="174"/>
        </w:trPr>
        <w:tc>
          <w:tcPr>
            <w:tcW w:w="3895" w:type="dxa"/>
            <w:vAlign w:val="center"/>
          </w:tcPr>
          <w:p w:rsidR="00077566" w:rsidRPr="006F7DF5" w:rsidRDefault="00077566" w:rsidP="00DA2056">
            <w:pPr>
              <w:pStyle w:val="NoSpacing"/>
              <w:rPr>
                <w:rFonts w:asciiTheme="minorHAnsi" w:hAnsiTheme="minorHAnsi"/>
                <w:sz w:val="16"/>
              </w:rPr>
            </w:pPr>
          </w:p>
        </w:tc>
        <w:tc>
          <w:tcPr>
            <w:tcW w:w="2025" w:type="dxa"/>
            <w:vAlign w:val="center"/>
          </w:tcPr>
          <w:p w:rsidR="00077566" w:rsidRPr="006F7DF5" w:rsidRDefault="00077566" w:rsidP="00DA2056">
            <w:pPr>
              <w:pStyle w:val="NoSpacing"/>
              <w:jc w:val="center"/>
              <w:rPr>
                <w:rFonts w:asciiTheme="minorHAnsi" w:hAnsiTheme="minorHAnsi"/>
                <w:sz w:val="16"/>
              </w:rPr>
            </w:pPr>
          </w:p>
        </w:tc>
        <w:tc>
          <w:tcPr>
            <w:tcW w:w="2126" w:type="dxa"/>
            <w:vAlign w:val="center"/>
          </w:tcPr>
          <w:p w:rsidR="00077566" w:rsidRPr="006F7DF5" w:rsidRDefault="00077566" w:rsidP="00DA2056">
            <w:pPr>
              <w:pStyle w:val="NoSpacing"/>
              <w:jc w:val="center"/>
              <w:rPr>
                <w:rFonts w:asciiTheme="minorHAnsi" w:hAnsiTheme="minorHAnsi"/>
                <w:sz w:val="16"/>
              </w:rPr>
            </w:pPr>
          </w:p>
        </w:tc>
        <w:tc>
          <w:tcPr>
            <w:tcW w:w="1843" w:type="dxa"/>
          </w:tcPr>
          <w:p w:rsidR="00077566" w:rsidRPr="00D059E8" w:rsidRDefault="00077566" w:rsidP="00DA2056">
            <w:pPr>
              <w:pStyle w:val="NoSpacing"/>
              <w:jc w:val="center"/>
              <w:rPr>
                <w:rFonts w:asciiTheme="minorHAnsi" w:hAnsiTheme="minorHAnsi"/>
                <w:b/>
                <w:sz w:val="16"/>
              </w:rPr>
            </w:pPr>
          </w:p>
        </w:tc>
      </w:tr>
      <w:tr w:rsidR="00077566" w:rsidRPr="00CC039D" w:rsidTr="00DA2056">
        <w:tc>
          <w:tcPr>
            <w:tcW w:w="3895" w:type="dxa"/>
            <w:vAlign w:val="center"/>
          </w:tcPr>
          <w:p w:rsidR="00077566" w:rsidRPr="006F7DF5" w:rsidRDefault="00077566" w:rsidP="00DA2056">
            <w:pPr>
              <w:pStyle w:val="NoSpacing"/>
              <w:rPr>
                <w:rFonts w:asciiTheme="minorHAnsi" w:hAnsiTheme="minorHAnsi"/>
                <w:sz w:val="16"/>
              </w:rPr>
            </w:pPr>
            <w:r>
              <w:rPr>
                <w:rFonts w:asciiTheme="minorHAnsi" w:hAnsiTheme="minorHAnsi"/>
                <w:sz w:val="16"/>
              </w:rPr>
              <w:t>EGF</w:t>
            </w:r>
          </w:p>
        </w:tc>
        <w:tc>
          <w:tcPr>
            <w:tcW w:w="2025" w:type="dxa"/>
            <w:vAlign w:val="center"/>
          </w:tcPr>
          <w:p w:rsidR="00077566" w:rsidRPr="006F7DF5" w:rsidRDefault="00077566" w:rsidP="00DA2056">
            <w:pPr>
              <w:pStyle w:val="NoSpacing"/>
              <w:jc w:val="center"/>
              <w:rPr>
                <w:rFonts w:asciiTheme="minorHAnsi" w:hAnsiTheme="minorHAnsi"/>
                <w:sz w:val="16"/>
              </w:rPr>
            </w:pPr>
            <w:r w:rsidRPr="006F7DF5">
              <w:rPr>
                <w:rFonts w:asciiTheme="minorHAnsi" w:hAnsiTheme="minorHAnsi"/>
                <w:sz w:val="16"/>
              </w:rPr>
              <w:t>15.7 (9.2 – 35.3)</w:t>
            </w:r>
          </w:p>
        </w:tc>
        <w:tc>
          <w:tcPr>
            <w:tcW w:w="2126"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24.8 (14.1 – 52.6)</w:t>
            </w:r>
          </w:p>
        </w:tc>
        <w:tc>
          <w:tcPr>
            <w:tcW w:w="1843" w:type="dxa"/>
          </w:tcPr>
          <w:p w:rsidR="00077566" w:rsidRPr="00D059E8" w:rsidRDefault="00077566" w:rsidP="00DA2056">
            <w:pPr>
              <w:pStyle w:val="NoSpacing"/>
              <w:jc w:val="center"/>
              <w:rPr>
                <w:rFonts w:asciiTheme="minorHAnsi" w:hAnsiTheme="minorHAnsi"/>
                <w:b/>
                <w:sz w:val="16"/>
              </w:rPr>
            </w:pPr>
            <w:r w:rsidRPr="00D059E8">
              <w:rPr>
                <w:rFonts w:asciiTheme="minorHAnsi" w:hAnsiTheme="minorHAnsi"/>
                <w:b/>
                <w:sz w:val="16"/>
              </w:rPr>
              <w:t>0.031</w:t>
            </w:r>
          </w:p>
        </w:tc>
      </w:tr>
      <w:tr w:rsidR="00077566" w:rsidRPr="00CC039D" w:rsidTr="00DA2056">
        <w:tc>
          <w:tcPr>
            <w:tcW w:w="3895" w:type="dxa"/>
            <w:vAlign w:val="center"/>
          </w:tcPr>
          <w:p w:rsidR="00077566" w:rsidRPr="006F7DF5" w:rsidRDefault="00077566" w:rsidP="00DA2056">
            <w:pPr>
              <w:pStyle w:val="NoSpacing"/>
              <w:rPr>
                <w:rFonts w:asciiTheme="minorHAnsi" w:hAnsiTheme="minorHAnsi"/>
                <w:sz w:val="16"/>
              </w:rPr>
            </w:pPr>
            <w:r>
              <w:rPr>
                <w:rFonts w:asciiTheme="minorHAnsi" w:hAnsiTheme="minorHAnsi"/>
                <w:sz w:val="16"/>
              </w:rPr>
              <w:t>GRO</w:t>
            </w:r>
          </w:p>
        </w:tc>
        <w:tc>
          <w:tcPr>
            <w:tcW w:w="2025" w:type="dxa"/>
            <w:vAlign w:val="center"/>
          </w:tcPr>
          <w:p w:rsidR="00077566" w:rsidRPr="006F7DF5" w:rsidRDefault="00077566" w:rsidP="00DA2056">
            <w:pPr>
              <w:pStyle w:val="NoSpacing"/>
              <w:jc w:val="center"/>
              <w:rPr>
                <w:rFonts w:asciiTheme="minorHAnsi" w:hAnsiTheme="minorHAnsi"/>
                <w:sz w:val="16"/>
              </w:rPr>
            </w:pPr>
            <w:r w:rsidRPr="006F7DF5">
              <w:rPr>
                <w:rFonts w:asciiTheme="minorHAnsi" w:hAnsiTheme="minorHAnsi"/>
                <w:sz w:val="16"/>
              </w:rPr>
              <w:t>490 (286 – 594)</w:t>
            </w:r>
          </w:p>
        </w:tc>
        <w:tc>
          <w:tcPr>
            <w:tcW w:w="2126" w:type="dxa"/>
            <w:vAlign w:val="center"/>
          </w:tcPr>
          <w:p w:rsidR="00077566" w:rsidRPr="006F7DF5" w:rsidRDefault="00077566" w:rsidP="00DA2056">
            <w:pPr>
              <w:pStyle w:val="NoSpacing"/>
              <w:jc w:val="center"/>
              <w:rPr>
                <w:rFonts w:asciiTheme="minorHAnsi" w:hAnsiTheme="minorHAnsi"/>
                <w:sz w:val="16"/>
              </w:rPr>
            </w:pPr>
            <w:r w:rsidRPr="006F7DF5">
              <w:rPr>
                <w:rFonts w:asciiTheme="minorHAnsi" w:hAnsiTheme="minorHAnsi"/>
                <w:sz w:val="16"/>
              </w:rPr>
              <w:t>5</w:t>
            </w:r>
            <w:r>
              <w:rPr>
                <w:rFonts w:asciiTheme="minorHAnsi" w:hAnsiTheme="minorHAnsi"/>
                <w:sz w:val="16"/>
              </w:rPr>
              <w:t>35 (378 – 765)</w:t>
            </w:r>
          </w:p>
        </w:tc>
        <w:tc>
          <w:tcPr>
            <w:tcW w:w="1843" w:type="dxa"/>
          </w:tcPr>
          <w:p w:rsidR="00077566" w:rsidRPr="00D059E8" w:rsidRDefault="00077566" w:rsidP="00DA2056">
            <w:pPr>
              <w:pStyle w:val="NoSpacing"/>
              <w:jc w:val="center"/>
              <w:rPr>
                <w:rFonts w:asciiTheme="minorHAnsi" w:hAnsiTheme="minorHAnsi"/>
                <w:b/>
                <w:sz w:val="16"/>
              </w:rPr>
            </w:pPr>
            <w:r w:rsidRPr="00D059E8">
              <w:rPr>
                <w:rFonts w:asciiTheme="minorHAnsi" w:hAnsiTheme="minorHAnsi"/>
                <w:b/>
                <w:sz w:val="16"/>
              </w:rPr>
              <w:t>0.037</w:t>
            </w:r>
          </w:p>
        </w:tc>
      </w:tr>
      <w:tr w:rsidR="00077566" w:rsidRPr="00CC039D" w:rsidTr="00DA2056">
        <w:tc>
          <w:tcPr>
            <w:tcW w:w="3895" w:type="dxa"/>
            <w:vAlign w:val="center"/>
          </w:tcPr>
          <w:p w:rsidR="00077566" w:rsidRPr="006F7DF5" w:rsidRDefault="00077566" w:rsidP="00DA2056">
            <w:pPr>
              <w:pStyle w:val="NoSpacing"/>
              <w:rPr>
                <w:rFonts w:asciiTheme="minorHAnsi" w:hAnsiTheme="minorHAnsi"/>
                <w:sz w:val="16"/>
              </w:rPr>
            </w:pPr>
            <w:r>
              <w:rPr>
                <w:rFonts w:asciiTheme="minorHAnsi" w:hAnsiTheme="minorHAnsi"/>
                <w:sz w:val="16"/>
              </w:rPr>
              <w:t>sCD40L</w:t>
            </w:r>
          </w:p>
        </w:tc>
        <w:tc>
          <w:tcPr>
            <w:tcW w:w="2025" w:type="dxa"/>
            <w:vAlign w:val="center"/>
          </w:tcPr>
          <w:p w:rsidR="00077566" w:rsidRPr="006F7DF5" w:rsidRDefault="00077566" w:rsidP="00DA2056">
            <w:pPr>
              <w:pStyle w:val="NoSpacing"/>
              <w:jc w:val="center"/>
              <w:rPr>
                <w:rFonts w:asciiTheme="minorHAnsi" w:hAnsiTheme="minorHAnsi"/>
                <w:sz w:val="16"/>
              </w:rPr>
            </w:pPr>
            <w:r w:rsidRPr="006F7DF5">
              <w:rPr>
                <w:rFonts w:asciiTheme="minorHAnsi" w:hAnsiTheme="minorHAnsi"/>
                <w:sz w:val="16"/>
              </w:rPr>
              <w:t>3233 (1441 – 6411)</w:t>
            </w:r>
          </w:p>
        </w:tc>
        <w:tc>
          <w:tcPr>
            <w:tcW w:w="2126"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6228 (2478 – 15067)</w:t>
            </w:r>
          </w:p>
        </w:tc>
        <w:tc>
          <w:tcPr>
            <w:tcW w:w="1843" w:type="dxa"/>
          </w:tcPr>
          <w:p w:rsidR="00077566" w:rsidRPr="00D059E8" w:rsidRDefault="00077566" w:rsidP="00DA2056">
            <w:pPr>
              <w:pStyle w:val="NoSpacing"/>
              <w:jc w:val="center"/>
              <w:rPr>
                <w:rFonts w:asciiTheme="minorHAnsi" w:hAnsiTheme="minorHAnsi"/>
                <w:b/>
                <w:sz w:val="16"/>
              </w:rPr>
            </w:pPr>
            <w:r w:rsidRPr="00D059E8">
              <w:rPr>
                <w:rFonts w:asciiTheme="minorHAnsi" w:hAnsiTheme="minorHAnsi"/>
                <w:b/>
                <w:sz w:val="16"/>
              </w:rPr>
              <w:t>0.012</w:t>
            </w:r>
          </w:p>
        </w:tc>
      </w:tr>
      <w:tr w:rsidR="00077566" w:rsidRPr="00CC039D" w:rsidTr="00DA2056">
        <w:tc>
          <w:tcPr>
            <w:tcW w:w="3895" w:type="dxa"/>
            <w:vAlign w:val="center"/>
          </w:tcPr>
          <w:p w:rsidR="00077566" w:rsidRPr="006F7DF5" w:rsidRDefault="00077566" w:rsidP="00DA2056">
            <w:pPr>
              <w:pStyle w:val="NoSpacing"/>
              <w:rPr>
                <w:rFonts w:asciiTheme="minorHAnsi" w:hAnsiTheme="minorHAnsi"/>
                <w:sz w:val="16"/>
              </w:rPr>
            </w:pPr>
            <w:r>
              <w:rPr>
                <w:rFonts w:asciiTheme="minorHAnsi" w:hAnsiTheme="minorHAnsi"/>
                <w:sz w:val="16"/>
              </w:rPr>
              <w:t xml:space="preserve">PDGF-AA </w:t>
            </w:r>
          </w:p>
        </w:tc>
        <w:tc>
          <w:tcPr>
            <w:tcW w:w="2025" w:type="dxa"/>
            <w:vAlign w:val="center"/>
          </w:tcPr>
          <w:p w:rsidR="00077566" w:rsidRPr="006F7DF5" w:rsidRDefault="00077566" w:rsidP="00DA2056">
            <w:pPr>
              <w:pStyle w:val="NoSpacing"/>
              <w:jc w:val="center"/>
              <w:rPr>
                <w:rFonts w:asciiTheme="minorHAnsi" w:hAnsiTheme="minorHAnsi"/>
                <w:sz w:val="16"/>
              </w:rPr>
            </w:pPr>
            <w:r w:rsidRPr="006F7DF5">
              <w:rPr>
                <w:rFonts w:asciiTheme="minorHAnsi" w:hAnsiTheme="minorHAnsi"/>
                <w:sz w:val="16"/>
              </w:rPr>
              <w:t>1035 (752 – 1874)</w:t>
            </w:r>
          </w:p>
        </w:tc>
        <w:tc>
          <w:tcPr>
            <w:tcW w:w="2126"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1817 (1078 – 2004)</w:t>
            </w:r>
          </w:p>
        </w:tc>
        <w:tc>
          <w:tcPr>
            <w:tcW w:w="1843" w:type="dxa"/>
          </w:tcPr>
          <w:p w:rsidR="00077566" w:rsidRPr="00D059E8" w:rsidRDefault="00077566" w:rsidP="00DA2056">
            <w:pPr>
              <w:pStyle w:val="NoSpacing"/>
              <w:jc w:val="center"/>
              <w:rPr>
                <w:rFonts w:asciiTheme="minorHAnsi" w:hAnsiTheme="minorHAnsi"/>
                <w:b/>
                <w:sz w:val="16"/>
              </w:rPr>
            </w:pPr>
            <w:r w:rsidRPr="00D059E8">
              <w:rPr>
                <w:rFonts w:asciiTheme="minorHAnsi" w:hAnsiTheme="minorHAnsi"/>
                <w:b/>
                <w:sz w:val="16"/>
              </w:rPr>
              <w:t>0.013</w:t>
            </w:r>
          </w:p>
        </w:tc>
      </w:tr>
      <w:tr w:rsidR="00077566" w:rsidRPr="00CC039D" w:rsidTr="00DA2056">
        <w:tc>
          <w:tcPr>
            <w:tcW w:w="3895" w:type="dxa"/>
            <w:vAlign w:val="center"/>
          </w:tcPr>
          <w:p w:rsidR="00077566" w:rsidRPr="006F7DF5" w:rsidRDefault="00077566" w:rsidP="00DA2056">
            <w:pPr>
              <w:pStyle w:val="NoSpacing"/>
              <w:rPr>
                <w:rFonts w:asciiTheme="minorHAnsi" w:hAnsiTheme="minorHAnsi"/>
                <w:sz w:val="16"/>
              </w:rPr>
            </w:pPr>
            <w:r>
              <w:rPr>
                <w:rFonts w:asciiTheme="minorHAnsi" w:hAnsiTheme="minorHAnsi"/>
                <w:sz w:val="16"/>
              </w:rPr>
              <w:t xml:space="preserve">PDGF-BB </w:t>
            </w:r>
          </w:p>
        </w:tc>
        <w:tc>
          <w:tcPr>
            <w:tcW w:w="2025" w:type="dxa"/>
            <w:vAlign w:val="center"/>
          </w:tcPr>
          <w:p w:rsidR="00077566" w:rsidRPr="006F7DF5" w:rsidRDefault="00077566" w:rsidP="00DA2056">
            <w:pPr>
              <w:pStyle w:val="NoSpacing"/>
              <w:jc w:val="center"/>
              <w:rPr>
                <w:rFonts w:asciiTheme="minorHAnsi" w:hAnsiTheme="minorHAnsi"/>
                <w:sz w:val="16"/>
              </w:rPr>
            </w:pPr>
            <w:r w:rsidRPr="006F7DF5">
              <w:rPr>
                <w:rFonts w:asciiTheme="minorHAnsi" w:hAnsiTheme="minorHAnsi"/>
                <w:sz w:val="16"/>
              </w:rPr>
              <w:t>8708 (5633 – 10549)</w:t>
            </w:r>
          </w:p>
        </w:tc>
        <w:tc>
          <w:tcPr>
            <w:tcW w:w="2126" w:type="dxa"/>
            <w:vAlign w:val="center"/>
          </w:tcPr>
          <w:p w:rsidR="00077566" w:rsidRPr="006F7DF5" w:rsidRDefault="00077566" w:rsidP="00DA2056">
            <w:pPr>
              <w:pStyle w:val="NoSpacing"/>
              <w:jc w:val="center"/>
              <w:rPr>
                <w:rFonts w:asciiTheme="minorHAnsi" w:hAnsiTheme="minorHAnsi"/>
                <w:sz w:val="16"/>
              </w:rPr>
            </w:pPr>
            <w:r w:rsidRPr="006F7DF5">
              <w:rPr>
                <w:rFonts w:asciiTheme="minorHAnsi" w:hAnsiTheme="minorHAnsi"/>
                <w:sz w:val="16"/>
              </w:rPr>
              <w:t>9200 (7693 – 10493)</w:t>
            </w:r>
          </w:p>
        </w:tc>
        <w:tc>
          <w:tcPr>
            <w:tcW w:w="1843" w:type="dxa"/>
          </w:tcPr>
          <w:p w:rsidR="00077566" w:rsidRPr="00D059E8" w:rsidRDefault="00077566" w:rsidP="00DA2056">
            <w:pPr>
              <w:pStyle w:val="NoSpacing"/>
              <w:jc w:val="center"/>
              <w:rPr>
                <w:rFonts w:asciiTheme="minorHAnsi" w:hAnsiTheme="minorHAnsi"/>
                <w:sz w:val="16"/>
              </w:rPr>
            </w:pPr>
            <w:r w:rsidRPr="00D059E8">
              <w:rPr>
                <w:rFonts w:asciiTheme="minorHAnsi" w:hAnsiTheme="minorHAnsi"/>
                <w:sz w:val="16"/>
              </w:rPr>
              <w:t>0.259</w:t>
            </w:r>
          </w:p>
        </w:tc>
      </w:tr>
      <w:tr w:rsidR="00077566" w:rsidRPr="00CC039D" w:rsidTr="00DA2056">
        <w:tc>
          <w:tcPr>
            <w:tcW w:w="3895" w:type="dxa"/>
            <w:vAlign w:val="center"/>
          </w:tcPr>
          <w:p w:rsidR="00077566" w:rsidRPr="003F33E7" w:rsidRDefault="00077566" w:rsidP="00DA2056">
            <w:pPr>
              <w:pStyle w:val="NoSpacing"/>
              <w:rPr>
                <w:rFonts w:asciiTheme="minorHAnsi" w:hAnsiTheme="minorHAnsi"/>
                <w:sz w:val="16"/>
              </w:rPr>
            </w:pPr>
            <w:r w:rsidRPr="003F33E7">
              <w:rPr>
                <w:rFonts w:asciiTheme="minorHAnsi" w:hAnsiTheme="minorHAnsi"/>
                <w:sz w:val="16"/>
              </w:rPr>
              <w:t>FGF2</w:t>
            </w:r>
          </w:p>
        </w:tc>
        <w:tc>
          <w:tcPr>
            <w:tcW w:w="2025"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36.5 (24.5 – 68.1)</w:t>
            </w:r>
          </w:p>
        </w:tc>
        <w:tc>
          <w:tcPr>
            <w:tcW w:w="2126"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37.4 (23.9 – 64.5)</w:t>
            </w:r>
          </w:p>
        </w:tc>
        <w:tc>
          <w:tcPr>
            <w:tcW w:w="1843" w:type="dxa"/>
          </w:tcPr>
          <w:p w:rsidR="00077566" w:rsidRPr="00A44256" w:rsidRDefault="00077566" w:rsidP="00DA2056">
            <w:pPr>
              <w:pStyle w:val="NoSpacing"/>
              <w:jc w:val="center"/>
              <w:rPr>
                <w:rFonts w:asciiTheme="minorHAnsi" w:hAnsiTheme="minorHAnsi"/>
                <w:sz w:val="16"/>
              </w:rPr>
            </w:pPr>
            <w:r w:rsidRPr="00A44256">
              <w:rPr>
                <w:rFonts w:asciiTheme="minorHAnsi" w:hAnsiTheme="minorHAnsi"/>
                <w:sz w:val="16"/>
              </w:rPr>
              <w:t>0.807</w:t>
            </w:r>
          </w:p>
        </w:tc>
      </w:tr>
      <w:tr w:rsidR="00077566" w:rsidRPr="00CC039D" w:rsidTr="00DA2056">
        <w:tc>
          <w:tcPr>
            <w:tcW w:w="3895" w:type="dxa"/>
            <w:vAlign w:val="center"/>
          </w:tcPr>
          <w:p w:rsidR="00077566" w:rsidRPr="003F33E7" w:rsidRDefault="00077566" w:rsidP="00DA2056">
            <w:pPr>
              <w:pStyle w:val="NoSpacing"/>
              <w:rPr>
                <w:rFonts w:asciiTheme="minorHAnsi" w:hAnsiTheme="minorHAnsi"/>
                <w:sz w:val="16"/>
              </w:rPr>
            </w:pPr>
            <w:r w:rsidRPr="003F33E7">
              <w:rPr>
                <w:rFonts w:asciiTheme="minorHAnsi" w:hAnsiTheme="minorHAnsi"/>
                <w:sz w:val="16"/>
              </w:rPr>
              <w:t>Eotaxin</w:t>
            </w:r>
          </w:p>
        </w:tc>
        <w:tc>
          <w:tcPr>
            <w:tcW w:w="2025"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66.8 (49.4 – 84.3)</w:t>
            </w:r>
          </w:p>
        </w:tc>
        <w:tc>
          <w:tcPr>
            <w:tcW w:w="2126"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81.7 (54.3 – 105.5)</w:t>
            </w:r>
          </w:p>
        </w:tc>
        <w:tc>
          <w:tcPr>
            <w:tcW w:w="1843" w:type="dxa"/>
          </w:tcPr>
          <w:p w:rsidR="00077566" w:rsidRPr="00A44256" w:rsidRDefault="00077566" w:rsidP="00DA2056">
            <w:pPr>
              <w:pStyle w:val="NoSpacing"/>
              <w:jc w:val="center"/>
              <w:rPr>
                <w:rFonts w:asciiTheme="minorHAnsi" w:hAnsiTheme="minorHAnsi"/>
                <w:sz w:val="16"/>
              </w:rPr>
            </w:pPr>
            <w:r w:rsidRPr="00A44256">
              <w:rPr>
                <w:rFonts w:asciiTheme="minorHAnsi" w:hAnsiTheme="minorHAnsi"/>
                <w:sz w:val="16"/>
              </w:rPr>
              <w:t>0.106</w:t>
            </w:r>
          </w:p>
        </w:tc>
      </w:tr>
      <w:tr w:rsidR="00077566" w:rsidRPr="00CC039D" w:rsidTr="00DA2056">
        <w:tc>
          <w:tcPr>
            <w:tcW w:w="3895" w:type="dxa"/>
            <w:vAlign w:val="center"/>
          </w:tcPr>
          <w:p w:rsidR="00077566" w:rsidRPr="003F33E7" w:rsidRDefault="00077566" w:rsidP="00DA2056">
            <w:pPr>
              <w:pStyle w:val="NoSpacing"/>
              <w:rPr>
                <w:rFonts w:asciiTheme="minorHAnsi" w:hAnsiTheme="minorHAnsi"/>
                <w:sz w:val="16"/>
              </w:rPr>
            </w:pPr>
            <w:r w:rsidRPr="003F33E7">
              <w:rPr>
                <w:rFonts w:asciiTheme="minorHAnsi" w:hAnsiTheme="minorHAnsi"/>
                <w:sz w:val="16"/>
              </w:rPr>
              <w:t>TGF-a</w:t>
            </w:r>
          </w:p>
        </w:tc>
        <w:tc>
          <w:tcPr>
            <w:tcW w:w="2025"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5.3 (1.8 – 8.2)</w:t>
            </w:r>
          </w:p>
        </w:tc>
        <w:tc>
          <w:tcPr>
            <w:tcW w:w="2126"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4.4 (2.5 – 7.7)</w:t>
            </w:r>
          </w:p>
        </w:tc>
        <w:tc>
          <w:tcPr>
            <w:tcW w:w="1843" w:type="dxa"/>
          </w:tcPr>
          <w:p w:rsidR="00077566" w:rsidRPr="00A44256" w:rsidRDefault="00077566" w:rsidP="00DA2056">
            <w:pPr>
              <w:pStyle w:val="NoSpacing"/>
              <w:jc w:val="center"/>
              <w:rPr>
                <w:rFonts w:asciiTheme="minorHAnsi" w:hAnsiTheme="minorHAnsi"/>
                <w:sz w:val="16"/>
              </w:rPr>
            </w:pPr>
            <w:r w:rsidRPr="00A44256">
              <w:rPr>
                <w:rFonts w:asciiTheme="minorHAnsi" w:hAnsiTheme="minorHAnsi"/>
                <w:sz w:val="16"/>
              </w:rPr>
              <w:t>0.886</w:t>
            </w:r>
          </w:p>
        </w:tc>
      </w:tr>
      <w:tr w:rsidR="00077566" w:rsidRPr="00CC039D" w:rsidTr="00DA2056">
        <w:tc>
          <w:tcPr>
            <w:tcW w:w="3895" w:type="dxa"/>
            <w:vAlign w:val="center"/>
          </w:tcPr>
          <w:p w:rsidR="00077566" w:rsidRPr="003F33E7" w:rsidRDefault="00077566" w:rsidP="00DA2056">
            <w:pPr>
              <w:pStyle w:val="NoSpacing"/>
              <w:rPr>
                <w:rFonts w:asciiTheme="minorHAnsi" w:hAnsiTheme="minorHAnsi"/>
                <w:sz w:val="16"/>
              </w:rPr>
            </w:pPr>
            <w:r w:rsidRPr="003F33E7">
              <w:rPr>
                <w:rFonts w:asciiTheme="minorHAnsi" w:hAnsiTheme="minorHAnsi"/>
                <w:sz w:val="16"/>
              </w:rPr>
              <w:t>G-CSF</w:t>
            </w:r>
          </w:p>
        </w:tc>
        <w:tc>
          <w:tcPr>
            <w:tcW w:w="2025"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27.4 (21.3 – 35.1)</w:t>
            </w:r>
          </w:p>
        </w:tc>
        <w:tc>
          <w:tcPr>
            <w:tcW w:w="2126"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29.8 (17.7 – 41.4)</w:t>
            </w:r>
          </w:p>
        </w:tc>
        <w:tc>
          <w:tcPr>
            <w:tcW w:w="1843" w:type="dxa"/>
          </w:tcPr>
          <w:p w:rsidR="00077566" w:rsidRPr="00A44256" w:rsidRDefault="00077566" w:rsidP="00DA2056">
            <w:pPr>
              <w:pStyle w:val="NoSpacing"/>
              <w:jc w:val="center"/>
              <w:rPr>
                <w:rFonts w:asciiTheme="minorHAnsi" w:hAnsiTheme="minorHAnsi"/>
                <w:sz w:val="16"/>
              </w:rPr>
            </w:pPr>
            <w:r w:rsidRPr="00A44256">
              <w:rPr>
                <w:rFonts w:asciiTheme="minorHAnsi" w:hAnsiTheme="minorHAnsi"/>
                <w:sz w:val="16"/>
              </w:rPr>
              <w:t>0.665</w:t>
            </w:r>
          </w:p>
        </w:tc>
      </w:tr>
      <w:tr w:rsidR="00077566" w:rsidRPr="00CC039D" w:rsidTr="00DA2056">
        <w:tc>
          <w:tcPr>
            <w:tcW w:w="3895" w:type="dxa"/>
            <w:vAlign w:val="center"/>
          </w:tcPr>
          <w:p w:rsidR="00077566" w:rsidRPr="003F33E7" w:rsidRDefault="00077566" w:rsidP="00DA2056">
            <w:pPr>
              <w:pStyle w:val="NoSpacing"/>
              <w:rPr>
                <w:rFonts w:asciiTheme="minorHAnsi" w:hAnsiTheme="minorHAnsi"/>
                <w:sz w:val="16"/>
              </w:rPr>
            </w:pPr>
            <w:r w:rsidRPr="003F33E7">
              <w:rPr>
                <w:rFonts w:asciiTheme="minorHAnsi" w:hAnsiTheme="minorHAnsi"/>
                <w:sz w:val="16"/>
              </w:rPr>
              <w:t>Flt-3L</w:t>
            </w:r>
          </w:p>
        </w:tc>
        <w:tc>
          <w:tcPr>
            <w:tcW w:w="2025"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11.1 (4.3 – 66.5)</w:t>
            </w:r>
          </w:p>
        </w:tc>
        <w:tc>
          <w:tcPr>
            <w:tcW w:w="2126"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5.0 (1.1 – 21.2)</w:t>
            </w:r>
          </w:p>
        </w:tc>
        <w:tc>
          <w:tcPr>
            <w:tcW w:w="1843" w:type="dxa"/>
          </w:tcPr>
          <w:p w:rsidR="00077566" w:rsidRPr="00A44256" w:rsidRDefault="00077566" w:rsidP="00DA2056">
            <w:pPr>
              <w:pStyle w:val="NoSpacing"/>
              <w:jc w:val="center"/>
              <w:rPr>
                <w:rFonts w:asciiTheme="minorHAnsi" w:hAnsiTheme="minorHAnsi"/>
                <w:sz w:val="16"/>
              </w:rPr>
            </w:pPr>
            <w:r w:rsidRPr="00A44256">
              <w:rPr>
                <w:rFonts w:asciiTheme="minorHAnsi" w:hAnsiTheme="minorHAnsi"/>
                <w:sz w:val="16"/>
              </w:rPr>
              <w:t>0.085</w:t>
            </w:r>
          </w:p>
        </w:tc>
      </w:tr>
      <w:tr w:rsidR="00077566" w:rsidRPr="00CC039D" w:rsidTr="00DA2056">
        <w:tc>
          <w:tcPr>
            <w:tcW w:w="3895" w:type="dxa"/>
            <w:vAlign w:val="center"/>
          </w:tcPr>
          <w:p w:rsidR="00077566" w:rsidRPr="003F33E7" w:rsidRDefault="00077566" w:rsidP="00DA2056">
            <w:pPr>
              <w:pStyle w:val="NoSpacing"/>
              <w:rPr>
                <w:rFonts w:asciiTheme="minorHAnsi" w:hAnsiTheme="minorHAnsi"/>
                <w:sz w:val="16"/>
              </w:rPr>
            </w:pPr>
            <w:r w:rsidRPr="003F33E7">
              <w:rPr>
                <w:rFonts w:asciiTheme="minorHAnsi" w:hAnsiTheme="minorHAnsi"/>
                <w:sz w:val="16"/>
              </w:rPr>
              <w:t>GM-CSF</w:t>
            </w:r>
          </w:p>
        </w:tc>
        <w:tc>
          <w:tcPr>
            <w:tcW w:w="2025"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19.0 (13.7 – 25.9)</w:t>
            </w:r>
          </w:p>
        </w:tc>
        <w:tc>
          <w:tcPr>
            <w:tcW w:w="2126"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18.6 (12.0 – 29.6)</w:t>
            </w:r>
          </w:p>
        </w:tc>
        <w:tc>
          <w:tcPr>
            <w:tcW w:w="1843" w:type="dxa"/>
            <w:vAlign w:val="center"/>
          </w:tcPr>
          <w:p w:rsidR="00077566" w:rsidRPr="00A44256" w:rsidRDefault="00077566" w:rsidP="00DA2056">
            <w:pPr>
              <w:pStyle w:val="NoSpacing"/>
              <w:jc w:val="center"/>
              <w:rPr>
                <w:rFonts w:asciiTheme="minorHAnsi" w:hAnsiTheme="minorHAnsi"/>
                <w:sz w:val="16"/>
              </w:rPr>
            </w:pPr>
            <w:r w:rsidRPr="00A44256">
              <w:rPr>
                <w:rFonts w:asciiTheme="minorHAnsi" w:hAnsiTheme="minorHAnsi"/>
                <w:sz w:val="16"/>
              </w:rPr>
              <w:t>0.789</w:t>
            </w:r>
          </w:p>
        </w:tc>
      </w:tr>
      <w:tr w:rsidR="00077566" w:rsidRPr="00CC039D" w:rsidTr="00DA2056">
        <w:tc>
          <w:tcPr>
            <w:tcW w:w="3895" w:type="dxa"/>
            <w:vAlign w:val="center"/>
          </w:tcPr>
          <w:p w:rsidR="00077566" w:rsidRPr="003F33E7" w:rsidRDefault="00077566" w:rsidP="00DA2056">
            <w:pPr>
              <w:pStyle w:val="NoSpacing"/>
              <w:rPr>
                <w:rFonts w:asciiTheme="minorHAnsi" w:hAnsiTheme="minorHAnsi"/>
                <w:sz w:val="16"/>
              </w:rPr>
            </w:pPr>
            <w:r w:rsidRPr="003F33E7">
              <w:rPr>
                <w:rFonts w:asciiTheme="minorHAnsi" w:hAnsiTheme="minorHAnsi"/>
                <w:sz w:val="16"/>
              </w:rPr>
              <w:t>Fractalkine</w:t>
            </w:r>
          </w:p>
        </w:tc>
        <w:tc>
          <w:tcPr>
            <w:tcW w:w="2025"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51.3 (2.9 – 76.0)</w:t>
            </w:r>
          </w:p>
        </w:tc>
        <w:tc>
          <w:tcPr>
            <w:tcW w:w="2126"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15.8 (3.0 – 75.2)</w:t>
            </w:r>
          </w:p>
        </w:tc>
        <w:tc>
          <w:tcPr>
            <w:tcW w:w="1843" w:type="dxa"/>
          </w:tcPr>
          <w:p w:rsidR="00077566" w:rsidRPr="00A44256" w:rsidRDefault="00077566" w:rsidP="00DA2056">
            <w:pPr>
              <w:pStyle w:val="NoSpacing"/>
              <w:jc w:val="center"/>
              <w:rPr>
                <w:rFonts w:asciiTheme="minorHAnsi" w:hAnsiTheme="minorHAnsi"/>
                <w:sz w:val="16"/>
              </w:rPr>
            </w:pPr>
            <w:r w:rsidRPr="00A44256">
              <w:rPr>
                <w:rFonts w:asciiTheme="minorHAnsi" w:hAnsiTheme="minorHAnsi"/>
                <w:sz w:val="16"/>
              </w:rPr>
              <w:t>0.494</w:t>
            </w:r>
          </w:p>
        </w:tc>
      </w:tr>
      <w:tr w:rsidR="00077566" w:rsidRPr="00CC039D" w:rsidTr="00DA2056">
        <w:tc>
          <w:tcPr>
            <w:tcW w:w="3895" w:type="dxa"/>
            <w:vAlign w:val="center"/>
          </w:tcPr>
          <w:p w:rsidR="00077566" w:rsidRPr="003F33E7" w:rsidRDefault="00077566" w:rsidP="00DA2056">
            <w:pPr>
              <w:pStyle w:val="NoSpacing"/>
              <w:rPr>
                <w:rFonts w:asciiTheme="minorHAnsi" w:hAnsiTheme="minorHAnsi"/>
                <w:sz w:val="16"/>
              </w:rPr>
            </w:pPr>
            <w:r w:rsidRPr="003F33E7">
              <w:rPr>
                <w:rFonts w:asciiTheme="minorHAnsi" w:hAnsiTheme="minorHAnsi"/>
                <w:sz w:val="16"/>
              </w:rPr>
              <w:t>IFNa2C</w:t>
            </w:r>
          </w:p>
        </w:tc>
        <w:tc>
          <w:tcPr>
            <w:tcW w:w="2025"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34.0 (16.0 – 84.3)</w:t>
            </w:r>
          </w:p>
        </w:tc>
        <w:tc>
          <w:tcPr>
            <w:tcW w:w="2126"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26.5 (13.2 – 54.7)</w:t>
            </w:r>
          </w:p>
        </w:tc>
        <w:tc>
          <w:tcPr>
            <w:tcW w:w="1843" w:type="dxa"/>
          </w:tcPr>
          <w:p w:rsidR="00077566" w:rsidRPr="00A44256" w:rsidRDefault="00077566" w:rsidP="00DA2056">
            <w:pPr>
              <w:pStyle w:val="NoSpacing"/>
              <w:jc w:val="center"/>
              <w:rPr>
                <w:rFonts w:asciiTheme="minorHAnsi" w:hAnsiTheme="minorHAnsi"/>
                <w:sz w:val="16"/>
              </w:rPr>
            </w:pPr>
            <w:r w:rsidRPr="00A44256">
              <w:rPr>
                <w:rFonts w:asciiTheme="minorHAnsi" w:hAnsiTheme="minorHAnsi"/>
                <w:sz w:val="16"/>
              </w:rPr>
              <w:t>0.275</w:t>
            </w:r>
          </w:p>
        </w:tc>
      </w:tr>
      <w:tr w:rsidR="00077566" w:rsidRPr="00CC039D" w:rsidTr="00DA2056">
        <w:tc>
          <w:tcPr>
            <w:tcW w:w="3895" w:type="dxa"/>
            <w:vAlign w:val="center"/>
          </w:tcPr>
          <w:p w:rsidR="00077566" w:rsidRPr="003F33E7" w:rsidRDefault="00077566" w:rsidP="00DA2056">
            <w:pPr>
              <w:pStyle w:val="NoSpacing"/>
              <w:rPr>
                <w:rFonts w:asciiTheme="minorHAnsi" w:hAnsiTheme="minorHAnsi"/>
                <w:sz w:val="16"/>
              </w:rPr>
            </w:pPr>
            <w:r w:rsidRPr="003F33E7">
              <w:rPr>
                <w:rFonts w:asciiTheme="minorHAnsi" w:hAnsiTheme="minorHAnsi"/>
                <w:sz w:val="16"/>
              </w:rPr>
              <w:t>IFNy</w:t>
            </w:r>
          </w:p>
        </w:tc>
        <w:tc>
          <w:tcPr>
            <w:tcW w:w="2025"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17.4 (5.5 – 46.7)</w:t>
            </w:r>
          </w:p>
        </w:tc>
        <w:tc>
          <w:tcPr>
            <w:tcW w:w="2126"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10.4 (4.8 – 32.7)</w:t>
            </w:r>
          </w:p>
        </w:tc>
        <w:tc>
          <w:tcPr>
            <w:tcW w:w="1843" w:type="dxa"/>
          </w:tcPr>
          <w:p w:rsidR="00077566" w:rsidRPr="00A44256" w:rsidRDefault="00077566" w:rsidP="00DA2056">
            <w:pPr>
              <w:pStyle w:val="NoSpacing"/>
              <w:jc w:val="center"/>
              <w:rPr>
                <w:rFonts w:asciiTheme="minorHAnsi" w:hAnsiTheme="minorHAnsi"/>
                <w:sz w:val="16"/>
              </w:rPr>
            </w:pPr>
            <w:r w:rsidRPr="00A44256">
              <w:rPr>
                <w:rFonts w:asciiTheme="minorHAnsi" w:hAnsiTheme="minorHAnsi"/>
                <w:sz w:val="16"/>
              </w:rPr>
              <w:t>0.392</w:t>
            </w:r>
          </w:p>
        </w:tc>
      </w:tr>
      <w:tr w:rsidR="00077566" w:rsidRPr="00CC039D" w:rsidTr="00DA2056">
        <w:tc>
          <w:tcPr>
            <w:tcW w:w="3895" w:type="dxa"/>
            <w:vAlign w:val="center"/>
          </w:tcPr>
          <w:p w:rsidR="00077566" w:rsidRPr="003F33E7" w:rsidRDefault="00077566" w:rsidP="00DA2056">
            <w:pPr>
              <w:pStyle w:val="NoSpacing"/>
              <w:rPr>
                <w:rFonts w:asciiTheme="minorHAnsi" w:hAnsiTheme="minorHAnsi"/>
                <w:sz w:val="16"/>
              </w:rPr>
            </w:pPr>
            <w:r w:rsidRPr="003F33E7">
              <w:rPr>
                <w:rFonts w:asciiTheme="minorHAnsi" w:hAnsiTheme="minorHAnsi"/>
                <w:sz w:val="16"/>
              </w:rPr>
              <w:t>IL-10</w:t>
            </w:r>
          </w:p>
        </w:tc>
        <w:tc>
          <w:tcPr>
            <w:tcW w:w="2025"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5.2 (3.1 – 11.7)</w:t>
            </w:r>
          </w:p>
        </w:tc>
        <w:tc>
          <w:tcPr>
            <w:tcW w:w="2126"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6.0 (3.2 – 12.8)</w:t>
            </w:r>
          </w:p>
        </w:tc>
        <w:tc>
          <w:tcPr>
            <w:tcW w:w="1843" w:type="dxa"/>
          </w:tcPr>
          <w:p w:rsidR="00077566" w:rsidRPr="00A44256" w:rsidRDefault="00077566" w:rsidP="00DA2056">
            <w:pPr>
              <w:pStyle w:val="NoSpacing"/>
              <w:jc w:val="center"/>
              <w:rPr>
                <w:rFonts w:asciiTheme="minorHAnsi" w:hAnsiTheme="minorHAnsi"/>
                <w:sz w:val="16"/>
              </w:rPr>
            </w:pPr>
            <w:r w:rsidRPr="00A44256">
              <w:rPr>
                <w:rFonts w:asciiTheme="minorHAnsi" w:hAnsiTheme="minorHAnsi"/>
                <w:sz w:val="16"/>
              </w:rPr>
              <w:t>0.855</w:t>
            </w:r>
          </w:p>
        </w:tc>
      </w:tr>
      <w:tr w:rsidR="00077566" w:rsidRPr="00CC039D" w:rsidTr="00DA2056">
        <w:tc>
          <w:tcPr>
            <w:tcW w:w="3895" w:type="dxa"/>
            <w:vAlign w:val="center"/>
          </w:tcPr>
          <w:p w:rsidR="00077566" w:rsidRPr="003F33E7" w:rsidRDefault="00077566" w:rsidP="00DA2056">
            <w:pPr>
              <w:pStyle w:val="NoSpacing"/>
              <w:rPr>
                <w:rFonts w:asciiTheme="minorHAnsi" w:hAnsiTheme="minorHAnsi"/>
                <w:sz w:val="16"/>
              </w:rPr>
            </w:pPr>
            <w:r w:rsidRPr="003F33E7">
              <w:rPr>
                <w:rFonts w:asciiTheme="minorHAnsi" w:hAnsiTheme="minorHAnsi"/>
                <w:sz w:val="16"/>
              </w:rPr>
              <w:t>MCP-3</w:t>
            </w:r>
          </w:p>
        </w:tc>
        <w:tc>
          <w:tcPr>
            <w:tcW w:w="2025"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29.1 (20.4 – 87.7)</w:t>
            </w:r>
          </w:p>
        </w:tc>
        <w:tc>
          <w:tcPr>
            <w:tcW w:w="2126"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35.9 (16.7 – 69.1)</w:t>
            </w:r>
          </w:p>
        </w:tc>
        <w:tc>
          <w:tcPr>
            <w:tcW w:w="1843" w:type="dxa"/>
          </w:tcPr>
          <w:p w:rsidR="00077566" w:rsidRPr="00A44256" w:rsidRDefault="00077566" w:rsidP="00DA2056">
            <w:pPr>
              <w:pStyle w:val="NoSpacing"/>
              <w:jc w:val="center"/>
              <w:rPr>
                <w:rFonts w:asciiTheme="minorHAnsi" w:hAnsiTheme="minorHAnsi"/>
                <w:sz w:val="16"/>
              </w:rPr>
            </w:pPr>
            <w:r w:rsidRPr="00A44256">
              <w:rPr>
                <w:rFonts w:asciiTheme="minorHAnsi" w:hAnsiTheme="minorHAnsi"/>
                <w:sz w:val="16"/>
              </w:rPr>
              <w:t>0.504</w:t>
            </w:r>
          </w:p>
        </w:tc>
      </w:tr>
      <w:tr w:rsidR="00077566" w:rsidRPr="00CC039D" w:rsidTr="00DA2056">
        <w:tc>
          <w:tcPr>
            <w:tcW w:w="3895" w:type="dxa"/>
            <w:vAlign w:val="center"/>
          </w:tcPr>
          <w:p w:rsidR="00077566" w:rsidRPr="003F33E7" w:rsidRDefault="00077566" w:rsidP="00DA2056">
            <w:pPr>
              <w:pStyle w:val="NoSpacing"/>
              <w:rPr>
                <w:rFonts w:asciiTheme="minorHAnsi" w:hAnsiTheme="minorHAnsi"/>
                <w:sz w:val="16"/>
              </w:rPr>
            </w:pPr>
            <w:r w:rsidRPr="003F33E7">
              <w:rPr>
                <w:rFonts w:asciiTheme="minorHAnsi" w:hAnsiTheme="minorHAnsi"/>
                <w:sz w:val="16"/>
              </w:rPr>
              <w:t>IL-12P40</w:t>
            </w:r>
          </w:p>
        </w:tc>
        <w:tc>
          <w:tcPr>
            <w:tcW w:w="2025"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43.3 (7.2 – 118.1)</w:t>
            </w:r>
          </w:p>
        </w:tc>
        <w:tc>
          <w:tcPr>
            <w:tcW w:w="2126"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56.5 (18.8 – 141.6)</w:t>
            </w:r>
          </w:p>
        </w:tc>
        <w:tc>
          <w:tcPr>
            <w:tcW w:w="1843" w:type="dxa"/>
          </w:tcPr>
          <w:p w:rsidR="00077566" w:rsidRPr="00A44256" w:rsidRDefault="00077566" w:rsidP="00DA2056">
            <w:pPr>
              <w:pStyle w:val="NoSpacing"/>
              <w:jc w:val="center"/>
              <w:rPr>
                <w:rFonts w:asciiTheme="minorHAnsi" w:hAnsiTheme="minorHAnsi"/>
                <w:sz w:val="16"/>
              </w:rPr>
            </w:pPr>
            <w:r w:rsidRPr="00A44256">
              <w:rPr>
                <w:rFonts w:asciiTheme="minorHAnsi" w:hAnsiTheme="minorHAnsi"/>
                <w:sz w:val="16"/>
              </w:rPr>
              <w:t>0.260</w:t>
            </w:r>
          </w:p>
        </w:tc>
      </w:tr>
      <w:tr w:rsidR="00077566" w:rsidRPr="00CC039D" w:rsidTr="00DA2056">
        <w:tc>
          <w:tcPr>
            <w:tcW w:w="3895" w:type="dxa"/>
            <w:vAlign w:val="center"/>
          </w:tcPr>
          <w:p w:rsidR="00077566" w:rsidRPr="003F33E7" w:rsidRDefault="00077566" w:rsidP="00DA2056">
            <w:pPr>
              <w:pStyle w:val="NoSpacing"/>
              <w:rPr>
                <w:rFonts w:asciiTheme="minorHAnsi" w:hAnsiTheme="minorHAnsi"/>
                <w:sz w:val="16"/>
              </w:rPr>
            </w:pPr>
            <w:r w:rsidRPr="003F33E7">
              <w:rPr>
                <w:rFonts w:asciiTheme="minorHAnsi" w:hAnsiTheme="minorHAnsi"/>
                <w:sz w:val="16"/>
              </w:rPr>
              <w:t>MDC</w:t>
            </w:r>
          </w:p>
        </w:tc>
        <w:tc>
          <w:tcPr>
            <w:tcW w:w="2025"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1222.7 (924.5 – 1587.2)</w:t>
            </w:r>
          </w:p>
        </w:tc>
        <w:tc>
          <w:tcPr>
            <w:tcW w:w="2126"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1201.4 (949.0 – 1552.3)</w:t>
            </w:r>
          </w:p>
        </w:tc>
        <w:tc>
          <w:tcPr>
            <w:tcW w:w="1843" w:type="dxa"/>
          </w:tcPr>
          <w:p w:rsidR="00077566" w:rsidRPr="00A44256" w:rsidRDefault="00077566" w:rsidP="00DA2056">
            <w:pPr>
              <w:pStyle w:val="NoSpacing"/>
              <w:jc w:val="center"/>
              <w:rPr>
                <w:rFonts w:asciiTheme="minorHAnsi" w:hAnsiTheme="minorHAnsi"/>
                <w:sz w:val="16"/>
              </w:rPr>
            </w:pPr>
            <w:r w:rsidRPr="00A44256">
              <w:rPr>
                <w:rFonts w:asciiTheme="minorHAnsi" w:hAnsiTheme="minorHAnsi"/>
                <w:sz w:val="16"/>
              </w:rPr>
              <w:t>0.813</w:t>
            </w:r>
          </w:p>
        </w:tc>
      </w:tr>
      <w:tr w:rsidR="00077566" w:rsidRPr="00CC039D" w:rsidTr="00DA2056">
        <w:tc>
          <w:tcPr>
            <w:tcW w:w="3895" w:type="dxa"/>
            <w:vAlign w:val="center"/>
          </w:tcPr>
          <w:p w:rsidR="00077566" w:rsidRPr="003F33E7" w:rsidRDefault="00077566" w:rsidP="00DA2056">
            <w:pPr>
              <w:pStyle w:val="NoSpacing"/>
              <w:rPr>
                <w:rFonts w:asciiTheme="minorHAnsi" w:hAnsiTheme="minorHAnsi"/>
                <w:sz w:val="16"/>
              </w:rPr>
            </w:pPr>
            <w:r w:rsidRPr="003F33E7">
              <w:rPr>
                <w:rFonts w:asciiTheme="minorHAnsi" w:hAnsiTheme="minorHAnsi"/>
                <w:sz w:val="16"/>
              </w:rPr>
              <w:t>IL12-P70</w:t>
            </w:r>
          </w:p>
        </w:tc>
        <w:tc>
          <w:tcPr>
            <w:tcW w:w="2025"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4.4 (2.9 – 7.6)</w:t>
            </w:r>
          </w:p>
        </w:tc>
        <w:tc>
          <w:tcPr>
            <w:tcW w:w="2126"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4.3 (2.5 – 9.8)</w:t>
            </w:r>
          </w:p>
        </w:tc>
        <w:tc>
          <w:tcPr>
            <w:tcW w:w="1843" w:type="dxa"/>
          </w:tcPr>
          <w:p w:rsidR="00077566" w:rsidRPr="00A44256" w:rsidRDefault="00077566" w:rsidP="00DA2056">
            <w:pPr>
              <w:pStyle w:val="NoSpacing"/>
              <w:jc w:val="center"/>
              <w:rPr>
                <w:rFonts w:asciiTheme="minorHAnsi" w:hAnsiTheme="minorHAnsi"/>
                <w:sz w:val="16"/>
              </w:rPr>
            </w:pPr>
            <w:r w:rsidRPr="00A44256">
              <w:rPr>
                <w:rFonts w:asciiTheme="minorHAnsi" w:hAnsiTheme="minorHAnsi"/>
                <w:sz w:val="16"/>
              </w:rPr>
              <w:t>0.876</w:t>
            </w:r>
          </w:p>
        </w:tc>
      </w:tr>
      <w:tr w:rsidR="00077566" w:rsidRPr="00CC039D" w:rsidTr="00DA2056">
        <w:tc>
          <w:tcPr>
            <w:tcW w:w="3895" w:type="dxa"/>
            <w:vAlign w:val="center"/>
          </w:tcPr>
          <w:p w:rsidR="00077566" w:rsidRPr="003F33E7" w:rsidRDefault="00077566" w:rsidP="00DA2056">
            <w:pPr>
              <w:pStyle w:val="NoSpacing"/>
              <w:rPr>
                <w:rFonts w:asciiTheme="minorHAnsi" w:hAnsiTheme="minorHAnsi"/>
                <w:sz w:val="16"/>
              </w:rPr>
            </w:pPr>
            <w:r w:rsidRPr="003F33E7">
              <w:rPr>
                <w:rFonts w:asciiTheme="minorHAnsi" w:hAnsiTheme="minorHAnsi"/>
                <w:sz w:val="16"/>
              </w:rPr>
              <w:t>IL-13</w:t>
            </w:r>
          </w:p>
        </w:tc>
        <w:tc>
          <w:tcPr>
            <w:tcW w:w="2025"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8.3 (4.0 – 24.5)</w:t>
            </w:r>
          </w:p>
        </w:tc>
        <w:tc>
          <w:tcPr>
            <w:tcW w:w="2126"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9.7 (3.5 – 16.8)</w:t>
            </w:r>
          </w:p>
        </w:tc>
        <w:tc>
          <w:tcPr>
            <w:tcW w:w="1843" w:type="dxa"/>
          </w:tcPr>
          <w:p w:rsidR="00077566" w:rsidRPr="00A44256" w:rsidRDefault="00077566" w:rsidP="00DA2056">
            <w:pPr>
              <w:pStyle w:val="NoSpacing"/>
              <w:jc w:val="center"/>
              <w:rPr>
                <w:rFonts w:asciiTheme="minorHAnsi" w:hAnsiTheme="minorHAnsi"/>
                <w:sz w:val="16"/>
              </w:rPr>
            </w:pPr>
            <w:r w:rsidRPr="00A44256">
              <w:rPr>
                <w:rFonts w:asciiTheme="minorHAnsi" w:hAnsiTheme="minorHAnsi"/>
                <w:sz w:val="16"/>
              </w:rPr>
              <w:t>0.870</w:t>
            </w:r>
          </w:p>
        </w:tc>
      </w:tr>
      <w:tr w:rsidR="00077566" w:rsidRPr="00CC039D" w:rsidTr="00DA2056">
        <w:tc>
          <w:tcPr>
            <w:tcW w:w="3895" w:type="dxa"/>
            <w:vAlign w:val="center"/>
          </w:tcPr>
          <w:p w:rsidR="00077566" w:rsidRPr="003F33E7" w:rsidRDefault="00077566" w:rsidP="00DA2056">
            <w:pPr>
              <w:pStyle w:val="NoSpacing"/>
              <w:rPr>
                <w:rFonts w:asciiTheme="minorHAnsi" w:hAnsiTheme="minorHAnsi"/>
                <w:sz w:val="16"/>
                <w:lang w:val="it-IT"/>
              </w:rPr>
            </w:pPr>
            <w:r w:rsidRPr="003F33E7">
              <w:rPr>
                <w:rFonts w:asciiTheme="minorHAnsi" w:hAnsiTheme="minorHAnsi"/>
                <w:sz w:val="16"/>
                <w:lang w:val="it-IT"/>
              </w:rPr>
              <w:t>IL-15</w:t>
            </w:r>
          </w:p>
        </w:tc>
        <w:tc>
          <w:tcPr>
            <w:tcW w:w="2025"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6.0 (0.8 – 14.9)</w:t>
            </w:r>
          </w:p>
        </w:tc>
        <w:tc>
          <w:tcPr>
            <w:tcW w:w="2126"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5.6 (1.2 – 15.9)</w:t>
            </w:r>
          </w:p>
        </w:tc>
        <w:tc>
          <w:tcPr>
            <w:tcW w:w="1843" w:type="dxa"/>
          </w:tcPr>
          <w:p w:rsidR="00077566" w:rsidRPr="00A44256" w:rsidRDefault="00077566" w:rsidP="00DA2056">
            <w:pPr>
              <w:pStyle w:val="NoSpacing"/>
              <w:jc w:val="center"/>
              <w:rPr>
                <w:rFonts w:asciiTheme="minorHAnsi" w:hAnsiTheme="minorHAnsi"/>
                <w:sz w:val="16"/>
              </w:rPr>
            </w:pPr>
            <w:r w:rsidRPr="00A44256">
              <w:rPr>
                <w:rFonts w:asciiTheme="minorHAnsi" w:hAnsiTheme="minorHAnsi"/>
                <w:sz w:val="16"/>
              </w:rPr>
              <w:t>0.787</w:t>
            </w:r>
          </w:p>
        </w:tc>
      </w:tr>
      <w:tr w:rsidR="00077566" w:rsidRPr="00CC039D" w:rsidTr="00DA2056">
        <w:tc>
          <w:tcPr>
            <w:tcW w:w="3895" w:type="dxa"/>
            <w:vAlign w:val="center"/>
          </w:tcPr>
          <w:p w:rsidR="00077566" w:rsidRPr="003F33E7" w:rsidRDefault="00077566" w:rsidP="00DA2056">
            <w:pPr>
              <w:pStyle w:val="NoSpacing"/>
              <w:rPr>
                <w:rFonts w:asciiTheme="minorHAnsi" w:hAnsiTheme="minorHAnsi"/>
                <w:sz w:val="16"/>
              </w:rPr>
            </w:pPr>
            <w:r w:rsidRPr="003F33E7">
              <w:rPr>
                <w:rFonts w:asciiTheme="minorHAnsi" w:hAnsiTheme="minorHAnsi"/>
                <w:sz w:val="16"/>
              </w:rPr>
              <w:t>IL-17A</w:t>
            </w:r>
          </w:p>
        </w:tc>
        <w:tc>
          <w:tcPr>
            <w:tcW w:w="2025"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10.7 (2.7 – 25.6)</w:t>
            </w:r>
          </w:p>
        </w:tc>
        <w:tc>
          <w:tcPr>
            <w:tcW w:w="2126"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4.3 (2.4 – 14.5)</w:t>
            </w:r>
          </w:p>
        </w:tc>
        <w:tc>
          <w:tcPr>
            <w:tcW w:w="1843" w:type="dxa"/>
          </w:tcPr>
          <w:p w:rsidR="00077566" w:rsidRPr="00A44256" w:rsidRDefault="00077566" w:rsidP="00DA2056">
            <w:pPr>
              <w:pStyle w:val="NoSpacing"/>
              <w:jc w:val="center"/>
              <w:rPr>
                <w:rFonts w:asciiTheme="minorHAnsi" w:hAnsiTheme="minorHAnsi"/>
                <w:sz w:val="16"/>
              </w:rPr>
            </w:pPr>
            <w:r w:rsidRPr="00A44256">
              <w:rPr>
                <w:rFonts w:asciiTheme="minorHAnsi" w:hAnsiTheme="minorHAnsi"/>
                <w:sz w:val="16"/>
              </w:rPr>
              <w:t>0.174</w:t>
            </w:r>
          </w:p>
        </w:tc>
      </w:tr>
      <w:tr w:rsidR="00077566" w:rsidRPr="00CC039D" w:rsidTr="00DA2056">
        <w:tc>
          <w:tcPr>
            <w:tcW w:w="3895" w:type="dxa"/>
            <w:vAlign w:val="center"/>
          </w:tcPr>
          <w:p w:rsidR="00077566" w:rsidRPr="003F33E7" w:rsidRDefault="00077566" w:rsidP="00DA2056">
            <w:pPr>
              <w:pStyle w:val="NoSpacing"/>
              <w:rPr>
                <w:rFonts w:asciiTheme="minorHAnsi" w:hAnsiTheme="minorHAnsi"/>
                <w:sz w:val="16"/>
              </w:rPr>
            </w:pPr>
            <w:r w:rsidRPr="003F33E7">
              <w:rPr>
                <w:rFonts w:asciiTheme="minorHAnsi" w:hAnsiTheme="minorHAnsi"/>
                <w:sz w:val="16"/>
              </w:rPr>
              <w:t>IL-1RA</w:t>
            </w:r>
          </w:p>
        </w:tc>
        <w:tc>
          <w:tcPr>
            <w:tcW w:w="2025"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30.1 (15.9 – 68.1)</w:t>
            </w:r>
          </w:p>
        </w:tc>
        <w:tc>
          <w:tcPr>
            <w:tcW w:w="2126"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24.9 (13.5 – 49.5)</w:t>
            </w:r>
          </w:p>
        </w:tc>
        <w:tc>
          <w:tcPr>
            <w:tcW w:w="1843" w:type="dxa"/>
          </w:tcPr>
          <w:p w:rsidR="00077566" w:rsidRPr="00A44256" w:rsidRDefault="00077566" w:rsidP="00DA2056">
            <w:pPr>
              <w:pStyle w:val="NoSpacing"/>
              <w:jc w:val="center"/>
              <w:rPr>
                <w:rFonts w:asciiTheme="minorHAnsi" w:hAnsiTheme="minorHAnsi"/>
                <w:sz w:val="16"/>
              </w:rPr>
            </w:pPr>
            <w:r w:rsidRPr="00A44256">
              <w:rPr>
                <w:rFonts w:asciiTheme="minorHAnsi" w:hAnsiTheme="minorHAnsi"/>
                <w:sz w:val="16"/>
              </w:rPr>
              <w:t>0.332</w:t>
            </w:r>
          </w:p>
        </w:tc>
      </w:tr>
      <w:tr w:rsidR="00077566" w:rsidRPr="00CC039D" w:rsidTr="00DA2056">
        <w:tc>
          <w:tcPr>
            <w:tcW w:w="3895" w:type="dxa"/>
            <w:vAlign w:val="center"/>
          </w:tcPr>
          <w:p w:rsidR="00077566" w:rsidRPr="003F33E7" w:rsidRDefault="00077566" w:rsidP="00DA2056">
            <w:pPr>
              <w:pStyle w:val="NoSpacing"/>
              <w:rPr>
                <w:rFonts w:asciiTheme="minorHAnsi" w:hAnsiTheme="minorHAnsi"/>
                <w:sz w:val="16"/>
              </w:rPr>
            </w:pPr>
            <w:r w:rsidRPr="003F33E7">
              <w:rPr>
                <w:rFonts w:asciiTheme="minorHAnsi" w:hAnsiTheme="minorHAnsi"/>
                <w:sz w:val="16"/>
              </w:rPr>
              <w:t>IL-1a</w:t>
            </w:r>
          </w:p>
        </w:tc>
        <w:tc>
          <w:tcPr>
            <w:tcW w:w="2025"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28.8 (6.2 – 92.7)</w:t>
            </w:r>
          </w:p>
        </w:tc>
        <w:tc>
          <w:tcPr>
            <w:tcW w:w="2126"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21.4 (5.8 – 53.3)</w:t>
            </w:r>
          </w:p>
        </w:tc>
        <w:tc>
          <w:tcPr>
            <w:tcW w:w="1843" w:type="dxa"/>
          </w:tcPr>
          <w:p w:rsidR="00077566" w:rsidRPr="00A44256" w:rsidRDefault="00077566" w:rsidP="00DA2056">
            <w:pPr>
              <w:pStyle w:val="NoSpacing"/>
              <w:jc w:val="center"/>
              <w:rPr>
                <w:rFonts w:asciiTheme="minorHAnsi" w:hAnsiTheme="minorHAnsi"/>
                <w:sz w:val="16"/>
              </w:rPr>
            </w:pPr>
            <w:r w:rsidRPr="00A44256">
              <w:rPr>
                <w:rFonts w:asciiTheme="minorHAnsi" w:hAnsiTheme="minorHAnsi"/>
                <w:sz w:val="16"/>
              </w:rPr>
              <w:t>0.396</w:t>
            </w:r>
          </w:p>
        </w:tc>
      </w:tr>
      <w:tr w:rsidR="00077566" w:rsidRPr="00CC039D" w:rsidTr="00DA2056">
        <w:tc>
          <w:tcPr>
            <w:tcW w:w="3895" w:type="dxa"/>
            <w:vAlign w:val="center"/>
          </w:tcPr>
          <w:p w:rsidR="00077566" w:rsidRPr="003F33E7" w:rsidRDefault="00077566" w:rsidP="00DA2056">
            <w:pPr>
              <w:pStyle w:val="NoSpacing"/>
              <w:rPr>
                <w:rFonts w:asciiTheme="minorHAnsi" w:hAnsiTheme="minorHAnsi"/>
                <w:sz w:val="16"/>
              </w:rPr>
            </w:pPr>
            <w:r w:rsidRPr="003F33E7">
              <w:rPr>
                <w:rFonts w:asciiTheme="minorHAnsi" w:hAnsiTheme="minorHAnsi"/>
                <w:sz w:val="16"/>
              </w:rPr>
              <w:t>IL-9</w:t>
            </w:r>
          </w:p>
        </w:tc>
        <w:tc>
          <w:tcPr>
            <w:tcW w:w="2025"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1.9 (1.2 – 4.3)</w:t>
            </w:r>
          </w:p>
        </w:tc>
        <w:tc>
          <w:tcPr>
            <w:tcW w:w="2126"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2.1 (1.2 – 5.1)</w:t>
            </w:r>
          </w:p>
        </w:tc>
        <w:tc>
          <w:tcPr>
            <w:tcW w:w="1843" w:type="dxa"/>
          </w:tcPr>
          <w:p w:rsidR="00077566" w:rsidRPr="00A44256" w:rsidRDefault="00077566" w:rsidP="00DA2056">
            <w:pPr>
              <w:pStyle w:val="NoSpacing"/>
              <w:jc w:val="center"/>
              <w:rPr>
                <w:rFonts w:asciiTheme="minorHAnsi" w:hAnsiTheme="minorHAnsi"/>
                <w:sz w:val="16"/>
              </w:rPr>
            </w:pPr>
            <w:r w:rsidRPr="00A44256">
              <w:rPr>
                <w:rFonts w:asciiTheme="minorHAnsi" w:hAnsiTheme="minorHAnsi"/>
                <w:sz w:val="16"/>
              </w:rPr>
              <w:t>0.498</w:t>
            </w:r>
          </w:p>
        </w:tc>
      </w:tr>
      <w:tr w:rsidR="00077566" w:rsidRPr="00CC039D" w:rsidTr="00DA2056">
        <w:tc>
          <w:tcPr>
            <w:tcW w:w="3895" w:type="dxa"/>
            <w:vAlign w:val="center"/>
          </w:tcPr>
          <w:p w:rsidR="00077566" w:rsidRPr="003F33E7" w:rsidRDefault="00077566" w:rsidP="00DA2056">
            <w:pPr>
              <w:pStyle w:val="NoSpacing"/>
              <w:rPr>
                <w:rFonts w:asciiTheme="minorHAnsi" w:hAnsiTheme="minorHAnsi"/>
                <w:sz w:val="16"/>
              </w:rPr>
            </w:pPr>
            <w:r w:rsidRPr="003F33E7">
              <w:rPr>
                <w:rFonts w:asciiTheme="minorHAnsi" w:hAnsiTheme="minorHAnsi"/>
                <w:sz w:val="16"/>
              </w:rPr>
              <w:t>IL-1B</w:t>
            </w:r>
          </w:p>
        </w:tc>
        <w:tc>
          <w:tcPr>
            <w:tcW w:w="2025"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5.1 (1.1 – 10.1)</w:t>
            </w:r>
          </w:p>
        </w:tc>
        <w:tc>
          <w:tcPr>
            <w:tcW w:w="2126"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6.2 (1.9 – 14.7)</w:t>
            </w:r>
          </w:p>
        </w:tc>
        <w:tc>
          <w:tcPr>
            <w:tcW w:w="1843" w:type="dxa"/>
          </w:tcPr>
          <w:p w:rsidR="00077566" w:rsidRPr="00A44256" w:rsidRDefault="00077566" w:rsidP="00DA2056">
            <w:pPr>
              <w:pStyle w:val="NoSpacing"/>
              <w:jc w:val="center"/>
              <w:rPr>
                <w:rFonts w:asciiTheme="minorHAnsi" w:hAnsiTheme="minorHAnsi"/>
                <w:sz w:val="16"/>
              </w:rPr>
            </w:pPr>
            <w:r w:rsidRPr="00A44256">
              <w:rPr>
                <w:rFonts w:asciiTheme="minorHAnsi" w:hAnsiTheme="minorHAnsi"/>
                <w:sz w:val="16"/>
              </w:rPr>
              <w:t>0.453</w:t>
            </w:r>
          </w:p>
        </w:tc>
      </w:tr>
      <w:tr w:rsidR="00077566" w:rsidRPr="00CC039D" w:rsidTr="00DA2056">
        <w:tc>
          <w:tcPr>
            <w:tcW w:w="3895" w:type="dxa"/>
            <w:vAlign w:val="center"/>
          </w:tcPr>
          <w:p w:rsidR="00077566" w:rsidRPr="003F33E7" w:rsidRDefault="00077566" w:rsidP="00DA2056">
            <w:pPr>
              <w:pStyle w:val="NoSpacing"/>
              <w:rPr>
                <w:rFonts w:asciiTheme="minorHAnsi" w:hAnsiTheme="minorHAnsi"/>
                <w:sz w:val="16"/>
              </w:rPr>
            </w:pPr>
            <w:r w:rsidRPr="003F33E7">
              <w:rPr>
                <w:rFonts w:asciiTheme="minorHAnsi" w:hAnsiTheme="minorHAnsi"/>
                <w:sz w:val="16"/>
              </w:rPr>
              <w:t>IL-2</w:t>
            </w:r>
          </w:p>
        </w:tc>
        <w:tc>
          <w:tcPr>
            <w:tcW w:w="2025"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3.4 (0.7 – 9.7)</w:t>
            </w:r>
          </w:p>
        </w:tc>
        <w:tc>
          <w:tcPr>
            <w:tcW w:w="2126"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4.2 (1.5 – 11.2)</w:t>
            </w:r>
          </w:p>
        </w:tc>
        <w:tc>
          <w:tcPr>
            <w:tcW w:w="1843" w:type="dxa"/>
          </w:tcPr>
          <w:p w:rsidR="00077566" w:rsidRPr="00A44256" w:rsidRDefault="00077566" w:rsidP="00DA2056">
            <w:pPr>
              <w:pStyle w:val="NoSpacing"/>
              <w:jc w:val="center"/>
              <w:rPr>
                <w:rFonts w:asciiTheme="minorHAnsi" w:hAnsiTheme="minorHAnsi"/>
                <w:sz w:val="16"/>
              </w:rPr>
            </w:pPr>
            <w:r w:rsidRPr="00A44256">
              <w:rPr>
                <w:rFonts w:asciiTheme="minorHAnsi" w:hAnsiTheme="minorHAnsi"/>
                <w:sz w:val="16"/>
              </w:rPr>
              <w:t>0.438</w:t>
            </w:r>
          </w:p>
        </w:tc>
      </w:tr>
      <w:tr w:rsidR="00077566" w:rsidRPr="00CC039D" w:rsidTr="00DA2056">
        <w:tc>
          <w:tcPr>
            <w:tcW w:w="3895" w:type="dxa"/>
            <w:vAlign w:val="center"/>
          </w:tcPr>
          <w:p w:rsidR="00077566" w:rsidRPr="003F33E7" w:rsidRDefault="00077566" w:rsidP="00DA2056">
            <w:pPr>
              <w:pStyle w:val="NoSpacing"/>
              <w:rPr>
                <w:rFonts w:asciiTheme="minorHAnsi" w:hAnsiTheme="minorHAnsi"/>
                <w:sz w:val="16"/>
              </w:rPr>
            </w:pPr>
            <w:r w:rsidRPr="003F33E7">
              <w:rPr>
                <w:rFonts w:asciiTheme="minorHAnsi" w:hAnsiTheme="minorHAnsi"/>
                <w:sz w:val="16"/>
              </w:rPr>
              <w:t>IL-3</w:t>
            </w:r>
          </w:p>
        </w:tc>
        <w:tc>
          <w:tcPr>
            <w:tcW w:w="2025"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0.9 (0.2 – 1.7)</w:t>
            </w:r>
          </w:p>
        </w:tc>
        <w:tc>
          <w:tcPr>
            <w:tcW w:w="2126"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0.7 (0.2 – 1.8)</w:t>
            </w:r>
          </w:p>
        </w:tc>
        <w:tc>
          <w:tcPr>
            <w:tcW w:w="1843" w:type="dxa"/>
          </w:tcPr>
          <w:p w:rsidR="00077566" w:rsidRPr="00A44256" w:rsidRDefault="00077566" w:rsidP="00DA2056">
            <w:pPr>
              <w:pStyle w:val="NoSpacing"/>
              <w:jc w:val="center"/>
              <w:rPr>
                <w:rFonts w:asciiTheme="minorHAnsi" w:hAnsiTheme="minorHAnsi"/>
                <w:sz w:val="16"/>
              </w:rPr>
            </w:pPr>
            <w:r w:rsidRPr="00A44256">
              <w:rPr>
                <w:rFonts w:asciiTheme="minorHAnsi" w:hAnsiTheme="minorHAnsi"/>
                <w:sz w:val="16"/>
              </w:rPr>
              <w:t>0.696</w:t>
            </w:r>
          </w:p>
        </w:tc>
      </w:tr>
      <w:tr w:rsidR="00077566" w:rsidRPr="00CC039D" w:rsidTr="00DA2056">
        <w:trPr>
          <w:trHeight w:val="85"/>
        </w:trPr>
        <w:tc>
          <w:tcPr>
            <w:tcW w:w="3895" w:type="dxa"/>
            <w:vAlign w:val="center"/>
          </w:tcPr>
          <w:p w:rsidR="00077566" w:rsidRPr="003F33E7" w:rsidRDefault="00077566" w:rsidP="00DA2056">
            <w:pPr>
              <w:pStyle w:val="NoSpacing"/>
              <w:rPr>
                <w:rFonts w:asciiTheme="minorHAnsi" w:hAnsiTheme="minorHAnsi"/>
                <w:sz w:val="16"/>
              </w:rPr>
            </w:pPr>
            <w:r w:rsidRPr="003F33E7">
              <w:rPr>
                <w:rFonts w:asciiTheme="minorHAnsi" w:hAnsiTheme="minorHAnsi"/>
                <w:sz w:val="16"/>
              </w:rPr>
              <w:t>IL-4</w:t>
            </w:r>
          </w:p>
        </w:tc>
        <w:tc>
          <w:tcPr>
            <w:tcW w:w="2025"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11.9 (1.9 – 38.5)</w:t>
            </w:r>
          </w:p>
        </w:tc>
        <w:tc>
          <w:tcPr>
            <w:tcW w:w="2126"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13.2 (2.2 – 43.0)</w:t>
            </w:r>
          </w:p>
        </w:tc>
        <w:tc>
          <w:tcPr>
            <w:tcW w:w="1843" w:type="dxa"/>
          </w:tcPr>
          <w:p w:rsidR="00077566" w:rsidRPr="00A44256" w:rsidRDefault="00077566" w:rsidP="00DA2056">
            <w:pPr>
              <w:pStyle w:val="NoSpacing"/>
              <w:jc w:val="center"/>
              <w:rPr>
                <w:rFonts w:asciiTheme="minorHAnsi" w:hAnsiTheme="minorHAnsi"/>
                <w:sz w:val="16"/>
              </w:rPr>
            </w:pPr>
            <w:r w:rsidRPr="00A44256">
              <w:rPr>
                <w:rFonts w:asciiTheme="minorHAnsi" w:hAnsiTheme="minorHAnsi"/>
                <w:sz w:val="16"/>
              </w:rPr>
              <w:t>0.626</w:t>
            </w:r>
          </w:p>
        </w:tc>
      </w:tr>
      <w:tr w:rsidR="00077566" w:rsidRPr="00CC039D" w:rsidTr="00DA2056">
        <w:trPr>
          <w:trHeight w:val="85"/>
        </w:trPr>
        <w:tc>
          <w:tcPr>
            <w:tcW w:w="3895" w:type="dxa"/>
            <w:vAlign w:val="center"/>
          </w:tcPr>
          <w:p w:rsidR="00077566" w:rsidRPr="003F33E7" w:rsidRDefault="00077566" w:rsidP="00DA2056">
            <w:pPr>
              <w:pStyle w:val="NoSpacing"/>
              <w:rPr>
                <w:rFonts w:asciiTheme="minorHAnsi" w:hAnsiTheme="minorHAnsi"/>
                <w:sz w:val="16"/>
              </w:rPr>
            </w:pPr>
            <w:r w:rsidRPr="003F33E7">
              <w:rPr>
                <w:rFonts w:asciiTheme="minorHAnsi" w:hAnsiTheme="minorHAnsi"/>
                <w:sz w:val="16"/>
              </w:rPr>
              <w:t>IL-5</w:t>
            </w:r>
          </w:p>
        </w:tc>
        <w:tc>
          <w:tcPr>
            <w:tcW w:w="2025"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0.6 (0.3 – 1.2)</w:t>
            </w:r>
          </w:p>
        </w:tc>
        <w:tc>
          <w:tcPr>
            <w:tcW w:w="2126"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0.6 (0.2 – 1.3)</w:t>
            </w:r>
          </w:p>
        </w:tc>
        <w:tc>
          <w:tcPr>
            <w:tcW w:w="1843" w:type="dxa"/>
          </w:tcPr>
          <w:p w:rsidR="00077566" w:rsidRPr="00A44256" w:rsidRDefault="00077566" w:rsidP="00DA2056">
            <w:pPr>
              <w:pStyle w:val="NoSpacing"/>
              <w:jc w:val="center"/>
              <w:rPr>
                <w:rFonts w:asciiTheme="minorHAnsi" w:hAnsiTheme="minorHAnsi"/>
                <w:sz w:val="16"/>
              </w:rPr>
            </w:pPr>
            <w:r w:rsidRPr="00A44256">
              <w:rPr>
                <w:rFonts w:asciiTheme="minorHAnsi" w:hAnsiTheme="minorHAnsi"/>
                <w:sz w:val="16"/>
              </w:rPr>
              <w:t>0.589</w:t>
            </w:r>
          </w:p>
        </w:tc>
      </w:tr>
      <w:tr w:rsidR="00077566" w:rsidRPr="00CC039D" w:rsidTr="00DA2056">
        <w:trPr>
          <w:trHeight w:val="85"/>
        </w:trPr>
        <w:tc>
          <w:tcPr>
            <w:tcW w:w="3895" w:type="dxa"/>
            <w:vAlign w:val="center"/>
          </w:tcPr>
          <w:p w:rsidR="00077566" w:rsidRPr="003F33E7" w:rsidRDefault="00077566" w:rsidP="00DA2056">
            <w:pPr>
              <w:pStyle w:val="NoSpacing"/>
              <w:rPr>
                <w:rFonts w:asciiTheme="minorHAnsi" w:hAnsiTheme="minorHAnsi"/>
                <w:sz w:val="16"/>
              </w:rPr>
            </w:pPr>
            <w:r w:rsidRPr="003F33E7">
              <w:rPr>
                <w:rFonts w:asciiTheme="minorHAnsi" w:hAnsiTheme="minorHAnsi"/>
                <w:sz w:val="16"/>
              </w:rPr>
              <w:t>IL-6</w:t>
            </w:r>
          </w:p>
        </w:tc>
        <w:tc>
          <w:tcPr>
            <w:tcW w:w="2025"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3.0 (1.0 – 6.8)</w:t>
            </w:r>
          </w:p>
        </w:tc>
        <w:tc>
          <w:tcPr>
            <w:tcW w:w="2126"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3.2 (1.5 – 6.6)</w:t>
            </w:r>
          </w:p>
        </w:tc>
        <w:tc>
          <w:tcPr>
            <w:tcW w:w="1843" w:type="dxa"/>
          </w:tcPr>
          <w:p w:rsidR="00077566" w:rsidRPr="00A44256" w:rsidRDefault="00077566" w:rsidP="00DA2056">
            <w:pPr>
              <w:pStyle w:val="NoSpacing"/>
              <w:jc w:val="center"/>
              <w:rPr>
                <w:rFonts w:asciiTheme="minorHAnsi" w:hAnsiTheme="minorHAnsi"/>
                <w:sz w:val="16"/>
              </w:rPr>
            </w:pPr>
            <w:r w:rsidRPr="00A44256">
              <w:rPr>
                <w:rFonts w:asciiTheme="minorHAnsi" w:hAnsiTheme="minorHAnsi"/>
                <w:sz w:val="16"/>
              </w:rPr>
              <w:t>0.570</w:t>
            </w:r>
          </w:p>
        </w:tc>
      </w:tr>
      <w:tr w:rsidR="00077566" w:rsidRPr="00CC039D" w:rsidTr="00DA2056">
        <w:trPr>
          <w:trHeight w:val="85"/>
        </w:trPr>
        <w:tc>
          <w:tcPr>
            <w:tcW w:w="3895" w:type="dxa"/>
            <w:vAlign w:val="center"/>
          </w:tcPr>
          <w:p w:rsidR="00077566" w:rsidRPr="003F33E7" w:rsidRDefault="00077566" w:rsidP="00DA2056">
            <w:pPr>
              <w:pStyle w:val="NoSpacing"/>
              <w:rPr>
                <w:rFonts w:asciiTheme="minorHAnsi" w:hAnsiTheme="minorHAnsi"/>
                <w:sz w:val="16"/>
              </w:rPr>
            </w:pPr>
            <w:r w:rsidRPr="003F33E7">
              <w:rPr>
                <w:rFonts w:asciiTheme="minorHAnsi" w:hAnsiTheme="minorHAnsi"/>
                <w:sz w:val="16"/>
              </w:rPr>
              <w:t>IL-7</w:t>
            </w:r>
          </w:p>
        </w:tc>
        <w:tc>
          <w:tcPr>
            <w:tcW w:w="2025"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2.9 (2.4 – 4.1)</w:t>
            </w:r>
          </w:p>
        </w:tc>
        <w:tc>
          <w:tcPr>
            <w:tcW w:w="2126"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3.7 (2.6 – 4.3)</w:t>
            </w:r>
          </w:p>
        </w:tc>
        <w:tc>
          <w:tcPr>
            <w:tcW w:w="1843" w:type="dxa"/>
          </w:tcPr>
          <w:p w:rsidR="00077566" w:rsidRPr="00A44256" w:rsidRDefault="00077566" w:rsidP="00DA2056">
            <w:pPr>
              <w:pStyle w:val="NoSpacing"/>
              <w:jc w:val="center"/>
              <w:rPr>
                <w:rFonts w:asciiTheme="minorHAnsi" w:hAnsiTheme="minorHAnsi"/>
                <w:sz w:val="16"/>
              </w:rPr>
            </w:pPr>
            <w:r w:rsidRPr="00A44256">
              <w:rPr>
                <w:rFonts w:asciiTheme="minorHAnsi" w:hAnsiTheme="minorHAnsi"/>
                <w:sz w:val="16"/>
              </w:rPr>
              <w:t>0.204</w:t>
            </w:r>
          </w:p>
        </w:tc>
      </w:tr>
      <w:tr w:rsidR="00077566" w:rsidRPr="00CC039D" w:rsidTr="00DA2056">
        <w:tc>
          <w:tcPr>
            <w:tcW w:w="3895" w:type="dxa"/>
            <w:vAlign w:val="center"/>
          </w:tcPr>
          <w:p w:rsidR="00077566" w:rsidRPr="003F33E7" w:rsidRDefault="00077566" w:rsidP="00DA2056">
            <w:pPr>
              <w:pStyle w:val="NoSpacing"/>
              <w:rPr>
                <w:rFonts w:asciiTheme="minorHAnsi" w:hAnsiTheme="minorHAnsi"/>
                <w:sz w:val="16"/>
              </w:rPr>
            </w:pPr>
            <w:r w:rsidRPr="003F33E7">
              <w:rPr>
                <w:rFonts w:asciiTheme="minorHAnsi" w:hAnsiTheme="minorHAnsi"/>
                <w:sz w:val="16"/>
              </w:rPr>
              <w:t>IL-8</w:t>
            </w:r>
          </w:p>
        </w:tc>
        <w:tc>
          <w:tcPr>
            <w:tcW w:w="2025"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25.0 (12.1 – 37.2)</w:t>
            </w:r>
          </w:p>
        </w:tc>
        <w:tc>
          <w:tcPr>
            <w:tcW w:w="2126"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18.2 (11.0 – 26.8)</w:t>
            </w:r>
          </w:p>
        </w:tc>
        <w:tc>
          <w:tcPr>
            <w:tcW w:w="1843" w:type="dxa"/>
          </w:tcPr>
          <w:p w:rsidR="00077566" w:rsidRPr="00A44256" w:rsidRDefault="00077566" w:rsidP="00DA2056">
            <w:pPr>
              <w:pStyle w:val="NoSpacing"/>
              <w:jc w:val="center"/>
              <w:rPr>
                <w:rFonts w:asciiTheme="minorHAnsi" w:hAnsiTheme="minorHAnsi"/>
                <w:sz w:val="16"/>
              </w:rPr>
            </w:pPr>
            <w:r w:rsidRPr="00A44256">
              <w:rPr>
                <w:rFonts w:asciiTheme="minorHAnsi" w:hAnsiTheme="minorHAnsi"/>
                <w:sz w:val="16"/>
              </w:rPr>
              <w:t>0.220</w:t>
            </w:r>
          </w:p>
        </w:tc>
      </w:tr>
      <w:tr w:rsidR="00077566" w:rsidRPr="00CC039D" w:rsidTr="00DA2056">
        <w:tc>
          <w:tcPr>
            <w:tcW w:w="3895" w:type="dxa"/>
            <w:vAlign w:val="center"/>
          </w:tcPr>
          <w:p w:rsidR="00077566" w:rsidRPr="00450E9A" w:rsidRDefault="00077566" w:rsidP="00DA2056">
            <w:pPr>
              <w:pStyle w:val="NoSpacing"/>
              <w:rPr>
                <w:rFonts w:asciiTheme="minorHAnsi" w:hAnsiTheme="minorHAnsi"/>
                <w:b/>
                <w:sz w:val="16"/>
              </w:rPr>
            </w:pPr>
            <w:r w:rsidRPr="00450E9A">
              <w:rPr>
                <w:rFonts w:asciiTheme="minorHAnsi" w:hAnsiTheme="minorHAnsi"/>
                <w:b/>
                <w:sz w:val="16"/>
              </w:rPr>
              <w:t>IP-10</w:t>
            </w:r>
          </w:p>
        </w:tc>
        <w:tc>
          <w:tcPr>
            <w:tcW w:w="2025" w:type="dxa"/>
            <w:vAlign w:val="center"/>
          </w:tcPr>
          <w:p w:rsidR="00077566" w:rsidRPr="00450E9A" w:rsidRDefault="00077566" w:rsidP="00DA2056">
            <w:pPr>
              <w:pStyle w:val="NoSpacing"/>
              <w:jc w:val="center"/>
              <w:rPr>
                <w:rFonts w:asciiTheme="minorHAnsi" w:hAnsiTheme="minorHAnsi"/>
                <w:b/>
                <w:sz w:val="16"/>
              </w:rPr>
            </w:pPr>
            <w:r w:rsidRPr="00450E9A">
              <w:rPr>
                <w:rFonts w:asciiTheme="minorHAnsi" w:hAnsiTheme="minorHAnsi"/>
                <w:b/>
                <w:sz w:val="16"/>
              </w:rPr>
              <w:t>119.0 (99.7 – 161.3)</w:t>
            </w:r>
          </w:p>
        </w:tc>
        <w:tc>
          <w:tcPr>
            <w:tcW w:w="2126" w:type="dxa"/>
            <w:vAlign w:val="center"/>
          </w:tcPr>
          <w:p w:rsidR="00077566" w:rsidRPr="00450E9A" w:rsidRDefault="00077566" w:rsidP="00DA2056">
            <w:pPr>
              <w:pStyle w:val="NoSpacing"/>
              <w:jc w:val="center"/>
              <w:rPr>
                <w:rFonts w:asciiTheme="minorHAnsi" w:hAnsiTheme="minorHAnsi"/>
                <w:b/>
                <w:sz w:val="16"/>
              </w:rPr>
            </w:pPr>
            <w:r w:rsidRPr="00450E9A">
              <w:rPr>
                <w:rFonts w:asciiTheme="minorHAnsi" w:hAnsiTheme="minorHAnsi"/>
                <w:b/>
                <w:sz w:val="16"/>
              </w:rPr>
              <w:t>96.1 (72.0 – 138.4)</w:t>
            </w:r>
          </w:p>
        </w:tc>
        <w:tc>
          <w:tcPr>
            <w:tcW w:w="1843" w:type="dxa"/>
          </w:tcPr>
          <w:p w:rsidR="00077566" w:rsidRPr="00450E9A" w:rsidRDefault="00077566" w:rsidP="00DA2056">
            <w:pPr>
              <w:pStyle w:val="NoSpacing"/>
              <w:jc w:val="center"/>
              <w:rPr>
                <w:rFonts w:asciiTheme="minorHAnsi" w:hAnsiTheme="minorHAnsi"/>
                <w:b/>
                <w:sz w:val="16"/>
              </w:rPr>
            </w:pPr>
            <w:r w:rsidRPr="00450E9A">
              <w:rPr>
                <w:rFonts w:asciiTheme="minorHAnsi" w:hAnsiTheme="minorHAnsi"/>
                <w:b/>
                <w:sz w:val="16"/>
              </w:rPr>
              <w:t>0.015</w:t>
            </w:r>
          </w:p>
        </w:tc>
      </w:tr>
      <w:tr w:rsidR="00077566" w:rsidRPr="00CC039D" w:rsidTr="00DA2056">
        <w:tc>
          <w:tcPr>
            <w:tcW w:w="3895" w:type="dxa"/>
            <w:vAlign w:val="center"/>
          </w:tcPr>
          <w:p w:rsidR="00077566" w:rsidRPr="003F33E7" w:rsidRDefault="00077566" w:rsidP="00DA2056">
            <w:pPr>
              <w:pStyle w:val="NoSpacing"/>
              <w:rPr>
                <w:rFonts w:asciiTheme="minorHAnsi" w:hAnsiTheme="minorHAnsi"/>
                <w:sz w:val="16"/>
              </w:rPr>
            </w:pPr>
            <w:r w:rsidRPr="003F33E7">
              <w:rPr>
                <w:rFonts w:asciiTheme="minorHAnsi" w:hAnsiTheme="minorHAnsi"/>
                <w:sz w:val="16"/>
              </w:rPr>
              <w:t>MCP-1</w:t>
            </w:r>
          </w:p>
        </w:tc>
        <w:tc>
          <w:tcPr>
            <w:tcW w:w="2025"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326.4 (221.7 – 424.7)</w:t>
            </w:r>
          </w:p>
        </w:tc>
        <w:tc>
          <w:tcPr>
            <w:tcW w:w="2126"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329.1 (244.1 – 449.7)</w:t>
            </w:r>
          </w:p>
        </w:tc>
        <w:tc>
          <w:tcPr>
            <w:tcW w:w="1843" w:type="dxa"/>
          </w:tcPr>
          <w:p w:rsidR="00077566" w:rsidRPr="00A44256" w:rsidRDefault="00077566" w:rsidP="00DA2056">
            <w:pPr>
              <w:pStyle w:val="NoSpacing"/>
              <w:jc w:val="center"/>
              <w:rPr>
                <w:rFonts w:asciiTheme="minorHAnsi" w:hAnsiTheme="minorHAnsi"/>
                <w:sz w:val="16"/>
              </w:rPr>
            </w:pPr>
            <w:r w:rsidRPr="00A44256">
              <w:rPr>
                <w:rFonts w:asciiTheme="minorHAnsi" w:hAnsiTheme="minorHAnsi"/>
                <w:sz w:val="16"/>
              </w:rPr>
              <w:t>0.489</w:t>
            </w:r>
          </w:p>
        </w:tc>
      </w:tr>
      <w:tr w:rsidR="00077566" w:rsidRPr="00CC039D" w:rsidTr="00DA2056">
        <w:tc>
          <w:tcPr>
            <w:tcW w:w="3895" w:type="dxa"/>
            <w:vAlign w:val="center"/>
          </w:tcPr>
          <w:p w:rsidR="00077566" w:rsidRPr="003F33E7" w:rsidRDefault="00077566" w:rsidP="00DA2056">
            <w:pPr>
              <w:pStyle w:val="NoSpacing"/>
              <w:rPr>
                <w:rFonts w:asciiTheme="minorHAnsi" w:hAnsiTheme="minorHAnsi"/>
                <w:sz w:val="16"/>
              </w:rPr>
            </w:pPr>
            <w:r w:rsidRPr="003F33E7">
              <w:rPr>
                <w:rFonts w:asciiTheme="minorHAnsi" w:hAnsiTheme="minorHAnsi"/>
                <w:sz w:val="16"/>
              </w:rPr>
              <w:t>MIP-1a</w:t>
            </w:r>
          </w:p>
        </w:tc>
        <w:tc>
          <w:tcPr>
            <w:tcW w:w="2025"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9.1 (7.0 – 15.6)</w:t>
            </w:r>
          </w:p>
        </w:tc>
        <w:tc>
          <w:tcPr>
            <w:tcW w:w="2126"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12.5 (6.8 – 18.0)</w:t>
            </w:r>
          </w:p>
        </w:tc>
        <w:tc>
          <w:tcPr>
            <w:tcW w:w="1843" w:type="dxa"/>
          </w:tcPr>
          <w:p w:rsidR="00077566" w:rsidRPr="00A44256" w:rsidRDefault="00077566" w:rsidP="00DA2056">
            <w:pPr>
              <w:pStyle w:val="NoSpacing"/>
              <w:jc w:val="center"/>
              <w:rPr>
                <w:rFonts w:asciiTheme="minorHAnsi" w:hAnsiTheme="minorHAnsi"/>
                <w:sz w:val="16"/>
              </w:rPr>
            </w:pPr>
            <w:r w:rsidRPr="00A44256">
              <w:rPr>
                <w:rFonts w:asciiTheme="minorHAnsi" w:hAnsiTheme="minorHAnsi"/>
                <w:sz w:val="16"/>
              </w:rPr>
              <w:t>0.195</w:t>
            </w:r>
          </w:p>
        </w:tc>
      </w:tr>
      <w:tr w:rsidR="00077566" w:rsidRPr="00CC039D" w:rsidTr="00DA2056">
        <w:tc>
          <w:tcPr>
            <w:tcW w:w="3895" w:type="dxa"/>
            <w:vAlign w:val="center"/>
          </w:tcPr>
          <w:p w:rsidR="00077566" w:rsidRPr="003F33E7" w:rsidRDefault="00077566" w:rsidP="00DA2056">
            <w:pPr>
              <w:pStyle w:val="NoSpacing"/>
              <w:rPr>
                <w:rFonts w:asciiTheme="minorHAnsi" w:hAnsiTheme="minorHAnsi"/>
                <w:sz w:val="16"/>
              </w:rPr>
            </w:pPr>
            <w:r w:rsidRPr="003F33E7">
              <w:rPr>
                <w:rFonts w:asciiTheme="minorHAnsi" w:hAnsiTheme="minorHAnsi"/>
                <w:sz w:val="16"/>
              </w:rPr>
              <w:t>MIP-1b</w:t>
            </w:r>
          </w:p>
        </w:tc>
        <w:tc>
          <w:tcPr>
            <w:tcW w:w="2025"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48.5 (32.7 – 72.3)</w:t>
            </w:r>
          </w:p>
        </w:tc>
        <w:tc>
          <w:tcPr>
            <w:tcW w:w="2126"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40.9 (30.2 – 65.6)</w:t>
            </w:r>
          </w:p>
        </w:tc>
        <w:tc>
          <w:tcPr>
            <w:tcW w:w="1843" w:type="dxa"/>
          </w:tcPr>
          <w:p w:rsidR="00077566" w:rsidRPr="00A44256" w:rsidRDefault="00077566" w:rsidP="00DA2056">
            <w:pPr>
              <w:pStyle w:val="NoSpacing"/>
              <w:jc w:val="center"/>
              <w:rPr>
                <w:rFonts w:asciiTheme="minorHAnsi" w:hAnsiTheme="minorHAnsi"/>
                <w:sz w:val="16"/>
              </w:rPr>
            </w:pPr>
            <w:r w:rsidRPr="00A44256">
              <w:rPr>
                <w:rFonts w:asciiTheme="minorHAnsi" w:hAnsiTheme="minorHAnsi"/>
                <w:sz w:val="16"/>
              </w:rPr>
              <w:t>0.359</w:t>
            </w:r>
          </w:p>
        </w:tc>
      </w:tr>
      <w:tr w:rsidR="00077566" w:rsidRPr="00CC039D" w:rsidTr="00DA2056">
        <w:tc>
          <w:tcPr>
            <w:tcW w:w="3895" w:type="dxa"/>
            <w:vAlign w:val="center"/>
          </w:tcPr>
          <w:p w:rsidR="00077566" w:rsidRPr="003F33E7" w:rsidRDefault="00077566" w:rsidP="00DA2056">
            <w:pPr>
              <w:pStyle w:val="NoSpacing"/>
              <w:rPr>
                <w:rFonts w:asciiTheme="minorHAnsi" w:hAnsiTheme="minorHAnsi"/>
                <w:sz w:val="16"/>
              </w:rPr>
            </w:pPr>
            <w:r w:rsidRPr="003F33E7">
              <w:rPr>
                <w:rFonts w:asciiTheme="minorHAnsi" w:hAnsiTheme="minorHAnsi"/>
                <w:sz w:val="16"/>
              </w:rPr>
              <w:t>RANTES</w:t>
            </w:r>
          </w:p>
        </w:tc>
        <w:tc>
          <w:tcPr>
            <w:tcW w:w="2025"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1669.2 (1195.6 – 2602.1)</w:t>
            </w:r>
          </w:p>
        </w:tc>
        <w:tc>
          <w:tcPr>
            <w:tcW w:w="2126"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1737.8 (1014.5 – 2818.2)</w:t>
            </w:r>
          </w:p>
        </w:tc>
        <w:tc>
          <w:tcPr>
            <w:tcW w:w="1843" w:type="dxa"/>
          </w:tcPr>
          <w:p w:rsidR="00077566" w:rsidRPr="00A44256" w:rsidRDefault="00077566" w:rsidP="00DA2056">
            <w:pPr>
              <w:pStyle w:val="NoSpacing"/>
              <w:jc w:val="center"/>
              <w:rPr>
                <w:rFonts w:asciiTheme="minorHAnsi" w:hAnsiTheme="minorHAnsi"/>
                <w:sz w:val="16"/>
              </w:rPr>
            </w:pPr>
            <w:r w:rsidRPr="00A44256">
              <w:rPr>
                <w:rFonts w:asciiTheme="minorHAnsi" w:hAnsiTheme="minorHAnsi"/>
                <w:sz w:val="16"/>
              </w:rPr>
              <w:t>0.622</w:t>
            </w:r>
          </w:p>
        </w:tc>
      </w:tr>
      <w:tr w:rsidR="00077566" w:rsidRPr="00CC039D" w:rsidTr="00DA2056">
        <w:tc>
          <w:tcPr>
            <w:tcW w:w="3895" w:type="dxa"/>
            <w:vAlign w:val="center"/>
          </w:tcPr>
          <w:p w:rsidR="00077566" w:rsidRPr="003F33E7" w:rsidRDefault="00077566" w:rsidP="00DA2056">
            <w:pPr>
              <w:pStyle w:val="NoSpacing"/>
              <w:rPr>
                <w:rFonts w:asciiTheme="minorHAnsi" w:hAnsiTheme="minorHAnsi"/>
                <w:sz w:val="16"/>
              </w:rPr>
            </w:pPr>
            <w:r w:rsidRPr="003F33E7">
              <w:rPr>
                <w:rFonts w:asciiTheme="minorHAnsi" w:hAnsiTheme="minorHAnsi"/>
                <w:sz w:val="16"/>
              </w:rPr>
              <w:t>TNF-a</w:t>
            </w:r>
          </w:p>
        </w:tc>
        <w:tc>
          <w:tcPr>
            <w:tcW w:w="2025"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8.0 (6.2 – 9.6)</w:t>
            </w:r>
          </w:p>
        </w:tc>
        <w:tc>
          <w:tcPr>
            <w:tcW w:w="2126"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9.4 (6.0 – 13.2)</w:t>
            </w:r>
          </w:p>
        </w:tc>
        <w:tc>
          <w:tcPr>
            <w:tcW w:w="1843" w:type="dxa"/>
          </w:tcPr>
          <w:p w:rsidR="00077566" w:rsidRPr="00A44256" w:rsidRDefault="00077566" w:rsidP="00DA2056">
            <w:pPr>
              <w:pStyle w:val="NoSpacing"/>
              <w:jc w:val="center"/>
              <w:rPr>
                <w:rFonts w:asciiTheme="minorHAnsi" w:hAnsiTheme="minorHAnsi"/>
                <w:sz w:val="16"/>
              </w:rPr>
            </w:pPr>
            <w:r w:rsidRPr="00A44256">
              <w:rPr>
                <w:rFonts w:asciiTheme="minorHAnsi" w:hAnsiTheme="minorHAnsi"/>
                <w:sz w:val="16"/>
              </w:rPr>
              <w:t>0.128</w:t>
            </w:r>
          </w:p>
        </w:tc>
      </w:tr>
      <w:tr w:rsidR="00077566" w:rsidRPr="00CC039D" w:rsidTr="00DA2056">
        <w:tc>
          <w:tcPr>
            <w:tcW w:w="3895" w:type="dxa"/>
            <w:vAlign w:val="center"/>
          </w:tcPr>
          <w:p w:rsidR="00077566" w:rsidRPr="003F33E7" w:rsidRDefault="00077566" w:rsidP="00DA2056">
            <w:pPr>
              <w:pStyle w:val="NoSpacing"/>
              <w:rPr>
                <w:rFonts w:asciiTheme="minorHAnsi" w:hAnsiTheme="minorHAnsi"/>
                <w:sz w:val="16"/>
              </w:rPr>
            </w:pPr>
            <w:r w:rsidRPr="003F33E7">
              <w:rPr>
                <w:rFonts w:asciiTheme="minorHAnsi" w:hAnsiTheme="minorHAnsi"/>
                <w:sz w:val="16"/>
              </w:rPr>
              <w:t>TNF-B</w:t>
            </w:r>
          </w:p>
        </w:tc>
        <w:tc>
          <w:tcPr>
            <w:tcW w:w="2025"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24.5 (7.5 – 105.5)</w:t>
            </w:r>
          </w:p>
        </w:tc>
        <w:tc>
          <w:tcPr>
            <w:tcW w:w="2126"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26.9 (10.0 – 62.1)</w:t>
            </w:r>
          </w:p>
        </w:tc>
        <w:tc>
          <w:tcPr>
            <w:tcW w:w="1843" w:type="dxa"/>
          </w:tcPr>
          <w:p w:rsidR="00077566" w:rsidRPr="00A44256" w:rsidRDefault="00077566" w:rsidP="00DA2056">
            <w:pPr>
              <w:pStyle w:val="NoSpacing"/>
              <w:jc w:val="center"/>
              <w:rPr>
                <w:rFonts w:asciiTheme="minorHAnsi" w:hAnsiTheme="minorHAnsi"/>
                <w:sz w:val="16"/>
              </w:rPr>
            </w:pPr>
            <w:r w:rsidRPr="00A44256">
              <w:rPr>
                <w:rFonts w:asciiTheme="minorHAnsi" w:hAnsiTheme="minorHAnsi"/>
                <w:sz w:val="16"/>
              </w:rPr>
              <w:t>0.933</w:t>
            </w:r>
          </w:p>
        </w:tc>
      </w:tr>
      <w:tr w:rsidR="00077566" w:rsidRPr="00CC039D" w:rsidTr="00DA2056">
        <w:tc>
          <w:tcPr>
            <w:tcW w:w="3895" w:type="dxa"/>
            <w:vAlign w:val="center"/>
          </w:tcPr>
          <w:p w:rsidR="00077566" w:rsidRPr="003F33E7" w:rsidRDefault="00077566" w:rsidP="00DA2056">
            <w:pPr>
              <w:pStyle w:val="NoSpacing"/>
              <w:rPr>
                <w:rFonts w:asciiTheme="minorHAnsi" w:hAnsiTheme="minorHAnsi"/>
                <w:sz w:val="16"/>
              </w:rPr>
            </w:pPr>
            <w:r w:rsidRPr="003F33E7">
              <w:rPr>
                <w:rFonts w:asciiTheme="minorHAnsi" w:hAnsiTheme="minorHAnsi"/>
                <w:sz w:val="16"/>
              </w:rPr>
              <w:t>VEGF</w:t>
            </w:r>
          </w:p>
        </w:tc>
        <w:tc>
          <w:tcPr>
            <w:tcW w:w="2025"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81.7 (34.4 – 195.2)</w:t>
            </w:r>
          </w:p>
        </w:tc>
        <w:tc>
          <w:tcPr>
            <w:tcW w:w="2126"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84.8 (44.6 – 161.1)</w:t>
            </w:r>
          </w:p>
        </w:tc>
        <w:tc>
          <w:tcPr>
            <w:tcW w:w="1843" w:type="dxa"/>
          </w:tcPr>
          <w:p w:rsidR="00077566" w:rsidRPr="00A44256" w:rsidRDefault="00077566" w:rsidP="00DA2056">
            <w:pPr>
              <w:pStyle w:val="NoSpacing"/>
              <w:jc w:val="center"/>
              <w:rPr>
                <w:rFonts w:asciiTheme="minorHAnsi" w:hAnsiTheme="minorHAnsi"/>
                <w:sz w:val="16"/>
              </w:rPr>
            </w:pPr>
            <w:r w:rsidRPr="00A44256">
              <w:rPr>
                <w:rFonts w:asciiTheme="minorHAnsi" w:hAnsiTheme="minorHAnsi"/>
                <w:sz w:val="16"/>
              </w:rPr>
              <w:t>0.679</w:t>
            </w:r>
          </w:p>
        </w:tc>
      </w:tr>
    </w:tbl>
    <w:p w:rsidR="00077566" w:rsidRPr="005C4E3E" w:rsidRDefault="00077566" w:rsidP="00077566">
      <w:pPr>
        <w:rPr>
          <w:rFonts w:cs="Arial"/>
          <w:b/>
          <w:sz w:val="22"/>
          <w:szCs w:val="24"/>
        </w:rPr>
      </w:pPr>
      <w:r w:rsidRPr="005C4E3E">
        <w:rPr>
          <w:b/>
          <w:sz w:val="22"/>
        </w:rPr>
        <w:t>Supplementary Table 1: Additional cytokine/chemokine levels in healthy controls and patients with type 1 diabetes as measured by t</w:t>
      </w:r>
      <w:r w:rsidRPr="005C4E3E">
        <w:rPr>
          <w:rFonts w:cs="Arial"/>
          <w:b/>
          <w:color w:val="000000" w:themeColor="text1"/>
          <w:sz w:val="22"/>
          <w:szCs w:val="24"/>
        </w:rPr>
        <w:t xml:space="preserve">he Discovery </w:t>
      </w:r>
      <w:r w:rsidRPr="005C4E3E">
        <w:rPr>
          <w:rFonts w:cs="Arial"/>
          <w:b/>
          <w:sz w:val="22"/>
          <w:szCs w:val="24"/>
        </w:rPr>
        <w:t>Human Cytokine Array / Chemokine Array 41-Plex Assay</w:t>
      </w:r>
    </w:p>
    <w:p w:rsidR="00077566" w:rsidRDefault="00077566" w:rsidP="00077566">
      <w:pPr>
        <w:spacing w:after="160" w:line="259" w:lineRule="auto"/>
        <w:rPr>
          <w:rFonts w:cs="Arial"/>
          <w:sz w:val="20"/>
          <w:szCs w:val="24"/>
        </w:rPr>
      </w:pPr>
    </w:p>
    <w:p w:rsidR="00077566" w:rsidRPr="007007D5" w:rsidRDefault="00077566" w:rsidP="00077566">
      <w:pPr>
        <w:spacing w:after="160" w:line="259" w:lineRule="auto"/>
        <w:rPr>
          <w:rFonts w:cs="Arial"/>
          <w:sz w:val="20"/>
          <w:szCs w:val="24"/>
        </w:rPr>
      </w:pPr>
      <w:r w:rsidRPr="007007D5">
        <w:rPr>
          <w:rFonts w:cs="Arial"/>
          <w:sz w:val="16"/>
          <w:szCs w:val="24"/>
        </w:rPr>
        <w:t>Data represent median (IQR). Differences between groups assessed using Kruskall-Wallis test. Significant difference classed as p &lt; 0.05. Abbreviations:</w:t>
      </w:r>
      <w:r w:rsidRPr="007007D5">
        <w:rPr>
          <w:rFonts w:cs="Arial"/>
          <w:sz w:val="20"/>
          <w:szCs w:val="24"/>
        </w:rPr>
        <w:t xml:space="preserve"> </w:t>
      </w:r>
      <w:r w:rsidRPr="007007D5">
        <w:rPr>
          <w:rFonts w:cs="Arial"/>
          <w:sz w:val="16"/>
          <w:szCs w:val="24"/>
        </w:rPr>
        <w:t>EGF, epidermal growth factor; GRO, growth-regulated oncogene; sDC40L, soluble CD40 ligand; PDGF, platelet-derived growth factor; FGF, fibroblast growth factor; TGF, transforming growth factor; G-CSF, granulocyte colony-stimulating factor; Flt-3L, FMS-like tyrosine kinase 3 ligand; GM-CSF, granulocyte macrophage colony-stimulating factor, IFNa2c, interferon alpha 2; IFNy, interferon gamma; IL, interleukin; MCP, monocyte chemotactic protein; MDC, macrophage-derived chemokine;  IP-10, interferon gamma-induced protein 10; MIP, macrophage inflammatory protein; RANTES, regulated on activation, normal T-cell secreted and expressed; TNF, tumour necrosis factor; VEGF, vascular endothelial growth factor.</w:t>
      </w:r>
      <w:r w:rsidRPr="007007D5">
        <w:rPr>
          <w:rFonts w:cs="Arial"/>
          <w:sz w:val="20"/>
          <w:szCs w:val="24"/>
        </w:rPr>
        <w:br w:type="page"/>
      </w:r>
    </w:p>
    <w:p w:rsidR="00077566" w:rsidRDefault="00077566" w:rsidP="00077566">
      <w:pPr>
        <w:rPr>
          <w:b/>
        </w:rPr>
      </w:pPr>
      <w:r>
        <w:rPr>
          <w:b/>
        </w:rPr>
        <w:t>Supplementary Table 2: Sex distribution within combined HDL/inflammation groups</w:t>
      </w:r>
    </w:p>
    <w:tbl>
      <w:tblPr>
        <w:tblStyle w:val="TableGrid"/>
        <w:tblpPr w:leftFromText="180" w:rightFromText="180" w:vertAnchor="page" w:horzAnchor="margin" w:tblpXSpec="center" w:tblpY="2657"/>
        <w:tblW w:w="8046" w:type="dxa"/>
        <w:tblLayout w:type="fixed"/>
        <w:tblLook w:val="04A0" w:firstRow="1" w:lastRow="0" w:firstColumn="1" w:lastColumn="0" w:noHBand="0" w:noVBand="1"/>
      </w:tblPr>
      <w:tblGrid>
        <w:gridCol w:w="3895"/>
        <w:gridCol w:w="2025"/>
        <w:gridCol w:w="2126"/>
      </w:tblGrid>
      <w:tr w:rsidR="00077566" w:rsidRPr="006F7DF5" w:rsidTr="00DA2056">
        <w:trPr>
          <w:trHeight w:val="550"/>
        </w:trPr>
        <w:tc>
          <w:tcPr>
            <w:tcW w:w="3895" w:type="dxa"/>
            <w:shd w:val="clear" w:color="auto" w:fill="BFBFBF" w:themeFill="background1" w:themeFillShade="BF"/>
          </w:tcPr>
          <w:p w:rsidR="00077566" w:rsidRPr="006F7DF5" w:rsidRDefault="00077566" w:rsidP="00DA2056">
            <w:pPr>
              <w:pStyle w:val="NoSpacing"/>
              <w:jc w:val="center"/>
              <w:rPr>
                <w:rFonts w:asciiTheme="minorHAnsi" w:hAnsiTheme="minorHAnsi"/>
                <w:sz w:val="16"/>
              </w:rPr>
            </w:pPr>
          </w:p>
        </w:tc>
        <w:tc>
          <w:tcPr>
            <w:tcW w:w="2025" w:type="dxa"/>
            <w:shd w:val="clear" w:color="auto" w:fill="BFBFBF" w:themeFill="background1" w:themeFillShade="BF"/>
            <w:vAlign w:val="center"/>
          </w:tcPr>
          <w:p w:rsidR="00077566" w:rsidRDefault="00077566" w:rsidP="00DA2056">
            <w:pPr>
              <w:pStyle w:val="NoSpacing"/>
              <w:jc w:val="center"/>
              <w:rPr>
                <w:rFonts w:asciiTheme="minorHAnsi" w:hAnsiTheme="minorHAnsi"/>
                <w:b/>
                <w:sz w:val="16"/>
              </w:rPr>
            </w:pPr>
            <w:r>
              <w:rPr>
                <w:rFonts w:asciiTheme="minorHAnsi" w:hAnsiTheme="minorHAnsi"/>
                <w:b/>
                <w:sz w:val="16"/>
              </w:rPr>
              <w:t>Female</w:t>
            </w:r>
          </w:p>
          <w:p w:rsidR="00077566" w:rsidRPr="006F7DF5" w:rsidRDefault="00077566" w:rsidP="00DA2056">
            <w:pPr>
              <w:pStyle w:val="NoSpacing"/>
              <w:jc w:val="center"/>
              <w:rPr>
                <w:rFonts w:asciiTheme="minorHAnsi" w:hAnsiTheme="minorHAnsi"/>
                <w:b/>
                <w:sz w:val="16"/>
              </w:rPr>
            </w:pPr>
            <w:r>
              <w:rPr>
                <w:rFonts w:asciiTheme="minorHAnsi" w:hAnsiTheme="minorHAnsi"/>
                <w:b/>
                <w:sz w:val="16"/>
              </w:rPr>
              <w:t>n (%)</w:t>
            </w:r>
          </w:p>
        </w:tc>
        <w:tc>
          <w:tcPr>
            <w:tcW w:w="2126" w:type="dxa"/>
            <w:shd w:val="clear" w:color="auto" w:fill="BFBFBF" w:themeFill="background1" w:themeFillShade="BF"/>
            <w:vAlign w:val="center"/>
          </w:tcPr>
          <w:p w:rsidR="00077566" w:rsidRDefault="00077566" w:rsidP="00DA2056">
            <w:pPr>
              <w:pStyle w:val="NoSpacing"/>
              <w:jc w:val="center"/>
              <w:rPr>
                <w:rFonts w:asciiTheme="minorHAnsi" w:hAnsiTheme="minorHAnsi"/>
                <w:b/>
                <w:sz w:val="16"/>
              </w:rPr>
            </w:pPr>
            <w:r>
              <w:rPr>
                <w:rFonts w:asciiTheme="minorHAnsi" w:hAnsiTheme="minorHAnsi"/>
                <w:b/>
                <w:sz w:val="16"/>
              </w:rPr>
              <w:t>Male</w:t>
            </w:r>
          </w:p>
          <w:p w:rsidR="00077566" w:rsidRPr="006F7DF5" w:rsidRDefault="00077566" w:rsidP="00DA2056">
            <w:pPr>
              <w:pStyle w:val="NoSpacing"/>
              <w:jc w:val="center"/>
              <w:rPr>
                <w:rFonts w:asciiTheme="minorHAnsi" w:hAnsiTheme="minorHAnsi"/>
                <w:b/>
                <w:sz w:val="16"/>
              </w:rPr>
            </w:pPr>
            <w:r>
              <w:rPr>
                <w:rFonts w:asciiTheme="minorHAnsi" w:hAnsiTheme="minorHAnsi"/>
                <w:b/>
                <w:sz w:val="16"/>
              </w:rPr>
              <w:t>n (%)</w:t>
            </w:r>
          </w:p>
        </w:tc>
      </w:tr>
      <w:tr w:rsidR="00077566" w:rsidRPr="006F7DF5" w:rsidTr="00DA2056">
        <w:trPr>
          <w:trHeight w:val="174"/>
        </w:trPr>
        <w:tc>
          <w:tcPr>
            <w:tcW w:w="3895" w:type="dxa"/>
            <w:vAlign w:val="center"/>
          </w:tcPr>
          <w:p w:rsidR="00077566" w:rsidRPr="006F7DF5" w:rsidRDefault="00077566" w:rsidP="00DA2056">
            <w:pPr>
              <w:pStyle w:val="NoSpacing"/>
              <w:rPr>
                <w:rFonts w:asciiTheme="minorHAnsi" w:hAnsiTheme="minorHAnsi"/>
                <w:sz w:val="16"/>
              </w:rPr>
            </w:pPr>
          </w:p>
        </w:tc>
        <w:tc>
          <w:tcPr>
            <w:tcW w:w="2025" w:type="dxa"/>
            <w:vAlign w:val="center"/>
          </w:tcPr>
          <w:p w:rsidR="00077566" w:rsidRPr="006F7DF5" w:rsidRDefault="00077566" w:rsidP="00DA2056">
            <w:pPr>
              <w:pStyle w:val="NoSpacing"/>
              <w:jc w:val="center"/>
              <w:rPr>
                <w:rFonts w:asciiTheme="minorHAnsi" w:hAnsiTheme="minorHAnsi"/>
                <w:sz w:val="16"/>
              </w:rPr>
            </w:pPr>
          </w:p>
        </w:tc>
        <w:tc>
          <w:tcPr>
            <w:tcW w:w="2126" w:type="dxa"/>
            <w:vAlign w:val="center"/>
          </w:tcPr>
          <w:p w:rsidR="00077566" w:rsidRPr="006F7DF5" w:rsidRDefault="00077566" w:rsidP="00DA2056">
            <w:pPr>
              <w:pStyle w:val="NoSpacing"/>
              <w:jc w:val="center"/>
              <w:rPr>
                <w:rFonts w:asciiTheme="minorHAnsi" w:hAnsiTheme="minorHAnsi"/>
                <w:sz w:val="16"/>
              </w:rPr>
            </w:pPr>
          </w:p>
        </w:tc>
      </w:tr>
      <w:tr w:rsidR="00077566" w:rsidRPr="00A44256" w:rsidTr="00DA2056">
        <w:tc>
          <w:tcPr>
            <w:tcW w:w="3895" w:type="dxa"/>
            <w:vAlign w:val="center"/>
          </w:tcPr>
          <w:p w:rsidR="00077566" w:rsidRPr="003F33E7" w:rsidRDefault="00077566" w:rsidP="00DA2056">
            <w:pPr>
              <w:pStyle w:val="NoSpacing"/>
              <w:rPr>
                <w:rFonts w:asciiTheme="minorHAnsi" w:hAnsiTheme="minorHAnsi"/>
                <w:sz w:val="16"/>
              </w:rPr>
            </w:pPr>
            <w:r>
              <w:rPr>
                <w:rFonts w:asciiTheme="minorHAnsi" w:hAnsiTheme="minorHAnsi"/>
                <w:sz w:val="16"/>
              </w:rPr>
              <w:t xml:space="preserve">Healthy Controls </w:t>
            </w:r>
          </w:p>
        </w:tc>
        <w:tc>
          <w:tcPr>
            <w:tcW w:w="2025"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14 (47)</w:t>
            </w:r>
          </w:p>
        </w:tc>
        <w:tc>
          <w:tcPr>
            <w:tcW w:w="2126"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16 (53)</w:t>
            </w:r>
          </w:p>
        </w:tc>
      </w:tr>
      <w:tr w:rsidR="00077566" w:rsidRPr="00A44256" w:rsidTr="00DA2056">
        <w:tc>
          <w:tcPr>
            <w:tcW w:w="3895" w:type="dxa"/>
            <w:vAlign w:val="center"/>
          </w:tcPr>
          <w:p w:rsidR="00077566" w:rsidRPr="003F33E7" w:rsidRDefault="00077566" w:rsidP="00DA2056">
            <w:pPr>
              <w:pStyle w:val="NoSpacing"/>
              <w:rPr>
                <w:rFonts w:asciiTheme="minorHAnsi" w:hAnsiTheme="minorHAnsi"/>
                <w:sz w:val="16"/>
              </w:rPr>
            </w:pPr>
            <w:r>
              <w:rPr>
                <w:rFonts w:asciiTheme="minorHAnsi" w:hAnsiTheme="minorHAnsi"/>
                <w:sz w:val="16"/>
              </w:rPr>
              <w:t>Low HDL / Low Inflammation</w:t>
            </w:r>
          </w:p>
        </w:tc>
        <w:tc>
          <w:tcPr>
            <w:tcW w:w="2025"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16 (48)</w:t>
            </w:r>
          </w:p>
        </w:tc>
        <w:tc>
          <w:tcPr>
            <w:tcW w:w="2126"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17 (42)</w:t>
            </w:r>
          </w:p>
        </w:tc>
      </w:tr>
      <w:tr w:rsidR="00077566" w:rsidRPr="00A44256" w:rsidTr="00DA2056">
        <w:tc>
          <w:tcPr>
            <w:tcW w:w="3895" w:type="dxa"/>
            <w:vAlign w:val="center"/>
          </w:tcPr>
          <w:p w:rsidR="00077566" w:rsidRPr="003F33E7" w:rsidRDefault="00077566" w:rsidP="00DA2056">
            <w:pPr>
              <w:pStyle w:val="NoSpacing"/>
              <w:rPr>
                <w:rFonts w:asciiTheme="minorHAnsi" w:hAnsiTheme="minorHAnsi"/>
                <w:sz w:val="16"/>
              </w:rPr>
            </w:pPr>
            <w:r>
              <w:rPr>
                <w:rFonts w:asciiTheme="minorHAnsi" w:hAnsiTheme="minorHAnsi"/>
                <w:sz w:val="16"/>
              </w:rPr>
              <w:t>Low HDL / High Inflammation</w:t>
            </w:r>
          </w:p>
        </w:tc>
        <w:tc>
          <w:tcPr>
            <w:tcW w:w="2025"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5 (63)</w:t>
            </w:r>
          </w:p>
        </w:tc>
        <w:tc>
          <w:tcPr>
            <w:tcW w:w="2126"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3 (37)</w:t>
            </w:r>
          </w:p>
        </w:tc>
      </w:tr>
      <w:tr w:rsidR="00077566" w:rsidRPr="00A44256" w:rsidTr="00DA2056">
        <w:tc>
          <w:tcPr>
            <w:tcW w:w="3895" w:type="dxa"/>
            <w:vAlign w:val="center"/>
          </w:tcPr>
          <w:p w:rsidR="00077566" w:rsidRPr="003F33E7" w:rsidRDefault="00077566" w:rsidP="00DA2056">
            <w:pPr>
              <w:pStyle w:val="NoSpacing"/>
              <w:rPr>
                <w:rFonts w:asciiTheme="minorHAnsi" w:hAnsiTheme="minorHAnsi"/>
                <w:sz w:val="16"/>
              </w:rPr>
            </w:pPr>
            <w:r>
              <w:rPr>
                <w:rFonts w:asciiTheme="minorHAnsi" w:hAnsiTheme="minorHAnsi"/>
                <w:sz w:val="16"/>
              </w:rPr>
              <w:t>High HDL / Low Inflammation</w:t>
            </w:r>
          </w:p>
        </w:tc>
        <w:tc>
          <w:tcPr>
            <w:tcW w:w="2025"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10 (67)</w:t>
            </w:r>
          </w:p>
        </w:tc>
        <w:tc>
          <w:tcPr>
            <w:tcW w:w="2126"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5 (33)</w:t>
            </w:r>
          </w:p>
        </w:tc>
      </w:tr>
      <w:tr w:rsidR="00077566" w:rsidRPr="00A44256" w:rsidTr="00DA2056">
        <w:tc>
          <w:tcPr>
            <w:tcW w:w="3895" w:type="dxa"/>
            <w:vAlign w:val="center"/>
          </w:tcPr>
          <w:p w:rsidR="00077566" w:rsidRDefault="00077566" w:rsidP="00DA2056">
            <w:pPr>
              <w:pStyle w:val="NoSpacing"/>
              <w:rPr>
                <w:rFonts w:asciiTheme="minorHAnsi" w:hAnsiTheme="minorHAnsi"/>
                <w:sz w:val="16"/>
              </w:rPr>
            </w:pPr>
            <w:r>
              <w:rPr>
                <w:rFonts w:asciiTheme="minorHAnsi" w:hAnsiTheme="minorHAnsi"/>
                <w:sz w:val="16"/>
              </w:rPr>
              <w:t>High HDL / High Inflammation</w:t>
            </w:r>
          </w:p>
        </w:tc>
        <w:tc>
          <w:tcPr>
            <w:tcW w:w="2025" w:type="dxa"/>
            <w:vAlign w:val="center"/>
          </w:tcPr>
          <w:p w:rsidR="00077566" w:rsidRDefault="00077566" w:rsidP="00DA2056">
            <w:pPr>
              <w:pStyle w:val="NoSpacing"/>
              <w:jc w:val="center"/>
              <w:rPr>
                <w:rFonts w:asciiTheme="minorHAnsi" w:hAnsiTheme="minorHAnsi"/>
                <w:sz w:val="16"/>
              </w:rPr>
            </w:pPr>
            <w:r>
              <w:rPr>
                <w:rFonts w:asciiTheme="minorHAnsi" w:hAnsiTheme="minorHAnsi"/>
                <w:sz w:val="16"/>
              </w:rPr>
              <w:t>12 (86)</w:t>
            </w:r>
          </w:p>
        </w:tc>
        <w:tc>
          <w:tcPr>
            <w:tcW w:w="2126" w:type="dxa"/>
            <w:vAlign w:val="center"/>
          </w:tcPr>
          <w:p w:rsidR="00077566" w:rsidRDefault="00077566" w:rsidP="00DA2056">
            <w:pPr>
              <w:pStyle w:val="NoSpacing"/>
              <w:jc w:val="center"/>
              <w:rPr>
                <w:rFonts w:asciiTheme="minorHAnsi" w:hAnsiTheme="minorHAnsi"/>
                <w:sz w:val="16"/>
              </w:rPr>
            </w:pPr>
            <w:r>
              <w:rPr>
                <w:rFonts w:asciiTheme="minorHAnsi" w:hAnsiTheme="minorHAnsi"/>
                <w:sz w:val="16"/>
              </w:rPr>
              <w:t>2 (14)</w:t>
            </w:r>
          </w:p>
        </w:tc>
      </w:tr>
    </w:tbl>
    <w:p w:rsidR="00077566" w:rsidRDefault="00077566" w:rsidP="00077566">
      <w:pPr>
        <w:rPr>
          <w:sz w:val="20"/>
        </w:rPr>
      </w:pPr>
    </w:p>
    <w:p w:rsidR="00077566" w:rsidRDefault="00077566" w:rsidP="00077566">
      <w:pPr>
        <w:rPr>
          <w:sz w:val="20"/>
        </w:rPr>
        <w:sectPr w:rsidR="00077566">
          <w:pgSz w:w="11906" w:h="16838"/>
          <w:pgMar w:top="1440" w:right="1440" w:bottom="1440" w:left="1440" w:header="708" w:footer="708" w:gutter="0"/>
          <w:cols w:space="708"/>
          <w:docGrid w:linePitch="360"/>
        </w:sectPr>
      </w:pPr>
      <w:r>
        <w:rPr>
          <w:sz w:val="20"/>
        </w:rPr>
        <w:t>Abbreviation – HDL, high-density lipoprotein</w:t>
      </w:r>
    </w:p>
    <w:tbl>
      <w:tblPr>
        <w:tblStyle w:val="TableGrid"/>
        <w:tblpPr w:leftFromText="180" w:rightFromText="180" w:vertAnchor="page" w:horzAnchor="margin" w:tblpY="2977"/>
        <w:tblW w:w="8046" w:type="dxa"/>
        <w:tblLayout w:type="fixed"/>
        <w:tblLook w:val="04A0" w:firstRow="1" w:lastRow="0" w:firstColumn="1" w:lastColumn="0" w:noHBand="0" w:noVBand="1"/>
      </w:tblPr>
      <w:tblGrid>
        <w:gridCol w:w="3895"/>
        <w:gridCol w:w="2025"/>
        <w:gridCol w:w="2126"/>
      </w:tblGrid>
      <w:tr w:rsidR="00077566" w:rsidRPr="006F7DF5" w:rsidTr="00DA2056">
        <w:trPr>
          <w:trHeight w:val="550"/>
        </w:trPr>
        <w:tc>
          <w:tcPr>
            <w:tcW w:w="3895" w:type="dxa"/>
            <w:shd w:val="clear" w:color="auto" w:fill="BFBFBF" w:themeFill="background1" w:themeFillShade="BF"/>
          </w:tcPr>
          <w:p w:rsidR="00077566" w:rsidRPr="006F7DF5" w:rsidRDefault="00077566" w:rsidP="00DA2056">
            <w:pPr>
              <w:pStyle w:val="NoSpacing"/>
              <w:jc w:val="center"/>
              <w:rPr>
                <w:rFonts w:asciiTheme="minorHAnsi" w:hAnsiTheme="minorHAnsi"/>
                <w:sz w:val="16"/>
              </w:rPr>
            </w:pPr>
          </w:p>
        </w:tc>
        <w:tc>
          <w:tcPr>
            <w:tcW w:w="2025" w:type="dxa"/>
            <w:shd w:val="clear" w:color="auto" w:fill="BFBFBF" w:themeFill="background1" w:themeFillShade="BF"/>
            <w:vAlign w:val="center"/>
          </w:tcPr>
          <w:p w:rsidR="00077566" w:rsidRDefault="00077566" w:rsidP="00DA2056">
            <w:pPr>
              <w:pStyle w:val="NoSpacing"/>
              <w:jc w:val="center"/>
              <w:rPr>
                <w:rFonts w:asciiTheme="minorHAnsi" w:hAnsiTheme="minorHAnsi"/>
                <w:b/>
                <w:sz w:val="16"/>
              </w:rPr>
            </w:pPr>
            <w:r>
              <w:rPr>
                <w:rFonts w:asciiTheme="minorHAnsi" w:hAnsiTheme="minorHAnsi"/>
                <w:b/>
                <w:sz w:val="16"/>
              </w:rPr>
              <w:t>High-Risk ACR</w:t>
            </w:r>
          </w:p>
          <w:p w:rsidR="00077566" w:rsidRPr="006F7DF5" w:rsidRDefault="00077566" w:rsidP="00DA2056">
            <w:pPr>
              <w:pStyle w:val="NoSpacing"/>
              <w:jc w:val="center"/>
              <w:rPr>
                <w:rFonts w:asciiTheme="minorHAnsi" w:hAnsiTheme="minorHAnsi"/>
                <w:b/>
                <w:sz w:val="16"/>
              </w:rPr>
            </w:pPr>
            <w:r>
              <w:rPr>
                <w:rFonts w:asciiTheme="minorHAnsi" w:hAnsiTheme="minorHAnsi"/>
                <w:b/>
                <w:sz w:val="16"/>
              </w:rPr>
              <w:t>n (%)</w:t>
            </w:r>
          </w:p>
        </w:tc>
        <w:tc>
          <w:tcPr>
            <w:tcW w:w="2126" w:type="dxa"/>
            <w:shd w:val="clear" w:color="auto" w:fill="BFBFBF" w:themeFill="background1" w:themeFillShade="BF"/>
            <w:vAlign w:val="center"/>
          </w:tcPr>
          <w:p w:rsidR="00077566" w:rsidRDefault="00077566" w:rsidP="00DA2056">
            <w:pPr>
              <w:pStyle w:val="NoSpacing"/>
              <w:jc w:val="center"/>
              <w:rPr>
                <w:rFonts w:asciiTheme="minorHAnsi" w:hAnsiTheme="minorHAnsi"/>
                <w:b/>
                <w:sz w:val="16"/>
              </w:rPr>
            </w:pPr>
            <w:r>
              <w:rPr>
                <w:rFonts w:asciiTheme="minorHAnsi" w:hAnsiTheme="minorHAnsi"/>
                <w:b/>
                <w:sz w:val="16"/>
              </w:rPr>
              <w:t>Low-Risk ACR</w:t>
            </w:r>
          </w:p>
          <w:p w:rsidR="00077566" w:rsidRPr="006F7DF5" w:rsidRDefault="00077566" w:rsidP="00DA2056">
            <w:pPr>
              <w:pStyle w:val="NoSpacing"/>
              <w:jc w:val="center"/>
              <w:rPr>
                <w:rFonts w:asciiTheme="minorHAnsi" w:hAnsiTheme="minorHAnsi"/>
                <w:b/>
                <w:sz w:val="16"/>
              </w:rPr>
            </w:pPr>
            <w:r>
              <w:rPr>
                <w:rFonts w:asciiTheme="minorHAnsi" w:hAnsiTheme="minorHAnsi"/>
                <w:b/>
                <w:sz w:val="16"/>
              </w:rPr>
              <w:t>n (%)</w:t>
            </w:r>
          </w:p>
        </w:tc>
      </w:tr>
      <w:tr w:rsidR="00077566" w:rsidRPr="006F7DF5" w:rsidTr="00DA2056">
        <w:trPr>
          <w:trHeight w:val="174"/>
        </w:trPr>
        <w:tc>
          <w:tcPr>
            <w:tcW w:w="3895" w:type="dxa"/>
            <w:vAlign w:val="center"/>
          </w:tcPr>
          <w:p w:rsidR="00077566" w:rsidRPr="006F7DF5" w:rsidRDefault="00077566" w:rsidP="00DA2056">
            <w:pPr>
              <w:pStyle w:val="NoSpacing"/>
              <w:rPr>
                <w:rFonts w:asciiTheme="minorHAnsi" w:hAnsiTheme="minorHAnsi"/>
                <w:sz w:val="16"/>
              </w:rPr>
            </w:pPr>
          </w:p>
        </w:tc>
        <w:tc>
          <w:tcPr>
            <w:tcW w:w="2025" w:type="dxa"/>
            <w:vAlign w:val="center"/>
          </w:tcPr>
          <w:p w:rsidR="00077566" w:rsidRPr="006F7DF5" w:rsidRDefault="00077566" w:rsidP="00DA2056">
            <w:pPr>
              <w:pStyle w:val="NoSpacing"/>
              <w:jc w:val="center"/>
              <w:rPr>
                <w:rFonts w:asciiTheme="minorHAnsi" w:hAnsiTheme="minorHAnsi"/>
                <w:sz w:val="16"/>
              </w:rPr>
            </w:pPr>
          </w:p>
        </w:tc>
        <w:tc>
          <w:tcPr>
            <w:tcW w:w="2126" w:type="dxa"/>
            <w:vAlign w:val="center"/>
          </w:tcPr>
          <w:p w:rsidR="00077566" w:rsidRPr="006F7DF5" w:rsidRDefault="00077566" w:rsidP="00DA2056">
            <w:pPr>
              <w:pStyle w:val="NoSpacing"/>
              <w:jc w:val="center"/>
              <w:rPr>
                <w:rFonts w:asciiTheme="minorHAnsi" w:hAnsiTheme="minorHAnsi"/>
                <w:sz w:val="16"/>
              </w:rPr>
            </w:pPr>
          </w:p>
        </w:tc>
      </w:tr>
      <w:tr w:rsidR="00077566" w:rsidRPr="006F7DF5" w:rsidTr="00DA2056">
        <w:tc>
          <w:tcPr>
            <w:tcW w:w="3895" w:type="dxa"/>
            <w:vAlign w:val="center"/>
          </w:tcPr>
          <w:p w:rsidR="00077566" w:rsidRPr="003F33E7" w:rsidRDefault="00077566" w:rsidP="00DA2056">
            <w:pPr>
              <w:pStyle w:val="NoSpacing"/>
              <w:rPr>
                <w:rFonts w:asciiTheme="minorHAnsi" w:hAnsiTheme="minorHAnsi"/>
                <w:sz w:val="16"/>
              </w:rPr>
            </w:pPr>
            <w:r>
              <w:rPr>
                <w:rFonts w:asciiTheme="minorHAnsi" w:hAnsiTheme="minorHAnsi"/>
                <w:sz w:val="16"/>
              </w:rPr>
              <w:t>Low HDL / Low Inflammation</w:t>
            </w:r>
          </w:p>
        </w:tc>
        <w:tc>
          <w:tcPr>
            <w:tcW w:w="2025"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13 (39)</w:t>
            </w:r>
          </w:p>
        </w:tc>
        <w:tc>
          <w:tcPr>
            <w:tcW w:w="2126"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20 (61)</w:t>
            </w:r>
          </w:p>
        </w:tc>
      </w:tr>
      <w:tr w:rsidR="00077566" w:rsidRPr="006F7DF5" w:rsidTr="00DA2056">
        <w:tc>
          <w:tcPr>
            <w:tcW w:w="3895" w:type="dxa"/>
            <w:vAlign w:val="center"/>
          </w:tcPr>
          <w:p w:rsidR="00077566" w:rsidRPr="003F33E7" w:rsidRDefault="00077566" w:rsidP="00DA2056">
            <w:pPr>
              <w:pStyle w:val="NoSpacing"/>
              <w:rPr>
                <w:rFonts w:asciiTheme="minorHAnsi" w:hAnsiTheme="minorHAnsi"/>
                <w:sz w:val="16"/>
              </w:rPr>
            </w:pPr>
            <w:r>
              <w:rPr>
                <w:rFonts w:asciiTheme="minorHAnsi" w:hAnsiTheme="minorHAnsi"/>
                <w:sz w:val="16"/>
              </w:rPr>
              <w:t>Low HDL / High Inflammation</w:t>
            </w:r>
          </w:p>
        </w:tc>
        <w:tc>
          <w:tcPr>
            <w:tcW w:w="2025"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6 (75)</w:t>
            </w:r>
          </w:p>
        </w:tc>
        <w:tc>
          <w:tcPr>
            <w:tcW w:w="2126"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2 (25)</w:t>
            </w:r>
          </w:p>
        </w:tc>
      </w:tr>
      <w:tr w:rsidR="00077566" w:rsidRPr="006F7DF5" w:rsidTr="00DA2056">
        <w:tc>
          <w:tcPr>
            <w:tcW w:w="3895" w:type="dxa"/>
            <w:vAlign w:val="center"/>
          </w:tcPr>
          <w:p w:rsidR="00077566" w:rsidRPr="003F33E7" w:rsidRDefault="00077566" w:rsidP="00DA2056">
            <w:pPr>
              <w:pStyle w:val="NoSpacing"/>
              <w:rPr>
                <w:rFonts w:asciiTheme="minorHAnsi" w:hAnsiTheme="minorHAnsi"/>
                <w:sz w:val="16"/>
              </w:rPr>
            </w:pPr>
            <w:r>
              <w:rPr>
                <w:rFonts w:asciiTheme="minorHAnsi" w:hAnsiTheme="minorHAnsi"/>
                <w:sz w:val="16"/>
              </w:rPr>
              <w:t>High HDL / Low Inflammation</w:t>
            </w:r>
          </w:p>
        </w:tc>
        <w:tc>
          <w:tcPr>
            <w:tcW w:w="2025"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5 (33)</w:t>
            </w:r>
          </w:p>
        </w:tc>
        <w:tc>
          <w:tcPr>
            <w:tcW w:w="2126" w:type="dxa"/>
            <w:vAlign w:val="center"/>
          </w:tcPr>
          <w:p w:rsidR="00077566" w:rsidRPr="006F7DF5" w:rsidRDefault="00077566" w:rsidP="00DA2056">
            <w:pPr>
              <w:pStyle w:val="NoSpacing"/>
              <w:jc w:val="center"/>
              <w:rPr>
                <w:rFonts w:asciiTheme="minorHAnsi" w:hAnsiTheme="minorHAnsi"/>
                <w:sz w:val="16"/>
              </w:rPr>
            </w:pPr>
            <w:r>
              <w:rPr>
                <w:rFonts w:asciiTheme="minorHAnsi" w:hAnsiTheme="minorHAnsi"/>
                <w:sz w:val="16"/>
              </w:rPr>
              <w:t>10 (67)</w:t>
            </w:r>
          </w:p>
        </w:tc>
      </w:tr>
      <w:tr w:rsidR="00077566" w:rsidTr="00DA2056">
        <w:tc>
          <w:tcPr>
            <w:tcW w:w="3895" w:type="dxa"/>
            <w:vAlign w:val="center"/>
          </w:tcPr>
          <w:p w:rsidR="00077566" w:rsidRDefault="00077566" w:rsidP="00DA2056">
            <w:pPr>
              <w:pStyle w:val="NoSpacing"/>
              <w:rPr>
                <w:rFonts w:asciiTheme="minorHAnsi" w:hAnsiTheme="minorHAnsi"/>
                <w:sz w:val="16"/>
              </w:rPr>
            </w:pPr>
            <w:r>
              <w:rPr>
                <w:rFonts w:asciiTheme="minorHAnsi" w:hAnsiTheme="minorHAnsi"/>
                <w:sz w:val="16"/>
              </w:rPr>
              <w:t>High HDL / High Inflammation</w:t>
            </w:r>
          </w:p>
        </w:tc>
        <w:tc>
          <w:tcPr>
            <w:tcW w:w="2025" w:type="dxa"/>
            <w:vAlign w:val="center"/>
          </w:tcPr>
          <w:p w:rsidR="00077566" w:rsidRDefault="00077566" w:rsidP="00DA2056">
            <w:pPr>
              <w:pStyle w:val="NoSpacing"/>
              <w:jc w:val="center"/>
              <w:rPr>
                <w:rFonts w:asciiTheme="minorHAnsi" w:hAnsiTheme="minorHAnsi"/>
                <w:sz w:val="16"/>
              </w:rPr>
            </w:pPr>
            <w:r>
              <w:rPr>
                <w:rFonts w:asciiTheme="minorHAnsi" w:hAnsiTheme="minorHAnsi"/>
                <w:sz w:val="16"/>
              </w:rPr>
              <w:t>10 (71)</w:t>
            </w:r>
          </w:p>
        </w:tc>
        <w:tc>
          <w:tcPr>
            <w:tcW w:w="2126" w:type="dxa"/>
            <w:vAlign w:val="center"/>
          </w:tcPr>
          <w:p w:rsidR="00077566" w:rsidRDefault="00077566" w:rsidP="00DA2056">
            <w:pPr>
              <w:pStyle w:val="NoSpacing"/>
              <w:jc w:val="center"/>
              <w:rPr>
                <w:rFonts w:asciiTheme="minorHAnsi" w:hAnsiTheme="minorHAnsi"/>
                <w:sz w:val="16"/>
              </w:rPr>
            </w:pPr>
            <w:r>
              <w:rPr>
                <w:rFonts w:asciiTheme="minorHAnsi" w:hAnsiTheme="minorHAnsi"/>
                <w:sz w:val="16"/>
              </w:rPr>
              <w:t>4 (29)</w:t>
            </w:r>
          </w:p>
        </w:tc>
      </w:tr>
    </w:tbl>
    <w:p w:rsidR="00077566" w:rsidRPr="00237ACC" w:rsidRDefault="00077566" w:rsidP="00077566">
      <w:pPr>
        <w:rPr>
          <w:b/>
        </w:rPr>
      </w:pPr>
      <w:r w:rsidRPr="00237ACC">
        <w:rPr>
          <w:b/>
        </w:rPr>
        <w:t>Supplementary Table 3:</w:t>
      </w:r>
      <w:r>
        <w:rPr>
          <w:b/>
        </w:rPr>
        <w:t xml:space="preserve"> Proportion of high- and low-risk ACR patients per HDL/inflammation group </w:t>
      </w:r>
    </w:p>
    <w:p w:rsidR="00077566" w:rsidRDefault="00077566" w:rsidP="00077566">
      <w:pPr>
        <w:rPr>
          <w:b/>
        </w:rPr>
      </w:pPr>
    </w:p>
    <w:p w:rsidR="00077566" w:rsidRDefault="00077566" w:rsidP="00077566">
      <w:pPr>
        <w:rPr>
          <w:b/>
        </w:rPr>
      </w:pPr>
    </w:p>
    <w:p w:rsidR="00077566" w:rsidRDefault="00077566" w:rsidP="00077566">
      <w:pPr>
        <w:rPr>
          <w:b/>
        </w:rPr>
      </w:pPr>
    </w:p>
    <w:p w:rsidR="00077566" w:rsidRPr="00FD37F7" w:rsidRDefault="00077566" w:rsidP="00077566">
      <w:pPr>
        <w:rPr>
          <w:b/>
        </w:rPr>
        <w:sectPr w:rsidR="00077566" w:rsidRPr="00FD37F7">
          <w:pgSz w:w="11906" w:h="16838"/>
          <w:pgMar w:top="1440" w:right="1440" w:bottom="1440" w:left="1440" w:header="708" w:footer="708" w:gutter="0"/>
          <w:cols w:space="708"/>
          <w:docGrid w:linePitch="360"/>
        </w:sectPr>
      </w:pPr>
      <w:r>
        <w:rPr>
          <w:sz w:val="20"/>
        </w:rPr>
        <w:t>Abbreviation – HDL, high-density lipoprotein</w:t>
      </w:r>
    </w:p>
    <w:p w:rsidR="00077566" w:rsidRDefault="00077566" w:rsidP="00077566">
      <w:r w:rsidRPr="00FE4743">
        <w:rPr>
          <w:b/>
        </w:rPr>
        <w:t>Supplemental References</w:t>
      </w:r>
    </w:p>
    <w:p w:rsidR="00077566" w:rsidRPr="00D73F98" w:rsidRDefault="00077566" w:rsidP="00077566">
      <w:pPr>
        <w:widowControl w:val="0"/>
        <w:autoSpaceDE w:val="0"/>
        <w:autoSpaceDN w:val="0"/>
        <w:adjustRightInd w:val="0"/>
        <w:rPr>
          <w:rFonts w:ascii="Calibri" w:hAnsi="Calibri" w:cs="Times New Roman"/>
          <w:noProof/>
          <w:szCs w:val="24"/>
        </w:rPr>
      </w:pPr>
      <w:r>
        <w:fldChar w:fldCharType="begin" w:fldLock="1"/>
      </w:r>
      <w:r>
        <w:instrText xml:space="preserve">ADDIN Mendeley Bibliography CSL_BIBLIOGRAPHY </w:instrText>
      </w:r>
      <w:r>
        <w:fldChar w:fldCharType="separate"/>
      </w:r>
      <w:r w:rsidRPr="00D73F98">
        <w:rPr>
          <w:rFonts w:ascii="Calibri" w:hAnsi="Calibri" w:cs="Times New Roman"/>
          <w:noProof/>
          <w:szCs w:val="24"/>
        </w:rPr>
        <w:t>1. Bryden K, Dunger D, Mayou R, et al. Adolescent type 1 Diabetes cardio-renal Intervention Trial (AdDIT). BMC Pediatr. 2009;9:79.</w:t>
      </w:r>
    </w:p>
    <w:p w:rsidR="00077566" w:rsidRPr="00D73F98" w:rsidRDefault="00077566" w:rsidP="00077566">
      <w:pPr>
        <w:widowControl w:val="0"/>
        <w:autoSpaceDE w:val="0"/>
        <w:autoSpaceDN w:val="0"/>
        <w:adjustRightInd w:val="0"/>
        <w:rPr>
          <w:rFonts w:ascii="Calibri" w:hAnsi="Calibri" w:cs="Times New Roman"/>
          <w:noProof/>
          <w:szCs w:val="24"/>
        </w:rPr>
      </w:pPr>
      <w:r w:rsidRPr="00D73F98">
        <w:rPr>
          <w:rFonts w:ascii="Calibri" w:hAnsi="Calibri" w:cs="Times New Roman"/>
          <w:noProof/>
          <w:szCs w:val="24"/>
        </w:rPr>
        <w:t>2. Marcovecchio ML, Woodside J, Jones T, et al. Adolescent Type 1 Diabetes Cardio-Renal Intervention Trial (AdDIT): Urinary screening and baseline biochemical and cardiovascular assessments. Diabetes Care 2014;37:805–813.</w:t>
      </w:r>
    </w:p>
    <w:p w:rsidR="00077566" w:rsidRPr="00D73F98" w:rsidRDefault="00077566" w:rsidP="00077566">
      <w:pPr>
        <w:widowControl w:val="0"/>
        <w:autoSpaceDE w:val="0"/>
        <w:autoSpaceDN w:val="0"/>
        <w:adjustRightInd w:val="0"/>
        <w:rPr>
          <w:rFonts w:ascii="Calibri" w:hAnsi="Calibri" w:cs="Times New Roman"/>
          <w:noProof/>
          <w:szCs w:val="24"/>
        </w:rPr>
      </w:pPr>
      <w:r w:rsidRPr="00D73F98">
        <w:rPr>
          <w:rFonts w:ascii="Calibri" w:hAnsi="Calibri" w:cs="Times New Roman"/>
          <w:noProof/>
          <w:szCs w:val="24"/>
        </w:rPr>
        <w:t>3. Marcovecchio ML, Chiesa ST, Bond S, et al. ACE Inhibitors and Statins in Adolescents with Type 1 Diabetes. N. Engl. J. Med. 2017;377:1733–1745.</w:t>
      </w:r>
    </w:p>
    <w:p w:rsidR="00077566" w:rsidRPr="00D73F98" w:rsidRDefault="00077566" w:rsidP="00077566">
      <w:pPr>
        <w:widowControl w:val="0"/>
        <w:autoSpaceDE w:val="0"/>
        <w:autoSpaceDN w:val="0"/>
        <w:adjustRightInd w:val="0"/>
        <w:rPr>
          <w:rFonts w:ascii="Calibri" w:hAnsi="Calibri" w:cs="Times New Roman"/>
          <w:noProof/>
          <w:szCs w:val="24"/>
        </w:rPr>
      </w:pPr>
      <w:r w:rsidRPr="00D73F98">
        <w:rPr>
          <w:rFonts w:ascii="Calibri" w:hAnsi="Calibri" w:cs="Times New Roman"/>
          <w:noProof/>
          <w:szCs w:val="24"/>
        </w:rPr>
        <w:t>4. Marcovecchio ML, Chiesa ST, Armitage J, et al. Renal and Cardiovascular Risk According to Tertiles of Urinary Albumin-to-Creatinine Ratio: The Adolescent Type 1 Diabetes Cardio-Renal Intervention Trial (AdDIT). Diabetes Care 2018:dc181125.</w:t>
      </w:r>
    </w:p>
    <w:p w:rsidR="00077566" w:rsidRPr="00D73F98" w:rsidRDefault="00077566" w:rsidP="00077566">
      <w:pPr>
        <w:widowControl w:val="0"/>
        <w:autoSpaceDE w:val="0"/>
        <w:autoSpaceDN w:val="0"/>
        <w:adjustRightInd w:val="0"/>
        <w:rPr>
          <w:rFonts w:ascii="Calibri" w:hAnsi="Calibri" w:cs="Times New Roman"/>
          <w:noProof/>
          <w:szCs w:val="24"/>
        </w:rPr>
      </w:pPr>
      <w:r w:rsidRPr="00D73F98">
        <w:rPr>
          <w:rFonts w:ascii="Calibri" w:hAnsi="Calibri" w:cs="Times New Roman"/>
          <w:noProof/>
          <w:szCs w:val="24"/>
        </w:rPr>
        <w:t>5. Dunger DB, Schwarze CP, Cooper JD, et al. Can we identify adolescents at high risk for nephropathy before the development of microalbuminuria? Diabet. Med. 2007;24:131–6.</w:t>
      </w:r>
    </w:p>
    <w:p w:rsidR="00077566" w:rsidRPr="00D73F98" w:rsidRDefault="00077566" w:rsidP="00077566">
      <w:pPr>
        <w:widowControl w:val="0"/>
        <w:autoSpaceDE w:val="0"/>
        <w:autoSpaceDN w:val="0"/>
        <w:adjustRightInd w:val="0"/>
        <w:rPr>
          <w:rFonts w:ascii="Calibri" w:hAnsi="Calibri" w:cs="Times New Roman"/>
          <w:noProof/>
          <w:szCs w:val="24"/>
        </w:rPr>
      </w:pPr>
      <w:r w:rsidRPr="00D73F98">
        <w:rPr>
          <w:rFonts w:ascii="Calibri" w:hAnsi="Calibri" w:cs="Times New Roman"/>
          <w:noProof/>
          <w:szCs w:val="24"/>
        </w:rPr>
        <w:t>6. Besler C, Heinrich K, Rohrer L, et al. Mechanisms underlying adverse effects of HDL on eNOS-activating pathways in patients with coronary artery disease. J. Clin. Invest. 2011;121:2693–708.</w:t>
      </w:r>
    </w:p>
    <w:p w:rsidR="00077566" w:rsidRPr="00D73F98" w:rsidRDefault="00077566" w:rsidP="00077566">
      <w:pPr>
        <w:widowControl w:val="0"/>
        <w:autoSpaceDE w:val="0"/>
        <w:autoSpaceDN w:val="0"/>
        <w:adjustRightInd w:val="0"/>
        <w:rPr>
          <w:rFonts w:ascii="Calibri" w:hAnsi="Calibri" w:cs="Times New Roman"/>
          <w:noProof/>
          <w:szCs w:val="24"/>
        </w:rPr>
      </w:pPr>
      <w:r w:rsidRPr="00D73F98">
        <w:rPr>
          <w:rFonts w:ascii="Calibri" w:hAnsi="Calibri" w:cs="Times New Roman"/>
          <w:noProof/>
          <w:szCs w:val="24"/>
        </w:rPr>
        <w:t>7. Sorrentino SA, Besler C, Rohrer L, et al. Endothelial-vasoprotective effects of high-density lipoprotein are impaired in patients with type 2 diabetes mellitus but are improved after extended-release niacin therapy. Circulation 2010;121:110–22.</w:t>
      </w:r>
    </w:p>
    <w:p w:rsidR="00077566" w:rsidRPr="00D73F98" w:rsidRDefault="00077566" w:rsidP="00077566">
      <w:pPr>
        <w:widowControl w:val="0"/>
        <w:autoSpaceDE w:val="0"/>
        <w:autoSpaceDN w:val="0"/>
        <w:adjustRightInd w:val="0"/>
        <w:rPr>
          <w:rFonts w:ascii="Calibri" w:hAnsi="Calibri" w:cs="Times New Roman"/>
          <w:noProof/>
          <w:szCs w:val="24"/>
        </w:rPr>
      </w:pPr>
      <w:r w:rsidRPr="00D73F98">
        <w:rPr>
          <w:rFonts w:ascii="Calibri" w:hAnsi="Calibri" w:cs="Times New Roman"/>
          <w:noProof/>
          <w:szCs w:val="24"/>
        </w:rPr>
        <w:t>8. Bhattacharyya T, Nicholls SJ, Topol EJ, et al. Relationship of paraoxonase 1 (PON1) gene polymorphisms and functional activity with systemic oxidative stress and cardiovascular risk. JAMA 2008;299:1265–76.</w:t>
      </w:r>
    </w:p>
    <w:p w:rsidR="00077566" w:rsidRPr="00D73F98" w:rsidRDefault="00077566" w:rsidP="00077566">
      <w:pPr>
        <w:widowControl w:val="0"/>
        <w:autoSpaceDE w:val="0"/>
        <w:autoSpaceDN w:val="0"/>
        <w:adjustRightInd w:val="0"/>
        <w:rPr>
          <w:rFonts w:ascii="Calibri" w:hAnsi="Calibri"/>
          <w:noProof/>
        </w:rPr>
      </w:pPr>
      <w:r w:rsidRPr="00D73F98">
        <w:rPr>
          <w:rFonts w:ascii="Calibri" w:hAnsi="Calibri" w:cs="Times New Roman"/>
          <w:noProof/>
          <w:szCs w:val="24"/>
        </w:rPr>
        <w:t>9. Charakida M, de Groot E, Loukogeorgakis SP, et al. Variability and reproducibility of flow-mediated dilatation in a multicentre clinical trial. Eur. Heart J. 2013;34:3501–3507.</w:t>
      </w:r>
    </w:p>
    <w:p w:rsidR="00077566" w:rsidRPr="00FE4743" w:rsidRDefault="00077566" w:rsidP="00077566">
      <w:pPr>
        <w:widowControl w:val="0"/>
        <w:autoSpaceDE w:val="0"/>
        <w:autoSpaceDN w:val="0"/>
        <w:adjustRightInd w:val="0"/>
      </w:pPr>
      <w:r>
        <w:fldChar w:fldCharType="end"/>
      </w:r>
    </w:p>
    <w:p w:rsidR="00077566" w:rsidRPr="00077566" w:rsidRDefault="00077566" w:rsidP="003E52DE">
      <w:pPr>
        <w:rPr>
          <w:b/>
          <w:sz w:val="28"/>
        </w:rPr>
      </w:pPr>
    </w:p>
    <w:sectPr w:rsidR="00077566" w:rsidRPr="0007756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26BBE" w:rsidRDefault="003E52DE">
      <w:pPr>
        <w:spacing w:after="0" w:line="240" w:lineRule="auto"/>
      </w:pPr>
      <w:r>
        <w:separator/>
      </w:r>
    </w:p>
  </w:endnote>
  <w:endnote w:type="continuationSeparator" w:id="0">
    <w:p w:rsidR="00F26BBE" w:rsidRDefault="003E52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52DE" w:rsidRDefault="003E52DE" w:rsidP="00A8346A">
    <w:pPr>
      <w:pStyle w:val="Footer"/>
      <w:framePr w:wrap="around" w:vAnchor="text" w:hAnchor="margin" w:xAlign="center" w:y="1"/>
      <w:rPr>
        <w:rStyle w:val="PageNumber"/>
      </w:rPr>
    </w:pPr>
    <w:r>
      <w:rPr>
        <w:rStyle w:val="PageNumber"/>
      </w:rPr>
      <w:fldChar w:fldCharType="begin"/>
    </w:r>
    <w:r w:rsidRPr="00660FC3">
      <w:rPr>
        <w:rStyle w:val="PageNumber"/>
      </w:rPr>
      <w:instrText xml:space="preserve">PAGE  </w:instrText>
    </w:r>
    <w:r>
      <w:rPr>
        <w:rStyle w:val="PageNumber"/>
      </w:rPr>
      <w:fldChar w:fldCharType="end"/>
    </w:r>
  </w:p>
  <w:p w:rsidR="003E52DE" w:rsidRDefault="003E52D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14F6" w:rsidRDefault="007851E3" w:rsidP="00A8346A">
    <w:pPr>
      <w:pStyle w:val="Footer"/>
      <w:framePr w:wrap="around" w:vAnchor="text" w:hAnchor="margin" w:xAlign="center" w:y="1"/>
      <w:rPr>
        <w:rStyle w:val="PageNumber"/>
      </w:rPr>
    </w:pPr>
    <w:r>
      <w:rPr>
        <w:rStyle w:val="PageNumber"/>
      </w:rPr>
      <w:fldChar w:fldCharType="begin"/>
    </w:r>
    <w:r w:rsidRPr="00660FC3">
      <w:rPr>
        <w:rStyle w:val="PageNumber"/>
      </w:rPr>
      <w:instrText xml:space="preserve">PAGE  </w:instrText>
    </w:r>
    <w:r>
      <w:rPr>
        <w:rStyle w:val="PageNumber"/>
      </w:rPr>
      <w:fldChar w:fldCharType="end"/>
    </w:r>
  </w:p>
  <w:p w:rsidR="00FD14F6" w:rsidRDefault="0033633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26BBE" w:rsidRDefault="003E52DE">
      <w:pPr>
        <w:spacing w:after="0" w:line="240" w:lineRule="auto"/>
      </w:pPr>
      <w:r>
        <w:separator/>
      </w:r>
    </w:p>
  </w:footnote>
  <w:footnote w:type="continuationSeparator" w:id="0">
    <w:p w:rsidR="00F26BBE" w:rsidRDefault="003E52D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DD3A36"/>
    <w:multiLevelType w:val="hybridMultilevel"/>
    <w:tmpl w:val="4C14076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C1335A2"/>
    <w:multiLevelType w:val="hybridMultilevel"/>
    <w:tmpl w:val="4322C9A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392A3933"/>
    <w:multiLevelType w:val="hybridMultilevel"/>
    <w:tmpl w:val="06867E0E"/>
    <w:lvl w:ilvl="0" w:tplc="C24C6550">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BA14678"/>
    <w:multiLevelType w:val="hybridMultilevel"/>
    <w:tmpl w:val="E65A8B18"/>
    <w:lvl w:ilvl="0" w:tplc="2DDC94FA">
      <w:start w:val="1"/>
      <w:numFmt w:val="lowerLetter"/>
      <w:lvlText w:val="%1)"/>
      <w:lvlJc w:val="left"/>
      <w:pPr>
        <w:ind w:left="5040" w:hanging="1440"/>
      </w:pPr>
      <w:rPr>
        <w:rFonts w:hint="default"/>
      </w:rPr>
    </w:lvl>
    <w:lvl w:ilvl="1" w:tplc="08090019" w:tentative="1">
      <w:start w:val="1"/>
      <w:numFmt w:val="lowerLetter"/>
      <w:lvlText w:val="%2."/>
      <w:lvlJc w:val="left"/>
      <w:pPr>
        <w:ind w:left="4680" w:hanging="360"/>
      </w:pPr>
    </w:lvl>
    <w:lvl w:ilvl="2" w:tplc="0809001B" w:tentative="1">
      <w:start w:val="1"/>
      <w:numFmt w:val="lowerRoman"/>
      <w:lvlText w:val="%3."/>
      <w:lvlJc w:val="right"/>
      <w:pPr>
        <w:ind w:left="5400" w:hanging="180"/>
      </w:pPr>
    </w:lvl>
    <w:lvl w:ilvl="3" w:tplc="0809000F" w:tentative="1">
      <w:start w:val="1"/>
      <w:numFmt w:val="decimal"/>
      <w:lvlText w:val="%4."/>
      <w:lvlJc w:val="left"/>
      <w:pPr>
        <w:ind w:left="6120" w:hanging="360"/>
      </w:pPr>
    </w:lvl>
    <w:lvl w:ilvl="4" w:tplc="08090019" w:tentative="1">
      <w:start w:val="1"/>
      <w:numFmt w:val="lowerLetter"/>
      <w:lvlText w:val="%5."/>
      <w:lvlJc w:val="left"/>
      <w:pPr>
        <w:ind w:left="6840" w:hanging="360"/>
      </w:pPr>
    </w:lvl>
    <w:lvl w:ilvl="5" w:tplc="0809001B" w:tentative="1">
      <w:start w:val="1"/>
      <w:numFmt w:val="lowerRoman"/>
      <w:lvlText w:val="%6."/>
      <w:lvlJc w:val="right"/>
      <w:pPr>
        <w:ind w:left="7560" w:hanging="180"/>
      </w:pPr>
    </w:lvl>
    <w:lvl w:ilvl="6" w:tplc="0809000F" w:tentative="1">
      <w:start w:val="1"/>
      <w:numFmt w:val="decimal"/>
      <w:lvlText w:val="%7."/>
      <w:lvlJc w:val="left"/>
      <w:pPr>
        <w:ind w:left="8280" w:hanging="360"/>
      </w:pPr>
    </w:lvl>
    <w:lvl w:ilvl="7" w:tplc="08090019" w:tentative="1">
      <w:start w:val="1"/>
      <w:numFmt w:val="lowerLetter"/>
      <w:lvlText w:val="%8."/>
      <w:lvlJc w:val="left"/>
      <w:pPr>
        <w:ind w:left="9000" w:hanging="360"/>
      </w:pPr>
    </w:lvl>
    <w:lvl w:ilvl="8" w:tplc="0809001B" w:tentative="1">
      <w:start w:val="1"/>
      <w:numFmt w:val="lowerRoman"/>
      <w:lvlText w:val="%9."/>
      <w:lvlJc w:val="right"/>
      <w:pPr>
        <w:ind w:left="9720" w:hanging="180"/>
      </w:pPr>
    </w:lvl>
  </w:abstractNum>
  <w:abstractNum w:abstractNumId="4" w15:restartNumberingAfterBreak="0">
    <w:nsid w:val="3CD27350"/>
    <w:multiLevelType w:val="hybridMultilevel"/>
    <w:tmpl w:val="292CD61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521414A8"/>
    <w:multiLevelType w:val="hybridMultilevel"/>
    <w:tmpl w:val="2B129A74"/>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64241038"/>
    <w:multiLevelType w:val="hybridMultilevel"/>
    <w:tmpl w:val="7E142212"/>
    <w:lvl w:ilvl="0" w:tplc="4DA0636C">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68000560"/>
    <w:multiLevelType w:val="hybridMultilevel"/>
    <w:tmpl w:val="05F87A82"/>
    <w:lvl w:ilvl="0" w:tplc="AE660916">
      <w:start w:val="1"/>
      <w:numFmt w:val="lowerLetter"/>
      <w:lvlText w:val="%1)"/>
      <w:lvlJc w:val="left"/>
      <w:pPr>
        <w:ind w:left="1440" w:hanging="144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2"/>
  </w:num>
  <w:num w:numId="2">
    <w:abstractNumId w:val="4"/>
  </w:num>
  <w:num w:numId="3">
    <w:abstractNumId w:val="5"/>
  </w:num>
  <w:num w:numId="4">
    <w:abstractNumId w:val="1"/>
  </w:num>
  <w:num w:numId="5">
    <w:abstractNumId w:val="7"/>
  </w:num>
  <w:num w:numId="6">
    <w:abstractNumId w:val="0"/>
  </w:num>
  <w:num w:numId="7">
    <w:abstractNumId w:val="6"/>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4AFB"/>
    <w:rsid w:val="000214AB"/>
    <w:rsid w:val="0002338F"/>
    <w:rsid w:val="000255B1"/>
    <w:rsid w:val="00044120"/>
    <w:rsid w:val="0006448F"/>
    <w:rsid w:val="00073DDE"/>
    <w:rsid w:val="00077566"/>
    <w:rsid w:val="000C3ECB"/>
    <w:rsid w:val="0011200F"/>
    <w:rsid w:val="0011354B"/>
    <w:rsid w:val="00152BE7"/>
    <w:rsid w:val="001878CA"/>
    <w:rsid w:val="0019546D"/>
    <w:rsid w:val="001F2EC4"/>
    <w:rsid w:val="00251746"/>
    <w:rsid w:val="00286D4B"/>
    <w:rsid w:val="002D278A"/>
    <w:rsid w:val="003105EE"/>
    <w:rsid w:val="00336334"/>
    <w:rsid w:val="00336817"/>
    <w:rsid w:val="00342625"/>
    <w:rsid w:val="0036281F"/>
    <w:rsid w:val="00363062"/>
    <w:rsid w:val="003652D8"/>
    <w:rsid w:val="00375FC9"/>
    <w:rsid w:val="003E52DE"/>
    <w:rsid w:val="003F0CD7"/>
    <w:rsid w:val="00402343"/>
    <w:rsid w:val="00444B74"/>
    <w:rsid w:val="004717A9"/>
    <w:rsid w:val="004A3E40"/>
    <w:rsid w:val="004E253D"/>
    <w:rsid w:val="005321FF"/>
    <w:rsid w:val="005716B7"/>
    <w:rsid w:val="005D2043"/>
    <w:rsid w:val="005D5499"/>
    <w:rsid w:val="005E3EA1"/>
    <w:rsid w:val="00602390"/>
    <w:rsid w:val="00664AAF"/>
    <w:rsid w:val="00667BEF"/>
    <w:rsid w:val="006762E1"/>
    <w:rsid w:val="00746FEC"/>
    <w:rsid w:val="00762389"/>
    <w:rsid w:val="007851E3"/>
    <w:rsid w:val="00792792"/>
    <w:rsid w:val="007C5C03"/>
    <w:rsid w:val="00843740"/>
    <w:rsid w:val="008463CF"/>
    <w:rsid w:val="00901268"/>
    <w:rsid w:val="00960308"/>
    <w:rsid w:val="00964715"/>
    <w:rsid w:val="00974453"/>
    <w:rsid w:val="00A07C66"/>
    <w:rsid w:val="00A27157"/>
    <w:rsid w:val="00A339F2"/>
    <w:rsid w:val="00A37636"/>
    <w:rsid w:val="00A51605"/>
    <w:rsid w:val="00A66F4D"/>
    <w:rsid w:val="00A74A85"/>
    <w:rsid w:val="00AA5C6A"/>
    <w:rsid w:val="00AB5591"/>
    <w:rsid w:val="00AF7E37"/>
    <w:rsid w:val="00B057B9"/>
    <w:rsid w:val="00B25AA1"/>
    <w:rsid w:val="00B503B0"/>
    <w:rsid w:val="00B82E38"/>
    <w:rsid w:val="00BB1AB4"/>
    <w:rsid w:val="00BB7E82"/>
    <w:rsid w:val="00C037CA"/>
    <w:rsid w:val="00C40557"/>
    <w:rsid w:val="00C57BB9"/>
    <w:rsid w:val="00C718EC"/>
    <w:rsid w:val="00D8258E"/>
    <w:rsid w:val="00DD0ED2"/>
    <w:rsid w:val="00E1267E"/>
    <w:rsid w:val="00E3262C"/>
    <w:rsid w:val="00E7766B"/>
    <w:rsid w:val="00EA0B08"/>
    <w:rsid w:val="00EE1BCD"/>
    <w:rsid w:val="00EE7C52"/>
    <w:rsid w:val="00F01FDE"/>
    <w:rsid w:val="00F12950"/>
    <w:rsid w:val="00F17AFF"/>
    <w:rsid w:val="00F26BBE"/>
    <w:rsid w:val="00F34608"/>
    <w:rsid w:val="00F671E4"/>
    <w:rsid w:val="00FC4AF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5:docId w15:val="{060595A3-E431-475B-B0F8-D7BAE8C83A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Journal Article"/>
    <w:qFormat/>
    <w:rsid w:val="00FC4AFB"/>
    <w:pPr>
      <w:spacing w:after="200" w:line="480" w:lineRule="auto"/>
    </w:pPr>
    <w:rPr>
      <w:sz w:val="24"/>
    </w:rPr>
  </w:style>
  <w:style w:type="paragraph" w:styleId="Heading1">
    <w:name w:val="heading 1"/>
    <w:basedOn w:val="Normal"/>
    <w:next w:val="Normal"/>
    <w:link w:val="Heading1Char"/>
    <w:uiPriority w:val="9"/>
    <w:qFormat/>
    <w:rsid w:val="00FC4AFB"/>
    <w:pPr>
      <w:keepNext/>
      <w:keepLines/>
      <w:spacing w:before="480" w:after="0"/>
      <w:outlineLvl w:val="0"/>
    </w:pPr>
    <w:rPr>
      <w:rFonts w:ascii="Calibri" w:eastAsiaTheme="majorEastAsia" w:hAnsi="Calibri" w:cstheme="majorBidi"/>
      <w:b/>
      <w:bCs/>
      <w:sz w:val="28"/>
      <w:szCs w:val="28"/>
    </w:rPr>
  </w:style>
  <w:style w:type="paragraph" w:styleId="Heading2">
    <w:name w:val="heading 2"/>
    <w:basedOn w:val="Normal"/>
    <w:next w:val="Normal"/>
    <w:link w:val="Heading2Char"/>
    <w:uiPriority w:val="9"/>
    <w:unhideWhenUsed/>
    <w:qFormat/>
    <w:rsid w:val="00FC4AFB"/>
    <w:pPr>
      <w:keepNext/>
      <w:keepLines/>
      <w:spacing w:before="200" w:after="0"/>
      <w:outlineLvl w:val="1"/>
    </w:pPr>
    <w:rPr>
      <w:rFonts w:ascii="Calibri" w:eastAsiaTheme="majorEastAsia" w:hAnsi="Calibri" w:cstheme="majorBidi"/>
      <w:b/>
      <w:bCs/>
      <w:i/>
      <w:szCs w:val="26"/>
    </w:rPr>
  </w:style>
  <w:style w:type="paragraph" w:styleId="Heading3">
    <w:name w:val="heading 3"/>
    <w:basedOn w:val="Normal"/>
    <w:next w:val="Normal"/>
    <w:link w:val="Heading3Char"/>
    <w:uiPriority w:val="9"/>
    <w:unhideWhenUsed/>
    <w:qFormat/>
    <w:rsid w:val="00FC4AFB"/>
    <w:pPr>
      <w:keepNext/>
      <w:keepLines/>
      <w:spacing w:before="200" w:after="0"/>
      <w:outlineLvl w:val="2"/>
    </w:pPr>
    <w:rPr>
      <w:rFonts w:eastAsiaTheme="majorEastAsia" w:cstheme="majorBidi"/>
      <w:bCs/>
      <w:i/>
      <w:color w:val="000000"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C4AFB"/>
    <w:rPr>
      <w:rFonts w:ascii="Calibri" w:eastAsiaTheme="majorEastAsia" w:hAnsi="Calibri" w:cstheme="majorBidi"/>
      <w:b/>
      <w:bCs/>
      <w:sz w:val="28"/>
      <w:szCs w:val="28"/>
    </w:rPr>
  </w:style>
  <w:style w:type="character" w:customStyle="1" w:styleId="Heading2Char">
    <w:name w:val="Heading 2 Char"/>
    <w:basedOn w:val="DefaultParagraphFont"/>
    <w:link w:val="Heading2"/>
    <w:uiPriority w:val="9"/>
    <w:rsid w:val="00FC4AFB"/>
    <w:rPr>
      <w:rFonts w:ascii="Calibri" w:eastAsiaTheme="majorEastAsia" w:hAnsi="Calibri" w:cstheme="majorBidi"/>
      <w:b/>
      <w:bCs/>
      <w:i/>
      <w:sz w:val="24"/>
      <w:szCs w:val="26"/>
    </w:rPr>
  </w:style>
  <w:style w:type="character" w:customStyle="1" w:styleId="Heading3Char">
    <w:name w:val="Heading 3 Char"/>
    <w:basedOn w:val="DefaultParagraphFont"/>
    <w:link w:val="Heading3"/>
    <w:uiPriority w:val="9"/>
    <w:rsid w:val="00FC4AFB"/>
    <w:rPr>
      <w:rFonts w:eastAsiaTheme="majorEastAsia" w:cstheme="majorBidi"/>
      <w:bCs/>
      <w:i/>
      <w:color w:val="000000" w:themeColor="text1"/>
      <w:sz w:val="24"/>
    </w:rPr>
  </w:style>
  <w:style w:type="character" w:styleId="Hyperlink">
    <w:name w:val="Hyperlink"/>
    <w:basedOn w:val="DefaultParagraphFont"/>
    <w:uiPriority w:val="99"/>
    <w:unhideWhenUsed/>
    <w:rsid w:val="00FC4AFB"/>
    <w:rPr>
      <w:color w:val="0563C1" w:themeColor="hyperlink"/>
      <w:u w:val="single"/>
    </w:rPr>
  </w:style>
  <w:style w:type="table" w:styleId="TableGrid">
    <w:name w:val="Table Grid"/>
    <w:basedOn w:val="TableNormal"/>
    <w:uiPriority w:val="39"/>
    <w:rsid w:val="00FC4A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FC4AFB"/>
    <w:pPr>
      <w:spacing w:after="0" w:line="240" w:lineRule="auto"/>
    </w:pPr>
    <w:rPr>
      <w:rFonts w:ascii="Times New Roman" w:eastAsiaTheme="minorEastAsia" w:hAnsi="Times New Roman"/>
      <w:sz w:val="24"/>
      <w:lang w:eastAsia="en-GB"/>
    </w:rPr>
  </w:style>
  <w:style w:type="paragraph" w:styleId="BalloonText">
    <w:name w:val="Balloon Text"/>
    <w:basedOn w:val="Normal"/>
    <w:link w:val="BalloonTextChar"/>
    <w:uiPriority w:val="99"/>
    <w:semiHidden/>
    <w:unhideWhenUsed/>
    <w:rsid w:val="00FC4AF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C4AFB"/>
    <w:rPr>
      <w:rFonts w:ascii="Tahoma" w:hAnsi="Tahoma" w:cs="Tahoma"/>
      <w:sz w:val="16"/>
      <w:szCs w:val="16"/>
    </w:rPr>
  </w:style>
  <w:style w:type="table" w:customStyle="1" w:styleId="TableGrid1">
    <w:name w:val="Table Grid1"/>
    <w:basedOn w:val="TableNormal"/>
    <w:next w:val="TableGrid"/>
    <w:uiPriority w:val="59"/>
    <w:rsid w:val="00FC4A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FC4AFB"/>
    <w:pPr>
      <w:tabs>
        <w:tab w:val="center" w:pos="4513"/>
        <w:tab w:val="right" w:pos="9026"/>
      </w:tabs>
      <w:spacing w:after="0" w:line="240" w:lineRule="auto"/>
    </w:pPr>
  </w:style>
  <w:style w:type="character" w:customStyle="1" w:styleId="HeaderChar">
    <w:name w:val="Header Char"/>
    <w:basedOn w:val="DefaultParagraphFont"/>
    <w:link w:val="Header"/>
    <w:uiPriority w:val="99"/>
    <w:rsid w:val="00FC4AFB"/>
    <w:rPr>
      <w:sz w:val="24"/>
    </w:rPr>
  </w:style>
  <w:style w:type="paragraph" w:styleId="Footer">
    <w:name w:val="footer"/>
    <w:basedOn w:val="Normal"/>
    <w:link w:val="FooterChar"/>
    <w:uiPriority w:val="99"/>
    <w:unhideWhenUsed/>
    <w:rsid w:val="00FC4AFB"/>
    <w:pPr>
      <w:tabs>
        <w:tab w:val="center" w:pos="4513"/>
        <w:tab w:val="right" w:pos="9026"/>
      </w:tabs>
      <w:spacing w:after="0" w:line="240" w:lineRule="auto"/>
    </w:pPr>
  </w:style>
  <w:style w:type="character" w:customStyle="1" w:styleId="FooterChar">
    <w:name w:val="Footer Char"/>
    <w:basedOn w:val="DefaultParagraphFont"/>
    <w:link w:val="Footer"/>
    <w:uiPriority w:val="99"/>
    <w:rsid w:val="00FC4AFB"/>
    <w:rPr>
      <w:sz w:val="24"/>
    </w:rPr>
  </w:style>
  <w:style w:type="paragraph" w:styleId="NormalWeb">
    <w:name w:val="Normal (Web)"/>
    <w:basedOn w:val="Normal"/>
    <w:uiPriority w:val="99"/>
    <w:unhideWhenUsed/>
    <w:rsid w:val="00FC4AFB"/>
    <w:pPr>
      <w:spacing w:before="100" w:beforeAutospacing="1" w:after="100" w:afterAutospacing="1" w:line="240" w:lineRule="auto"/>
    </w:pPr>
    <w:rPr>
      <w:rFonts w:ascii="Times New Roman" w:eastAsiaTheme="minorEastAsia" w:hAnsi="Times New Roman" w:cs="Times New Roman"/>
      <w:szCs w:val="24"/>
      <w:lang w:eastAsia="en-GB"/>
    </w:rPr>
  </w:style>
  <w:style w:type="character" w:styleId="CommentReference">
    <w:name w:val="annotation reference"/>
    <w:basedOn w:val="DefaultParagraphFont"/>
    <w:uiPriority w:val="99"/>
    <w:semiHidden/>
    <w:unhideWhenUsed/>
    <w:rsid w:val="00FC4AFB"/>
    <w:rPr>
      <w:sz w:val="18"/>
      <w:szCs w:val="18"/>
    </w:rPr>
  </w:style>
  <w:style w:type="paragraph" w:styleId="CommentText">
    <w:name w:val="annotation text"/>
    <w:basedOn w:val="Normal"/>
    <w:link w:val="CommentTextChar"/>
    <w:uiPriority w:val="99"/>
    <w:semiHidden/>
    <w:unhideWhenUsed/>
    <w:rsid w:val="00FC4AFB"/>
    <w:pPr>
      <w:spacing w:line="240" w:lineRule="auto"/>
    </w:pPr>
    <w:rPr>
      <w:szCs w:val="24"/>
    </w:rPr>
  </w:style>
  <w:style w:type="character" w:customStyle="1" w:styleId="CommentTextChar">
    <w:name w:val="Comment Text Char"/>
    <w:basedOn w:val="DefaultParagraphFont"/>
    <w:link w:val="CommentText"/>
    <w:uiPriority w:val="99"/>
    <w:semiHidden/>
    <w:rsid w:val="00FC4AFB"/>
    <w:rPr>
      <w:sz w:val="24"/>
      <w:szCs w:val="24"/>
    </w:rPr>
  </w:style>
  <w:style w:type="paragraph" w:styleId="CommentSubject">
    <w:name w:val="annotation subject"/>
    <w:basedOn w:val="CommentText"/>
    <w:next w:val="CommentText"/>
    <w:link w:val="CommentSubjectChar"/>
    <w:uiPriority w:val="99"/>
    <w:semiHidden/>
    <w:unhideWhenUsed/>
    <w:rsid w:val="00FC4AFB"/>
    <w:rPr>
      <w:b/>
      <w:bCs/>
      <w:sz w:val="20"/>
      <w:szCs w:val="20"/>
    </w:rPr>
  </w:style>
  <w:style w:type="character" w:customStyle="1" w:styleId="CommentSubjectChar">
    <w:name w:val="Comment Subject Char"/>
    <w:basedOn w:val="CommentTextChar"/>
    <w:link w:val="CommentSubject"/>
    <w:uiPriority w:val="99"/>
    <w:semiHidden/>
    <w:rsid w:val="00FC4AFB"/>
    <w:rPr>
      <w:b/>
      <w:bCs/>
      <w:sz w:val="20"/>
      <w:szCs w:val="20"/>
    </w:rPr>
  </w:style>
  <w:style w:type="paragraph" w:styleId="ListParagraph">
    <w:name w:val="List Paragraph"/>
    <w:basedOn w:val="Normal"/>
    <w:uiPriority w:val="34"/>
    <w:qFormat/>
    <w:rsid w:val="00FC4AFB"/>
    <w:pPr>
      <w:ind w:left="720"/>
      <w:contextualSpacing/>
    </w:pPr>
  </w:style>
  <w:style w:type="character" w:styleId="PageNumber">
    <w:name w:val="page number"/>
    <w:basedOn w:val="DefaultParagraphFont"/>
    <w:uiPriority w:val="99"/>
    <w:semiHidden/>
    <w:unhideWhenUsed/>
    <w:rsid w:val="00FC4AFB"/>
  </w:style>
  <w:style w:type="paragraph" w:styleId="Revision">
    <w:name w:val="Revision"/>
    <w:hidden/>
    <w:uiPriority w:val="99"/>
    <w:semiHidden/>
    <w:rsid w:val="00FC4AFB"/>
    <w:pPr>
      <w:spacing w:after="0" w:line="240" w:lineRule="auto"/>
    </w:pPr>
    <w:rPr>
      <w:sz w:val="24"/>
    </w:rPr>
  </w:style>
  <w:style w:type="character" w:styleId="PlaceholderText">
    <w:name w:val="Placeholder Text"/>
    <w:basedOn w:val="DefaultParagraphFont"/>
    <w:uiPriority w:val="99"/>
    <w:semiHidden/>
    <w:rsid w:val="00FC4AF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14768793">
      <w:bodyDiv w:val="1"/>
      <w:marLeft w:val="0"/>
      <w:marRight w:val="0"/>
      <w:marTop w:val="0"/>
      <w:marBottom w:val="0"/>
      <w:divBdr>
        <w:top w:val="none" w:sz="0" w:space="0" w:color="auto"/>
        <w:left w:val="none" w:sz="0" w:space="0" w:color="auto"/>
        <w:bottom w:val="none" w:sz="0" w:space="0" w:color="auto"/>
        <w:right w:val="none" w:sz="0" w:space="0" w:color="auto"/>
      </w:divBdr>
      <w:divsChild>
        <w:div w:id="191580168">
          <w:marLeft w:val="0"/>
          <w:marRight w:val="0"/>
          <w:marTop w:val="0"/>
          <w:marBottom w:val="0"/>
          <w:divBdr>
            <w:top w:val="none" w:sz="0" w:space="0" w:color="auto"/>
            <w:left w:val="none" w:sz="0" w:space="0" w:color="auto"/>
            <w:bottom w:val="none" w:sz="0" w:space="0" w:color="auto"/>
            <w:right w:val="none" w:sz="0" w:space="0" w:color="auto"/>
          </w:divBdr>
          <w:divsChild>
            <w:div w:id="409237736">
              <w:marLeft w:val="0"/>
              <w:marRight w:val="0"/>
              <w:marTop w:val="0"/>
              <w:marBottom w:val="0"/>
              <w:divBdr>
                <w:top w:val="none" w:sz="0" w:space="0" w:color="auto"/>
                <w:left w:val="none" w:sz="0" w:space="0" w:color="auto"/>
                <w:bottom w:val="none" w:sz="0" w:space="0" w:color="auto"/>
                <w:right w:val="none" w:sz="0" w:space="0" w:color="auto"/>
              </w:divBdr>
              <w:divsChild>
                <w:div w:id="697778034">
                  <w:marLeft w:val="0"/>
                  <w:marRight w:val="0"/>
                  <w:marTop w:val="0"/>
                  <w:marBottom w:val="0"/>
                  <w:divBdr>
                    <w:top w:val="none" w:sz="0" w:space="0" w:color="auto"/>
                    <w:left w:val="none" w:sz="0" w:space="0" w:color="auto"/>
                    <w:bottom w:val="none" w:sz="0" w:space="0" w:color="auto"/>
                    <w:right w:val="none" w:sz="0" w:space="0" w:color="auto"/>
                  </w:divBdr>
                </w:div>
                <w:div w:id="310720453">
                  <w:marLeft w:val="0"/>
                  <w:marRight w:val="0"/>
                  <w:marTop w:val="0"/>
                  <w:marBottom w:val="0"/>
                  <w:divBdr>
                    <w:top w:val="none" w:sz="0" w:space="0" w:color="auto"/>
                    <w:left w:val="none" w:sz="0" w:space="0" w:color="auto"/>
                    <w:bottom w:val="none" w:sz="0" w:space="0" w:color="auto"/>
                    <w:right w:val="none" w:sz="0" w:space="0" w:color="auto"/>
                  </w:divBdr>
                </w:div>
              </w:divsChild>
            </w:div>
            <w:div w:id="407003741">
              <w:marLeft w:val="0"/>
              <w:marRight w:val="0"/>
              <w:marTop w:val="0"/>
              <w:marBottom w:val="0"/>
              <w:divBdr>
                <w:top w:val="none" w:sz="0" w:space="0" w:color="auto"/>
                <w:left w:val="none" w:sz="0" w:space="0" w:color="auto"/>
                <w:bottom w:val="none" w:sz="0" w:space="0" w:color="auto"/>
                <w:right w:val="none" w:sz="0" w:space="0" w:color="auto"/>
              </w:divBdr>
              <w:divsChild>
                <w:div w:id="122696925">
                  <w:marLeft w:val="0"/>
                  <w:marRight w:val="0"/>
                  <w:marTop w:val="0"/>
                  <w:marBottom w:val="0"/>
                  <w:divBdr>
                    <w:top w:val="none" w:sz="0" w:space="0" w:color="auto"/>
                    <w:left w:val="none" w:sz="0" w:space="0" w:color="auto"/>
                    <w:bottom w:val="none" w:sz="0" w:space="0" w:color="auto"/>
                    <w:right w:val="none" w:sz="0" w:space="0" w:color="auto"/>
                  </w:divBdr>
                </w:div>
                <w:div w:id="181824620">
                  <w:marLeft w:val="0"/>
                  <w:marRight w:val="0"/>
                  <w:marTop w:val="0"/>
                  <w:marBottom w:val="0"/>
                  <w:divBdr>
                    <w:top w:val="none" w:sz="0" w:space="0" w:color="auto"/>
                    <w:left w:val="none" w:sz="0" w:space="0" w:color="auto"/>
                    <w:bottom w:val="none" w:sz="0" w:space="0" w:color="auto"/>
                    <w:right w:val="none" w:sz="0" w:space="0" w:color="auto"/>
                  </w:divBdr>
                </w:div>
              </w:divsChild>
            </w:div>
            <w:div w:id="89089341">
              <w:marLeft w:val="0"/>
              <w:marRight w:val="0"/>
              <w:marTop w:val="0"/>
              <w:marBottom w:val="0"/>
              <w:divBdr>
                <w:top w:val="none" w:sz="0" w:space="0" w:color="auto"/>
                <w:left w:val="none" w:sz="0" w:space="0" w:color="auto"/>
                <w:bottom w:val="none" w:sz="0" w:space="0" w:color="auto"/>
                <w:right w:val="none" w:sz="0" w:space="0" w:color="auto"/>
              </w:divBdr>
              <w:divsChild>
                <w:div w:id="607857370">
                  <w:marLeft w:val="0"/>
                  <w:marRight w:val="0"/>
                  <w:marTop w:val="0"/>
                  <w:marBottom w:val="0"/>
                  <w:divBdr>
                    <w:top w:val="none" w:sz="0" w:space="0" w:color="auto"/>
                    <w:left w:val="none" w:sz="0" w:space="0" w:color="auto"/>
                    <w:bottom w:val="none" w:sz="0" w:space="0" w:color="auto"/>
                    <w:right w:val="none" w:sz="0" w:space="0" w:color="auto"/>
                  </w:divBdr>
                </w:div>
                <w:div w:id="2048291314">
                  <w:marLeft w:val="0"/>
                  <w:marRight w:val="0"/>
                  <w:marTop w:val="0"/>
                  <w:marBottom w:val="0"/>
                  <w:divBdr>
                    <w:top w:val="none" w:sz="0" w:space="0" w:color="auto"/>
                    <w:left w:val="none" w:sz="0" w:space="0" w:color="auto"/>
                    <w:bottom w:val="none" w:sz="0" w:space="0" w:color="auto"/>
                    <w:right w:val="none" w:sz="0" w:space="0" w:color="auto"/>
                  </w:divBdr>
                </w:div>
              </w:divsChild>
            </w:div>
            <w:div w:id="221521425">
              <w:marLeft w:val="0"/>
              <w:marRight w:val="0"/>
              <w:marTop w:val="0"/>
              <w:marBottom w:val="0"/>
              <w:divBdr>
                <w:top w:val="none" w:sz="0" w:space="0" w:color="auto"/>
                <w:left w:val="none" w:sz="0" w:space="0" w:color="auto"/>
                <w:bottom w:val="none" w:sz="0" w:space="0" w:color="auto"/>
                <w:right w:val="none" w:sz="0" w:space="0" w:color="auto"/>
              </w:divBdr>
              <w:divsChild>
                <w:div w:id="2078087496">
                  <w:marLeft w:val="0"/>
                  <w:marRight w:val="0"/>
                  <w:marTop w:val="0"/>
                  <w:marBottom w:val="0"/>
                  <w:divBdr>
                    <w:top w:val="none" w:sz="0" w:space="0" w:color="auto"/>
                    <w:left w:val="none" w:sz="0" w:space="0" w:color="auto"/>
                    <w:bottom w:val="none" w:sz="0" w:space="0" w:color="auto"/>
                    <w:right w:val="none" w:sz="0" w:space="0" w:color="auto"/>
                  </w:divBdr>
                </w:div>
                <w:div w:id="1658806516">
                  <w:marLeft w:val="0"/>
                  <w:marRight w:val="0"/>
                  <w:marTop w:val="0"/>
                  <w:marBottom w:val="0"/>
                  <w:divBdr>
                    <w:top w:val="none" w:sz="0" w:space="0" w:color="auto"/>
                    <w:left w:val="none" w:sz="0" w:space="0" w:color="auto"/>
                    <w:bottom w:val="none" w:sz="0" w:space="0" w:color="auto"/>
                    <w:right w:val="none" w:sz="0" w:space="0" w:color="auto"/>
                  </w:divBdr>
                </w:div>
              </w:divsChild>
            </w:div>
            <w:div w:id="2115321375">
              <w:marLeft w:val="0"/>
              <w:marRight w:val="0"/>
              <w:marTop w:val="0"/>
              <w:marBottom w:val="0"/>
              <w:divBdr>
                <w:top w:val="none" w:sz="0" w:space="0" w:color="auto"/>
                <w:left w:val="none" w:sz="0" w:space="0" w:color="auto"/>
                <w:bottom w:val="none" w:sz="0" w:space="0" w:color="auto"/>
                <w:right w:val="none" w:sz="0" w:space="0" w:color="auto"/>
              </w:divBdr>
              <w:divsChild>
                <w:div w:id="1536889200">
                  <w:marLeft w:val="0"/>
                  <w:marRight w:val="0"/>
                  <w:marTop w:val="0"/>
                  <w:marBottom w:val="0"/>
                  <w:divBdr>
                    <w:top w:val="none" w:sz="0" w:space="0" w:color="auto"/>
                    <w:left w:val="none" w:sz="0" w:space="0" w:color="auto"/>
                    <w:bottom w:val="none" w:sz="0" w:space="0" w:color="auto"/>
                    <w:right w:val="none" w:sz="0" w:space="0" w:color="auto"/>
                  </w:divBdr>
                </w:div>
                <w:div w:id="1873571244">
                  <w:marLeft w:val="0"/>
                  <w:marRight w:val="0"/>
                  <w:marTop w:val="0"/>
                  <w:marBottom w:val="0"/>
                  <w:divBdr>
                    <w:top w:val="none" w:sz="0" w:space="0" w:color="auto"/>
                    <w:left w:val="none" w:sz="0" w:space="0" w:color="auto"/>
                    <w:bottom w:val="none" w:sz="0" w:space="0" w:color="auto"/>
                    <w:right w:val="none" w:sz="0" w:space="0" w:color="auto"/>
                  </w:divBdr>
                </w:div>
              </w:divsChild>
            </w:div>
            <w:div w:id="2055302491">
              <w:marLeft w:val="0"/>
              <w:marRight w:val="0"/>
              <w:marTop w:val="0"/>
              <w:marBottom w:val="0"/>
              <w:divBdr>
                <w:top w:val="none" w:sz="0" w:space="0" w:color="auto"/>
                <w:left w:val="none" w:sz="0" w:space="0" w:color="auto"/>
                <w:bottom w:val="none" w:sz="0" w:space="0" w:color="auto"/>
                <w:right w:val="none" w:sz="0" w:space="0" w:color="auto"/>
              </w:divBdr>
              <w:divsChild>
                <w:div w:id="1124930336">
                  <w:marLeft w:val="0"/>
                  <w:marRight w:val="0"/>
                  <w:marTop w:val="0"/>
                  <w:marBottom w:val="0"/>
                  <w:divBdr>
                    <w:top w:val="none" w:sz="0" w:space="0" w:color="auto"/>
                    <w:left w:val="none" w:sz="0" w:space="0" w:color="auto"/>
                    <w:bottom w:val="none" w:sz="0" w:space="0" w:color="auto"/>
                    <w:right w:val="none" w:sz="0" w:space="0" w:color="auto"/>
                  </w:divBdr>
                </w:div>
                <w:div w:id="1131707387">
                  <w:marLeft w:val="0"/>
                  <w:marRight w:val="0"/>
                  <w:marTop w:val="0"/>
                  <w:marBottom w:val="0"/>
                  <w:divBdr>
                    <w:top w:val="none" w:sz="0" w:space="0" w:color="auto"/>
                    <w:left w:val="none" w:sz="0" w:space="0" w:color="auto"/>
                    <w:bottom w:val="none" w:sz="0" w:space="0" w:color="auto"/>
                    <w:right w:val="none" w:sz="0" w:space="0" w:color="auto"/>
                  </w:divBdr>
                </w:div>
              </w:divsChild>
            </w:div>
            <w:div w:id="277682572">
              <w:marLeft w:val="0"/>
              <w:marRight w:val="0"/>
              <w:marTop w:val="0"/>
              <w:marBottom w:val="0"/>
              <w:divBdr>
                <w:top w:val="none" w:sz="0" w:space="0" w:color="auto"/>
                <w:left w:val="none" w:sz="0" w:space="0" w:color="auto"/>
                <w:bottom w:val="none" w:sz="0" w:space="0" w:color="auto"/>
                <w:right w:val="none" w:sz="0" w:space="0" w:color="auto"/>
              </w:divBdr>
              <w:divsChild>
                <w:div w:id="1991518223">
                  <w:marLeft w:val="0"/>
                  <w:marRight w:val="0"/>
                  <w:marTop w:val="0"/>
                  <w:marBottom w:val="0"/>
                  <w:divBdr>
                    <w:top w:val="none" w:sz="0" w:space="0" w:color="auto"/>
                    <w:left w:val="none" w:sz="0" w:space="0" w:color="auto"/>
                    <w:bottom w:val="none" w:sz="0" w:space="0" w:color="auto"/>
                    <w:right w:val="none" w:sz="0" w:space="0" w:color="auto"/>
                  </w:divBdr>
                </w:div>
                <w:div w:id="1556501487">
                  <w:marLeft w:val="0"/>
                  <w:marRight w:val="0"/>
                  <w:marTop w:val="0"/>
                  <w:marBottom w:val="0"/>
                  <w:divBdr>
                    <w:top w:val="none" w:sz="0" w:space="0" w:color="auto"/>
                    <w:left w:val="none" w:sz="0" w:space="0" w:color="auto"/>
                    <w:bottom w:val="none" w:sz="0" w:space="0" w:color="auto"/>
                    <w:right w:val="none" w:sz="0" w:space="0" w:color="auto"/>
                  </w:divBdr>
                </w:div>
              </w:divsChild>
            </w:div>
            <w:div w:id="1567717565">
              <w:marLeft w:val="0"/>
              <w:marRight w:val="0"/>
              <w:marTop w:val="0"/>
              <w:marBottom w:val="0"/>
              <w:divBdr>
                <w:top w:val="none" w:sz="0" w:space="0" w:color="auto"/>
                <w:left w:val="none" w:sz="0" w:space="0" w:color="auto"/>
                <w:bottom w:val="none" w:sz="0" w:space="0" w:color="auto"/>
                <w:right w:val="none" w:sz="0" w:space="0" w:color="auto"/>
              </w:divBdr>
              <w:divsChild>
                <w:div w:id="226233047">
                  <w:marLeft w:val="0"/>
                  <w:marRight w:val="0"/>
                  <w:marTop w:val="0"/>
                  <w:marBottom w:val="0"/>
                  <w:divBdr>
                    <w:top w:val="none" w:sz="0" w:space="0" w:color="auto"/>
                    <w:left w:val="none" w:sz="0" w:space="0" w:color="auto"/>
                    <w:bottom w:val="none" w:sz="0" w:space="0" w:color="auto"/>
                    <w:right w:val="none" w:sz="0" w:space="0" w:color="auto"/>
                  </w:divBdr>
                </w:div>
                <w:div w:id="1976787807">
                  <w:marLeft w:val="0"/>
                  <w:marRight w:val="0"/>
                  <w:marTop w:val="0"/>
                  <w:marBottom w:val="0"/>
                  <w:divBdr>
                    <w:top w:val="none" w:sz="0" w:space="0" w:color="auto"/>
                    <w:left w:val="none" w:sz="0" w:space="0" w:color="auto"/>
                    <w:bottom w:val="none" w:sz="0" w:space="0" w:color="auto"/>
                    <w:right w:val="none" w:sz="0" w:space="0" w:color="auto"/>
                  </w:divBdr>
                </w:div>
              </w:divsChild>
            </w:div>
            <w:div w:id="947926253">
              <w:marLeft w:val="0"/>
              <w:marRight w:val="0"/>
              <w:marTop w:val="0"/>
              <w:marBottom w:val="0"/>
              <w:divBdr>
                <w:top w:val="none" w:sz="0" w:space="0" w:color="auto"/>
                <w:left w:val="none" w:sz="0" w:space="0" w:color="auto"/>
                <w:bottom w:val="none" w:sz="0" w:space="0" w:color="auto"/>
                <w:right w:val="none" w:sz="0" w:space="0" w:color="auto"/>
              </w:divBdr>
              <w:divsChild>
                <w:div w:id="162358197">
                  <w:marLeft w:val="0"/>
                  <w:marRight w:val="0"/>
                  <w:marTop w:val="0"/>
                  <w:marBottom w:val="0"/>
                  <w:divBdr>
                    <w:top w:val="none" w:sz="0" w:space="0" w:color="auto"/>
                    <w:left w:val="none" w:sz="0" w:space="0" w:color="auto"/>
                    <w:bottom w:val="none" w:sz="0" w:space="0" w:color="auto"/>
                    <w:right w:val="none" w:sz="0" w:space="0" w:color="auto"/>
                  </w:divBdr>
                </w:div>
                <w:div w:id="804473979">
                  <w:marLeft w:val="0"/>
                  <w:marRight w:val="0"/>
                  <w:marTop w:val="0"/>
                  <w:marBottom w:val="0"/>
                  <w:divBdr>
                    <w:top w:val="none" w:sz="0" w:space="0" w:color="auto"/>
                    <w:left w:val="none" w:sz="0" w:space="0" w:color="auto"/>
                    <w:bottom w:val="none" w:sz="0" w:space="0" w:color="auto"/>
                    <w:right w:val="none" w:sz="0" w:space="0" w:color="auto"/>
                  </w:divBdr>
                </w:div>
              </w:divsChild>
            </w:div>
            <w:div w:id="1216284352">
              <w:marLeft w:val="0"/>
              <w:marRight w:val="0"/>
              <w:marTop w:val="0"/>
              <w:marBottom w:val="0"/>
              <w:divBdr>
                <w:top w:val="none" w:sz="0" w:space="0" w:color="auto"/>
                <w:left w:val="none" w:sz="0" w:space="0" w:color="auto"/>
                <w:bottom w:val="none" w:sz="0" w:space="0" w:color="auto"/>
                <w:right w:val="none" w:sz="0" w:space="0" w:color="auto"/>
              </w:divBdr>
              <w:divsChild>
                <w:div w:id="171649993">
                  <w:marLeft w:val="0"/>
                  <w:marRight w:val="0"/>
                  <w:marTop w:val="0"/>
                  <w:marBottom w:val="0"/>
                  <w:divBdr>
                    <w:top w:val="none" w:sz="0" w:space="0" w:color="auto"/>
                    <w:left w:val="none" w:sz="0" w:space="0" w:color="auto"/>
                    <w:bottom w:val="none" w:sz="0" w:space="0" w:color="auto"/>
                    <w:right w:val="none" w:sz="0" w:space="0" w:color="auto"/>
                  </w:divBdr>
                </w:div>
                <w:div w:id="1629437461">
                  <w:marLeft w:val="0"/>
                  <w:marRight w:val="0"/>
                  <w:marTop w:val="0"/>
                  <w:marBottom w:val="0"/>
                  <w:divBdr>
                    <w:top w:val="none" w:sz="0" w:space="0" w:color="auto"/>
                    <w:left w:val="none" w:sz="0" w:space="0" w:color="auto"/>
                    <w:bottom w:val="none" w:sz="0" w:space="0" w:color="auto"/>
                    <w:right w:val="none" w:sz="0" w:space="0" w:color="auto"/>
                  </w:divBdr>
                </w:div>
              </w:divsChild>
            </w:div>
            <w:div w:id="2074043116">
              <w:marLeft w:val="0"/>
              <w:marRight w:val="0"/>
              <w:marTop w:val="0"/>
              <w:marBottom w:val="0"/>
              <w:divBdr>
                <w:top w:val="none" w:sz="0" w:space="0" w:color="auto"/>
                <w:left w:val="none" w:sz="0" w:space="0" w:color="auto"/>
                <w:bottom w:val="none" w:sz="0" w:space="0" w:color="auto"/>
                <w:right w:val="none" w:sz="0" w:space="0" w:color="auto"/>
              </w:divBdr>
              <w:divsChild>
                <w:div w:id="68311382">
                  <w:marLeft w:val="0"/>
                  <w:marRight w:val="0"/>
                  <w:marTop w:val="0"/>
                  <w:marBottom w:val="0"/>
                  <w:divBdr>
                    <w:top w:val="none" w:sz="0" w:space="0" w:color="auto"/>
                    <w:left w:val="none" w:sz="0" w:space="0" w:color="auto"/>
                    <w:bottom w:val="none" w:sz="0" w:space="0" w:color="auto"/>
                    <w:right w:val="none" w:sz="0" w:space="0" w:color="auto"/>
                  </w:divBdr>
                </w:div>
                <w:div w:id="1383603465">
                  <w:marLeft w:val="0"/>
                  <w:marRight w:val="0"/>
                  <w:marTop w:val="0"/>
                  <w:marBottom w:val="0"/>
                  <w:divBdr>
                    <w:top w:val="none" w:sz="0" w:space="0" w:color="auto"/>
                    <w:left w:val="none" w:sz="0" w:space="0" w:color="auto"/>
                    <w:bottom w:val="none" w:sz="0" w:space="0" w:color="auto"/>
                    <w:right w:val="none" w:sz="0" w:space="0" w:color="auto"/>
                  </w:divBdr>
                </w:div>
              </w:divsChild>
            </w:div>
            <w:div w:id="295835982">
              <w:marLeft w:val="0"/>
              <w:marRight w:val="0"/>
              <w:marTop w:val="0"/>
              <w:marBottom w:val="0"/>
              <w:divBdr>
                <w:top w:val="none" w:sz="0" w:space="0" w:color="auto"/>
                <w:left w:val="none" w:sz="0" w:space="0" w:color="auto"/>
                <w:bottom w:val="none" w:sz="0" w:space="0" w:color="auto"/>
                <w:right w:val="none" w:sz="0" w:space="0" w:color="auto"/>
              </w:divBdr>
              <w:divsChild>
                <w:div w:id="274361861">
                  <w:marLeft w:val="0"/>
                  <w:marRight w:val="0"/>
                  <w:marTop w:val="0"/>
                  <w:marBottom w:val="0"/>
                  <w:divBdr>
                    <w:top w:val="none" w:sz="0" w:space="0" w:color="auto"/>
                    <w:left w:val="none" w:sz="0" w:space="0" w:color="auto"/>
                    <w:bottom w:val="none" w:sz="0" w:space="0" w:color="auto"/>
                    <w:right w:val="none" w:sz="0" w:space="0" w:color="auto"/>
                  </w:divBdr>
                </w:div>
                <w:div w:id="1276711694">
                  <w:marLeft w:val="0"/>
                  <w:marRight w:val="0"/>
                  <w:marTop w:val="0"/>
                  <w:marBottom w:val="0"/>
                  <w:divBdr>
                    <w:top w:val="none" w:sz="0" w:space="0" w:color="auto"/>
                    <w:left w:val="none" w:sz="0" w:space="0" w:color="auto"/>
                    <w:bottom w:val="none" w:sz="0" w:space="0" w:color="auto"/>
                    <w:right w:val="none" w:sz="0" w:space="0" w:color="auto"/>
                  </w:divBdr>
                </w:div>
              </w:divsChild>
            </w:div>
            <w:div w:id="1265697195">
              <w:marLeft w:val="0"/>
              <w:marRight w:val="0"/>
              <w:marTop w:val="0"/>
              <w:marBottom w:val="0"/>
              <w:divBdr>
                <w:top w:val="none" w:sz="0" w:space="0" w:color="auto"/>
                <w:left w:val="none" w:sz="0" w:space="0" w:color="auto"/>
                <w:bottom w:val="none" w:sz="0" w:space="0" w:color="auto"/>
                <w:right w:val="none" w:sz="0" w:space="0" w:color="auto"/>
              </w:divBdr>
              <w:divsChild>
                <w:div w:id="1370258570">
                  <w:marLeft w:val="0"/>
                  <w:marRight w:val="0"/>
                  <w:marTop w:val="0"/>
                  <w:marBottom w:val="0"/>
                  <w:divBdr>
                    <w:top w:val="none" w:sz="0" w:space="0" w:color="auto"/>
                    <w:left w:val="none" w:sz="0" w:space="0" w:color="auto"/>
                    <w:bottom w:val="none" w:sz="0" w:space="0" w:color="auto"/>
                    <w:right w:val="none" w:sz="0" w:space="0" w:color="auto"/>
                  </w:divBdr>
                </w:div>
                <w:div w:id="1585142722">
                  <w:marLeft w:val="0"/>
                  <w:marRight w:val="0"/>
                  <w:marTop w:val="0"/>
                  <w:marBottom w:val="0"/>
                  <w:divBdr>
                    <w:top w:val="none" w:sz="0" w:space="0" w:color="auto"/>
                    <w:left w:val="none" w:sz="0" w:space="0" w:color="auto"/>
                    <w:bottom w:val="none" w:sz="0" w:space="0" w:color="auto"/>
                    <w:right w:val="none" w:sz="0" w:space="0" w:color="auto"/>
                  </w:divBdr>
                </w:div>
              </w:divsChild>
            </w:div>
            <w:div w:id="755637974">
              <w:marLeft w:val="0"/>
              <w:marRight w:val="0"/>
              <w:marTop w:val="0"/>
              <w:marBottom w:val="0"/>
              <w:divBdr>
                <w:top w:val="none" w:sz="0" w:space="0" w:color="auto"/>
                <w:left w:val="none" w:sz="0" w:space="0" w:color="auto"/>
                <w:bottom w:val="none" w:sz="0" w:space="0" w:color="auto"/>
                <w:right w:val="none" w:sz="0" w:space="0" w:color="auto"/>
              </w:divBdr>
              <w:divsChild>
                <w:div w:id="2130009949">
                  <w:marLeft w:val="0"/>
                  <w:marRight w:val="0"/>
                  <w:marTop w:val="0"/>
                  <w:marBottom w:val="0"/>
                  <w:divBdr>
                    <w:top w:val="none" w:sz="0" w:space="0" w:color="auto"/>
                    <w:left w:val="none" w:sz="0" w:space="0" w:color="auto"/>
                    <w:bottom w:val="none" w:sz="0" w:space="0" w:color="auto"/>
                    <w:right w:val="none" w:sz="0" w:space="0" w:color="auto"/>
                  </w:divBdr>
                </w:div>
                <w:div w:id="604964365">
                  <w:marLeft w:val="0"/>
                  <w:marRight w:val="0"/>
                  <w:marTop w:val="0"/>
                  <w:marBottom w:val="0"/>
                  <w:divBdr>
                    <w:top w:val="none" w:sz="0" w:space="0" w:color="auto"/>
                    <w:left w:val="none" w:sz="0" w:space="0" w:color="auto"/>
                    <w:bottom w:val="none" w:sz="0" w:space="0" w:color="auto"/>
                    <w:right w:val="none" w:sz="0" w:space="0" w:color="auto"/>
                  </w:divBdr>
                </w:div>
              </w:divsChild>
            </w:div>
            <w:div w:id="1958675878">
              <w:marLeft w:val="0"/>
              <w:marRight w:val="0"/>
              <w:marTop w:val="0"/>
              <w:marBottom w:val="0"/>
              <w:divBdr>
                <w:top w:val="none" w:sz="0" w:space="0" w:color="auto"/>
                <w:left w:val="none" w:sz="0" w:space="0" w:color="auto"/>
                <w:bottom w:val="none" w:sz="0" w:space="0" w:color="auto"/>
                <w:right w:val="none" w:sz="0" w:space="0" w:color="auto"/>
              </w:divBdr>
              <w:divsChild>
                <w:div w:id="396173710">
                  <w:marLeft w:val="0"/>
                  <w:marRight w:val="0"/>
                  <w:marTop w:val="0"/>
                  <w:marBottom w:val="0"/>
                  <w:divBdr>
                    <w:top w:val="none" w:sz="0" w:space="0" w:color="auto"/>
                    <w:left w:val="none" w:sz="0" w:space="0" w:color="auto"/>
                    <w:bottom w:val="none" w:sz="0" w:space="0" w:color="auto"/>
                    <w:right w:val="none" w:sz="0" w:space="0" w:color="auto"/>
                  </w:divBdr>
                </w:div>
                <w:div w:id="1504009819">
                  <w:marLeft w:val="0"/>
                  <w:marRight w:val="0"/>
                  <w:marTop w:val="0"/>
                  <w:marBottom w:val="0"/>
                  <w:divBdr>
                    <w:top w:val="none" w:sz="0" w:space="0" w:color="auto"/>
                    <w:left w:val="none" w:sz="0" w:space="0" w:color="auto"/>
                    <w:bottom w:val="none" w:sz="0" w:space="0" w:color="auto"/>
                    <w:right w:val="none" w:sz="0" w:space="0" w:color="auto"/>
                  </w:divBdr>
                </w:div>
              </w:divsChild>
            </w:div>
            <w:div w:id="2013142081">
              <w:marLeft w:val="0"/>
              <w:marRight w:val="0"/>
              <w:marTop w:val="0"/>
              <w:marBottom w:val="0"/>
              <w:divBdr>
                <w:top w:val="none" w:sz="0" w:space="0" w:color="auto"/>
                <w:left w:val="none" w:sz="0" w:space="0" w:color="auto"/>
                <w:bottom w:val="none" w:sz="0" w:space="0" w:color="auto"/>
                <w:right w:val="none" w:sz="0" w:space="0" w:color="auto"/>
              </w:divBdr>
              <w:divsChild>
                <w:div w:id="691995938">
                  <w:marLeft w:val="0"/>
                  <w:marRight w:val="0"/>
                  <w:marTop w:val="0"/>
                  <w:marBottom w:val="0"/>
                  <w:divBdr>
                    <w:top w:val="none" w:sz="0" w:space="0" w:color="auto"/>
                    <w:left w:val="none" w:sz="0" w:space="0" w:color="auto"/>
                    <w:bottom w:val="none" w:sz="0" w:space="0" w:color="auto"/>
                    <w:right w:val="none" w:sz="0" w:space="0" w:color="auto"/>
                  </w:divBdr>
                </w:div>
                <w:div w:id="41759761">
                  <w:marLeft w:val="0"/>
                  <w:marRight w:val="0"/>
                  <w:marTop w:val="0"/>
                  <w:marBottom w:val="0"/>
                  <w:divBdr>
                    <w:top w:val="none" w:sz="0" w:space="0" w:color="auto"/>
                    <w:left w:val="none" w:sz="0" w:space="0" w:color="auto"/>
                    <w:bottom w:val="none" w:sz="0" w:space="0" w:color="auto"/>
                    <w:right w:val="none" w:sz="0" w:space="0" w:color="auto"/>
                  </w:divBdr>
                </w:div>
              </w:divsChild>
            </w:div>
            <w:div w:id="667486557">
              <w:marLeft w:val="0"/>
              <w:marRight w:val="0"/>
              <w:marTop w:val="0"/>
              <w:marBottom w:val="0"/>
              <w:divBdr>
                <w:top w:val="none" w:sz="0" w:space="0" w:color="auto"/>
                <w:left w:val="none" w:sz="0" w:space="0" w:color="auto"/>
                <w:bottom w:val="none" w:sz="0" w:space="0" w:color="auto"/>
                <w:right w:val="none" w:sz="0" w:space="0" w:color="auto"/>
              </w:divBdr>
              <w:divsChild>
                <w:div w:id="1953702205">
                  <w:marLeft w:val="0"/>
                  <w:marRight w:val="0"/>
                  <w:marTop w:val="0"/>
                  <w:marBottom w:val="0"/>
                  <w:divBdr>
                    <w:top w:val="none" w:sz="0" w:space="0" w:color="auto"/>
                    <w:left w:val="none" w:sz="0" w:space="0" w:color="auto"/>
                    <w:bottom w:val="none" w:sz="0" w:space="0" w:color="auto"/>
                    <w:right w:val="none" w:sz="0" w:space="0" w:color="auto"/>
                  </w:divBdr>
                </w:div>
                <w:div w:id="843670646">
                  <w:marLeft w:val="0"/>
                  <w:marRight w:val="0"/>
                  <w:marTop w:val="0"/>
                  <w:marBottom w:val="0"/>
                  <w:divBdr>
                    <w:top w:val="none" w:sz="0" w:space="0" w:color="auto"/>
                    <w:left w:val="none" w:sz="0" w:space="0" w:color="auto"/>
                    <w:bottom w:val="none" w:sz="0" w:space="0" w:color="auto"/>
                    <w:right w:val="none" w:sz="0" w:space="0" w:color="auto"/>
                  </w:divBdr>
                </w:div>
              </w:divsChild>
            </w:div>
            <w:div w:id="1945645054">
              <w:marLeft w:val="0"/>
              <w:marRight w:val="0"/>
              <w:marTop w:val="0"/>
              <w:marBottom w:val="0"/>
              <w:divBdr>
                <w:top w:val="none" w:sz="0" w:space="0" w:color="auto"/>
                <w:left w:val="none" w:sz="0" w:space="0" w:color="auto"/>
                <w:bottom w:val="none" w:sz="0" w:space="0" w:color="auto"/>
                <w:right w:val="none" w:sz="0" w:space="0" w:color="auto"/>
              </w:divBdr>
              <w:divsChild>
                <w:div w:id="1253049148">
                  <w:marLeft w:val="0"/>
                  <w:marRight w:val="0"/>
                  <w:marTop w:val="0"/>
                  <w:marBottom w:val="0"/>
                  <w:divBdr>
                    <w:top w:val="none" w:sz="0" w:space="0" w:color="auto"/>
                    <w:left w:val="none" w:sz="0" w:space="0" w:color="auto"/>
                    <w:bottom w:val="none" w:sz="0" w:space="0" w:color="auto"/>
                    <w:right w:val="none" w:sz="0" w:space="0" w:color="auto"/>
                  </w:divBdr>
                </w:div>
                <w:div w:id="322664543">
                  <w:marLeft w:val="0"/>
                  <w:marRight w:val="0"/>
                  <w:marTop w:val="0"/>
                  <w:marBottom w:val="0"/>
                  <w:divBdr>
                    <w:top w:val="none" w:sz="0" w:space="0" w:color="auto"/>
                    <w:left w:val="none" w:sz="0" w:space="0" w:color="auto"/>
                    <w:bottom w:val="none" w:sz="0" w:space="0" w:color="auto"/>
                    <w:right w:val="none" w:sz="0" w:space="0" w:color="auto"/>
                  </w:divBdr>
                </w:div>
              </w:divsChild>
            </w:div>
            <w:div w:id="853035227">
              <w:marLeft w:val="0"/>
              <w:marRight w:val="0"/>
              <w:marTop w:val="0"/>
              <w:marBottom w:val="0"/>
              <w:divBdr>
                <w:top w:val="none" w:sz="0" w:space="0" w:color="auto"/>
                <w:left w:val="none" w:sz="0" w:space="0" w:color="auto"/>
                <w:bottom w:val="none" w:sz="0" w:space="0" w:color="auto"/>
                <w:right w:val="none" w:sz="0" w:space="0" w:color="auto"/>
              </w:divBdr>
              <w:divsChild>
                <w:div w:id="854423017">
                  <w:marLeft w:val="0"/>
                  <w:marRight w:val="0"/>
                  <w:marTop w:val="0"/>
                  <w:marBottom w:val="0"/>
                  <w:divBdr>
                    <w:top w:val="none" w:sz="0" w:space="0" w:color="auto"/>
                    <w:left w:val="none" w:sz="0" w:space="0" w:color="auto"/>
                    <w:bottom w:val="none" w:sz="0" w:space="0" w:color="auto"/>
                    <w:right w:val="none" w:sz="0" w:space="0" w:color="auto"/>
                  </w:divBdr>
                </w:div>
                <w:div w:id="146635456">
                  <w:marLeft w:val="0"/>
                  <w:marRight w:val="0"/>
                  <w:marTop w:val="0"/>
                  <w:marBottom w:val="0"/>
                  <w:divBdr>
                    <w:top w:val="none" w:sz="0" w:space="0" w:color="auto"/>
                    <w:left w:val="none" w:sz="0" w:space="0" w:color="auto"/>
                    <w:bottom w:val="none" w:sz="0" w:space="0" w:color="auto"/>
                    <w:right w:val="none" w:sz="0" w:space="0" w:color="auto"/>
                  </w:divBdr>
                </w:div>
              </w:divsChild>
            </w:div>
            <w:div w:id="1135174023">
              <w:marLeft w:val="0"/>
              <w:marRight w:val="0"/>
              <w:marTop w:val="0"/>
              <w:marBottom w:val="0"/>
              <w:divBdr>
                <w:top w:val="none" w:sz="0" w:space="0" w:color="auto"/>
                <w:left w:val="none" w:sz="0" w:space="0" w:color="auto"/>
                <w:bottom w:val="none" w:sz="0" w:space="0" w:color="auto"/>
                <w:right w:val="none" w:sz="0" w:space="0" w:color="auto"/>
              </w:divBdr>
              <w:divsChild>
                <w:div w:id="231281646">
                  <w:marLeft w:val="0"/>
                  <w:marRight w:val="0"/>
                  <w:marTop w:val="0"/>
                  <w:marBottom w:val="0"/>
                  <w:divBdr>
                    <w:top w:val="none" w:sz="0" w:space="0" w:color="auto"/>
                    <w:left w:val="none" w:sz="0" w:space="0" w:color="auto"/>
                    <w:bottom w:val="none" w:sz="0" w:space="0" w:color="auto"/>
                    <w:right w:val="none" w:sz="0" w:space="0" w:color="auto"/>
                  </w:divBdr>
                </w:div>
                <w:div w:id="793912444">
                  <w:marLeft w:val="0"/>
                  <w:marRight w:val="0"/>
                  <w:marTop w:val="0"/>
                  <w:marBottom w:val="0"/>
                  <w:divBdr>
                    <w:top w:val="none" w:sz="0" w:space="0" w:color="auto"/>
                    <w:left w:val="none" w:sz="0" w:space="0" w:color="auto"/>
                    <w:bottom w:val="none" w:sz="0" w:space="0" w:color="auto"/>
                    <w:right w:val="none" w:sz="0" w:space="0" w:color="auto"/>
                  </w:divBdr>
                </w:div>
              </w:divsChild>
            </w:div>
            <w:div w:id="1404525543">
              <w:marLeft w:val="0"/>
              <w:marRight w:val="0"/>
              <w:marTop w:val="0"/>
              <w:marBottom w:val="0"/>
              <w:divBdr>
                <w:top w:val="none" w:sz="0" w:space="0" w:color="auto"/>
                <w:left w:val="none" w:sz="0" w:space="0" w:color="auto"/>
                <w:bottom w:val="none" w:sz="0" w:space="0" w:color="auto"/>
                <w:right w:val="none" w:sz="0" w:space="0" w:color="auto"/>
              </w:divBdr>
              <w:divsChild>
                <w:div w:id="182525222">
                  <w:marLeft w:val="0"/>
                  <w:marRight w:val="0"/>
                  <w:marTop w:val="0"/>
                  <w:marBottom w:val="0"/>
                  <w:divBdr>
                    <w:top w:val="none" w:sz="0" w:space="0" w:color="auto"/>
                    <w:left w:val="none" w:sz="0" w:space="0" w:color="auto"/>
                    <w:bottom w:val="none" w:sz="0" w:space="0" w:color="auto"/>
                    <w:right w:val="none" w:sz="0" w:space="0" w:color="auto"/>
                  </w:divBdr>
                </w:div>
                <w:div w:id="1080172925">
                  <w:marLeft w:val="0"/>
                  <w:marRight w:val="0"/>
                  <w:marTop w:val="0"/>
                  <w:marBottom w:val="0"/>
                  <w:divBdr>
                    <w:top w:val="none" w:sz="0" w:space="0" w:color="auto"/>
                    <w:left w:val="none" w:sz="0" w:space="0" w:color="auto"/>
                    <w:bottom w:val="none" w:sz="0" w:space="0" w:color="auto"/>
                    <w:right w:val="none" w:sz="0" w:space="0" w:color="auto"/>
                  </w:divBdr>
                </w:div>
              </w:divsChild>
            </w:div>
            <w:div w:id="2095470427">
              <w:marLeft w:val="0"/>
              <w:marRight w:val="0"/>
              <w:marTop w:val="0"/>
              <w:marBottom w:val="0"/>
              <w:divBdr>
                <w:top w:val="none" w:sz="0" w:space="0" w:color="auto"/>
                <w:left w:val="none" w:sz="0" w:space="0" w:color="auto"/>
                <w:bottom w:val="none" w:sz="0" w:space="0" w:color="auto"/>
                <w:right w:val="none" w:sz="0" w:space="0" w:color="auto"/>
              </w:divBdr>
              <w:divsChild>
                <w:div w:id="1050959540">
                  <w:marLeft w:val="0"/>
                  <w:marRight w:val="0"/>
                  <w:marTop w:val="0"/>
                  <w:marBottom w:val="0"/>
                  <w:divBdr>
                    <w:top w:val="none" w:sz="0" w:space="0" w:color="auto"/>
                    <w:left w:val="none" w:sz="0" w:space="0" w:color="auto"/>
                    <w:bottom w:val="none" w:sz="0" w:space="0" w:color="auto"/>
                    <w:right w:val="none" w:sz="0" w:space="0" w:color="auto"/>
                  </w:divBdr>
                </w:div>
                <w:div w:id="1316183407">
                  <w:marLeft w:val="0"/>
                  <w:marRight w:val="0"/>
                  <w:marTop w:val="0"/>
                  <w:marBottom w:val="0"/>
                  <w:divBdr>
                    <w:top w:val="none" w:sz="0" w:space="0" w:color="auto"/>
                    <w:left w:val="none" w:sz="0" w:space="0" w:color="auto"/>
                    <w:bottom w:val="none" w:sz="0" w:space="0" w:color="auto"/>
                    <w:right w:val="none" w:sz="0" w:space="0" w:color="auto"/>
                  </w:divBdr>
                </w:div>
              </w:divsChild>
            </w:div>
            <w:div w:id="2901432">
              <w:marLeft w:val="0"/>
              <w:marRight w:val="0"/>
              <w:marTop w:val="0"/>
              <w:marBottom w:val="0"/>
              <w:divBdr>
                <w:top w:val="none" w:sz="0" w:space="0" w:color="auto"/>
                <w:left w:val="none" w:sz="0" w:space="0" w:color="auto"/>
                <w:bottom w:val="none" w:sz="0" w:space="0" w:color="auto"/>
                <w:right w:val="none" w:sz="0" w:space="0" w:color="auto"/>
              </w:divBdr>
              <w:divsChild>
                <w:div w:id="1462306977">
                  <w:marLeft w:val="0"/>
                  <w:marRight w:val="0"/>
                  <w:marTop w:val="0"/>
                  <w:marBottom w:val="0"/>
                  <w:divBdr>
                    <w:top w:val="none" w:sz="0" w:space="0" w:color="auto"/>
                    <w:left w:val="none" w:sz="0" w:space="0" w:color="auto"/>
                    <w:bottom w:val="none" w:sz="0" w:space="0" w:color="auto"/>
                    <w:right w:val="none" w:sz="0" w:space="0" w:color="auto"/>
                  </w:divBdr>
                </w:div>
                <w:div w:id="3675377">
                  <w:marLeft w:val="0"/>
                  <w:marRight w:val="0"/>
                  <w:marTop w:val="0"/>
                  <w:marBottom w:val="0"/>
                  <w:divBdr>
                    <w:top w:val="none" w:sz="0" w:space="0" w:color="auto"/>
                    <w:left w:val="none" w:sz="0" w:space="0" w:color="auto"/>
                    <w:bottom w:val="none" w:sz="0" w:space="0" w:color="auto"/>
                    <w:right w:val="none" w:sz="0" w:space="0" w:color="auto"/>
                  </w:divBdr>
                </w:div>
              </w:divsChild>
            </w:div>
            <w:div w:id="1175992939">
              <w:marLeft w:val="0"/>
              <w:marRight w:val="0"/>
              <w:marTop w:val="0"/>
              <w:marBottom w:val="0"/>
              <w:divBdr>
                <w:top w:val="none" w:sz="0" w:space="0" w:color="auto"/>
                <w:left w:val="none" w:sz="0" w:space="0" w:color="auto"/>
                <w:bottom w:val="none" w:sz="0" w:space="0" w:color="auto"/>
                <w:right w:val="none" w:sz="0" w:space="0" w:color="auto"/>
              </w:divBdr>
              <w:divsChild>
                <w:div w:id="1067220342">
                  <w:marLeft w:val="0"/>
                  <w:marRight w:val="0"/>
                  <w:marTop w:val="0"/>
                  <w:marBottom w:val="0"/>
                  <w:divBdr>
                    <w:top w:val="none" w:sz="0" w:space="0" w:color="auto"/>
                    <w:left w:val="none" w:sz="0" w:space="0" w:color="auto"/>
                    <w:bottom w:val="none" w:sz="0" w:space="0" w:color="auto"/>
                    <w:right w:val="none" w:sz="0" w:space="0" w:color="auto"/>
                  </w:divBdr>
                </w:div>
                <w:div w:id="909119544">
                  <w:marLeft w:val="0"/>
                  <w:marRight w:val="0"/>
                  <w:marTop w:val="0"/>
                  <w:marBottom w:val="0"/>
                  <w:divBdr>
                    <w:top w:val="none" w:sz="0" w:space="0" w:color="auto"/>
                    <w:left w:val="none" w:sz="0" w:space="0" w:color="auto"/>
                    <w:bottom w:val="none" w:sz="0" w:space="0" w:color="auto"/>
                    <w:right w:val="none" w:sz="0" w:space="0" w:color="auto"/>
                  </w:divBdr>
                </w:div>
              </w:divsChild>
            </w:div>
            <w:div w:id="1771050232">
              <w:marLeft w:val="0"/>
              <w:marRight w:val="0"/>
              <w:marTop w:val="0"/>
              <w:marBottom w:val="0"/>
              <w:divBdr>
                <w:top w:val="none" w:sz="0" w:space="0" w:color="auto"/>
                <w:left w:val="none" w:sz="0" w:space="0" w:color="auto"/>
                <w:bottom w:val="none" w:sz="0" w:space="0" w:color="auto"/>
                <w:right w:val="none" w:sz="0" w:space="0" w:color="auto"/>
              </w:divBdr>
              <w:divsChild>
                <w:div w:id="726878526">
                  <w:marLeft w:val="0"/>
                  <w:marRight w:val="0"/>
                  <w:marTop w:val="0"/>
                  <w:marBottom w:val="0"/>
                  <w:divBdr>
                    <w:top w:val="none" w:sz="0" w:space="0" w:color="auto"/>
                    <w:left w:val="none" w:sz="0" w:space="0" w:color="auto"/>
                    <w:bottom w:val="none" w:sz="0" w:space="0" w:color="auto"/>
                    <w:right w:val="none" w:sz="0" w:space="0" w:color="auto"/>
                  </w:divBdr>
                </w:div>
                <w:div w:id="1927416001">
                  <w:marLeft w:val="0"/>
                  <w:marRight w:val="0"/>
                  <w:marTop w:val="0"/>
                  <w:marBottom w:val="0"/>
                  <w:divBdr>
                    <w:top w:val="none" w:sz="0" w:space="0" w:color="auto"/>
                    <w:left w:val="none" w:sz="0" w:space="0" w:color="auto"/>
                    <w:bottom w:val="none" w:sz="0" w:space="0" w:color="auto"/>
                    <w:right w:val="none" w:sz="0" w:space="0" w:color="auto"/>
                  </w:divBdr>
                </w:div>
              </w:divsChild>
            </w:div>
            <w:div w:id="1132868241">
              <w:marLeft w:val="0"/>
              <w:marRight w:val="0"/>
              <w:marTop w:val="0"/>
              <w:marBottom w:val="0"/>
              <w:divBdr>
                <w:top w:val="none" w:sz="0" w:space="0" w:color="auto"/>
                <w:left w:val="none" w:sz="0" w:space="0" w:color="auto"/>
                <w:bottom w:val="none" w:sz="0" w:space="0" w:color="auto"/>
                <w:right w:val="none" w:sz="0" w:space="0" w:color="auto"/>
              </w:divBdr>
              <w:divsChild>
                <w:div w:id="2000618149">
                  <w:marLeft w:val="0"/>
                  <w:marRight w:val="0"/>
                  <w:marTop w:val="0"/>
                  <w:marBottom w:val="0"/>
                  <w:divBdr>
                    <w:top w:val="none" w:sz="0" w:space="0" w:color="auto"/>
                    <w:left w:val="none" w:sz="0" w:space="0" w:color="auto"/>
                    <w:bottom w:val="none" w:sz="0" w:space="0" w:color="auto"/>
                    <w:right w:val="none" w:sz="0" w:space="0" w:color="auto"/>
                  </w:divBdr>
                </w:div>
                <w:div w:id="211045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2944299">
          <w:marLeft w:val="0"/>
          <w:marRight w:val="0"/>
          <w:marTop w:val="0"/>
          <w:marBottom w:val="0"/>
          <w:divBdr>
            <w:top w:val="none" w:sz="0" w:space="0" w:color="auto"/>
            <w:left w:val="none" w:sz="0" w:space="0" w:color="auto"/>
            <w:bottom w:val="none" w:sz="0" w:space="0" w:color="auto"/>
            <w:right w:val="none" w:sz="0" w:space="0" w:color="auto"/>
          </w:divBdr>
        </w:div>
        <w:div w:id="964778710">
          <w:marLeft w:val="0"/>
          <w:marRight w:val="0"/>
          <w:marTop w:val="0"/>
          <w:marBottom w:val="0"/>
          <w:divBdr>
            <w:top w:val="none" w:sz="0" w:space="0" w:color="auto"/>
            <w:left w:val="none" w:sz="0" w:space="0" w:color="auto"/>
            <w:bottom w:val="none" w:sz="0" w:space="0" w:color="auto"/>
            <w:right w:val="none" w:sz="0" w:space="0" w:color="auto"/>
          </w:divBdr>
        </w:div>
        <w:div w:id="1557429859">
          <w:marLeft w:val="0"/>
          <w:marRight w:val="0"/>
          <w:marTop w:val="0"/>
          <w:marBottom w:val="0"/>
          <w:divBdr>
            <w:top w:val="none" w:sz="0" w:space="0" w:color="auto"/>
            <w:left w:val="none" w:sz="0" w:space="0" w:color="auto"/>
            <w:bottom w:val="none" w:sz="0" w:space="0" w:color="auto"/>
            <w:right w:val="none" w:sz="0" w:space="0" w:color="auto"/>
          </w:divBdr>
        </w:div>
        <w:div w:id="1180117928">
          <w:marLeft w:val="0"/>
          <w:marRight w:val="0"/>
          <w:marTop w:val="0"/>
          <w:marBottom w:val="0"/>
          <w:divBdr>
            <w:top w:val="none" w:sz="0" w:space="0" w:color="auto"/>
            <w:left w:val="none" w:sz="0" w:space="0" w:color="auto"/>
            <w:bottom w:val="none" w:sz="0" w:space="0" w:color="auto"/>
            <w:right w:val="none" w:sz="0" w:space="0" w:color="auto"/>
          </w:divBdr>
        </w:div>
        <w:div w:id="1751274306">
          <w:marLeft w:val="0"/>
          <w:marRight w:val="0"/>
          <w:marTop w:val="0"/>
          <w:marBottom w:val="0"/>
          <w:divBdr>
            <w:top w:val="none" w:sz="0" w:space="0" w:color="auto"/>
            <w:left w:val="none" w:sz="0" w:space="0" w:color="auto"/>
            <w:bottom w:val="none" w:sz="0" w:space="0" w:color="auto"/>
            <w:right w:val="none" w:sz="0" w:space="0" w:color="auto"/>
          </w:divBdr>
        </w:div>
        <w:div w:id="68609825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deanfield@ucl.ac.uk" TargetMode="External"/><Relationship Id="rId13" Type="http://schemas.openxmlformats.org/officeDocument/2006/relationships/image" Target="media/image3.ti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tif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tiff"/><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387401-B927-49E9-BA14-DC549E5173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37</Pages>
  <Words>61834</Words>
  <Characters>352460</Characters>
  <Application>Microsoft Office Word</Application>
  <DocSecurity>4</DocSecurity>
  <Lines>2937</Lines>
  <Paragraphs>826</Paragraphs>
  <ScaleCrop>false</ScaleCrop>
  <HeadingPairs>
    <vt:vector size="2" baseType="variant">
      <vt:variant>
        <vt:lpstr>Title</vt:lpstr>
      </vt:variant>
      <vt:variant>
        <vt:i4>1</vt:i4>
      </vt:variant>
    </vt:vector>
  </HeadingPairs>
  <TitlesOfParts>
    <vt:vector size="1" baseType="lpstr">
      <vt:lpstr/>
    </vt:vector>
  </TitlesOfParts>
  <Company>UCL</Company>
  <LinksUpToDate>false</LinksUpToDate>
  <CharactersWithSpaces>413468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Scott Chiesa</dc:creator>
  <cp:lastModifiedBy>Jane Horsford</cp:lastModifiedBy>
  <cp:revision>2</cp:revision>
  <cp:lastPrinted>2018-08-22T12:08:00Z</cp:lastPrinted>
  <dcterms:created xsi:type="dcterms:W3CDTF">2019-01-24T09:19:00Z</dcterms:created>
  <dcterms:modified xsi:type="dcterms:W3CDTF">2019-01-24T09:19:00Z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717a6ff4-9212-3335-aa63-131971bfadde</vt:lpwstr>
  </property>
  <property fmtid="{D5CDD505-2E9C-101B-9397-08002B2CF9AE}" pid="4" name="Mendeley Citation Style_1">
    <vt:lpwstr>http://www.zotero.org/styles/european-heart-journal</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http://www.zotero.org/styles/european-heart-journal</vt:lpwstr>
  </property>
  <property fmtid="{D5CDD505-2E9C-101B-9397-08002B2CF9AE}" pid="18" name="Mendeley Recent Style Name 6_1">
    <vt:lpwstr>European Heart Journal</vt:lpwstr>
  </property>
  <property fmtid="{D5CDD505-2E9C-101B-9397-08002B2CF9AE}" pid="19" name="Mendeley Recent Style Id 7_1">
    <vt:lpwstr>http://www.zotero.org/styles/ieee</vt:lpwstr>
  </property>
  <property fmtid="{D5CDD505-2E9C-101B-9397-08002B2CF9AE}" pid="20" name="Mendeley Recent Style Name 7_1">
    <vt:lpwstr>IEEE</vt:lpwstr>
  </property>
  <property fmtid="{D5CDD505-2E9C-101B-9397-08002B2CF9AE}" pid="21" name="Mendeley Recent Style Id 8_1">
    <vt:lpwstr>http://www.zotero.org/styles/modern-humanities-research-association</vt:lpwstr>
  </property>
  <property fmtid="{D5CDD505-2E9C-101B-9397-08002B2CF9AE}" pid="22" name="Mendeley Recent Style Name 8_1">
    <vt:lpwstr>Modern Humanities Research Association 3rd edition (note with bibliography)</vt:lpwstr>
  </property>
  <property fmtid="{D5CDD505-2E9C-101B-9397-08002B2CF9AE}" pid="23" name="Mendeley Recent Style Id 9_1">
    <vt:lpwstr>http://www.zotero.org/styles/modern-language-association</vt:lpwstr>
  </property>
  <property fmtid="{D5CDD505-2E9C-101B-9397-08002B2CF9AE}" pid="24" name="Mendeley Recent Style Name 9_1">
    <vt:lpwstr>Modern Language Association 8th edition</vt:lpwstr>
  </property>
</Properties>
</file>