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FF8545B" w14:textId="77777777" w:rsidR="00666020" w:rsidRDefault="00666020" w:rsidP="00666020">
      <w:pPr>
        <w:widowControl w:val="0"/>
        <w:tabs>
          <w:tab w:val="left" w:pos="105"/>
          <w:tab w:val="left" w:pos="1470"/>
        </w:tabs>
        <w:autoSpaceDE w:val="0"/>
        <w:autoSpaceDN w:val="0"/>
        <w:adjustRightInd w:val="0"/>
        <w:spacing w:line="195" w:lineRule="exact"/>
        <w:ind w:firstLine="0"/>
        <w:rPr>
          <w:rFonts w:ascii="MS Sans Serif" w:hAnsi="MS Sans Serif" w:cs="MS Sans Serif"/>
          <w:snapToGrid w:val="0"/>
          <w:color w:val="000000"/>
          <w:sz w:val="16"/>
          <w:szCs w:val="16"/>
        </w:rPr>
      </w:pPr>
      <w:proofErr w:type="gramStart"/>
      <w:r>
        <w:rPr>
          <w:rFonts w:ascii="MS Sans Serif" w:hAnsi="MS Sans Serif" w:cs="MS Sans Serif"/>
          <w:snapToGrid w:val="0"/>
          <w:color w:val="000000"/>
          <w:sz w:val="16"/>
          <w:szCs w:val="16"/>
        </w:rPr>
        <w:t>]</w:t>
      </w:r>
      <w:proofErr w:type="spellStart"/>
      <w:r>
        <w:rPr>
          <w:rFonts w:ascii="MS Sans Serif" w:hAnsi="MS Sans Serif" w:cs="MS Sans Serif"/>
          <w:snapToGrid w:val="0"/>
          <w:color w:val="000000"/>
          <w:sz w:val="16"/>
          <w:szCs w:val="16"/>
        </w:rPr>
        <w:t>bref</w:t>
      </w:r>
      <w:proofErr w:type="spellEnd"/>
      <w:proofErr w:type="gramEnd"/>
      <w:r>
        <w:rPr>
          <w:rFonts w:ascii="MS Sans Serif" w:hAnsi="MS Sans Serif" w:cs="MS Sans Serif"/>
          <w:snapToGrid w:val="0"/>
          <w:color w:val="000000"/>
          <w:sz w:val="16"/>
          <w:szCs w:val="16"/>
        </w:rPr>
        <w:t>[</w:t>
      </w:r>
      <w:r w:rsidRPr="009F3367">
        <w:rPr>
          <w:rFonts w:ascii="MS Sans Serif" w:hAnsi="MS Sans Serif" w:cs="MS Sans Serif"/>
          <w:smallCaps/>
          <w:snapToGrid w:val="0"/>
          <w:color w:val="000000"/>
          <w:sz w:val="16"/>
          <w:szCs w:val="16"/>
        </w:rPr>
        <w:t>Sanabria, Emilia</w:t>
      </w:r>
      <w:r>
        <w:rPr>
          <w:rFonts w:ascii="MS Sans Serif" w:hAnsi="MS Sans Serif" w:cs="MS Sans Serif"/>
          <w:smallCaps/>
          <w:snapToGrid w:val="0"/>
          <w:color w:val="000000"/>
          <w:sz w:val="16"/>
          <w:szCs w:val="16"/>
        </w:rPr>
        <w:t xml:space="preserve">. </w:t>
      </w:r>
      <w:r w:rsidRPr="009F3367">
        <w:rPr>
          <w:rFonts w:ascii="MS Sans Serif" w:hAnsi="MS Sans Serif" w:cs="MS Sans Serif"/>
          <w:i/>
          <w:iCs/>
          <w:snapToGrid w:val="0"/>
          <w:color w:val="000000"/>
          <w:sz w:val="16"/>
          <w:szCs w:val="16"/>
        </w:rPr>
        <w:t>Plastic bodies: sex hormones and menstrual suppression in Brazil</w:t>
      </w:r>
      <w:r>
        <w:rPr>
          <w:rFonts w:ascii="MS Sans Serif" w:hAnsi="MS Sans Serif" w:cs="MS Sans Serif"/>
          <w:i/>
          <w:iCs/>
          <w:snapToGrid w:val="0"/>
          <w:color w:val="000000"/>
          <w:sz w:val="16"/>
          <w:szCs w:val="16"/>
        </w:rPr>
        <w:t xml:space="preserve">. </w:t>
      </w:r>
      <w:r>
        <w:rPr>
          <w:rFonts w:ascii="MS Sans Serif" w:hAnsi="MS Sans Serif" w:cs="MS Sans Serif"/>
          <w:snapToGrid w:val="0"/>
          <w:color w:val="000000"/>
          <w:sz w:val="16"/>
          <w:szCs w:val="16"/>
        </w:rPr>
        <w:t xml:space="preserve">xi, 252 pp., table, illus., </w:t>
      </w:r>
      <w:proofErr w:type="spellStart"/>
      <w:r>
        <w:rPr>
          <w:rFonts w:ascii="MS Sans Serif" w:hAnsi="MS Sans Serif" w:cs="MS Sans Serif"/>
          <w:snapToGrid w:val="0"/>
          <w:color w:val="000000"/>
          <w:sz w:val="16"/>
          <w:szCs w:val="16"/>
        </w:rPr>
        <w:t>bibliogr</w:t>
      </w:r>
      <w:proofErr w:type="spellEnd"/>
      <w:r>
        <w:rPr>
          <w:rFonts w:ascii="MS Sans Serif" w:hAnsi="MS Sans Serif" w:cs="MS Sans Serif"/>
          <w:snapToGrid w:val="0"/>
          <w:color w:val="000000"/>
          <w:sz w:val="16"/>
          <w:szCs w:val="16"/>
        </w:rPr>
        <w:t xml:space="preserve">. Durham, N.C.: Duke Univ. Press, 2016. </w:t>
      </w:r>
      <w:r>
        <w:rPr>
          <w:rFonts w:ascii="MS Sans Serif" w:hAnsi="MS Sans Serif"/>
        </w:rPr>
        <w:tab/>
      </w:r>
      <w:r>
        <w:rPr>
          <w:rFonts w:ascii="MS Sans Serif" w:hAnsi="MS Sans Serif" w:cs="MS Sans Serif"/>
          <w:snapToGrid w:val="0"/>
          <w:color w:val="000000"/>
          <w:sz w:val="16"/>
          <w:szCs w:val="16"/>
        </w:rPr>
        <w:t>£20.99 (paper)</w:t>
      </w:r>
    </w:p>
    <w:p w14:paraId="14C8E028" w14:textId="77777777" w:rsidR="00666020" w:rsidRDefault="00666020" w:rsidP="00666020">
      <w:pPr>
        <w:widowControl w:val="0"/>
        <w:tabs>
          <w:tab w:val="left" w:pos="105"/>
          <w:tab w:val="left" w:pos="1470"/>
        </w:tabs>
        <w:autoSpaceDE w:val="0"/>
        <w:autoSpaceDN w:val="0"/>
        <w:adjustRightInd w:val="0"/>
        <w:spacing w:line="195" w:lineRule="exact"/>
        <w:ind w:firstLine="0"/>
        <w:rPr>
          <w:rFonts w:ascii="MS Sans Serif" w:hAnsi="MS Sans Serif" w:cs="MS Sans Serif"/>
          <w:snapToGrid w:val="0"/>
          <w:color w:val="000000"/>
          <w:sz w:val="16"/>
          <w:szCs w:val="16"/>
        </w:rPr>
      </w:pPr>
    </w:p>
    <w:p w14:paraId="794C21BD" w14:textId="77777777" w:rsidR="00666020" w:rsidRDefault="00666020" w:rsidP="00666020">
      <w:pPr>
        <w:widowControl w:val="0"/>
        <w:tabs>
          <w:tab w:val="left" w:pos="105"/>
          <w:tab w:val="left" w:pos="1470"/>
        </w:tabs>
        <w:autoSpaceDE w:val="0"/>
        <w:autoSpaceDN w:val="0"/>
        <w:adjustRightInd w:val="0"/>
        <w:spacing w:line="195" w:lineRule="exact"/>
        <w:ind w:firstLine="0"/>
        <w:rPr>
          <w:rFonts w:ascii="MS Sans Serif" w:hAnsi="MS Sans Serif"/>
        </w:rPr>
      </w:pPr>
    </w:p>
    <w:p w14:paraId="78B74D3D" w14:textId="77777777" w:rsidR="00666020" w:rsidRPr="007146A2" w:rsidRDefault="00666020" w:rsidP="00666020">
      <w:pPr>
        <w:ind w:firstLine="0"/>
        <w:contextualSpacing/>
        <w:rPr>
          <w:rFonts w:ascii="Times New Roman" w:hAnsi="Times New Roman" w:cs="Times New Roman"/>
        </w:rPr>
      </w:pPr>
      <w:r>
        <w:rPr>
          <w:rFonts w:ascii="Times New Roman" w:hAnsi="Times New Roman" w:cs="Times New Roman"/>
        </w:rPr>
        <w:t>]</w:t>
      </w:r>
      <w:proofErr w:type="spellStart"/>
      <w:proofErr w:type="gramStart"/>
      <w:r>
        <w:rPr>
          <w:rFonts w:ascii="Times New Roman" w:hAnsi="Times New Roman" w:cs="Times New Roman"/>
        </w:rPr>
        <w:t>rp</w:t>
      </w:r>
      <w:proofErr w:type="spellEnd"/>
      <w:r>
        <w:rPr>
          <w:rFonts w:ascii="Times New Roman" w:hAnsi="Times New Roman" w:cs="Times New Roman"/>
        </w:rPr>
        <w:t>[</w:t>
      </w:r>
      <w:proofErr w:type="gramEnd"/>
      <w:r w:rsidRPr="007146A2">
        <w:rPr>
          <w:rFonts w:ascii="Times New Roman" w:hAnsi="Times New Roman" w:cs="Times New Roman"/>
        </w:rPr>
        <w:t xml:space="preserve">In </w:t>
      </w:r>
      <w:r w:rsidRPr="007146A2">
        <w:rPr>
          <w:rFonts w:ascii="Times New Roman" w:hAnsi="Times New Roman" w:cs="Times New Roman"/>
          <w:i/>
        </w:rPr>
        <w:t>Plastic bodies</w:t>
      </w:r>
      <w:r>
        <w:rPr>
          <w:rFonts w:ascii="Times New Roman" w:hAnsi="Times New Roman" w:cs="Times New Roman"/>
          <w:iCs/>
        </w:rPr>
        <w:t>,</w:t>
      </w:r>
      <w:r w:rsidRPr="007146A2">
        <w:rPr>
          <w:rFonts w:ascii="Times New Roman" w:hAnsi="Times New Roman" w:cs="Times New Roman"/>
        </w:rPr>
        <w:t xml:space="preserve"> Emilia Sanabria skilfully explores the intertwinement of menstruation management and sex hormones use in the city of Salvador de Bahia, Brazil. She shows how these phenomena reverberate far beyond individuals, rippling through social classes and social relationships, ideas of race, educational status, state and private healthcare systems, politics, economies, and experiences</w:t>
      </w:r>
      <w:r>
        <w:rPr>
          <w:rFonts w:ascii="Times New Roman" w:hAnsi="Times New Roman" w:cs="Times New Roman"/>
        </w:rPr>
        <w:t>,</w:t>
      </w:r>
      <w:r w:rsidRPr="007146A2">
        <w:rPr>
          <w:rFonts w:ascii="Times New Roman" w:hAnsi="Times New Roman" w:cs="Times New Roman"/>
        </w:rPr>
        <w:t xml:space="preserve"> as well as</w:t>
      </w:r>
      <w:r>
        <w:rPr>
          <w:rFonts w:ascii="Times New Roman" w:hAnsi="Times New Roman" w:cs="Times New Roman"/>
        </w:rPr>
        <w:t xml:space="preserve"> shaping</w:t>
      </w:r>
      <w:r w:rsidRPr="007146A2">
        <w:rPr>
          <w:rFonts w:ascii="Times New Roman" w:hAnsi="Times New Roman" w:cs="Times New Roman"/>
        </w:rPr>
        <w:t xml:space="preserve"> understandings of pain, discomfort, and personal hygiene. Starting from a description of menstrual suppression observed in Salvador, this meticulously structured ethnography cuts through the neoliberal notions of choice, forces of pharmaceutical marketing, and shockingly flexible interpretations of evidence-based medicine in Bahia to talk about understandings of bodies as malleable</w:t>
      </w:r>
      <w:r>
        <w:rPr>
          <w:rFonts w:ascii="Times New Roman" w:hAnsi="Times New Roman" w:cs="Times New Roman"/>
        </w:rPr>
        <w:t>,</w:t>
      </w:r>
      <w:r w:rsidRPr="007146A2">
        <w:rPr>
          <w:rFonts w:ascii="Times New Roman" w:hAnsi="Times New Roman" w:cs="Times New Roman"/>
        </w:rPr>
        <w:t xml:space="preserve"> or plastic. Rather than being a trait that allows the use of bodies to achieve personal aspirations, this plasticity is something to be managed through continuous observations of one’s body and appropriate work on it to achieve desired goals, expressed in categories of sexual desire, emotional balance, and/or beauty, among others.</w:t>
      </w:r>
    </w:p>
    <w:p w14:paraId="2B1B077C" w14:textId="77777777" w:rsidR="00666020" w:rsidRPr="007146A2" w:rsidRDefault="00666020" w:rsidP="00666020">
      <w:pPr>
        <w:contextualSpacing/>
        <w:rPr>
          <w:rFonts w:ascii="Times New Roman" w:hAnsi="Times New Roman" w:cs="Times New Roman"/>
        </w:rPr>
      </w:pPr>
      <w:r>
        <w:rPr>
          <w:rFonts w:ascii="Times New Roman" w:hAnsi="Times New Roman" w:cs="Times New Roman"/>
        </w:rPr>
        <w:t>]rp1[</w:t>
      </w:r>
      <w:r w:rsidRPr="007146A2">
        <w:rPr>
          <w:rFonts w:ascii="Times New Roman" w:hAnsi="Times New Roman" w:cs="Times New Roman"/>
        </w:rPr>
        <w:t>The details of the multi-sited fieldwork beautifully parallel and reflect the complexity and mobility of the issue at hand. Sanabria spends time in all sorts of spaces, from houses to public and private health clinics, conferences, pharmacies</w:t>
      </w:r>
      <w:r>
        <w:rPr>
          <w:rFonts w:ascii="Times New Roman" w:hAnsi="Times New Roman" w:cs="Times New Roman"/>
        </w:rPr>
        <w:t>,</w:t>
      </w:r>
      <w:r w:rsidRPr="007146A2">
        <w:rPr>
          <w:rFonts w:ascii="Times New Roman" w:hAnsi="Times New Roman" w:cs="Times New Roman"/>
        </w:rPr>
        <w:t xml:space="preserve"> and drug manufacture</w:t>
      </w:r>
      <w:r>
        <w:rPr>
          <w:rFonts w:ascii="Times New Roman" w:hAnsi="Times New Roman" w:cs="Times New Roman"/>
        </w:rPr>
        <w:t>r</w:t>
      </w:r>
      <w:r w:rsidRPr="007146A2">
        <w:rPr>
          <w:rFonts w:ascii="Times New Roman" w:hAnsi="Times New Roman" w:cs="Times New Roman"/>
        </w:rPr>
        <w:t>s, and speaks to people from across a variety of social classes and professions, exploring their motivations and goals around</w:t>
      </w:r>
      <w:r>
        <w:rPr>
          <w:rFonts w:ascii="Times New Roman" w:hAnsi="Times New Roman" w:cs="Times New Roman"/>
        </w:rPr>
        <w:t xml:space="preserve"> both</w:t>
      </w:r>
      <w:r w:rsidRPr="007146A2">
        <w:rPr>
          <w:rFonts w:ascii="Times New Roman" w:hAnsi="Times New Roman" w:cs="Times New Roman"/>
        </w:rPr>
        <w:t xml:space="preserve"> managing menstruation and sex hormones use. From this, she constructs an intricate network of tensions and frictions that must be constantly negotiated in pursuit of </w:t>
      </w:r>
      <w:r>
        <w:rPr>
          <w:rFonts w:ascii="Times New Roman" w:hAnsi="Times New Roman" w:cs="Times New Roman"/>
        </w:rPr>
        <w:t>the</w:t>
      </w:r>
      <w:r w:rsidRPr="007146A2">
        <w:rPr>
          <w:rFonts w:ascii="Times New Roman" w:hAnsi="Times New Roman" w:cs="Times New Roman"/>
        </w:rPr>
        <w:t xml:space="preserve"> desired, self-enhanced body.</w:t>
      </w:r>
    </w:p>
    <w:p w14:paraId="46FAF04C" w14:textId="77777777" w:rsidR="00666020" w:rsidRPr="007146A2" w:rsidRDefault="00666020" w:rsidP="00666020">
      <w:pPr>
        <w:contextualSpacing/>
        <w:rPr>
          <w:rFonts w:ascii="Times New Roman" w:hAnsi="Times New Roman" w:cs="Times New Roman"/>
        </w:rPr>
      </w:pPr>
      <w:r>
        <w:rPr>
          <w:rFonts w:ascii="Times New Roman" w:hAnsi="Times New Roman" w:cs="Times New Roman"/>
        </w:rPr>
        <w:t>]rp1[</w:t>
      </w:r>
      <w:r w:rsidRPr="007146A2">
        <w:rPr>
          <w:rFonts w:ascii="Times New Roman" w:hAnsi="Times New Roman" w:cs="Times New Roman"/>
        </w:rPr>
        <w:t xml:space="preserve">Sanabria </w:t>
      </w:r>
      <w:r>
        <w:rPr>
          <w:rFonts w:ascii="Times New Roman" w:hAnsi="Times New Roman" w:cs="Times New Roman"/>
        </w:rPr>
        <w:t xml:space="preserve">also </w:t>
      </w:r>
      <w:r w:rsidRPr="007146A2">
        <w:rPr>
          <w:rFonts w:ascii="Times New Roman" w:hAnsi="Times New Roman" w:cs="Times New Roman"/>
        </w:rPr>
        <w:t>investigates how the use of sex hormones in Salvador has become relatively divorced from its contraceptive function. She dutifully explores this angle, which helps to display rather curious discourses around what is considered to be ‘natural’ when it comes to monthly menstruation (</w:t>
      </w:r>
      <w:r>
        <w:rPr>
          <w:rFonts w:ascii="Times New Roman" w:hAnsi="Times New Roman" w:cs="Times New Roman"/>
        </w:rPr>
        <w:t>cf. c</w:t>
      </w:r>
      <w:r w:rsidRPr="007146A2">
        <w:rPr>
          <w:rFonts w:ascii="Times New Roman" w:hAnsi="Times New Roman" w:cs="Times New Roman"/>
        </w:rPr>
        <w:t>hap</w:t>
      </w:r>
      <w:r>
        <w:rPr>
          <w:rFonts w:ascii="Times New Roman" w:hAnsi="Times New Roman" w:cs="Times New Roman"/>
        </w:rPr>
        <w:t>.</w:t>
      </w:r>
      <w:r w:rsidRPr="007146A2">
        <w:rPr>
          <w:rFonts w:ascii="Times New Roman" w:hAnsi="Times New Roman" w:cs="Times New Roman"/>
        </w:rPr>
        <w:t xml:space="preserve"> 2). While many of these claims can be attributed to </w:t>
      </w:r>
      <w:r w:rsidRPr="007146A2">
        <w:rPr>
          <w:rFonts w:ascii="Times New Roman" w:hAnsi="Times New Roman" w:cs="Times New Roman"/>
        </w:rPr>
        <w:lastRenderedPageBreak/>
        <w:t>‘</w:t>
      </w:r>
      <w:proofErr w:type="spellStart"/>
      <w:r w:rsidRPr="007146A2">
        <w:rPr>
          <w:rFonts w:ascii="Times New Roman" w:hAnsi="Times New Roman" w:cs="Times New Roman"/>
        </w:rPr>
        <w:t>paleofantasies</w:t>
      </w:r>
      <w:proofErr w:type="spellEnd"/>
      <w:r w:rsidRPr="007146A2">
        <w:rPr>
          <w:rFonts w:ascii="Times New Roman" w:hAnsi="Times New Roman" w:cs="Times New Roman"/>
        </w:rPr>
        <w:t>’ that fetishize an idea of the primitive (p. 101), Sanabria does not give in to a simple interpretation. Instead, she convincingly argues that Bahian women experience an irresolvable tension between the practicality of being able to suppress menstruation and the fact that withholding menstrual blood is frequently perceived as dangerous to health, which in turn leads to suspending the suppression.</w:t>
      </w:r>
    </w:p>
    <w:p w14:paraId="23E15BB1" w14:textId="77777777" w:rsidR="00666020" w:rsidRPr="007146A2" w:rsidRDefault="00666020" w:rsidP="00666020">
      <w:pPr>
        <w:contextualSpacing/>
        <w:rPr>
          <w:rFonts w:ascii="Times New Roman" w:hAnsi="Times New Roman" w:cs="Times New Roman"/>
        </w:rPr>
      </w:pPr>
      <w:r>
        <w:rPr>
          <w:rFonts w:ascii="Times New Roman" w:hAnsi="Times New Roman" w:cs="Times New Roman"/>
        </w:rPr>
        <w:t>]rp1[</w:t>
      </w:r>
      <w:r w:rsidRPr="007146A2">
        <w:rPr>
          <w:rFonts w:ascii="Times New Roman" w:hAnsi="Times New Roman" w:cs="Times New Roman"/>
        </w:rPr>
        <w:t>The</w:t>
      </w:r>
      <w:r>
        <w:rPr>
          <w:rFonts w:ascii="Times New Roman" w:hAnsi="Times New Roman" w:cs="Times New Roman"/>
        </w:rPr>
        <w:t xml:space="preserve"> book’s</w:t>
      </w:r>
      <w:r w:rsidRPr="007146A2">
        <w:rPr>
          <w:rFonts w:ascii="Times New Roman" w:hAnsi="Times New Roman" w:cs="Times New Roman"/>
        </w:rPr>
        <w:t xml:space="preserve"> second part carefully follows the paths of sex hormones use, exposing their biopolitical significance, in addition to discussing how people forge the meanings of using such hormones for themselves – </w:t>
      </w:r>
      <w:r>
        <w:rPr>
          <w:rFonts w:ascii="Times New Roman" w:hAnsi="Times New Roman" w:cs="Times New Roman"/>
        </w:rPr>
        <w:t>to</w:t>
      </w:r>
      <w:r w:rsidRPr="007146A2">
        <w:rPr>
          <w:rFonts w:ascii="Times New Roman" w:hAnsi="Times New Roman" w:cs="Times New Roman"/>
        </w:rPr>
        <w:t xml:space="preserve"> increas</w:t>
      </w:r>
      <w:r>
        <w:rPr>
          <w:rFonts w:ascii="Times New Roman" w:hAnsi="Times New Roman" w:cs="Times New Roman"/>
        </w:rPr>
        <w:t>es the</w:t>
      </w:r>
      <w:r w:rsidRPr="007146A2">
        <w:rPr>
          <w:rFonts w:ascii="Times New Roman" w:hAnsi="Times New Roman" w:cs="Times New Roman"/>
        </w:rPr>
        <w:t xml:space="preserve"> libido, enhanc</w:t>
      </w:r>
      <w:r>
        <w:rPr>
          <w:rFonts w:ascii="Times New Roman" w:hAnsi="Times New Roman" w:cs="Times New Roman"/>
        </w:rPr>
        <w:t>e</w:t>
      </w:r>
      <w:r w:rsidRPr="007146A2">
        <w:rPr>
          <w:rFonts w:ascii="Times New Roman" w:hAnsi="Times New Roman" w:cs="Times New Roman"/>
        </w:rPr>
        <w:t xml:space="preserve"> female qualities</w:t>
      </w:r>
      <w:r>
        <w:rPr>
          <w:rFonts w:ascii="Times New Roman" w:hAnsi="Times New Roman" w:cs="Times New Roman"/>
        </w:rPr>
        <w:t>,</w:t>
      </w:r>
      <w:r w:rsidRPr="007146A2">
        <w:rPr>
          <w:rFonts w:ascii="Times New Roman" w:hAnsi="Times New Roman" w:cs="Times New Roman"/>
        </w:rPr>
        <w:t xml:space="preserve"> or regulat</w:t>
      </w:r>
      <w:r>
        <w:rPr>
          <w:rFonts w:ascii="Times New Roman" w:hAnsi="Times New Roman" w:cs="Times New Roman"/>
        </w:rPr>
        <w:t>e</w:t>
      </w:r>
      <w:r w:rsidRPr="007146A2">
        <w:rPr>
          <w:rFonts w:ascii="Times New Roman" w:hAnsi="Times New Roman" w:cs="Times New Roman"/>
        </w:rPr>
        <w:t xml:space="preserve"> emotions. </w:t>
      </w:r>
      <w:r>
        <w:rPr>
          <w:rFonts w:ascii="Times New Roman" w:hAnsi="Times New Roman" w:cs="Times New Roman"/>
        </w:rPr>
        <w:t>Despite the</w:t>
      </w:r>
      <w:r w:rsidRPr="007146A2">
        <w:rPr>
          <w:rFonts w:ascii="Times New Roman" w:hAnsi="Times New Roman" w:cs="Times New Roman"/>
        </w:rPr>
        <w:t xml:space="preserve"> great social inequalities characteri</w:t>
      </w:r>
      <w:r>
        <w:rPr>
          <w:rFonts w:ascii="Times New Roman" w:hAnsi="Times New Roman" w:cs="Times New Roman"/>
        </w:rPr>
        <w:t>z</w:t>
      </w:r>
      <w:r w:rsidRPr="007146A2">
        <w:rPr>
          <w:rFonts w:ascii="Times New Roman" w:hAnsi="Times New Roman" w:cs="Times New Roman"/>
        </w:rPr>
        <w:t xml:space="preserve">ing Brazilian healthcare provision, the unregulated overmedication that is so characteristic of biomedicine in </w:t>
      </w:r>
      <w:r>
        <w:rPr>
          <w:rFonts w:ascii="Times New Roman" w:hAnsi="Times New Roman" w:cs="Times New Roman"/>
        </w:rPr>
        <w:t>the nation</w:t>
      </w:r>
      <w:r w:rsidRPr="007146A2">
        <w:rPr>
          <w:rFonts w:ascii="Times New Roman" w:hAnsi="Times New Roman" w:cs="Times New Roman"/>
        </w:rPr>
        <w:t xml:space="preserve"> (and most of Latin America) finds its way to all social classes, fuelled by neoliberal discourses of choice and local ideas of self-enhancement. </w:t>
      </w:r>
      <w:r w:rsidRPr="009C5C23">
        <w:rPr>
          <w:rFonts w:ascii="Times New Roman" w:hAnsi="Times New Roman" w:cs="Times New Roman"/>
        </w:rPr>
        <w:t>S</w:t>
      </w:r>
      <w:r w:rsidRPr="009C5C23">
        <w:rPr>
          <w:rFonts w:ascii="Times New Roman" w:hAnsi="Times New Roman" w:cs="Times New Roman"/>
          <w:rPrChange w:id="0" w:author="Karolina Kuberska" w:date="2020-05-28T18:54:00Z">
            <w:rPr/>
          </w:rPrChange>
        </w:rPr>
        <w:t>anabria carefully points out that forms of citizenship are linked to forms of healthcare that people can afford and/or access</w:t>
      </w:r>
      <w:r w:rsidRPr="009C5C23">
        <w:rPr>
          <w:rFonts w:ascii="Times New Roman" w:hAnsi="Times New Roman" w:cs="Times New Roman"/>
        </w:rPr>
        <w:t>.</w:t>
      </w:r>
      <w:r w:rsidRPr="007146A2">
        <w:rPr>
          <w:rFonts w:ascii="Times New Roman" w:hAnsi="Times New Roman" w:cs="Times New Roman"/>
        </w:rPr>
        <w:t xml:space="preserve"> While private clinics attend to patients’ autonomy and choice, state-run clinics focus on limiting excessive fertility, fram</w:t>
      </w:r>
      <w:r>
        <w:rPr>
          <w:rFonts w:ascii="Times New Roman" w:hAnsi="Times New Roman" w:cs="Times New Roman"/>
        </w:rPr>
        <w:t xml:space="preserve">ing this </w:t>
      </w:r>
      <w:r w:rsidRPr="007146A2">
        <w:rPr>
          <w:rFonts w:ascii="Times New Roman" w:hAnsi="Times New Roman" w:cs="Times New Roman"/>
        </w:rPr>
        <w:t xml:space="preserve">as ‘the individual’s moral responsibility to a wider </w:t>
      </w:r>
      <w:proofErr w:type="spellStart"/>
      <w:r w:rsidRPr="007146A2">
        <w:rPr>
          <w:rFonts w:ascii="Times New Roman" w:hAnsi="Times New Roman" w:cs="Times New Roman"/>
        </w:rPr>
        <w:t>collectivity</w:t>
      </w:r>
      <w:proofErr w:type="spellEnd"/>
      <w:r w:rsidRPr="007146A2">
        <w:rPr>
          <w:rFonts w:ascii="Times New Roman" w:hAnsi="Times New Roman" w:cs="Times New Roman"/>
        </w:rPr>
        <w:t xml:space="preserve">’ (p. 132). </w:t>
      </w:r>
      <w:r>
        <w:rPr>
          <w:rFonts w:ascii="Times New Roman" w:hAnsi="Times New Roman" w:cs="Times New Roman"/>
        </w:rPr>
        <w:t>For</w:t>
      </w:r>
      <w:r w:rsidRPr="007146A2">
        <w:rPr>
          <w:rFonts w:ascii="Times New Roman" w:hAnsi="Times New Roman" w:cs="Times New Roman"/>
        </w:rPr>
        <w:t xml:space="preserve"> the urban poor,</w:t>
      </w:r>
      <w:r>
        <w:rPr>
          <w:rFonts w:ascii="Times New Roman" w:hAnsi="Times New Roman" w:cs="Times New Roman"/>
        </w:rPr>
        <w:t xml:space="preserve"> the use of</w:t>
      </w:r>
      <w:r w:rsidRPr="007146A2">
        <w:rPr>
          <w:rFonts w:ascii="Times New Roman" w:hAnsi="Times New Roman" w:cs="Times New Roman"/>
        </w:rPr>
        <w:t xml:space="preserve"> sex hormones in the form of contraceptives </w:t>
      </w:r>
      <w:r>
        <w:rPr>
          <w:rFonts w:ascii="Times New Roman" w:hAnsi="Times New Roman" w:cs="Times New Roman"/>
        </w:rPr>
        <w:t xml:space="preserve">is </w:t>
      </w:r>
      <w:r w:rsidRPr="007146A2">
        <w:rPr>
          <w:rFonts w:ascii="Times New Roman" w:hAnsi="Times New Roman" w:cs="Times New Roman"/>
        </w:rPr>
        <w:t xml:space="preserve">associated with private healthcare </w:t>
      </w:r>
      <w:r>
        <w:rPr>
          <w:rFonts w:ascii="Times New Roman" w:hAnsi="Times New Roman" w:cs="Times New Roman"/>
        </w:rPr>
        <w:t xml:space="preserve">and </w:t>
      </w:r>
      <w:r w:rsidRPr="007146A2">
        <w:rPr>
          <w:rFonts w:ascii="Times New Roman" w:hAnsi="Times New Roman" w:cs="Times New Roman"/>
        </w:rPr>
        <w:t>can symboli</w:t>
      </w:r>
      <w:r>
        <w:rPr>
          <w:rFonts w:ascii="Times New Roman" w:hAnsi="Times New Roman" w:cs="Times New Roman"/>
        </w:rPr>
        <w:t>z</w:t>
      </w:r>
      <w:r w:rsidRPr="007146A2">
        <w:rPr>
          <w:rFonts w:ascii="Times New Roman" w:hAnsi="Times New Roman" w:cs="Times New Roman"/>
        </w:rPr>
        <w:t>e class ascension (p. 131).</w:t>
      </w:r>
    </w:p>
    <w:p w14:paraId="1787651A" w14:textId="77777777" w:rsidR="00666020" w:rsidRPr="007146A2" w:rsidRDefault="00666020" w:rsidP="00666020">
      <w:pPr>
        <w:contextualSpacing/>
        <w:rPr>
          <w:rFonts w:ascii="Times New Roman" w:hAnsi="Times New Roman" w:cs="Times New Roman"/>
        </w:rPr>
      </w:pPr>
      <w:r>
        <w:rPr>
          <w:rFonts w:ascii="Times New Roman" w:hAnsi="Times New Roman" w:cs="Times New Roman"/>
        </w:rPr>
        <w:t>]rp1[</w:t>
      </w:r>
      <w:r w:rsidRPr="007146A2">
        <w:rPr>
          <w:rFonts w:ascii="Times New Roman" w:hAnsi="Times New Roman" w:cs="Times New Roman"/>
        </w:rPr>
        <w:t>What sets Sanabria’s work apart is, on the one hand, the logical multiplicity of participants and sites described, and</w:t>
      </w:r>
      <w:r>
        <w:rPr>
          <w:rFonts w:ascii="Times New Roman" w:hAnsi="Times New Roman" w:cs="Times New Roman"/>
        </w:rPr>
        <w:t>,</w:t>
      </w:r>
      <w:r w:rsidRPr="007146A2">
        <w:rPr>
          <w:rFonts w:ascii="Times New Roman" w:hAnsi="Times New Roman" w:cs="Times New Roman"/>
        </w:rPr>
        <w:t xml:space="preserve"> on the other, her skilful deployment of the complexity of women’s reproductive physiology through </w:t>
      </w:r>
      <w:r>
        <w:rPr>
          <w:rFonts w:ascii="Times New Roman" w:hAnsi="Times New Roman" w:cs="Times New Roman"/>
        </w:rPr>
        <w:t xml:space="preserve">the fact of </w:t>
      </w:r>
      <w:r w:rsidRPr="007146A2">
        <w:rPr>
          <w:rFonts w:ascii="Times New Roman" w:hAnsi="Times New Roman" w:cs="Times New Roman"/>
        </w:rPr>
        <w:t>menstruation, which women are taught to effectively manage and expertly conceal. Menstruation might rarely make headlines, but it occupies a meaningful portion of most women’s time, attention, and thoughts at least for a few decades</w:t>
      </w:r>
      <w:r>
        <w:rPr>
          <w:rFonts w:ascii="Times New Roman" w:hAnsi="Times New Roman" w:cs="Times New Roman"/>
        </w:rPr>
        <w:t xml:space="preserve"> of their lives</w:t>
      </w:r>
      <w:r w:rsidRPr="007146A2">
        <w:rPr>
          <w:rFonts w:ascii="Times New Roman" w:hAnsi="Times New Roman" w:cs="Times New Roman"/>
        </w:rPr>
        <w:t>. This ethnography affords it the time, space, and attention that are commensurate with menstruation’s significance, without either glorifying or demoni</w:t>
      </w:r>
      <w:r>
        <w:rPr>
          <w:rFonts w:ascii="Times New Roman" w:hAnsi="Times New Roman" w:cs="Times New Roman"/>
        </w:rPr>
        <w:t>z</w:t>
      </w:r>
      <w:r w:rsidRPr="007146A2">
        <w:rPr>
          <w:rFonts w:ascii="Times New Roman" w:hAnsi="Times New Roman" w:cs="Times New Roman"/>
        </w:rPr>
        <w:t>ing female biology.</w:t>
      </w:r>
    </w:p>
    <w:p w14:paraId="403E5B14" w14:textId="77777777" w:rsidR="00666020" w:rsidRPr="007146A2" w:rsidRDefault="00666020" w:rsidP="00666020">
      <w:pPr>
        <w:contextualSpacing/>
        <w:rPr>
          <w:rFonts w:ascii="Times New Roman" w:hAnsi="Times New Roman" w:cs="Times New Roman"/>
        </w:rPr>
      </w:pPr>
      <w:r>
        <w:rPr>
          <w:rFonts w:ascii="Times New Roman" w:hAnsi="Times New Roman" w:cs="Times New Roman"/>
        </w:rPr>
        <w:lastRenderedPageBreak/>
        <w:t>]rp1[</w:t>
      </w:r>
      <w:r w:rsidRPr="007146A2">
        <w:rPr>
          <w:rFonts w:ascii="Times New Roman" w:hAnsi="Times New Roman" w:cs="Times New Roman"/>
        </w:rPr>
        <w:t>If there is a flaw in the work, it would be</w:t>
      </w:r>
      <w:r>
        <w:rPr>
          <w:rFonts w:ascii="Times New Roman" w:hAnsi="Times New Roman" w:cs="Times New Roman"/>
        </w:rPr>
        <w:t xml:space="preserve"> that it</w:t>
      </w:r>
      <w:r w:rsidRPr="007146A2">
        <w:rPr>
          <w:rFonts w:ascii="Times New Roman" w:hAnsi="Times New Roman" w:cs="Times New Roman"/>
        </w:rPr>
        <w:t xml:space="preserve"> fail</w:t>
      </w:r>
      <w:r>
        <w:rPr>
          <w:rFonts w:ascii="Times New Roman" w:hAnsi="Times New Roman" w:cs="Times New Roman"/>
        </w:rPr>
        <w:t>s</w:t>
      </w:r>
      <w:r w:rsidRPr="007146A2">
        <w:rPr>
          <w:rFonts w:ascii="Times New Roman" w:hAnsi="Times New Roman" w:cs="Times New Roman"/>
        </w:rPr>
        <w:t xml:space="preserve"> to unpick the notion of </w:t>
      </w:r>
      <w:r>
        <w:rPr>
          <w:rFonts w:ascii="Times New Roman" w:hAnsi="Times New Roman" w:cs="Times New Roman"/>
        </w:rPr>
        <w:t xml:space="preserve">‘menstrual </w:t>
      </w:r>
      <w:r w:rsidRPr="007146A2">
        <w:rPr>
          <w:rFonts w:ascii="Times New Roman" w:hAnsi="Times New Roman" w:cs="Times New Roman"/>
        </w:rPr>
        <w:t>blood</w:t>
      </w:r>
      <w:r>
        <w:rPr>
          <w:rFonts w:ascii="Times New Roman" w:hAnsi="Times New Roman" w:cs="Times New Roman"/>
        </w:rPr>
        <w:t>’</w:t>
      </w:r>
      <w:r w:rsidRPr="007146A2">
        <w:rPr>
          <w:rFonts w:ascii="Times New Roman" w:hAnsi="Times New Roman" w:cs="Times New Roman"/>
        </w:rPr>
        <w:t>. Granted, there are consistent hints in both</w:t>
      </w:r>
      <w:r>
        <w:rPr>
          <w:rFonts w:ascii="Times New Roman" w:hAnsi="Times New Roman" w:cs="Times New Roman"/>
        </w:rPr>
        <w:t xml:space="preserve"> the</w:t>
      </w:r>
      <w:r w:rsidRPr="007146A2">
        <w:rPr>
          <w:rFonts w:ascii="Times New Roman" w:hAnsi="Times New Roman" w:cs="Times New Roman"/>
        </w:rPr>
        <w:t xml:space="preserve"> ethnographic descriptions and analysis that suggest that it is perceived as somehow different from the blood circulating in the veins. Nonetheless, there is not much explicit fleshing out of this particular topic, in contrast to </w:t>
      </w:r>
      <w:r>
        <w:rPr>
          <w:rFonts w:ascii="Times New Roman" w:hAnsi="Times New Roman" w:cs="Times New Roman"/>
        </w:rPr>
        <w:t>its</w:t>
      </w:r>
      <w:r w:rsidRPr="007146A2">
        <w:rPr>
          <w:rFonts w:ascii="Times New Roman" w:hAnsi="Times New Roman" w:cs="Times New Roman"/>
        </w:rPr>
        <w:t xml:space="preserve"> specialist discussion of various types of sex hormones used for hormonal contraceptives.</w:t>
      </w:r>
    </w:p>
    <w:p w14:paraId="3338F6CB" w14:textId="77777777" w:rsidR="00666020" w:rsidRPr="007146A2" w:rsidRDefault="00666020" w:rsidP="00666020">
      <w:pPr>
        <w:contextualSpacing/>
        <w:rPr>
          <w:rFonts w:ascii="Times New Roman" w:hAnsi="Times New Roman" w:cs="Times New Roman"/>
        </w:rPr>
      </w:pPr>
      <w:r>
        <w:rPr>
          <w:rFonts w:ascii="Times New Roman" w:hAnsi="Times New Roman" w:cs="Times New Roman"/>
        </w:rPr>
        <w:t>]rp1[</w:t>
      </w:r>
      <w:r w:rsidRPr="007146A2">
        <w:rPr>
          <w:rFonts w:ascii="Times New Roman" w:hAnsi="Times New Roman" w:cs="Times New Roman"/>
        </w:rPr>
        <w:t xml:space="preserve">Convincingly argued and engaging, </w:t>
      </w:r>
      <w:r w:rsidRPr="007146A2">
        <w:rPr>
          <w:rFonts w:ascii="Times New Roman" w:hAnsi="Times New Roman" w:cs="Times New Roman"/>
          <w:i/>
        </w:rPr>
        <w:t>Plastic bodies</w:t>
      </w:r>
      <w:r w:rsidRPr="007146A2">
        <w:rPr>
          <w:rFonts w:ascii="Times New Roman" w:hAnsi="Times New Roman" w:cs="Times New Roman"/>
        </w:rPr>
        <w:t xml:space="preserve"> is an ethnography that would work well in a variety of both undergraduate and postgraduate courses in anthropology, exploring reproduction, medicine, the body, gender, science and technology studies, health policies and inequalities, or in courses focusing on Latin America or Brazil specifically.</w:t>
      </w:r>
    </w:p>
    <w:p w14:paraId="2B608C22" w14:textId="77777777" w:rsidR="00666020" w:rsidRPr="005C49E2" w:rsidRDefault="00666020" w:rsidP="00666020">
      <w:pPr>
        <w:jc w:val="right"/>
        <w:rPr>
          <w:rFonts w:ascii="Times New Roman" w:hAnsi="Times New Roman" w:cs="Times New Roman"/>
          <w:smallCaps/>
        </w:rPr>
      </w:pPr>
      <w:proofErr w:type="gramStart"/>
      <w:r w:rsidRPr="005C49E2">
        <w:rPr>
          <w:rFonts w:ascii="Times New Roman" w:hAnsi="Times New Roman" w:cs="Times New Roman"/>
        </w:rPr>
        <w:t>]</w:t>
      </w:r>
      <w:proofErr w:type="spellStart"/>
      <w:r w:rsidRPr="005C49E2">
        <w:rPr>
          <w:rFonts w:ascii="Times New Roman" w:hAnsi="Times New Roman" w:cs="Times New Roman"/>
        </w:rPr>
        <w:t>rau</w:t>
      </w:r>
      <w:proofErr w:type="spellEnd"/>
      <w:proofErr w:type="gramEnd"/>
      <w:r w:rsidRPr="005C49E2">
        <w:rPr>
          <w:rFonts w:ascii="Times New Roman" w:hAnsi="Times New Roman" w:cs="Times New Roman"/>
        </w:rPr>
        <w:t>[</w:t>
      </w:r>
      <w:r w:rsidRPr="005C49E2">
        <w:rPr>
          <w:rFonts w:ascii="Times New Roman" w:hAnsi="Times New Roman" w:cs="Times New Roman"/>
          <w:smallCaps/>
        </w:rPr>
        <w:t>Karolina Kuberska</w:t>
      </w:r>
    </w:p>
    <w:p w14:paraId="31ECCBA5" w14:textId="77777777" w:rsidR="00666020" w:rsidRPr="005C49E2" w:rsidRDefault="00666020" w:rsidP="00666020">
      <w:pPr>
        <w:jc w:val="right"/>
        <w:rPr>
          <w:rFonts w:ascii="Times New Roman" w:hAnsi="Times New Roman" w:cs="Times New Roman"/>
          <w:i/>
          <w:iCs/>
        </w:rPr>
      </w:pPr>
      <w:r w:rsidRPr="005C49E2">
        <w:rPr>
          <w:rFonts w:ascii="Times New Roman" w:hAnsi="Times New Roman" w:cs="Times New Roman"/>
          <w:i/>
          <w:iCs/>
        </w:rPr>
        <w:t xml:space="preserve"> University of Cambridge</w:t>
      </w:r>
    </w:p>
    <w:p w14:paraId="644D43DE" w14:textId="77777777" w:rsidR="002968A9" w:rsidRDefault="009C5C23"/>
    <w:sectPr w:rsidR="002968A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Sans Serif">
    <w:altName w:val="Arial"/>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Karolina Kuberska">
    <w15:presenceInfo w15:providerId="None" w15:userId="Karolina Kubersk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trackRevision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66020"/>
    <w:rsid w:val="000231C0"/>
    <w:rsid w:val="00666020"/>
    <w:rsid w:val="009C5C23"/>
    <w:rsid w:val="00CE11D9"/>
    <w:rsid w:val="00EF7FA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23E3AA"/>
  <w15:chartTrackingRefBased/>
  <w15:docId w15:val="{3E95C2C2-C859-4046-B162-C349C06986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66020"/>
    <w:pPr>
      <w:spacing w:after="0" w:line="480" w:lineRule="auto"/>
      <w:ind w:firstLine="369"/>
      <w:jc w:val="both"/>
    </w:pPr>
    <w:rPr>
      <w:rFonts w:eastAsiaTheme="minorEastAsia"/>
      <w:sz w:val="24"/>
      <w:szCs w:val="24"/>
      <w:lang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9C5C23"/>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C5C23"/>
    <w:rPr>
      <w:rFonts w:ascii="Segoe UI" w:eastAsiaTheme="minorEastAsia" w:hAnsi="Segoe UI" w:cs="Segoe UI"/>
      <w:sz w:val="18"/>
      <w:szCs w:val="18"/>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microsoft.com/office/2011/relationships/people" Target="people.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3</Pages>
  <Words>795</Words>
  <Characters>4538</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5323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Justin Dyer</dc:creator>
  <cp:keywords/>
  <dc:description/>
  <cp:lastModifiedBy>Karolina Kuberska</cp:lastModifiedBy>
  <cp:revision>2</cp:revision>
  <dcterms:created xsi:type="dcterms:W3CDTF">2020-05-28T17:55:00Z</dcterms:created>
  <dcterms:modified xsi:type="dcterms:W3CDTF">2020-05-28T17:55:00Z</dcterms:modified>
</cp:coreProperties>
</file>