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98A63" w14:textId="0AEA029C" w:rsidR="00021085" w:rsidRPr="00CA2A05" w:rsidRDefault="00021085" w:rsidP="00021085">
      <w:pPr>
        <w:pStyle w:val="Articletitle"/>
      </w:pPr>
      <w:r w:rsidRPr="00CA2A05">
        <w:t>Patterns of Communication during the 1241 Mongol Invasion of Europe: Insights from the Ottobeuren Letter Collection</w:t>
      </w:r>
    </w:p>
    <w:p w14:paraId="4D2EC750" w14:textId="77777777" w:rsidR="00021085" w:rsidRPr="00CA2A05" w:rsidRDefault="00021085" w:rsidP="00021085">
      <w:r w:rsidRPr="00CA2A05">
        <w:t>Matthew Coulter</w:t>
      </w:r>
      <w:r w:rsidRPr="00CA2A05">
        <w:rPr>
          <w:vertAlign w:val="superscript"/>
        </w:rPr>
        <w:t>a</w:t>
      </w:r>
      <w:r w:rsidRPr="00CA2A05">
        <w:t>*</w:t>
      </w:r>
    </w:p>
    <w:p w14:paraId="16A12F9E" w14:textId="77777777" w:rsidR="00021085" w:rsidRPr="00CA2A05" w:rsidRDefault="00021085" w:rsidP="00021085">
      <w:pPr>
        <w:pStyle w:val="Affiliation"/>
      </w:pPr>
      <w:r w:rsidRPr="00CA2A05">
        <w:rPr>
          <w:vertAlign w:val="superscript"/>
        </w:rPr>
        <w:t>a</w:t>
      </w:r>
      <w:r w:rsidRPr="00CA2A05">
        <w:t>Faculty of History, University of Cambridge, Cambridge, United Kingdom</w:t>
      </w:r>
    </w:p>
    <w:p w14:paraId="40AC74EC" w14:textId="15044C10" w:rsidR="00021085" w:rsidRPr="00CA2A05" w:rsidRDefault="00380A1A" w:rsidP="00021085">
      <w:pPr>
        <w:pStyle w:val="Correspondencedetails"/>
      </w:pPr>
      <w:hyperlink r:id="rId8" w:history="1">
        <w:r w:rsidR="009742B0" w:rsidRPr="00CA2A05">
          <w:rPr>
            <w:rStyle w:val="Hyperlink"/>
            <w:rFonts w:eastAsiaTheme="majorEastAsia"/>
          </w:rPr>
          <w:t>mjc283@cam.ac.uk</w:t>
        </w:r>
      </w:hyperlink>
      <w:r w:rsidR="009742B0" w:rsidRPr="00CA2A05">
        <w:rPr>
          <w:rFonts w:eastAsiaTheme="majorEastAsia"/>
        </w:rPr>
        <w:t xml:space="preserve"> </w:t>
      </w:r>
    </w:p>
    <w:p w14:paraId="330E683D" w14:textId="1AE244D8" w:rsidR="00021085" w:rsidRPr="00CA2A05" w:rsidRDefault="00021085" w:rsidP="00021085">
      <w:pPr>
        <w:pStyle w:val="Correspondencedetails"/>
      </w:pPr>
      <w:r w:rsidRPr="00CA2A05">
        <w:t>This research was supported by the Arts and Humanities Research Council under Grant 2280801</w:t>
      </w:r>
      <w:r w:rsidR="00062C1A" w:rsidRPr="00CA2A05">
        <w:t>,</w:t>
      </w:r>
      <w:r w:rsidRPr="00CA2A05">
        <w:t xml:space="preserve"> and by Masters funding from the Isaac Newton Trust and St John’s College, University of Cambridge.</w:t>
      </w:r>
    </w:p>
    <w:p w14:paraId="4AC1B238" w14:textId="77777777" w:rsidR="00021085" w:rsidRPr="00CA2A05" w:rsidRDefault="00021085" w:rsidP="00021085">
      <w:pPr>
        <w:pStyle w:val="Heading1"/>
        <w:rPr>
          <w:lang w:val="en-US"/>
        </w:rPr>
      </w:pPr>
      <w:r w:rsidRPr="00CA2A05">
        <w:rPr>
          <w:lang w:val="en-US"/>
        </w:rPr>
        <w:t>Note on Author</w:t>
      </w:r>
    </w:p>
    <w:p w14:paraId="03DEE1D1" w14:textId="5AE3177D" w:rsidR="00021085" w:rsidRPr="00CA2A05" w:rsidRDefault="00021085" w:rsidP="00021085">
      <w:pPr>
        <w:pStyle w:val="Paragraph"/>
      </w:pPr>
      <w:r w:rsidRPr="00CA2A05">
        <w:rPr>
          <w:b/>
          <w:bCs/>
        </w:rPr>
        <w:t>Matthew Coulter</w:t>
      </w:r>
      <w:r w:rsidRPr="00CA2A05">
        <w:t xml:space="preserve"> is a PhD candidate in medieval history at St John’s College, University of Cambridge. His doctoral research focuses on the political communication practices of the Transylvanian Saxons in the fifteenth and early sixteenth centuries. He completed his MPhil at the University of Cambridge in 2019 with a thesis entitled ‘The Mongol Invasion of Europe (1241) through the Lens of Austrian Sources’.</w:t>
      </w:r>
      <w:r w:rsidR="00B01444" w:rsidRPr="00CA2A05">
        <w:t xml:space="preserve"> </w:t>
      </w:r>
    </w:p>
    <w:p w14:paraId="3782857E" w14:textId="77777777" w:rsidR="00B01444" w:rsidRPr="00CA2A05" w:rsidRDefault="00B01444" w:rsidP="00021085">
      <w:pPr>
        <w:pStyle w:val="Articletitle"/>
        <w:sectPr w:rsidR="00B01444" w:rsidRPr="00CA2A05" w:rsidSect="00021085">
          <w:footerReference w:type="even" r:id="rId9"/>
          <w:footerReference w:type="default" r:id="rId10"/>
          <w:endnotePr>
            <w:numFmt w:val="decimal"/>
          </w:endnotePr>
          <w:pgSz w:w="11901" w:h="16840" w:code="9"/>
          <w:pgMar w:top="1418" w:right="1701" w:bottom="1418" w:left="1701" w:header="709" w:footer="709" w:gutter="0"/>
          <w:cols w:space="708"/>
          <w:docGrid w:linePitch="360"/>
        </w:sectPr>
      </w:pPr>
    </w:p>
    <w:p w14:paraId="1889CFBE" w14:textId="6BFF0F97" w:rsidR="00021085" w:rsidRPr="00CA2A05" w:rsidRDefault="00021085" w:rsidP="00021085">
      <w:pPr>
        <w:pStyle w:val="Articletitle"/>
      </w:pPr>
      <w:r w:rsidRPr="00CA2A05">
        <w:lastRenderedPageBreak/>
        <w:t>Patterns of Communication during the 1241 Mongol Invasion of Europe: Insights from the Ottobeuren Letter Collection</w:t>
      </w:r>
    </w:p>
    <w:p w14:paraId="79F36411" w14:textId="01B4FA43" w:rsidR="00021085" w:rsidRPr="00CA2A05" w:rsidRDefault="00021085" w:rsidP="00021085">
      <w:pPr>
        <w:pStyle w:val="Abstract"/>
      </w:pPr>
      <w:r w:rsidRPr="00CA2A05">
        <w:t>This article analyses the importance of communication by letters during the initial months of the 1241 Mongol Invasion of Europe (c</w:t>
      </w:r>
      <w:r w:rsidR="00930843" w:rsidRPr="00CA2A05">
        <w:t>a</w:t>
      </w:r>
      <w:r w:rsidRPr="00CA2A05">
        <w:t>. March–July 1241). It focuses especially on the ten letters found in the Ottobeuren collection (Innsbruck, Universitäts- und Landesbibliothek Tirol, Cod. 187, 1v–8v). Through a close reading of the collection and its visualization in the form of a network graph, this article reconstructs the transmission history of the Ottobeuren letters, including the report of Brother Julian, and shows the manner in which the collection was arranged by the compiler to give a pro-Hohenstaufen account of the invasion. The final section contextualizes the Ottobeuren letters as part of a wider correspondence network from these months, and offers a reappraisal of the importance of written communication in the actions of imperial princes involved in planning the defence of Germany and Bohemia from the Mongols.</w:t>
      </w:r>
    </w:p>
    <w:p w14:paraId="0952DB49" w14:textId="77777777" w:rsidR="00021085" w:rsidRPr="00CA2A05" w:rsidRDefault="00021085" w:rsidP="00021085">
      <w:pPr>
        <w:pStyle w:val="Keywords"/>
      </w:pPr>
      <w:r w:rsidRPr="00CA2A05">
        <w:t>Keywords: 1241, Communication, Letters, Hungary, Mongols, Network, Ottobeuren, Swabia</w:t>
      </w:r>
    </w:p>
    <w:p w14:paraId="4AB343C7" w14:textId="11272899" w:rsidR="007C08D9" w:rsidRPr="00CA2A05" w:rsidRDefault="00021085" w:rsidP="00595A75">
      <w:pPr>
        <w:pStyle w:val="Paragraph"/>
      </w:pPr>
      <w:r w:rsidRPr="00CA2A05">
        <w:t>One of the key contemporary sources on the 1241 Mongol invasion of Europe comes in the form of a letter collection originally produced in the summer of 1241 at</w:t>
      </w:r>
      <w:r w:rsidR="005C442E" w:rsidRPr="00CA2A05">
        <w:t xml:space="preserve"> </w:t>
      </w:r>
      <w:r w:rsidRPr="00CA2A05">
        <w:t>Ottobeuren Abbey in Swabia, and now located in Innsbruck.</w:t>
      </w:r>
      <w:r w:rsidR="007C08D9" w:rsidRPr="00CA2A05">
        <w:rPr>
          <w:rStyle w:val="EndnoteReference"/>
        </w:rPr>
        <w:endnoteReference w:id="2"/>
      </w:r>
      <w:r w:rsidR="007C08D9" w:rsidRPr="00CA2A05">
        <w:t xml:space="preserve"> The collection</w:t>
      </w:r>
      <w:r w:rsidR="00034516" w:rsidRPr="00CA2A05">
        <w:t xml:space="preserve"> </w:t>
      </w:r>
      <w:r w:rsidR="00E05CDE" w:rsidRPr="00CA2A05">
        <w:t>contains</w:t>
      </w:r>
      <w:r w:rsidR="00034516" w:rsidRPr="00CA2A05">
        <w:t xml:space="preserve"> </w:t>
      </w:r>
      <w:r w:rsidR="007C08D9" w:rsidRPr="00CA2A05">
        <w:t>ten letter</w:t>
      </w:r>
      <w:r w:rsidR="0086262F" w:rsidRPr="00CA2A05">
        <w:t>s</w:t>
      </w:r>
      <w:r w:rsidR="00595A75" w:rsidRPr="00CA2A05">
        <w:t xml:space="preserve"> and two prophetic texts, one a short political prophecy and the other an Alexandrian dialogue, </w:t>
      </w:r>
      <w:r w:rsidR="00E05CDE" w:rsidRPr="00CA2A05">
        <w:t>and is</w:t>
      </w:r>
      <w:r w:rsidR="00787B61" w:rsidRPr="00CA2A05">
        <w:t xml:space="preserve"> </w:t>
      </w:r>
      <w:r w:rsidR="007C08D9" w:rsidRPr="00CA2A05">
        <w:t xml:space="preserve">bound with a contemporary copy of Alan of Lille’s </w:t>
      </w:r>
      <w:r w:rsidR="007C08D9" w:rsidRPr="00CA2A05">
        <w:rPr>
          <w:i/>
          <w:iCs/>
        </w:rPr>
        <w:t>Distinctiones</w:t>
      </w:r>
      <w:r w:rsidR="007C08D9" w:rsidRPr="00CA2A05">
        <w:t>.</w:t>
      </w:r>
      <w:r w:rsidR="007C08D9" w:rsidRPr="00CA2A05">
        <w:rPr>
          <w:rStyle w:val="EndnoteReference"/>
        </w:rPr>
        <w:endnoteReference w:id="3"/>
      </w:r>
      <w:r w:rsidR="007C08D9" w:rsidRPr="00CA2A05">
        <w:t xml:space="preserve"> The collection’s named correspondents include several of the most prominent princes in the Empire and Central Europe, including Emperor Frederick II, his son Conrad IV, the kings of Hungary and Bohemia, and the dukes of Austria and Bavaria. Almost all of the letters relate to the perceived need for a military campaign to drive the Mongols out of Hungary and Christendom, including the period of cross-taking in the Empire which lasted from March to July, but failed to produce any concrete results.</w:t>
      </w:r>
      <w:r w:rsidR="007C08D9" w:rsidRPr="00CA2A05">
        <w:rPr>
          <w:rStyle w:val="EndnoteReference"/>
        </w:rPr>
        <w:endnoteReference w:id="4"/>
      </w:r>
    </w:p>
    <w:p w14:paraId="5A3C1557" w14:textId="57D0B018" w:rsidR="007C08D9" w:rsidRPr="00CA2A05" w:rsidRDefault="007C08D9" w:rsidP="004D0C60">
      <w:pPr>
        <w:pStyle w:val="Newparagraph"/>
      </w:pPr>
      <w:r w:rsidRPr="00CA2A05">
        <w:lastRenderedPageBreak/>
        <w:t>For a medieval event, there exists an impressive number of preserved letters discussing the events of the 1241 invasion. Though the importance of these letters has long been acknowledged, dedicated studies remain rare.</w:t>
      </w:r>
      <w:r w:rsidRPr="00CA2A05">
        <w:rPr>
          <w:rStyle w:val="EndnoteReference"/>
        </w:rPr>
        <w:endnoteReference w:id="5"/>
      </w:r>
      <w:r w:rsidRPr="00CA2A05">
        <w:t xml:space="preserve"> Two of the more comprehensive studies of</w:t>
      </w:r>
      <w:r w:rsidR="00C56974" w:rsidRPr="00CA2A05">
        <w:t xml:space="preserve"> </w:t>
      </w:r>
      <w:r w:rsidRPr="00CA2A05">
        <w:t>letters from 1241 are still Bezzola’s 1974 discussion of literary topoi employed in contemporary reports of the invasion,</w:t>
      </w:r>
      <w:r w:rsidRPr="00CA2A05">
        <w:rPr>
          <w:rStyle w:val="EndnoteReference"/>
        </w:rPr>
        <w:endnoteReference w:id="6"/>
      </w:r>
      <w:r w:rsidRPr="00CA2A05">
        <w:t xml:space="preserve"> and especially Rudolf’s 1977 discussion of their propagandistic use by Béla IV and Matthew Paris.</w:t>
      </w:r>
      <w:r w:rsidRPr="00CA2A05">
        <w:rPr>
          <w:rStyle w:val="EndnoteReference"/>
        </w:rPr>
        <w:endnoteReference w:id="7"/>
      </w:r>
      <w:r w:rsidRPr="00CA2A05">
        <w:t xml:space="preserve"> Nor has the Ottobeuren collection received significant attention from historians, especially when compared to Matthew Paris’ far more famous treatment of the Mongols in his </w:t>
      </w:r>
      <w:r w:rsidRPr="00CA2A05">
        <w:rPr>
          <w:i/>
          <w:iCs/>
        </w:rPr>
        <w:t>Chronica majora</w:t>
      </w:r>
      <w:r w:rsidRPr="00CA2A05">
        <w:t>.</w:t>
      </w:r>
      <w:r w:rsidRPr="00CA2A05">
        <w:rPr>
          <w:rStyle w:val="EndnoteReference"/>
        </w:rPr>
        <w:endnoteReference w:id="8"/>
      </w:r>
      <w:r w:rsidRPr="00CA2A05">
        <w:t xml:space="preserve"> Moreover, the presence in the collection of a significant number of chronologically-bounded letters makes a discussion of this source an ideal opportunity to analyse the broader treatment of letters bearing information on the Mongols in mid-1241. It is these related issues which this article will address.</w:t>
      </w:r>
    </w:p>
    <w:p w14:paraId="4E0B8199" w14:textId="77777777" w:rsidR="007C08D9" w:rsidRPr="00CA2A05" w:rsidRDefault="007C08D9" w:rsidP="00021085">
      <w:pPr>
        <w:pStyle w:val="Newparagraph"/>
      </w:pPr>
      <w:r w:rsidRPr="00CA2A05">
        <w:t>The events of the 1241 invasion have in recent years undergone a renewal of historiographical attention, marked by the appearance of several significant new analyses. An example of this is the debate over the relative importance of environmental and climatic factors to the Mongols’ unforced withdrawal from Hungary in 1242.</w:t>
      </w:r>
      <w:r w:rsidRPr="00CA2A05">
        <w:rPr>
          <w:rStyle w:val="EndnoteReference"/>
        </w:rPr>
        <w:endnoteReference w:id="9"/>
      </w:r>
      <w:r w:rsidRPr="00CA2A05">
        <w:t xml:space="preserve"> The ‘environmental hypothesis’ proposed by Ulf Büntgen and Nicola di Cosmo has certainly proved controversial, but both sides have nevertheless illustrated how the combination of traditional source analysis with interdisciplinary approaches can breathe new life into long-standing questions relating to the 1241 invasion.</w:t>
      </w:r>
      <w:r w:rsidRPr="00CA2A05">
        <w:rPr>
          <w:rStyle w:val="EndnoteReference"/>
        </w:rPr>
        <w:endnoteReference w:id="10"/>
      </w:r>
      <w:r w:rsidRPr="00CA2A05">
        <w:t xml:space="preserve"> </w:t>
      </w:r>
    </w:p>
    <w:p w14:paraId="2A77A000" w14:textId="4FC7E6A7" w:rsidR="007C08D9" w:rsidRPr="00CA2A05" w:rsidRDefault="007C08D9" w:rsidP="00021085">
      <w:pPr>
        <w:pStyle w:val="Newparagraph"/>
      </w:pPr>
      <w:r w:rsidRPr="00CA2A05">
        <w:t xml:space="preserve">Though much of this article’s analysis of letter-writing activity between March and June 1241 relies on a close and comparative reading of the sources, it has also proved useful to incorporate techniques from social network analysis, particularly the ability of visualize connections between different actors as nodes and edges within a network graph. In addition, it is intended that this article provide a more cohesive </w:t>
      </w:r>
      <w:r w:rsidRPr="00CA2A05">
        <w:lastRenderedPageBreak/>
        <w:t>picture of such connections by focusing not only on letters which do survive, but also those contacts which do not themselves survive as preserved letters, but are documented in those letters or postscripts which do survive. Such ‘hidden connections’ are vital for demonstrating the importance of common sources of information, as well as</w:t>
      </w:r>
      <w:r w:rsidR="003D4028" w:rsidRPr="00CA2A05">
        <w:t xml:space="preserve"> </w:t>
      </w:r>
      <w:r w:rsidRPr="00CA2A05">
        <w:t>practices such as reciprocity and the forwarding of information. The following discussion will initially focus on the contents and arrangement of the Ottobeuren collection, which will in turn provide a stepping stone to the broader political importance of letters during the invasion and crusade. Before this is possible, however, it is necessary to address certain issues surrounding the use of medieval letters as sources.</w:t>
      </w:r>
    </w:p>
    <w:p w14:paraId="4A41FC89" w14:textId="77777777" w:rsidR="007C08D9" w:rsidRPr="00CA2A05" w:rsidRDefault="007C08D9" w:rsidP="00021085">
      <w:pPr>
        <w:pStyle w:val="Heading1"/>
      </w:pPr>
      <w:r w:rsidRPr="00CA2A05">
        <w:t>Medieval letters: Methodological Problems</w:t>
      </w:r>
    </w:p>
    <w:p w14:paraId="6081FA1F" w14:textId="77777777" w:rsidR="007C08D9" w:rsidRPr="00CA2A05" w:rsidRDefault="007C08D9" w:rsidP="00021085">
      <w:pPr>
        <w:pStyle w:val="Paragraph"/>
      </w:pPr>
      <w:r w:rsidRPr="00CA2A05">
        <w:t>In order to employ medieval letters as the basis of a network diagram depicting information flow, it is first necessary to establish that preserved letters are indicative of genuine communication. However, the contrast between medieval and modern definitions of a letter, the former of which did not actually require a letter to be sent in order to be regarded as such, means that such a conclusion cannot necessarily be assumed.</w:t>
      </w:r>
      <w:r w:rsidRPr="00CA2A05">
        <w:rPr>
          <w:rStyle w:val="EndnoteReference"/>
        </w:rPr>
        <w:endnoteReference w:id="11"/>
      </w:r>
      <w:r w:rsidRPr="00CA2A05">
        <w:t xml:space="preserve"> It is also necessary to account for the possible role of third-party copyists in doctoring or fabricating the content of letters. In a discussion of this problem, Rolf Köhn emphasized the difficulty without originals of determining how far letters are based on genuine correspondence, since fictive letters also reference real historical events and actors, while even genuine letters may have been subject to stylistic editing.</w:t>
      </w:r>
      <w:r w:rsidRPr="00CA2A05">
        <w:rPr>
          <w:rStyle w:val="EndnoteReference"/>
        </w:rPr>
        <w:endnoteReference w:id="12"/>
      </w:r>
      <w:r w:rsidRPr="00CA2A05">
        <w:t xml:space="preserve"> </w:t>
      </w:r>
    </w:p>
    <w:p w14:paraId="756555BE" w14:textId="77777777" w:rsidR="007C08D9" w:rsidRPr="00CA2A05" w:rsidRDefault="007C08D9" w:rsidP="00021085">
      <w:pPr>
        <w:pStyle w:val="Newparagraph"/>
      </w:pPr>
      <w:r w:rsidRPr="00CA2A05">
        <w:t xml:space="preserve">Rudolf’s aforementioned discussion was by no means ignorant of these concerns, since his analysis took as its starting point the fact that letters were frequently altered through the copying process in order to suit specific literary concerns, which in turn facilitated the construction and propagation of certain narratives of the Mongol </w:t>
      </w:r>
      <w:r w:rsidRPr="00CA2A05">
        <w:lastRenderedPageBreak/>
        <w:t>invasion.</w:t>
      </w:r>
      <w:r w:rsidRPr="00CA2A05">
        <w:rPr>
          <w:rStyle w:val="EndnoteReference"/>
        </w:rPr>
        <w:endnoteReference w:id="13"/>
      </w:r>
      <w:r w:rsidRPr="00CA2A05">
        <w:t xml:space="preserve"> This included the copying of original letters into later formulary collections, which often resulted in the alteration or garbling of senders’ and recipients’ names. Among the numerous examples of this which Rudolf discussed is one which is particularly relevant for the analysis below, namely a letter in the fourteenth-century </w:t>
      </w:r>
      <w:r w:rsidRPr="00CA2A05">
        <w:rPr>
          <w:i/>
          <w:iCs/>
        </w:rPr>
        <w:t>Baumgartenberger Formelbuch</w:t>
      </w:r>
      <w:r w:rsidRPr="00CA2A05">
        <w:t xml:space="preserve"> ostensibly sent by the king of Bohemia to anonymous princes in 1241, or in one version to the duke of Brunswick. This letter has the same text as the first letter in the Ottobeuren collection, though here the letter was sent by Béla IV of Hungary to Conrad IV of Germany.</w:t>
      </w:r>
      <w:r w:rsidRPr="00CA2A05">
        <w:rPr>
          <w:rStyle w:val="EndnoteReference"/>
        </w:rPr>
        <w:endnoteReference w:id="14"/>
      </w:r>
      <w:r w:rsidRPr="00CA2A05">
        <w:t xml:space="preserve"> </w:t>
      </w:r>
    </w:p>
    <w:p w14:paraId="4B975C19" w14:textId="1EF894EA" w:rsidR="007C08D9" w:rsidRPr="00CA2A05" w:rsidRDefault="007C08D9" w:rsidP="00021085">
      <w:pPr>
        <w:pStyle w:val="Newparagraph"/>
      </w:pPr>
      <w:r w:rsidRPr="00CA2A05">
        <w:t xml:space="preserve">This letter </w:t>
      </w:r>
      <w:r w:rsidR="00D9720E" w:rsidRPr="00CA2A05">
        <w:t xml:space="preserve">further </w:t>
      </w:r>
      <w:r w:rsidRPr="00CA2A05">
        <w:t xml:space="preserve">illustrates how nineteenth-century editors, as well as medieval copyists, were also responsible for bestowing authenticity upon </w:t>
      </w:r>
      <w:r w:rsidR="00F919A8" w:rsidRPr="00CA2A05">
        <w:t>questionable</w:t>
      </w:r>
      <w:r w:rsidRPr="00CA2A05">
        <w:t xml:space="preserve"> sources. As Tomáš Somer and Stephen Pow have recently emphasized, spurious sources on the Mongol invasion have proved long-lasting in the context of competing nationalist narratives which sought to prioritize the role of certain leaders or peoples in repelling the Mongols.</w:t>
      </w:r>
      <w:r w:rsidRPr="00CA2A05">
        <w:rPr>
          <w:rStyle w:val="EndnoteReference"/>
        </w:rPr>
        <w:endnoteReference w:id="15"/>
      </w:r>
      <w:r w:rsidRPr="00CA2A05">
        <w:t xml:space="preserve"> Béla IV’s claim to authorship of the aforementioned letter is certainly stronger than that of a Bohemian king, not least because (as the editors of this text pointed out) it would be nonsensical for a Bohemian king to state that the Mongols had occupied all of his kingdom beyond the Danube.</w:t>
      </w:r>
      <w:r w:rsidRPr="00CA2A05">
        <w:rPr>
          <w:rStyle w:val="EndnoteReference"/>
        </w:rPr>
        <w:endnoteReference w:id="16"/>
      </w:r>
      <w:r w:rsidRPr="00CA2A05">
        <w:t xml:space="preserve"> However, this did not prevent the Baumgartenberg version of this letter being transcribed into the </w:t>
      </w:r>
      <w:r w:rsidRPr="00CA2A05">
        <w:rPr>
          <w:i/>
          <w:iCs/>
        </w:rPr>
        <w:t>Codex diplomaticus Moraviae</w:t>
      </w:r>
      <w:r w:rsidRPr="00CA2A05">
        <w:t xml:space="preserve"> in 1841, where it appears alongside several nineteenth-century forgeries.</w:t>
      </w:r>
      <w:r w:rsidRPr="00CA2A05">
        <w:rPr>
          <w:rStyle w:val="EndnoteReference"/>
        </w:rPr>
        <w:endnoteReference w:id="17"/>
      </w:r>
      <w:r w:rsidRPr="00CA2A05">
        <w:t xml:space="preserve"> We will return to this problem when discussing Hormayr’s 1842 transcription of the Ottobeuren manuscript.</w:t>
      </w:r>
    </w:p>
    <w:p w14:paraId="08B51183" w14:textId="7F76F331" w:rsidR="007C08D9" w:rsidRPr="00CA2A05" w:rsidRDefault="007C08D9" w:rsidP="00021085">
      <w:pPr>
        <w:pStyle w:val="Newparagraph"/>
        <w:rPr>
          <w:szCs w:val="21"/>
        </w:rPr>
      </w:pPr>
      <w:r w:rsidRPr="00CA2A05">
        <w:t xml:space="preserve">This should certainly not be seen as implying that all preserved letters from 1241 found in third-party collections are spurious. A good illustration of this are the letters concerning Mongols copied into Matthew Paris’ </w:t>
      </w:r>
      <w:r w:rsidRPr="00CA2A05">
        <w:rPr>
          <w:i/>
          <w:iCs/>
        </w:rPr>
        <w:t>Chronica majora</w:t>
      </w:r>
      <w:r w:rsidRPr="00CA2A05">
        <w:t>, whose doctoring of his sources is well known.</w:t>
      </w:r>
      <w:r w:rsidRPr="00CA2A05">
        <w:rPr>
          <w:rStyle w:val="EndnoteReference"/>
        </w:rPr>
        <w:endnoteReference w:id="18"/>
      </w:r>
      <w:r w:rsidRPr="00CA2A05">
        <w:t xml:space="preserve"> In 1981 it was possible for Hilpert to isolate specific </w:t>
      </w:r>
      <w:r w:rsidRPr="00CA2A05">
        <w:lastRenderedPageBreak/>
        <w:t xml:space="preserve">instances in which Matthew augmented his letters on the Mongols. These include anti-papal and eschatological passages added to the letter sent by Emperor Frederick II to Henry III, and a section on Mongol cannibalism inserted incongruously into the letter of </w:t>
      </w:r>
      <w:r w:rsidR="008071B0" w:rsidRPr="00CA2A05">
        <w:t>I</w:t>
      </w:r>
      <w:r w:rsidRPr="00CA2A05">
        <w:t>vo of Narbonne to the archbishop of Bordeaux.</w:t>
      </w:r>
      <w:bookmarkStart w:id="0" w:name="_Ref58281567"/>
      <w:r w:rsidRPr="00CA2A05">
        <w:rPr>
          <w:rStyle w:val="EndnoteReference"/>
        </w:rPr>
        <w:endnoteReference w:id="19"/>
      </w:r>
      <w:bookmarkEnd w:id="0"/>
      <w:r w:rsidRPr="00CA2A05">
        <w:t xml:space="preserve"> Rudolf also demonstrated how Matthew interspersed these letters with his own prose as a means of imparting his own interpretation on events, namely the glorification of Emperor Frederick II as the decisive force in the repulsion of the Mongols</w:t>
      </w:r>
      <w:r w:rsidRPr="00CA2A05">
        <w:rPr>
          <w:szCs w:val="21"/>
        </w:rPr>
        <w:t>.</w:t>
      </w:r>
      <w:r w:rsidRPr="00CA2A05">
        <w:rPr>
          <w:rStyle w:val="EndnoteReference"/>
        </w:rPr>
        <w:endnoteReference w:id="20"/>
      </w:r>
      <w:r w:rsidRPr="00CA2A05">
        <w:rPr>
          <w:szCs w:val="21"/>
        </w:rPr>
        <w:t xml:space="preserve"> However, acknowledging that Matthew doctored his letters does not mean that he fabricated entire letters on the Mongols, and there is no evidence that he did so.</w:t>
      </w:r>
      <w:r w:rsidRPr="00CA2A05">
        <w:rPr>
          <w:rStyle w:val="EndnoteReference"/>
        </w:rPr>
        <w:endnoteReference w:id="21"/>
      </w:r>
      <w:r w:rsidRPr="00CA2A05">
        <w:rPr>
          <w:szCs w:val="21"/>
        </w:rPr>
        <w:t xml:space="preserve"> Rather, Björn Weiler has shown how Matthew’s access to ‘new and expanding networks of communication’ was the decisive factor allowing him to incorporate information on events throughout Christendom from a diverse range of sources.</w:t>
      </w:r>
      <w:r w:rsidRPr="00CA2A05">
        <w:rPr>
          <w:rStyle w:val="EndnoteReference"/>
        </w:rPr>
        <w:endnoteReference w:id="22"/>
      </w:r>
    </w:p>
    <w:p w14:paraId="256D8DAE" w14:textId="508D42B3" w:rsidR="007C08D9" w:rsidRPr="00CA2A05" w:rsidRDefault="007C08D9" w:rsidP="00021085">
      <w:pPr>
        <w:pStyle w:val="Newparagraph"/>
        <w:rPr>
          <w:szCs w:val="21"/>
        </w:rPr>
      </w:pPr>
      <w:r w:rsidRPr="00CA2A05">
        <w:rPr>
          <w:szCs w:val="21"/>
        </w:rPr>
        <w:t>The key is therefore, as Köhn emphasized, to look closely at the context in which a specific letter collection was produced and arranged by its creator.</w:t>
      </w:r>
      <w:r w:rsidRPr="00CA2A05">
        <w:rPr>
          <w:rStyle w:val="EndnoteReference"/>
        </w:rPr>
        <w:endnoteReference w:id="23"/>
      </w:r>
      <w:r w:rsidRPr="00CA2A05">
        <w:rPr>
          <w:szCs w:val="21"/>
        </w:rPr>
        <w:t xml:space="preserve"> As will be shown in the following section, there is also little reason to suspect that the Ottobeuren letters are not genuine. While there is comparatively little contextual information available on this source, a close look at the collection’s contents gives clues as to the real-life transmission of the letters along several different routes. This being said, the order in which the items of the collection were copied does suggest that the copyist sought through them to convey a certain perspective on the invasion.</w:t>
      </w:r>
    </w:p>
    <w:p w14:paraId="76E123CD" w14:textId="77777777" w:rsidR="007C08D9" w:rsidRPr="00CA2A05" w:rsidRDefault="007C08D9" w:rsidP="00021085">
      <w:pPr>
        <w:pStyle w:val="Heading1"/>
      </w:pPr>
      <w:r w:rsidRPr="00CA2A05">
        <w:t xml:space="preserve">The Ottobeuren Collection </w:t>
      </w:r>
    </w:p>
    <w:p w14:paraId="36275646" w14:textId="77777777" w:rsidR="007C08D9" w:rsidRPr="00CA2A05" w:rsidRDefault="007C08D9" w:rsidP="00021085">
      <w:pPr>
        <w:pStyle w:val="Heading2"/>
      </w:pPr>
      <w:r w:rsidRPr="00CA2A05">
        <w:t>Contents</w:t>
      </w:r>
    </w:p>
    <w:p w14:paraId="1E259D5D" w14:textId="59FE83BC" w:rsidR="007C08D9" w:rsidRPr="00CA2A05" w:rsidRDefault="007C08D9" w:rsidP="00021085">
      <w:pPr>
        <w:pStyle w:val="Paragraph"/>
      </w:pPr>
      <w:r w:rsidRPr="00CA2A05">
        <w:t xml:space="preserve">The Ottobeuren collection first came to the attention of historians in the mid-nineteenth century, when it was the subject of two partial transcriptions: first by Böhmer in 1839, </w:t>
      </w:r>
      <w:r w:rsidRPr="00CA2A05">
        <w:lastRenderedPageBreak/>
        <w:t>and subsequently in 1842 by Joseph von Hormayr.</w:t>
      </w:r>
      <w:r w:rsidRPr="00CA2A05">
        <w:rPr>
          <w:rStyle w:val="EndnoteReference"/>
        </w:rPr>
        <w:endnoteReference w:id="24"/>
      </w:r>
      <w:r w:rsidRPr="00CA2A05">
        <w:t xml:space="preserve"> While it remains in common use by historians, Hormayr’s edition itself </w:t>
      </w:r>
      <w:r w:rsidRPr="00CA2A05">
        <w:rPr>
          <w:rFonts w:cs="Calibri"/>
        </w:rPr>
        <w:t>exhibits numerous deficiencies</w:t>
      </w:r>
      <w:r w:rsidRPr="00CA2A05">
        <w:t>. The fact that he neglected to name this manuscript in this transcription is the main reason why it was considered lost until the 1950s.</w:t>
      </w:r>
      <w:r w:rsidRPr="00CA2A05">
        <w:rPr>
          <w:rStyle w:val="EndnoteReference"/>
        </w:rPr>
        <w:endnoteReference w:id="25"/>
      </w:r>
      <w:r w:rsidRPr="00CA2A05">
        <w:t xml:space="preserve"> He also presented a misleading picture of the manuscript’s contents by omitting certain items,</w:t>
      </w:r>
      <w:r w:rsidRPr="00CA2A05">
        <w:rPr>
          <w:rStyle w:val="EndnoteReference"/>
        </w:rPr>
        <w:endnoteReference w:id="26"/>
      </w:r>
      <w:r w:rsidRPr="00CA2A05">
        <w:t xml:space="preserve"> reordering those which he did transcribe, and including completely unrelated (or even forged) sources in a bid to enhance the role of Austria and Tirol in repelling the Mongols.</w:t>
      </w:r>
      <w:r w:rsidRPr="00CA2A05">
        <w:rPr>
          <w:rStyle w:val="EndnoteReference"/>
        </w:rPr>
        <w:endnoteReference w:id="27"/>
      </w:r>
      <w:r w:rsidRPr="00CA2A05">
        <w:t xml:space="preserve"> Examples of such unrelated sources include a charter </w:t>
      </w:r>
      <w:r w:rsidR="004B672F" w:rsidRPr="00CA2A05">
        <w:t>of</w:t>
      </w:r>
      <w:r w:rsidRPr="00CA2A05">
        <w:t xml:space="preserve"> Duke Frederick II of Austria</w:t>
      </w:r>
      <w:r w:rsidR="00836208" w:rsidRPr="00CA2A05">
        <w:t>,</w:t>
      </w:r>
      <w:r w:rsidRPr="00CA2A05">
        <w:t xml:space="preserve"> ostensibly</w:t>
      </w:r>
      <w:r w:rsidR="004B672F" w:rsidRPr="00CA2A05">
        <w:t xml:space="preserve"> issued</w:t>
      </w:r>
      <w:r w:rsidRPr="00CA2A05">
        <w:t xml:space="preserve"> in 1242 while he was fighting the Mongols in Hungary, but actually dating from 1236,</w:t>
      </w:r>
      <w:r w:rsidRPr="00CA2A05">
        <w:rPr>
          <w:rStyle w:val="EndnoteReference"/>
        </w:rPr>
        <w:endnoteReference w:id="28"/>
      </w:r>
      <w:r w:rsidRPr="00CA2A05">
        <w:t xml:space="preserve"> and a donation to Polling Abbey </w:t>
      </w:r>
      <w:r w:rsidR="00B27ED7" w:rsidRPr="00CA2A05">
        <w:t>given</w:t>
      </w:r>
      <w:r w:rsidR="00836208" w:rsidRPr="00CA2A05">
        <w:t xml:space="preserve"> </w:t>
      </w:r>
      <w:r w:rsidRPr="00CA2A05">
        <w:t xml:space="preserve">by Count Albert III of Tirol after he had taken the cross against the Mongols, </w:t>
      </w:r>
      <w:r w:rsidR="003F1C92" w:rsidRPr="00CA2A05">
        <w:t xml:space="preserve">which was </w:t>
      </w:r>
      <w:r w:rsidRPr="00CA2A05">
        <w:t>suspected by Huter of being forged.</w:t>
      </w:r>
      <w:r w:rsidRPr="00CA2A05">
        <w:rPr>
          <w:rStyle w:val="EndnoteReference"/>
        </w:rPr>
        <w:endnoteReference w:id="29"/>
      </w:r>
    </w:p>
    <w:p w14:paraId="2412BBC6" w14:textId="33440396" w:rsidR="007C08D9" w:rsidRPr="00CA2A05" w:rsidRDefault="007C08D9" w:rsidP="00021085">
      <w:pPr>
        <w:pStyle w:val="Newparagraph"/>
        <w:rPr>
          <w:rFonts w:cs="Calibri"/>
        </w:rPr>
      </w:pPr>
      <w:r w:rsidRPr="00CA2A05">
        <w:t xml:space="preserve">Almost everything known about the manuscript’s production was established in 1983 by Robert Lerner, whose interest in the manuscript was occasioned by the fact that </w:t>
      </w:r>
      <w:r w:rsidR="00723B75" w:rsidRPr="00CA2A05">
        <w:t xml:space="preserve">the </w:t>
      </w:r>
      <w:r w:rsidR="00491F45" w:rsidRPr="00CA2A05">
        <w:t xml:space="preserve">prophetic text </w:t>
      </w:r>
      <w:r w:rsidR="00723B75" w:rsidRPr="00CA2A05">
        <w:t>on f</w:t>
      </w:r>
      <w:r w:rsidR="0065443F" w:rsidRPr="00CA2A05">
        <w:t>olio</w:t>
      </w:r>
      <w:r w:rsidR="00723B75" w:rsidRPr="00CA2A05">
        <w:t xml:space="preserve"> 2r is </w:t>
      </w:r>
      <w:r w:rsidRPr="00CA2A05">
        <w:t xml:space="preserve">the earliest known copy of the Cedar of Lebanon prophecy. Lerner argued that the manuscript was produced in the summer of 1241 (probably July) and was largely the result of opportunism on the part of the copyist: ‘most likely </w:t>
      </w:r>
      <w:r w:rsidRPr="00CA2A05">
        <w:rPr>
          <w:rFonts w:cs="Calibri"/>
        </w:rPr>
        <w:t>a monk of Ottobeuren with Mongols in his mind copied together a number of related texts that came to the monastery from different directions’.</w:t>
      </w:r>
      <w:r w:rsidRPr="00CA2A05">
        <w:rPr>
          <w:rStyle w:val="EndnoteReference"/>
        </w:rPr>
        <w:endnoteReference w:id="30"/>
      </w:r>
      <w:r w:rsidRPr="00CA2A05">
        <w:rPr>
          <w:rFonts w:cs="Calibri"/>
        </w:rPr>
        <w:t xml:space="preserve"> This was in turn based on three key observations: namely that the contents are of ‘disparate provenance’; that none have dates later than June 1241; and that the majority of letters were addressed to people within the region of Swabia.</w:t>
      </w:r>
      <w:r w:rsidRPr="00CA2A05">
        <w:rPr>
          <w:rStyle w:val="EndnoteReference"/>
        </w:rPr>
        <w:endnoteReference w:id="31"/>
      </w:r>
      <w:r w:rsidRPr="00CA2A05">
        <w:rPr>
          <w:rFonts w:cs="Calibri"/>
        </w:rPr>
        <w:t xml:space="preserve"> A dedicatory verse found in the copy of the </w:t>
      </w:r>
      <w:r w:rsidRPr="00CA2A05">
        <w:rPr>
          <w:rFonts w:cs="Calibri"/>
          <w:i/>
          <w:iCs/>
        </w:rPr>
        <w:t>Distinctiones</w:t>
      </w:r>
      <w:r w:rsidRPr="00CA2A05">
        <w:rPr>
          <w:rFonts w:cs="Calibri"/>
        </w:rPr>
        <w:t xml:space="preserve"> with which the collection is bound also identifies the manuscript as having been produced in 1241 at the behest of Ottobeuren’s abbot, Berthold, and it is not inconceivable that the letter collection was similarly commissioned by the abbot.</w:t>
      </w:r>
      <w:r w:rsidRPr="00CA2A05">
        <w:rPr>
          <w:rStyle w:val="EndnoteReference"/>
        </w:rPr>
        <w:endnoteReference w:id="32"/>
      </w:r>
    </w:p>
    <w:p w14:paraId="7DBA5D3D" w14:textId="1FFC2B2C" w:rsidR="007C08D9" w:rsidRPr="00CA2A05" w:rsidRDefault="007C08D9" w:rsidP="00021085">
      <w:pPr>
        <w:pStyle w:val="Newparagraph"/>
        <w:rPr>
          <w:rFonts w:cs="Calibri"/>
        </w:rPr>
      </w:pPr>
      <w:r w:rsidRPr="00CA2A05">
        <w:rPr>
          <w:rFonts w:cs="Calibri"/>
        </w:rPr>
        <w:lastRenderedPageBreak/>
        <w:t>There is no reason to dispute Lerner’s interpretation, which is correct on both the dating and locations of the recipients. The four letters with dates range in their composition between 11 April to 22 June, and the majority of the others also appear to have been written in this time.</w:t>
      </w:r>
      <w:r w:rsidRPr="00CA2A05">
        <w:rPr>
          <w:rStyle w:val="EndnoteReference"/>
        </w:rPr>
        <w:endnoteReference w:id="33"/>
      </w:r>
      <w:r w:rsidRPr="00CA2A05">
        <w:rPr>
          <w:rFonts w:cs="Calibri"/>
        </w:rPr>
        <w:t xml:space="preserve"> Wenceslaus I’s generally</w:t>
      </w:r>
      <w:r w:rsidR="00D31746" w:rsidRPr="00CA2A05">
        <w:rPr>
          <w:rFonts w:cs="Calibri"/>
        </w:rPr>
        <w:t>-</w:t>
      </w:r>
      <w:r w:rsidRPr="00CA2A05">
        <w:rPr>
          <w:rFonts w:cs="Calibri"/>
        </w:rPr>
        <w:t>addressed letter is dateable from its content to the days after the battle of Legnica (9 April),</w:t>
      </w:r>
      <w:r w:rsidRPr="00CA2A05">
        <w:rPr>
          <w:rStyle w:val="EndnoteReference"/>
        </w:rPr>
        <w:endnoteReference w:id="34"/>
      </w:r>
      <w:r w:rsidRPr="00CA2A05">
        <w:rPr>
          <w:rFonts w:cs="Calibri"/>
        </w:rPr>
        <w:t xml:space="preserve"> while his letter to Conrad IV mentions Conrad’s crusade as a current event, meaning that it was probably written around June.</w:t>
      </w:r>
      <w:r w:rsidRPr="00CA2A05">
        <w:rPr>
          <w:rStyle w:val="EndnoteReference"/>
        </w:rPr>
        <w:endnoteReference w:id="35"/>
      </w:r>
      <w:r w:rsidRPr="00CA2A05">
        <w:rPr>
          <w:rFonts w:cs="Calibri"/>
        </w:rPr>
        <w:t xml:space="preserve"> Bartholomeus of Trent’s letter was written at some point after 3 May, due to its focus on the battle of Giglio between imperial and papal forces in Italy.</w:t>
      </w:r>
      <w:r w:rsidRPr="00CA2A05">
        <w:rPr>
          <w:rStyle w:val="EndnoteReference"/>
        </w:rPr>
        <w:endnoteReference w:id="36"/>
      </w:r>
    </w:p>
    <w:p w14:paraId="7197E3D8" w14:textId="269DDD33" w:rsidR="007C08D9" w:rsidRPr="00CA2A05" w:rsidRDefault="007C08D9" w:rsidP="00021085">
      <w:pPr>
        <w:pStyle w:val="Newparagraph"/>
        <w:rPr>
          <w:rFonts w:cs="Calibri"/>
        </w:rPr>
      </w:pPr>
      <w:r w:rsidRPr="00CA2A05">
        <w:rPr>
          <w:rFonts w:cs="Calibri"/>
        </w:rPr>
        <w:t>Béla IV’s letter to Conrad IV has a slightly more ambiguous dating</w:t>
      </w:r>
      <w:r w:rsidR="00715794" w:rsidRPr="00CA2A05">
        <w:rPr>
          <w:rFonts w:cs="Calibri"/>
        </w:rPr>
        <w:t>.</w:t>
      </w:r>
      <w:r w:rsidRPr="00CA2A05">
        <w:rPr>
          <w:rFonts w:cs="Calibri"/>
        </w:rPr>
        <w:t xml:space="preserve"> </w:t>
      </w:r>
      <w:r w:rsidR="00715794" w:rsidRPr="00CA2A05">
        <w:rPr>
          <w:rFonts w:cs="Calibri"/>
        </w:rPr>
        <w:t>A</w:t>
      </w:r>
      <w:r w:rsidRPr="00CA2A05">
        <w:rPr>
          <w:rFonts w:cs="Calibri"/>
        </w:rPr>
        <w:t xml:space="preserve">s Rudolf’s discussion noted, the only clear indication of dating in this letter is Béla’s statement that the Mongols had not crossed the Danube, meaning that it was written before December 1241. Rudolf himself suggested that the letter was written in autumn, due to Béla’s claim that the Mongols will attack Germany in winter; this could be true, though there is no conclusive reason why it could not have been written in the summer, as </w:t>
      </w:r>
      <w:r w:rsidRPr="00CA2A05">
        <w:t>Béla had already dispatched Bishop Stephen of Vác as an envoy to Emperor Frederick II and Pope Gregory IX in May.</w:t>
      </w:r>
      <w:r w:rsidRPr="00CA2A05">
        <w:rPr>
          <w:rStyle w:val="EndnoteReference"/>
        </w:rPr>
        <w:endnoteReference w:id="37"/>
      </w:r>
      <w:r w:rsidRPr="00CA2A05">
        <w:t xml:space="preserve"> Bishop Conrad of Freising’s letter actually does claim that three of the seven Mongol armies had crossed the Danube, though this is called a ‘rumour’ and is unlikely to be a report of the actual event. This letter also references the crusade as a current event, and so was likely written in June.</w:t>
      </w:r>
      <w:r w:rsidRPr="00CA2A05">
        <w:rPr>
          <w:rStyle w:val="EndnoteReference"/>
        </w:rPr>
        <w:endnoteReference w:id="38"/>
      </w:r>
    </w:p>
    <w:p w14:paraId="6B0CCAE1" w14:textId="77777777" w:rsidR="007C08D9" w:rsidRPr="00CA2A05" w:rsidRDefault="007C08D9" w:rsidP="00021085">
      <w:pPr>
        <w:pStyle w:val="Heading2"/>
      </w:pPr>
      <w:r w:rsidRPr="00CA2A05">
        <w:t>Forwarding Letters</w:t>
      </w:r>
    </w:p>
    <w:p w14:paraId="64D00BDA" w14:textId="77777777" w:rsidR="007C08D9" w:rsidRPr="00CA2A05" w:rsidRDefault="007C08D9" w:rsidP="00021085">
      <w:pPr>
        <w:pStyle w:val="Paragraph"/>
      </w:pPr>
      <w:r w:rsidRPr="00CA2A05">
        <w:t xml:space="preserve">The main mechanism which facilitated the production of the Ottobeuren collection was the forwarding of letters. This does not mean that the ten letters took ten different paths to Ottobeuren; rather, as figure 1 shows, many were handled by the same figures on their way to the monastery. Further information on the forwarding of the letters can also </w:t>
      </w:r>
      <w:r w:rsidRPr="00CA2A05">
        <w:lastRenderedPageBreak/>
        <w:t>be gleaned from the postscripts which appear to have been appended to three of the letters by the time they arrived at Ottobeuren, and were thus copied into the collection. Combined with the fact that two of the same letters are also found in manuscripts elsewhere, these postscripts do much to establish the credibility of the letters in the collection.</w:t>
      </w:r>
    </w:p>
    <w:p w14:paraId="1C639C9D" w14:textId="77777777" w:rsidR="007C08D9" w:rsidRPr="00CA2A05" w:rsidRDefault="007C08D9" w:rsidP="00021085">
      <w:pPr>
        <w:pStyle w:val="Paragraph"/>
      </w:pPr>
      <w:r w:rsidRPr="00CA2A05">
        <w:t xml:space="preserve"> [Figure 1 near here]</w:t>
      </w:r>
      <w:r w:rsidRPr="00CA2A05">
        <w:rPr>
          <w:rStyle w:val="EndnoteReference"/>
        </w:rPr>
        <w:endnoteReference w:id="39"/>
      </w:r>
    </w:p>
    <w:p w14:paraId="347BF486" w14:textId="4C42D353" w:rsidR="007C08D9" w:rsidRPr="00CA2A05" w:rsidRDefault="007C08D9" w:rsidP="00021085">
      <w:pPr>
        <w:pStyle w:val="Newparagraph"/>
      </w:pPr>
      <w:r w:rsidRPr="00CA2A05">
        <w:t xml:space="preserve">One such postscript belongs to the letter </w:t>
      </w:r>
      <w:r w:rsidR="00E65A76" w:rsidRPr="00CA2A05">
        <w:t>of</w:t>
      </w:r>
      <w:r w:rsidRPr="00CA2A05">
        <w:t xml:space="preserve"> Duke Otto</w:t>
      </w:r>
      <w:r w:rsidR="00C51B49" w:rsidRPr="00CA2A05">
        <w:t xml:space="preserve"> II</w:t>
      </w:r>
      <w:r w:rsidRPr="00CA2A05">
        <w:t xml:space="preserve"> of Bavaria to Bishop Siboto of Augsburg, </w:t>
      </w:r>
      <w:r w:rsidR="007E533F" w:rsidRPr="00CA2A05">
        <w:t>and</w:t>
      </w:r>
      <w:r w:rsidRPr="00CA2A05">
        <w:t xml:space="preserve"> explains that the Franciscans in Augsburg witnessed a copy (</w:t>
      </w:r>
      <w:r w:rsidRPr="00CA2A05">
        <w:rPr>
          <w:i/>
          <w:iCs/>
        </w:rPr>
        <w:t>rescriptum</w:t>
      </w:r>
      <w:r w:rsidRPr="00CA2A05">
        <w:t>) of the letter bearing the duke of Bavaria’s seal, before signing it with the seal of their own house in order to corroborate its authenticity.</w:t>
      </w:r>
      <w:r w:rsidRPr="00CA2A05">
        <w:rPr>
          <w:rStyle w:val="EndnoteReference"/>
        </w:rPr>
        <w:endnoteReference w:id="40"/>
      </w:r>
      <w:r w:rsidRPr="00CA2A05">
        <w:t xml:space="preserve"> Based on this, it was presumably also the Franciscans who forwarded the letter in the direction of Ottobeuren, 65 km to the southwest.</w:t>
      </w:r>
      <w:r w:rsidR="004E34D5" w:rsidRPr="00CA2A05">
        <w:rPr>
          <w:rStyle w:val="EndnoteReference"/>
        </w:rPr>
        <w:endnoteReference w:id="41"/>
      </w:r>
      <w:r w:rsidRPr="00CA2A05">
        <w:t xml:space="preserve"> Postscripts explaining how letters were forwarded are also found in several letters copied by Matthew Paris, and show that religious institutions often played an important role in transmitting correspondence. For example, a postscript in a letter addressed to Duke Henry II of Brabant explains that the letter was subsequently forwarded by the duke to the bishop of Paris (William of Auvergne) and the archbishop of Cologne (Conrad of Hochstaden), the latter of whom sent it to Henry III of England.</w:t>
      </w:r>
      <w:r w:rsidRPr="00CA2A05">
        <w:rPr>
          <w:rStyle w:val="EndnoteReference"/>
        </w:rPr>
        <w:endnoteReference w:id="42"/>
      </w:r>
      <w:r w:rsidRPr="00CA2A05">
        <w:t xml:space="preserve"> Such a route of transmission is unsurprising, since among the German nobles both the archbishops of Cologne and the dukes of Brabant had had particularly close connections to Henry III prior to 1241.</w:t>
      </w:r>
      <w:r w:rsidRPr="00CA2A05">
        <w:rPr>
          <w:rStyle w:val="EndnoteReference"/>
        </w:rPr>
        <w:endnoteReference w:id="43"/>
      </w:r>
      <w:r w:rsidRPr="00CA2A05">
        <w:t xml:space="preserve"> A similar route is suggested by the preface to another letter copied by Matthew, in which the warden of the Franciscans in Cologne explains that this letter was sent to the duke of Brabant and presumably passed on by him.</w:t>
      </w:r>
      <w:r w:rsidRPr="00CA2A05">
        <w:rPr>
          <w:rStyle w:val="EndnoteReference"/>
        </w:rPr>
        <w:endnoteReference w:id="44"/>
      </w:r>
      <w:r w:rsidRPr="00CA2A05">
        <w:t xml:space="preserve"> </w:t>
      </w:r>
    </w:p>
    <w:p w14:paraId="12608915" w14:textId="0F7983C1" w:rsidR="007C08D9" w:rsidRPr="00CA2A05" w:rsidRDefault="007C08D9" w:rsidP="00021085">
      <w:pPr>
        <w:pStyle w:val="Newparagraph"/>
      </w:pPr>
      <w:r w:rsidRPr="00CA2A05">
        <w:t xml:space="preserve">The other two letters containing postscripts have slightly more complicated transmissions, and both survive in other manuscripts aside from this one. The first such </w:t>
      </w:r>
      <w:r w:rsidRPr="00CA2A05">
        <w:lastRenderedPageBreak/>
        <w:t xml:space="preserve">instance is the letter of the Emperor Frederick II, known from its Latin arenga as </w:t>
      </w:r>
      <w:r w:rsidRPr="00CA2A05">
        <w:rPr>
          <w:i/>
          <w:iCs/>
        </w:rPr>
        <w:t>Perfecte sollicitudinis zelus</w:t>
      </w:r>
      <w:r w:rsidRPr="00CA2A05">
        <w:t>. In this collection the letter is addressed to ‘all counts, free men, ministerials and other men in Swabia’.</w:t>
      </w:r>
      <w:r w:rsidRPr="00CA2A05">
        <w:rPr>
          <w:rStyle w:val="EndnoteReference"/>
        </w:rPr>
        <w:endnoteReference w:id="45"/>
      </w:r>
      <w:r w:rsidRPr="00CA2A05">
        <w:t xml:space="preserve"> However, this letter is also to be found in a similar form in the epistolary of the imperial secretary Petrus de Vinea, this time addressed to the Roman senators.</w:t>
      </w:r>
      <w:r w:rsidRPr="00CA2A05">
        <w:rPr>
          <w:rStyle w:val="EndnoteReference"/>
        </w:rPr>
        <w:endnoteReference w:id="46"/>
      </w:r>
      <w:r w:rsidRPr="00CA2A05">
        <w:t xml:space="preserve"> The Italian chronicler Riccardo of San Germano also records that the emperor sent a letter bearing the same arenga to Louis IX of France after having received the bishop of Vác as Béla IV’s envoy, which are the</w:t>
      </w:r>
      <w:r w:rsidR="00EC684A" w:rsidRPr="00CA2A05">
        <w:t xml:space="preserve"> </w:t>
      </w:r>
      <w:r w:rsidRPr="00CA2A05">
        <w:t>circumstances</w:t>
      </w:r>
      <w:r w:rsidR="001C5EA3" w:rsidRPr="00CA2A05">
        <w:t xml:space="preserve"> </w:t>
      </w:r>
      <w:r w:rsidRPr="00CA2A05">
        <w:t>reported in the letter itself.</w:t>
      </w:r>
      <w:r w:rsidRPr="00CA2A05">
        <w:rPr>
          <w:rStyle w:val="EndnoteReference"/>
        </w:rPr>
        <w:endnoteReference w:id="47"/>
      </w:r>
    </w:p>
    <w:p w14:paraId="1C779A49" w14:textId="6410F937" w:rsidR="007C08D9" w:rsidRPr="00CA2A05" w:rsidRDefault="007C08D9" w:rsidP="00021085">
      <w:pPr>
        <w:pStyle w:val="Newparagraph"/>
      </w:pPr>
      <w:r w:rsidRPr="00CA2A05">
        <w:t xml:space="preserve">Unlike these other versions, the Ottobeuren copy of this letter contains a list of instructions for a military campaign against the Mongols. Though presented in the manuscript simply as an addition to the emperor’s letter, it is </w:t>
      </w:r>
      <w:r w:rsidR="004713F4" w:rsidRPr="00CA2A05">
        <w:t>highly likely</w:t>
      </w:r>
      <w:r w:rsidR="002A5F9D" w:rsidRPr="00CA2A05">
        <w:t xml:space="preserve"> </w:t>
      </w:r>
      <w:r w:rsidRPr="00CA2A05">
        <w:t xml:space="preserve">that these instructions were actually issued by Conrad IV in his capacity as military leader of the crusade. Conrad’s leadership is verified in independent sources, including a letter forwarded by Bishop Henry of Konstanz (himself a recipient of two letters in the collection) containing the </w:t>
      </w:r>
      <w:r w:rsidRPr="00CA2A05">
        <w:rPr>
          <w:i/>
          <w:iCs/>
        </w:rPr>
        <w:t>Landfrieden</w:t>
      </w:r>
      <w:r w:rsidRPr="00CA2A05">
        <w:t xml:space="preserve"> ordinances issued by Conrad at Esslingen on 19 May, and Conrad’s own letter to the princes of Lower Germany also setting out the plans for the crusade.</w:t>
      </w:r>
      <w:bookmarkStart w:id="1" w:name="_Ref58281219"/>
      <w:r w:rsidRPr="00CA2A05">
        <w:rPr>
          <w:rStyle w:val="EndnoteReference"/>
        </w:rPr>
        <w:endnoteReference w:id="48"/>
      </w:r>
      <w:bookmarkEnd w:id="1"/>
      <w:r w:rsidRPr="00CA2A05">
        <w:t xml:space="preserve"> Moreover, it is known that Conrad IV was in direct contact with his father concerning the Mongols, as the emperor stated in his 3 July letter to Henry III of England that Conrad had sent him information on the invasion.</w:t>
      </w:r>
      <w:r w:rsidRPr="00CA2A05">
        <w:rPr>
          <w:rStyle w:val="EndnoteReference"/>
        </w:rPr>
        <w:endnoteReference w:id="49"/>
      </w:r>
      <w:r w:rsidRPr="00CA2A05">
        <w:t xml:space="preserve"> It is also hardly surprising that Conrad, as duke of Swabia, would have seen </w:t>
      </w:r>
      <w:r w:rsidR="00DB5643" w:rsidRPr="00CA2A05">
        <w:t>a</w:t>
      </w:r>
      <w:r w:rsidRPr="00CA2A05">
        <w:t xml:space="preserve"> letter addressed generally to the nobles and freemen of the region. This </w:t>
      </w:r>
      <w:r w:rsidR="004713F4" w:rsidRPr="00CA2A05">
        <w:t xml:space="preserve">means that </w:t>
      </w:r>
      <w:r w:rsidRPr="00CA2A05">
        <w:t xml:space="preserve">the emperor’s letter </w:t>
      </w:r>
      <w:r w:rsidR="006F48BF" w:rsidRPr="00CA2A05">
        <w:t xml:space="preserve">in all probability </w:t>
      </w:r>
      <w:r w:rsidRPr="00CA2A05">
        <w:t>made its way to Ottobeuren via Conrad, as did three other letters in the collection.</w:t>
      </w:r>
    </w:p>
    <w:p w14:paraId="3366AA14" w14:textId="2D224C43" w:rsidR="007C08D9" w:rsidRPr="00CA2A05" w:rsidRDefault="007C08D9" w:rsidP="00021085">
      <w:pPr>
        <w:pStyle w:val="Newparagraph"/>
      </w:pPr>
      <w:r w:rsidRPr="00CA2A05">
        <w:t>The other letter to be verified elsewhere is the report of Brother Julian,</w:t>
      </w:r>
      <w:r w:rsidR="004D5B44" w:rsidRPr="00CA2A05">
        <w:t xml:space="preserve"> </w:t>
      </w:r>
      <w:r w:rsidRPr="00CA2A05">
        <w:t xml:space="preserve">famous as the first extended Latin treatise on the Mongols. This is the only letter in the </w:t>
      </w:r>
      <w:r w:rsidRPr="00CA2A05">
        <w:lastRenderedPageBreak/>
        <w:t xml:space="preserve">collection to predate the 1241 invasion, having originally been written around 1238 following Julian’s journey into the steppe at the behest of Béla IV to locate and convert the supposed inhabitants of </w:t>
      </w:r>
      <w:r w:rsidRPr="00CA2A05">
        <w:rPr>
          <w:i/>
          <w:iCs/>
        </w:rPr>
        <w:t>Magna Hungaria</w:t>
      </w:r>
      <w:r w:rsidRPr="00CA2A05">
        <w:t>.</w:t>
      </w:r>
      <w:r w:rsidRPr="00CA2A05">
        <w:rPr>
          <w:rStyle w:val="EndnoteReference"/>
        </w:rPr>
        <w:endnoteReference w:id="50"/>
      </w:r>
      <w:r w:rsidRPr="00CA2A05">
        <w:t xml:space="preserve"> This text also exists in two later manuscripts in the Vatican, which provided the basis of the 1956 critical edition by Heinrich Dörrie, produced shortly before the rediscovery of this manuscript.</w:t>
      </w:r>
      <w:r w:rsidRPr="00CA2A05">
        <w:rPr>
          <w:rStyle w:val="EndnoteReference"/>
        </w:rPr>
        <w:endnoteReference w:id="51"/>
      </w:r>
      <w:r w:rsidRPr="00CA2A05">
        <w:t xml:space="preserve"> The Ottobeuren version of the text is missing the final two chapters, though Dörrie characterized these two chapters as appendices to the main report.</w:t>
      </w:r>
      <w:r w:rsidRPr="00CA2A05">
        <w:rPr>
          <w:rStyle w:val="EndnoteReference"/>
        </w:rPr>
        <w:endnoteReference w:id="52"/>
      </w:r>
    </w:p>
    <w:p w14:paraId="049786A7" w14:textId="77777777" w:rsidR="007C08D9" w:rsidRPr="00CA2A05" w:rsidRDefault="007C08D9" w:rsidP="00021085">
      <w:pPr>
        <w:pStyle w:val="Newparagraph"/>
      </w:pPr>
      <w:r w:rsidRPr="00CA2A05">
        <w:t>Brother Julian’s letter has the most complicated transmission of the Ottobeuren letters. All versions of the letter are addressed to the bishop of Perugia, Salvius Salvi, who had been a papal legate in Hungary in the late 1230s when Brother Julian’s report was written.</w:t>
      </w:r>
      <w:r w:rsidRPr="00CA2A05">
        <w:rPr>
          <w:rStyle w:val="EndnoteReference"/>
        </w:rPr>
        <w:endnoteReference w:id="53"/>
      </w:r>
      <w:r w:rsidRPr="00CA2A05">
        <w:t xml:space="preserve"> This means that the actual address does not explain the manuscript’s subsequent transmission. The postscript to the Ottobeuren version of Brother Julian’s letter is therefore crucial to explaining how it arrived at the monastery in 1241:</w:t>
      </w:r>
    </w:p>
    <w:p w14:paraId="44156FC9" w14:textId="484030A8" w:rsidR="007C08D9" w:rsidRPr="00CA2A05" w:rsidRDefault="007C08D9" w:rsidP="00021085">
      <w:pPr>
        <w:pStyle w:val="Displayedquotation"/>
      </w:pPr>
      <w:r w:rsidRPr="00CA2A05">
        <w:t>Let all the faithful of Christ be notified, that the king of Hungary sent this writing to the patriarch of Aquileia, and the patriarch transmitted it to the bishop of Brixen and to the count of Tirol, so that these might themselves transmit [the letter] to all the faithful of Christ in order to warn them, so that they might take pains to appease God on behalf of the Church. Moreover we wish</w:t>
      </w:r>
      <w:r w:rsidR="00535AE8" w:rsidRPr="00CA2A05">
        <w:t xml:space="preserve"> </w:t>
      </w:r>
      <w:r w:rsidR="00732109" w:rsidRPr="00CA2A05">
        <w:t xml:space="preserve">for </w:t>
      </w:r>
      <w:r w:rsidRPr="00CA2A05">
        <w:t xml:space="preserve">all, to whom the present writing comes, </w:t>
      </w:r>
      <w:r w:rsidR="00732109" w:rsidRPr="00CA2A05">
        <w:t xml:space="preserve">to </w:t>
      </w:r>
      <w:r w:rsidR="00535AE8" w:rsidRPr="00CA2A05">
        <w:t xml:space="preserve">know </w:t>
      </w:r>
      <w:r w:rsidRPr="00CA2A05">
        <w:t>that the bearer of the present [letter] is upright and honest.</w:t>
      </w:r>
      <w:r w:rsidRPr="00CA2A05">
        <w:rPr>
          <w:rStyle w:val="EndnoteReference"/>
        </w:rPr>
        <w:endnoteReference w:id="54"/>
      </w:r>
    </w:p>
    <w:p w14:paraId="010B6BC8" w14:textId="3072355F" w:rsidR="007C08D9" w:rsidRPr="00CA2A05" w:rsidRDefault="007C08D9" w:rsidP="002E1940">
      <w:pPr>
        <w:pStyle w:val="Paragraph"/>
      </w:pPr>
      <w:r w:rsidRPr="00CA2A05">
        <w:t>The first two connections in this chain of correspondence are already reasonably well understood, and so there is no need to dwell upon them at length. The patriarch of Aquileia mentioned is Berthold of Andechs</w:t>
      </w:r>
      <w:r w:rsidR="00981E2A" w:rsidRPr="00CA2A05">
        <w:t>,</w:t>
      </w:r>
      <w:r w:rsidRPr="00CA2A05">
        <w:t xml:space="preserve"> who was Béla IV’s maternal uncle and the former archbishop of Kalocsa in Hungary.</w:t>
      </w:r>
      <w:r w:rsidRPr="00CA2A05">
        <w:rPr>
          <w:rStyle w:val="EndnoteReference"/>
        </w:rPr>
        <w:endnoteReference w:id="55"/>
      </w:r>
      <w:r w:rsidRPr="00CA2A05">
        <w:t xml:space="preserve"> The two other figures are Egno of Eppan, bishop-elect of Brixen, and Count Albert III of Tirol. Albert was a kinsman of Berthold via the marriage of his daughter, Adelheid, to Berthold’s cousin, Meinhard of Gorizia </w:t>
      </w:r>
      <w:r w:rsidRPr="00CA2A05">
        <w:lastRenderedPageBreak/>
        <w:t>(Görz), also a prominent figure in this region.</w:t>
      </w:r>
      <w:r w:rsidRPr="00CA2A05">
        <w:rPr>
          <w:rStyle w:val="EndnoteReference"/>
        </w:rPr>
        <w:endnoteReference w:id="56"/>
      </w:r>
      <w:r w:rsidRPr="00CA2A05">
        <w:t xml:space="preserve"> On 30 April 1241 Berthold, Egno, Albert, and Meinhard congregated at Patriasdorf in Lienz in order to form a peace treaty between Egno and Meinhard.</w:t>
      </w:r>
      <w:r w:rsidRPr="00CA2A05">
        <w:rPr>
          <w:rStyle w:val="EndnoteReference"/>
        </w:rPr>
        <w:endnoteReference w:id="57"/>
      </w:r>
      <w:r w:rsidRPr="00CA2A05">
        <w:t xml:space="preserve"> This was the second of two peace treaties </w:t>
      </w:r>
      <w:r w:rsidR="00E95F28" w:rsidRPr="00CA2A05">
        <w:t xml:space="preserve">signed </w:t>
      </w:r>
      <w:r w:rsidRPr="00CA2A05">
        <w:t>in spring 1241 which ended a feud between Egno and the Brixen cathedral chapter on the one hand, and Albert and Meinhard on the other, the first having been made on 20 March</w:t>
      </w:r>
      <w:r w:rsidR="00BF0FB0" w:rsidRPr="00CA2A05">
        <w:t>.</w:t>
      </w:r>
      <w:r w:rsidRPr="00CA2A05">
        <w:t xml:space="preserve"> Huter ascribed these peace agreements to the news of the Mongol invasion.</w:t>
      </w:r>
      <w:r w:rsidRPr="00CA2A05">
        <w:rPr>
          <w:rStyle w:val="EndnoteReference"/>
        </w:rPr>
        <w:endnoteReference w:id="58"/>
      </w:r>
    </w:p>
    <w:p w14:paraId="759055D3" w14:textId="3CBB9836" w:rsidR="008C7417" w:rsidRPr="00CA2A05" w:rsidRDefault="007C08D9" w:rsidP="007C4801">
      <w:pPr>
        <w:pStyle w:val="Newparagraph"/>
      </w:pPr>
      <w:r w:rsidRPr="00CA2A05">
        <w:t xml:space="preserve">The question remains, therefore, as to how the letter arrived at Ottobeuren, which is not mentioned explicitly in the postscript. </w:t>
      </w:r>
      <w:r w:rsidR="0091336F" w:rsidRPr="00CA2A05">
        <w:t xml:space="preserve">The fact that </w:t>
      </w:r>
      <w:r w:rsidR="00B750A6" w:rsidRPr="00CA2A05">
        <w:t>the letter had to travel through the Alps</w:t>
      </w:r>
      <w:r w:rsidR="0091336F" w:rsidRPr="00CA2A05">
        <w:t xml:space="preserve"> makes it</w:t>
      </w:r>
      <w:r w:rsidR="00B750A6" w:rsidRPr="00CA2A05">
        <w:t xml:space="preserve"> </w:t>
      </w:r>
      <w:r w:rsidR="004908E3" w:rsidRPr="00CA2A05">
        <w:t xml:space="preserve">almost </w:t>
      </w:r>
      <w:r w:rsidR="00B750A6" w:rsidRPr="00CA2A05">
        <w:t xml:space="preserve">certain that it was carried </w:t>
      </w:r>
      <w:r w:rsidR="00DF7812" w:rsidRPr="00CA2A05">
        <w:t xml:space="preserve">northwards </w:t>
      </w:r>
      <w:r w:rsidR="004908E3" w:rsidRPr="00CA2A05">
        <w:t xml:space="preserve">along the important </w:t>
      </w:r>
      <w:r w:rsidR="00277158" w:rsidRPr="00CA2A05">
        <w:t>road</w:t>
      </w:r>
      <w:r w:rsidR="002C35F0" w:rsidRPr="00CA2A05">
        <w:t xml:space="preserve"> </w:t>
      </w:r>
      <w:r w:rsidR="003C0274" w:rsidRPr="00CA2A05">
        <w:t xml:space="preserve">connecting northern Italy to southern Germany via </w:t>
      </w:r>
      <w:r w:rsidR="007C4801" w:rsidRPr="00CA2A05">
        <w:t xml:space="preserve">Tirol and </w:t>
      </w:r>
      <w:r w:rsidR="003C0274" w:rsidRPr="00CA2A05">
        <w:t>the Brenner pass</w:t>
      </w:r>
      <w:r w:rsidR="00D93CAC" w:rsidRPr="00CA2A05">
        <w:t xml:space="preserve">; </w:t>
      </w:r>
      <w:r w:rsidR="00740F25" w:rsidRPr="00CA2A05">
        <w:t>among the numerous</w:t>
      </w:r>
      <w:r w:rsidR="00E65547" w:rsidRPr="00CA2A05">
        <w:t xml:space="preserve"> </w:t>
      </w:r>
      <w:r w:rsidR="00882D6C" w:rsidRPr="00CA2A05">
        <w:t>German</w:t>
      </w:r>
      <w:r w:rsidR="00E65547" w:rsidRPr="00CA2A05">
        <w:t xml:space="preserve"> </w:t>
      </w:r>
      <w:r w:rsidR="00382D0B" w:rsidRPr="00CA2A05">
        <w:t xml:space="preserve">branches of the </w:t>
      </w:r>
      <w:r w:rsidR="00EF2EBB" w:rsidRPr="00CA2A05">
        <w:t>primary</w:t>
      </w:r>
      <w:r w:rsidR="00382D0B" w:rsidRPr="00CA2A05">
        <w:t xml:space="preserve"> </w:t>
      </w:r>
      <w:r w:rsidR="00381354" w:rsidRPr="00CA2A05">
        <w:t xml:space="preserve">Brenner </w:t>
      </w:r>
      <w:r w:rsidR="00382D0B" w:rsidRPr="00CA2A05">
        <w:t>route</w:t>
      </w:r>
      <w:r w:rsidR="00381354" w:rsidRPr="00CA2A05">
        <w:t>, whose</w:t>
      </w:r>
      <w:r w:rsidR="008C5D7E" w:rsidRPr="00CA2A05">
        <w:t xml:space="preserve"> northern</w:t>
      </w:r>
      <w:r w:rsidR="00381354" w:rsidRPr="00CA2A05">
        <w:t xml:space="preserve"> terminus was at Augsburg,</w:t>
      </w:r>
      <w:r w:rsidR="00740F25" w:rsidRPr="00CA2A05">
        <w:t xml:space="preserve"> </w:t>
      </w:r>
      <w:r w:rsidR="00A50EE2" w:rsidRPr="00CA2A05">
        <w:t xml:space="preserve">was </w:t>
      </w:r>
      <w:r w:rsidR="00355E30" w:rsidRPr="00CA2A05">
        <w:t xml:space="preserve">that </w:t>
      </w:r>
      <w:r w:rsidR="00A50EE2" w:rsidRPr="00CA2A05">
        <w:t xml:space="preserve">which ran through southern Swabia </w:t>
      </w:r>
      <w:r w:rsidR="009E569E" w:rsidRPr="00CA2A05">
        <w:t xml:space="preserve">towards </w:t>
      </w:r>
      <w:r w:rsidR="00A50EE2" w:rsidRPr="00CA2A05">
        <w:t xml:space="preserve">Ulm and likely </w:t>
      </w:r>
      <w:r w:rsidR="00C2521F" w:rsidRPr="00CA2A05">
        <w:t>passed relatively close to Ottobeuren</w:t>
      </w:r>
      <w:r w:rsidR="0069700F" w:rsidRPr="00CA2A05">
        <w:t>.</w:t>
      </w:r>
      <w:r w:rsidR="00126B0F" w:rsidRPr="00CA2A05">
        <w:rPr>
          <w:rStyle w:val="EndnoteReference"/>
        </w:rPr>
        <w:endnoteReference w:id="59"/>
      </w:r>
      <w:r w:rsidR="009C36C1" w:rsidRPr="00CA2A05">
        <w:t xml:space="preserve"> From Lienz </w:t>
      </w:r>
      <w:r w:rsidR="003821F9" w:rsidRPr="00CA2A05">
        <w:t xml:space="preserve">it was </w:t>
      </w:r>
      <w:r w:rsidR="004D32E2" w:rsidRPr="00CA2A05">
        <w:t xml:space="preserve">also </w:t>
      </w:r>
      <w:r w:rsidR="003821F9" w:rsidRPr="00CA2A05">
        <w:t>possible to join the main Brenner road just north of Brixen by travelling westwards through the upper Drava and Puster valleys.</w:t>
      </w:r>
      <w:r w:rsidR="00230AD5" w:rsidRPr="00CA2A05">
        <w:rPr>
          <w:rStyle w:val="EndnoteReference"/>
        </w:rPr>
        <w:endnoteReference w:id="60"/>
      </w:r>
      <w:r w:rsidR="00EB1F6D" w:rsidRPr="00CA2A05">
        <w:t xml:space="preserve"> </w:t>
      </w:r>
    </w:p>
    <w:p w14:paraId="752FD3C5" w14:textId="62E5FFFA" w:rsidR="007C08D9" w:rsidRPr="00CA2A05" w:rsidRDefault="007C08D9" w:rsidP="00886F3B">
      <w:pPr>
        <w:pStyle w:val="Newparagraph"/>
      </w:pPr>
      <w:r w:rsidRPr="00CA2A05">
        <w:t>However, it is once again family connections which offer the closest explanation of th</w:t>
      </w:r>
      <w:r w:rsidR="0060244C" w:rsidRPr="00CA2A05">
        <w:t>e</w:t>
      </w:r>
      <w:r w:rsidRPr="00CA2A05">
        <w:t xml:space="preserve"> second stage in the letter’s transmission. The key figure here is likely to have been Egno, who was the named recipient of another letter in the Ottobeuren collection, that of Bartholomeus of Trent. Egno had an indirect family connection with Ottobeuren via his second cousin, Count Ulrich of UIten. As the two chief representatives of the house of Eppan, Ulrich and Egno were closely linked in the 1230s and 1240s.</w:t>
      </w:r>
      <w:r w:rsidRPr="00CA2A05">
        <w:rPr>
          <w:rStyle w:val="EndnoteReference"/>
        </w:rPr>
        <w:endnoteReference w:id="61"/>
      </w:r>
      <w:r w:rsidRPr="00CA2A05">
        <w:t xml:space="preserve"> On 5 June 1241 Ulrich took the cross against the Mongols in Brixen, and produced a charter stipulating that Egno was to inherit Ulrich’s lands at Silz in the Inn Valley should he not return.</w:t>
      </w:r>
      <w:r w:rsidRPr="00CA2A05">
        <w:rPr>
          <w:rStyle w:val="EndnoteReference"/>
        </w:rPr>
        <w:endnoteReference w:id="62"/>
      </w:r>
      <w:r w:rsidRPr="00CA2A05">
        <w:t xml:space="preserve"> On 13 June Ulrich produced another testament in Eppan, near Bolzano, also naming Egno and his two younger nephews as the main heirs of his entire property.</w:t>
      </w:r>
      <w:r w:rsidRPr="00CA2A05">
        <w:rPr>
          <w:rStyle w:val="EndnoteReference"/>
        </w:rPr>
        <w:endnoteReference w:id="63"/>
      </w:r>
    </w:p>
    <w:p w14:paraId="62C279AA" w14:textId="30E0207F" w:rsidR="007C08D9" w:rsidRPr="00CA2A05" w:rsidRDefault="002D54EA" w:rsidP="002D54EA">
      <w:pPr>
        <w:pStyle w:val="Newparagraph"/>
      </w:pPr>
      <w:r w:rsidRPr="00CA2A05">
        <w:lastRenderedPageBreak/>
        <w:t xml:space="preserve">Ulrich is an important example of the connections linking </w:t>
      </w:r>
      <w:r w:rsidR="002C2999" w:rsidRPr="00CA2A05">
        <w:t xml:space="preserve">southern Swabia </w:t>
      </w:r>
      <w:r w:rsidRPr="00CA2A05">
        <w:t xml:space="preserve">with Tirol, which </w:t>
      </w:r>
      <w:r w:rsidR="00982373" w:rsidRPr="00CA2A05">
        <w:t>have been</w:t>
      </w:r>
      <w:r w:rsidRPr="00CA2A05">
        <w:t xml:space="preserve"> the subject of extensive study by Hansmartin Schwarzmaier. Ulrich’s </w:t>
      </w:r>
      <w:r w:rsidR="00C733F9" w:rsidRPr="00CA2A05">
        <w:t>mother</w:t>
      </w:r>
      <w:r w:rsidR="007C08D9" w:rsidRPr="00CA2A05">
        <w:t xml:space="preserve">, Irmgard, was a member of the house of Ronsberg, whose hereditary seat and primary possessions were located in </w:t>
      </w:r>
      <w:r w:rsidR="00B75838" w:rsidRPr="00CA2A05">
        <w:t>the region immediately surrounding Ottobeuren</w:t>
      </w:r>
      <w:r w:rsidR="00D7209B" w:rsidRPr="00CA2A05">
        <w:t xml:space="preserve"> (</w:t>
      </w:r>
      <w:r w:rsidR="002C2999" w:rsidRPr="00CA2A05">
        <w:t xml:space="preserve">Ronsberg </w:t>
      </w:r>
      <w:r w:rsidR="00610315" w:rsidRPr="00CA2A05">
        <w:t>being</w:t>
      </w:r>
      <w:r w:rsidR="00B43CC0" w:rsidRPr="00CA2A05">
        <w:t xml:space="preserve"> </w:t>
      </w:r>
      <w:r w:rsidR="00B75838" w:rsidRPr="00CA2A05">
        <w:t>just 10 km to the southeast</w:t>
      </w:r>
      <w:r w:rsidR="00D7209B" w:rsidRPr="00CA2A05">
        <w:t>)</w:t>
      </w:r>
      <w:r w:rsidR="005B598E" w:rsidRPr="00CA2A05">
        <w:t>.</w:t>
      </w:r>
      <w:r w:rsidR="002C2999" w:rsidRPr="00CA2A05">
        <w:t xml:space="preserve"> The advocacy (</w:t>
      </w:r>
      <w:r w:rsidR="002C2999" w:rsidRPr="00CA2A05">
        <w:rPr>
          <w:i/>
          <w:iCs/>
        </w:rPr>
        <w:t>Vogtei</w:t>
      </w:r>
      <w:r w:rsidR="002C2999" w:rsidRPr="00CA2A05">
        <w:t xml:space="preserve">) of Ottobeuren </w:t>
      </w:r>
      <w:r w:rsidR="005A3541" w:rsidRPr="00CA2A05">
        <w:t>A</w:t>
      </w:r>
      <w:r w:rsidR="002C2999" w:rsidRPr="00CA2A05">
        <w:t xml:space="preserve">bbey was itself a longstanding possession of the margraves of Ronsberg, and </w:t>
      </w:r>
      <w:r w:rsidR="007C08D9" w:rsidRPr="00CA2A05">
        <w:t>had been held in succession by Ulrich’s maternal grandfather Henry (d. 1191) and his maternal uncles Gottfried (d. 1208) and Berthold (d. 1212). After Berthold’s death without heirs, Ulrich became the primary heir of the Ronsberg lands in Swabia and Tirol via his mother. This did not include the Ottobeuren advocacy, as this passed to one Gottfried of Marstetten, who in 1219 sold it to the Hohenstaufen.</w:t>
      </w:r>
      <w:r w:rsidR="007C08D9" w:rsidRPr="00CA2A05">
        <w:rPr>
          <w:rStyle w:val="EndnoteReference"/>
        </w:rPr>
        <w:endnoteReference w:id="64"/>
      </w:r>
      <w:r w:rsidR="007C08D9" w:rsidRPr="00CA2A05">
        <w:t xml:space="preserve"> This being said, Walter Landi</w:t>
      </w:r>
      <w:r w:rsidR="001868E1" w:rsidRPr="00CA2A05">
        <w:t xml:space="preserve"> has recently argued that</w:t>
      </w:r>
      <w:r w:rsidR="007C08D9" w:rsidRPr="00CA2A05">
        <w:t xml:space="preserve"> Gottfried of Marstetten was the same person as Ulrich’s brother Gottfried, which would mean that the advocacy passed via Irmgard to her younger son.</w:t>
      </w:r>
      <w:r w:rsidR="007C08D9" w:rsidRPr="00CA2A05">
        <w:rPr>
          <w:rStyle w:val="EndnoteReference"/>
        </w:rPr>
        <w:endnoteReference w:id="65"/>
      </w:r>
    </w:p>
    <w:p w14:paraId="6E0D18C0" w14:textId="2D6E9483" w:rsidR="007C08D9" w:rsidRPr="00CA2A05" w:rsidRDefault="007C08D9" w:rsidP="004B5916">
      <w:pPr>
        <w:pStyle w:val="Newparagraph"/>
      </w:pPr>
      <w:r w:rsidRPr="00CA2A05">
        <w:t>Though he did not inherit the Ottobeuren advocacy, Ulrich was highly active on his lands in Swabia, which is where he had been located before travelling to Brixen in June 1241. In both February and April 1241 Ulrich issued charters from Burg Kemnat, near Kaufbeuren, concerning the donation of certain Ronsberg possessions; in the former charter he described Ronsberg as his ‘chief place’.</w:t>
      </w:r>
      <w:r w:rsidRPr="00CA2A05">
        <w:rPr>
          <w:rStyle w:val="EndnoteReference"/>
        </w:rPr>
        <w:endnoteReference w:id="66"/>
      </w:r>
      <w:r w:rsidRPr="00CA2A05">
        <w:t xml:space="preserve"> Burg Kemnat was the castle of Volkmar II of Kemnat, Ulrich’s most important ministerial by virtue of his Ronsberg inheritance, and is located just 20 km to the east of Ottobeuren.</w:t>
      </w:r>
      <w:r w:rsidRPr="00CA2A05">
        <w:rPr>
          <w:rStyle w:val="EndnoteReference"/>
        </w:rPr>
        <w:endnoteReference w:id="67"/>
      </w:r>
      <w:r w:rsidRPr="00CA2A05">
        <w:t xml:space="preserve"> Ulrich subsequently returned to Kemnat in July 1241 and issued another charter there.</w:t>
      </w:r>
      <w:r w:rsidRPr="00CA2A05">
        <w:rPr>
          <w:rStyle w:val="EndnoteReference"/>
        </w:rPr>
        <w:endnoteReference w:id="68"/>
      </w:r>
      <w:r w:rsidRPr="00CA2A05">
        <w:t xml:space="preserve"> Not only this, but Egno had himself sought to capitalize on his cousin’s links with this region less than a year prior to the Mongol invasion. This is seen in the fact that, in September 1240, as </w:t>
      </w:r>
      <w:r w:rsidRPr="00CA2A05">
        <w:lastRenderedPageBreak/>
        <w:t>part of the aforementioned feud with Albert and Meinhard, Egno and Ulrich had together formed a defensive alliance with none other than Volkmar of Kemnat.</w:t>
      </w:r>
      <w:r w:rsidRPr="00CA2A05">
        <w:rPr>
          <w:rStyle w:val="EndnoteReference"/>
        </w:rPr>
        <w:endnoteReference w:id="69"/>
      </w:r>
    </w:p>
    <w:p w14:paraId="0F15D841" w14:textId="6B3964CB" w:rsidR="007C08D9" w:rsidRPr="00CA2A05" w:rsidRDefault="00B24B2A" w:rsidP="006E791C">
      <w:pPr>
        <w:pStyle w:val="Newparagraph"/>
      </w:pPr>
      <w:r w:rsidRPr="00CA2A05">
        <w:t>To be sure, i</w:t>
      </w:r>
      <w:r w:rsidR="007C08D9" w:rsidRPr="00CA2A05">
        <w:t xml:space="preserve">t is impossible to delineate the exact means by which the letters of Brother Julian and Bartholomeus of Trent made their way to Ottobeuren. However, given the fact that both Ulrich and Egno possessed connections with southern Swabia which had intensified in the months prior to the invasion, it does not seem to be mere coincidence that two letters handled by Egno were copied into a collection produced in the same region. This is especially when Egno’s cousin and ally had travelled </w:t>
      </w:r>
      <w:r w:rsidR="00AF3A10" w:rsidRPr="00CA2A05">
        <w:t>from</w:t>
      </w:r>
      <w:r w:rsidR="007C08D9" w:rsidRPr="00CA2A05">
        <w:t xml:space="preserve"> Brixen </w:t>
      </w:r>
      <w:r w:rsidR="00AF3A10" w:rsidRPr="00CA2A05">
        <w:t>to</w:t>
      </w:r>
      <w:r w:rsidR="00760C38" w:rsidRPr="00CA2A05">
        <w:t xml:space="preserve"> </w:t>
      </w:r>
      <w:r w:rsidR="007C08D9" w:rsidRPr="00CA2A05">
        <w:t xml:space="preserve">the region adjacent to Ottobeuren in </w:t>
      </w:r>
      <w:r w:rsidR="00AF3A10" w:rsidRPr="00CA2A05">
        <w:t>June-</w:t>
      </w:r>
      <w:r w:rsidR="007C08D9" w:rsidRPr="00CA2A05">
        <w:t xml:space="preserve">July 1241, around the time </w:t>
      </w:r>
      <w:r w:rsidR="003E2E8C" w:rsidRPr="00CA2A05">
        <w:t>at</w:t>
      </w:r>
      <w:r w:rsidR="007C08D9" w:rsidRPr="00CA2A05">
        <w:t xml:space="preserve"> which the manuscript is assumed to have been produced.</w:t>
      </w:r>
    </w:p>
    <w:p w14:paraId="2492F375" w14:textId="77777777" w:rsidR="007C08D9" w:rsidRPr="00CA2A05" w:rsidRDefault="007C08D9" w:rsidP="00021085">
      <w:pPr>
        <w:pStyle w:val="Heading2"/>
      </w:pPr>
      <w:r w:rsidRPr="00CA2A05">
        <w:t>Arrangement</w:t>
      </w:r>
    </w:p>
    <w:p w14:paraId="3492A765" w14:textId="77777777" w:rsidR="007C08D9" w:rsidRPr="00CA2A05" w:rsidRDefault="007C08D9" w:rsidP="00021085">
      <w:pPr>
        <w:pStyle w:val="Paragraph"/>
      </w:pPr>
      <w:r w:rsidRPr="00CA2A05">
        <w:t>All of these factors speak in favour of the authenticity of the letters in this collection: the dates of the letters concur with the known date of the manuscript’s production; two of the letters are found in manuscripts elsewhere without major alterations (excluding postscripts); and three of these letters contain postscripts attesting to the forwarding of the letters. To this we might add the general appearance of the scribal apparatus. Scribal insertions are minimal and inconsistent; several of the letters have short prefaces, but neither the first letter nor the final four do. This does not point to the collection being an elaborate literary composition, but rather to it having been produced rather hurriedly before being bound into a contemporaneously produced manuscript.</w:t>
      </w:r>
    </w:p>
    <w:p w14:paraId="792CAA00" w14:textId="77777777" w:rsidR="007C08D9" w:rsidRPr="00CA2A05" w:rsidRDefault="007C08D9" w:rsidP="00021085">
      <w:pPr>
        <w:pStyle w:val="Newparagraph"/>
      </w:pPr>
      <w:r w:rsidRPr="00CA2A05">
        <w:t xml:space="preserve">However, the hurried composition of the manuscript still does not explain the arrangement of the items in the collection. Though these were not ordered chronologically, the arrangement does not appear accidental. A particular indicator of this is the placement of the Cedar of Lebanon prophecy between the letters of Béla IV and Brother Julian near the beginning of the manuscript. Rather, both the contents and </w:t>
      </w:r>
      <w:r w:rsidRPr="00CA2A05">
        <w:lastRenderedPageBreak/>
        <w:t>the arrangement seem to reflect a pro-Hohenstaufen perspective on the invasion. This involves the accentuation of two particular features: first, the nature of the Mongol invasion as a war conducted on the entirety of Christendom; and second, the role of the princes of the Empire, under Hohenstaufen leadership, in repulsing the Mongols and thus defending Christendom.</w:t>
      </w:r>
    </w:p>
    <w:p w14:paraId="4182B9D0" w14:textId="77777777" w:rsidR="007C08D9" w:rsidRPr="00CA2A05" w:rsidRDefault="007C08D9" w:rsidP="00021085">
      <w:pPr>
        <w:pStyle w:val="Newparagraph"/>
      </w:pPr>
      <w:r w:rsidRPr="00CA2A05">
        <w:t>The nature of the Mongols as an infidel army intending to destroy all of Christendom is alluded to throughout the entire collection, but is most prominent in its first four items. The main factor linking these items is the fact that they all originate in regions affected directly by the Mongols (three from Hungary, one from Bohemia), but emphasize that the destruction already occurring in East-Central Europe will be repeated in the absence of imperial assistance.</w:t>
      </w:r>
      <w:r w:rsidRPr="00CA2A05">
        <w:rPr>
          <w:rStyle w:val="EndnoteReference"/>
        </w:rPr>
        <w:endnoteReference w:id="70"/>
      </w:r>
      <w:r w:rsidRPr="00CA2A05">
        <w:t xml:space="preserve"> The scribe himself states this in the preface which he supplied to Brother Julian’s letter, also the only such preface in the collection to go beyond naming the senders and recipients:</w:t>
      </w:r>
    </w:p>
    <w:p w14:paraId="4F1F251F" w14:textId="77777777" w:rsidR="007C08D9" w:rsidRPr="00CA2A05" w:rsidRDefault="007C08D9" w:rsidP="00021085">
      <w:pPr>
        <w:pStyle w:val="Displayedquotation"/>
      </w:pPr>
      <w:r w:rsidRPr="00CA2A05">
        <w:t>In the 1241</w:t>
      </w:r>
      <w:r w:rsidRPr="00CA2A05">
        <w:rPr>
          <w:vertAlign w:val="superscript"/>
        </w:rPr>
        <w:t>th</w:t>
      </w:r>
      <w:r w:rsidRPr="00CA2A05">
        <w:t xml:space="preserve"> year after the Incarnation, the race of the Tartars, in a grave multitude, reduced all Hungary to a general desolation, intent on destroying all Christendom. The letter written below explains how they came.</w:t>
      </w:r>
      <w:r w:rsidRPr="00CA2A05">
        <w:rPr>
          <w:rStyle w:val="EndnoteReference"/>
        </w:rPr>
        <w:endnoteReference w:id="71"/>
      </w:r>
    </w:p>
    <w:p w14:paraId="78DFF7D1" w14:textId="3E19A8D3" w:rsidR="007C08D9" w:rsidRPr="00CA2A05" w:rsidRDefault="007C08D9" w:rsidP="00021085">
      <w:pPr>
        <w:pStyle w:val="Paragraph"/>
      </w:pPr>
      <w:r w:rsidRPr="00CA2A05">
        <w:t>Lerner has already discussed how the Cedar of Lebanon prophecy also originated in Hungary prior to the Mongol invasion (c</w:t>
      </w:r>
      <w:r w:rsidR="00930843" w:rsidRPr="00CA2A05">
        <w:t>a</w:t>
      </w:r>
      <w:r w:rsidRPr="00CA2A05">
        <w:t>. 1240) and was subsequently propagated among monastic scribes who interpreted the events in an eschatological context.</w:t>
      </w:r>
      <w:r w:rsidRPr="00CA2A05">
        <w:rPr>
          <w:rStyle w:val="EndnoteReference"/>
        </w:rPr>
        <w:endnoteReference w:id="72"/>
      </w:r>
      <w:r w:rsidRPr="00CA2A05">
        <w:t xml:space="preserve"> Similarly, the two letters bookending these items depict the destruction wrought in East-Central Europe as part of a Mongol plan to destroy all of Christendom. Béla IV’s appeal claims both that the Mongols intend to invade Germany and that they seek the ‘destruction of Christendom’.</w:t>
      </w:r>
      <w:r w:rsidRPr="00CA2A05">
        <w:rPr>
          <w:rStyle w:val="EndnoteReference"/>
        </w:rPr>
        <w:endnoteReference w:id="73"/>
      </w:r>
      <w:r w:rsidRPr="00CA2A05">
        <w:t xml:space="preserve"> Wenceslaus’ generally</w:t>
      </w:r>
      <w:r w:rsidR="00D31746" w:rsidRPr="00CA2A05">
        <w:t>-</w:t>
      </w:r>
      <w:r w:rsidRPr="00CA2A05">
        <w:t>addressed letter claims that the Mongols ‘wish to destroy all Christendom’,</w:t>
      </w:r>
      <w:r w:rsidRPr="00CA2A05">
        <w:rPr>
          <w:rStyle w:val="EndnoteReference"/>
        </w:rPr>
        <w:endnoteReference w:id="74"/>
      </w:r>
      <w:r w:rsidRPr="00CA2A05">
        <w:t xml:space="preserve"> surmising that they will be impossible to defeat ‘without the help of Christians and all our friends’.</w:t>
      </w:r>
      <w:r w:rsidRPr="00CA2A05">
        <w:rPr>
          <w:rStyle w:val="EndnoteReference"/>
        </w:rPr>
        <w:endnoteReference w:id="75"/>
      </w:r>
      <w:r w:rsidRPr="00CA2A05">
        <w:t xml:space="preserve"> </w:t>
      </w:r>
    </w:p>
    <w:p w14:paraId="4332F9CC" w14:textId="79824251" w:rsidR="007C08D9" w:rsidRPr="00CA2A05" w:rsidRDefault="007C08D9" w:rsidP="00021085">
      <w:pPr>
        <w:pStyle w:val="Newparagraph"/>
      </w:pPr>
      <w:r w:rsidRPr="00CA2A05">
        <w:lastRenderedPageBreak/>
        <w:t xml:space="preserve">In the next three items the Hohenstaufen response to the crisis comes to the fore. All of these letters at least acknowledge the Hohenstaufen leadership of the crusade against the Mongols, which is largely a result of the fact that all three were explicitly or implicitly addressed to Conrad IV and apparently recirculated by him. The fact that the scribe treated these letters differently to those </w:t>
      </w:r>
      <w:r w:rsidR="003652C5" w:rsidRPr="00CA2A05">
        <w:t>which follow</w:t>
      </w:r>
      <w:r w:rsidRPr="00CA2A05">
        <w:t xml:space="preserve"> might also be inferred from the presence of scribal prefaces on all four of these letters, whereas the last items in the collection all lack them.</w:t>
      </w:r>
      <w:r w:rsidRPr="00CA2A05">
        <w:rPr>
          <w:rStyle w:val="EndnoteReference"/>
        </w:rPr>
        <w:endnoteReference w:id="76"/>
      </w:r>
      <w:r w:rsidRPr="00CA2A05">
        <w:t xml:space="preserve"> Ironically, much of the emperor’s letter to Swabia is actually a justification of his decision </w:t>
      </w:r>
      <w:r w:rsidRPr="00CA2A05">
        <w:rPr>
          <w:i/>
          <w:iCs/>
        </w:rPr>
        <w:t>not</w:t>
      </w:r>
      <w:r w:rsidRPr="00CA2A05">
        <w:t xml:space="preserve"> to return to Germany to fight the Mongols, instead recounting imperial grievances against the papacy and affirming the necessity of the advance towards Rome. This being said, Frederick does promise that the full weight of the imperial forces will be brought to bear in the defence of the Empire and Hungary, just as soon as the faith has been united through the defeat of the papacy. In the meantime, the letter bestows the emperor’s approval upon a military campaign by the imperial princes ‘in the aid of all Christians’, arguing that Béla IV had conveyed his willingness to submit Hungary to imperial rule in return for aid in defeating the Mongols.</w:t>
      </w:r>
      <w:r w:rsidR="004473EF" w:rsidRPr="00CA2A05">
        <w:rPr>
          <w:rStyle w:val="EndnoteReference"/>
        </w:rPr>
        <w:endnoteReference w:id="77"/>
      </w:r>
      <w:r w:rsidRPr="00CA2A05">
        <w:t xml:space="preserve"> Moreover, the instructions at the end of this copy of the letter give the impression that they came from the emperor himself.</w:t>
      </w:r>
    </w:p>
    <w:p w14:paraId="15A5DE1B" w14:textId="16D263E1" w:rsidR="007C08D9" w:rsidRPr="00CA2A05" w:rsidRDefault="007C08D9" w:rsidP="00FA2589">
      <w:pPr>
        <w:pStyle w:val="Newparagraph"/>
      </w:pPr>
      <w:r w:rsidRPr="00CA2A05">
        <w:t xml:space="preserve">The next letters also discuss preparations for the crusade and commend Conrad IV for having </w:t>
      </w:r>
      <w:r w:rsidR="008A51B8" w:rsidRPr="00CA2A05">
        <w:t>declared</w:t>
      </w:r>
      <w:r w:rsidRPr="00CA2A05">
        <w:t xml:space="preserve"> it. Wenceslaus’ letter strikes a different tone to his encyclical in the same collection, since the Bohemian king now sets out his plan with regard to the crusade: he will personally advance into Hungary and report back to Conrad on the best manner of proceeding.</w:t>
      </w:r>
      <w:r w:rsidRPr="00CA2A05">
        <w:rPr>
          <w:rStyle w:val="EndnoteReference"/>
        </w:rPr>
        <w:endnoteReference w:id="78"/>
      </w:r>
      <w:r w:rsidRPr="00CA2A05">
        <w:t xml:space="preserve"> Duke Frederick’s letter to Conrad also takes a proactive stance towards the presence of the Mongols in Hungary, and argues that the crusade ought to proceed in two columns (one each through Bohemia and Austria) into Hungary.</w:t>
      </w:r>
      <w:bookmarkStart w:id="2" w:name="_Ref58282651"/>
      <w:r w:rsidRPr="00CA2A05">
        <w:rPr>
          <w:rStyle w:val="EndnoteReference"/>
        </w:rPr>
        <w:endnoteReference w:id="79"/>
      </w:r>
      <w:bookmarkEnd w:id="2"/>
      <w:r w:rsidRPr="00CA2A05">
        <w:t xml:space="preserve"> There is actually a certain tension </w:t>
      </w:r>
      <w:r w:rsidR="00AF3D71" w:rsidRPr="00CA2A05">
        <w:t>between</w:t>
      </w:r>
      <w:r w:rsidRPr="00CA2A05">
        <w:t xml:space="preserve"> the nature of both princes’ suggestions </w:t>
      </w:r>
      <w:r w:rsidR="001F72E5" w:rsidRPr="00CA2A05">
        <w:t>and</w:t>
      </w:r>
      <w:r w:rsidRPr="00CA2A05">
        <w:t xml:space="preserve"> the </w:t>
      </w:r>
      <w:r w:rsidRPr="00CA2A05">
        <w:lastRenderedPageBreak/>
        <w:t>essentially defensive objectives of the crusade outlined by Conrad IV.</w:t>
      </w:r>
      <w:r w:rsidRPr="00CA2A05">
        <w:rPr>
          <w:rStyle w:val="EndnoteReference"/>
        </w:rPr>
        <w:endnoteReference w:id="80"/>
      </w:r>
      <w:r w:rsidRPr="00CA2A05">
        <w:t xml:space="preserve"> Moreover, Duke Frederick’s suggestion in particular has typically been interpreted as a self-interested bid to enlarge the territorial gains he had already extorted from Béla IV by capturing him in the aftermath of the battle of Muhi (11 April), </w:t>
      </w:r>
      <w:r w:rsidR="00FA2589" w:rsidRPr="00CA2A05">
        <w:t xml:space="preserve">as reported by </w:t>
      </w:r>
      <w:r w:rsidRPr="00CA2A05">
        <w:t>Roger of Várad.</w:t>
      </w:r>
      <w:bookmarkStart w:id="3" w:name="_Ref58281652"/>
      <w:r w:rsidRPr="00CA2A05">
        <w:rPr>
          <w:rStyle w:val="EndnoteReference"/>
        </w:rPr>
        <w:endnoteReference w:id="81"/>
      </w:r>
      <w:bookmarkEnd w:id="3"/>
      <w:r w:rsidRPr="00CA2A05">
        <w:t xml:space="preserve"> Nevertheless, in the context of the collection, particularly the preceding imperial manifesto, these letters read as an acquiescence by both princes to Hohenstaufen leadership in the campaign both to liberate Hungary (and by extension Christendom) and bring it under imperial rule.</w:t>
      </w:r>
    </w:p>
    <w:p w14:paraId="174660DE" w14:textId="62CA70B8" w:rsidR="007C08D9" w:rsidRPr="00CA2A05" w:rsidRDefault="007C08D9" w:rsidP="00021085">
      <w:pPr>
        <w:pStyle w:val="Newparagraph"/>
      </w:pPr>
      <w:r w:rsidRPr="00CA2A05">
        <w:t>The final four letters are harder to treat as a single group, but do exhibit many of the themes found in the previous letters. The scribe’s pro-imperial views find their greatest expression in the copying of Bartholomeus of Trent’s letter, which consists of a laudatory account of Frederick’s campaign in Italy, particularly the ‘extraordinary victory’ over papal forces at the battle of Giglio.</w:t>
      </w:r>
      <w:r w:rsidRPr="00CA2A05">
        <w:rPr>
          <w:rStyle w:val="EndnoteReference"/>
        </w:rPr>
        <w:endnoteReference w:id="82"/>
      </w:r>
      <w:r w:rsidRPr="00CA2A05">
        <w:t xml:space="preserve"> The letter only makes brief mention of the Mongols, before expressing in conclusion the wish that ‘the barbarous peoples, who have faith in their own savagery and attempt to destroy the faith of Christ, might be crushed by divine virtue’.</w:t>
      </w:r>
      <w:r w:rsidRPr="00CA2A05">
        <w:rPr>
          <w:rStyle w:val="EndnoteReference"/>
        </w:rPr>
        <w:endnoteReference w:id="83"/>
      </w:r>
      <w:r w:rsidRPr="00CA2A05">
        <w:t xml:space="preserve"> The final three letters, meanwhile, contain miscellaneous remarks on the invasion and the necessity of the crusade; these include Duke Frederick of Austria’s mention of having to repulse a Mongol border raid on his own border, and second-hand reports from Duke Otto of Bavaria on the initiative taken by Wenceslaus of Bohemia in organizing the defence against the Mongols in Bohemia.</w:t>
      </w:r>
      <w:r w:rsidRPr="00CA2A05">
        <w:rPr>
          <w:rStyle w:val="EndnoteReference"/>
        </w:rPr>
        <w:endnoteReference w:id="84"/>
      </w:r>
    </w:p>
    <w:p w14:paraId="62EEC260" w14:textId="28DE8E08" w:rsidR="007C08D9" w:rsidRPr="00CA2A05" w:rsidRDefault="007C08D9" w:rsidP="00E9708C">
      <w:pPr>
        <w:pStyle w:val="Newparagraph"/>
      </w:pPr>
      <w:r w:rsidRPr="00CA2A05">
        <w:t>Though any editorial standpoint in this collection is never more than implicit due to the lack of the scribe’s own prose, the Ottobeuren collection nevertheless exhibits features comparable with other contemporary monastic treatments of the invasion, not least Matthew Paris’ own celebration of the Hohenstaufen as the natural leaders of the crusade.</w:t>
      </w:r>
      <w:r w:rsidR="00CF21B3" w:rsidRPr="00CA2A05">
        <w:rPr>
          <w:rStyle w:val="EndnoteReference"/>
        </w:rPr>
        <w:endnoteReference w:id="85"/>
      </w:r>
      <w:r w:rsidRPr="00CA2A05">
        <w:t xml:space="preserve"> In part, this viewpoint can be attributed to the information </w:t>
      </w:r>
      <w:r w:rsidRPr="00CA2A05">
        <w:lastRenderedPageBreak/>
        <w:t>which the scribe had available; many of those who appear in the collection as correspondents, such as Egno of Eppan and Bishop Henry of Konstanz, belonged to the pro-imperial faction of the Empire.</w:t>
      </w:r>
      <w:r w:rsidRPr="00CA2A05">
        <w:rPr>
          <w:rStyle w:val="EndnoteReference"/>
        </w:rPr>
        <w:endnoteReference w:id="86"/>
      </w:r>
      <w:r w:rsidRPr="00CA2A05">
        <w:t xml:space="preserve"> Moreover, Ottobeuren’s long-standing imperial links also make it highly plausible that such a work could have emerged here. Particularly under Abbot Isingrim (r. 1145–80), Ottobeuren </w:t>
      </w:r>
      <w:r w:rsidR="00745F7E" w:rsidRPr="00CA2A05">
        <w:t xml:space="preserve">had </w:t>
      </w:r>
      <w:r w:rsidRPr="00CA2A05">
        <w:t>gravitated towards the Hohenstaufen</w:t>
      </w:r>
      <w:r w:rsidR="00020B91" w:rsidRPr="00CA2A05">
        <w:t xml:space="preserve"> as a means of </w:t>
      </w:r>
      <w:r w:rsidRPr="00CA2A05">
        <w:t>counteract</w:t>
      </w:r>
      <w:r w:rsidR="00020B91" w:rsidRPr="00CA2A05">
        <w:t>ing</w:t>
      </w:r>
      <w:r w:rsidRPr="00CA2A05">
        <w:t xml:space="preserve"> the impositions of its Ronsberg advocates.</w:t>
      </w:r>
      <w:r w:rsidR="00E9708C" w:rsidRPr="00CA2A05">
        <w:t xml:space="preserve"> </w:t>
      </w:r>
      <w:r w:rsidR="00EE4E00" w:rsidRPr="00CA2A05">
        <w:t>The same era</w:t>
      </w:r>
      <w:r w:rsidR="00E9708C" w:rsidRPr="00CA2A05">
        <w:t xml:space="preserve"> also saw the monastery become the site of considerable historiographical production, </w:t>
      </w:r>
      <w:r w:rsidR="00C14E1C" w:rsidRPr="00CA2A05">
        <w:t>including</w:t>
      </w:r>
      <w:r w:rsidR="00EE4E00" w:rsidRPr="00CA2A05">
        <w:t xml:space="preserve"> </w:t>
      </w:r>
      <w:r w:rsidR="00020B91" w:rsidRPr="00CA2A05">
        <w:t xml:space="preserve">a series of </w:t>
      </w:r>
      <w:r w:rsidRPr="00CA2A05">
        <w:t>forged charters purporting to show imperial patronage of the abbey by Charlemagne and Otto I.</w:t>
      </w:r>
      <w:r w:rsidR="00E9708C" w:rsidRPr="00CA2A05">
        <w:rPr>
          <w:rStyle w:val="EndnoteReference"/>
        </w:rPr>
        <w:endnoteReference w:id="87"/>
      </w:r>
      <w:r w:rsidRPr="00CA2A05">
        <w:t xml:space="preserve"> In 1219 Emperor Frederick II acquired the advocacy of the abbey from the aforementioned Gottfried as part of an effort to increase Hohenstaufen control of southern Swabia; he invested his son Henry (VII) </w:t>
      </w:r>
      <w:r w:rsidR="00BC0B17" w:rsidRPr="00CA2A05">
        <w:t xml:space="preserve">of Germany (r. 1220–35) </w:t>
      </w:r>
      <w:r w:rsidRPr="00CA2A05">
        <w:t xml:space="preserve">with it, and the advocacy remained in Hohenstaufen hands until the </w:t>
      </w:r>
      <w:r w:rsidR="00114E4D" w:rsidRPr="00CA2A05">
        <w:t xml:space="preserve">dynasty’s </w:t>
      </w:r>
      <w:r w:rsidRPr="00CA2A05">
        <w:t>extinction in 1268.</w:t>
      </w:r>
      <w:r w:rsidRPr="00CA2A05">
        <w:rPr>
          <w:rStyle w:val="EndnoteReference"/>
        </w:rPr>
        <w:endnoteReference w:id="88"/>
      </w:r>
    </w:p>
    <w:p w14:paraId="01FEDAD3" w14:textId="3EC5B38B" w:rsidR="007C08D9" w:rsidRPr="00CA2A05" w:rsidRDefault="007C08D9" w:rsidP="00FE2677">
      <w:pPr>
        <w:pStyle w:val="Newparagraph"/>
      </w:pPr>
      <w:r w:rsidRPr="00CA2A05">
        <w:t>It is therefore unsurprising that the scribe (or commissioner) of the collection gave no indication of disagreeing with the pro-imperial views presented in the individual letters, and arranged them to give the clear impression of the Hohenstaufen-led crusade as the only thing preventing the otherwise certain destruction of Christendom. The Ottobeuren manuscript is therefore also an outstanding piece of monastic history-writing on the Mongols, made all the more extraordinary by the fact that its narrative is accomplished almost entirely through the voices of others. This is in addition to the manuscript being central to any attempt to reconstruct patterns of correspondence from the summer of 1241, which will form the focus of the final section of this article.</w:t>
      </w:r>
    </w:p>
    <w:p w14:paraId="291D90A5" w14:textId="77AC34E6" w:rsidR="007C08D9" w:rsidRPr="00CA2A05" w:rsidRDefault="007C08D9" w:rsidP="00021085">
      <w:pPr>
        <w:pStyle w:val="Heading1"/>
      </w:pPr>
      <w:r w:rsidRPr="00CA2A05">
        <w:t>Communication and the Crusade</w:t>
      </w:r>
    </w:p>
    <w:p w14:paraId="6E42C210" w14:textId="77777777" w:rsidR="007C08D9" w:rsidRPr="00CA2A05" w:rsidRDefault="007C08D9" w:rsidP="00021085">
      <w:pPr>
        <w:pStyle w:val="Paragraph"/>
      </w:pPr>
      <w:r w:rsidRPr="00CA2A05">
        <w:t xml:space="preserve">The unique suitability of the Ottobeuren collection as a window into broader </w:t>
      </w:r>
      <w:r w:rsidRPr="00CA2A05">
        <w:lastRenderedPageBreak/>
        <w:t>communication patterns comes from the fact that all of the letters found within it were in transmission between April and June 1241. This chronological boundedness is not found with, for example, Matthew Paris, several of whose letters on the Mongols were either written or copied in the years following 1241, making it difficult to treat all of his letters as part of a single network of communication on the Mongols.</w:t>
      </w:r>
      <w:r w:rsidRPr="00CA2A05">
        <w:rPr>
          <w:rStyle w:val="EndnoteReference"/>
        </w:rPr>
        <w:endnoteReference w:id="89"/>
      </w:r>
      <w:r w:rsidRPr="00CA2A05">
        <w:t xml:space="preserve"> Moreover, several of the collection’s named senders and recipients are documented independently as having been involved in plans to defend the Empire against the Mongols and as having communicated with others not attested to in the manuscript.</w:t>
      </w:r>
    </w:p>
    <w:p w14:paraId="121BD288" w14:textId="526922BC" w:rsidR="007C08D9" w:rsidRPr="00CA2A05" w:rsidRDefault="007C08D9" w:rsidP="00021085">
      <w:pPr>
        <w:pStyle w:val="Newparagraph"/>
      </w:pPr>
      <w:r w:rsidRPr="00CA2A05">
        <w:t xml:space="preserve">Figure </w:t>
      </w:r>
      <w:r w:rsidR="00797DD7" w:rsidRPr="00CA2A05">
        <w:t>2</w:t>
      </w:r>
      <w:r w:rsidRPr="00CA2A05">
        <w:t xml:space="preserve"> represents an attempt to visualize these relations between the Ottobeuren collection and other correspondence. In this diagram the size of the nodes corresponds to weighted degree centrality (the number of edges held by a single node, adjusted for the weight of each edge), which can be employed as a simple measure of importance or prestige in a network.</w:t>
      </w:r>
      <w:r w:rsidR="00C22204" w:rsidRPr="00CA2A05">
        <w:t xml:space="preserve"> Degree can in turn be divided into in- and out-degrees, representing the number of incoming and outgoing </w:t>
      </w:r>
      <w:r w:rsidR="002F6BB0" w:rsidRPr="00CA2A05">
        <w:t>connections respectively.</w:t>
      </w:r>
      <w:r w:rsidRPr="00CA2A05">
        <w:rPr>
          <w:rStyle w:val="EndnoteReference"/>
        </w:rPr>
        <w:endnoteReference w:id="90"/>
      </w:r>
      <w:r w:rsidR="002F6BB0" w:rsidRPr="00CA2A05">
        <w:t xml:space="preserve"> </w:t>
      </w:r>
      <w:r w:rsidRPr="00CA2A05">
        <w:t>This network also incorporates the aforementioned hidden connections, denoted by grey edges of either 1.0 or 0.5 weight.</w:t>
      </w:r>
      <w:r w:rsidRPr="00CA2A05">
        <w:rPr>
          <w:rStyle w:val="EndnoteReference"/>
        </w:rPr>
        <w:endnoteReference w:id="91"/>
      </w:r>
      <w:r w:rsidRPr="00CA2A05">
        <w:t xml:space="preserve"> This final section will discuss add further nuance to this network by discussing what letters reveal about the actions and motivations of </w:t>
      </w:r>
      <w:r w:rsidR="00170EF5" w:rsidRPr="00CA2A05">
        <w:t>four</w:t>
      </w:r>
      <w:r w:rsidRPr="00CA2A05">
        <w:t xml:space="preserve"> interconnected figures in this network, all prominent in the Ottobeuren collection, particularly in relation to plans for the defence of the Empire from a possible Mongol attack.</w:t>
      </w:r>
    </w:p>
    <w:p w14:paraId="5068627A" w14:textId="428B38FB" w:rsidR="007C08D9" w:rsidRPr="00CA2A05" w:rsidRDefault="007C08D9" w:rsidP="00021085">
      <w:pPr>
        <w:pStyle w:val="Figurecaption"/>
      </w:pPr>
      <w:r w:rsidRPr="00CA2A05">
        <w:t xml:space="preserve">[Figure </w:t>
      </w:r>
      <w:r w:rsidR="00797DD7" w:rsidRPr="00CA2A05">
        <w:t>2</w:t>
      </w:r>
      <w:r w:rsidRPr="00CA2A05">
        <w:t xml:space="preserve"> near here]</w:t>
      </w:r>
      <w:r w:rsidRPr="00CA2A05">
        <w:rPr>
          <w:rStyle w:val="EndnoteReference"/>
        </w:rPr>
        <w:endnoteReference w:id="92"/>
      </w:r>
    </w:p>
    <w:p w14:paraId="4F96CF91" w14:textId="77777777" w:rsidR="007C08D9" w:rsidRPr="00CA2A05" w:rsidRDefault="007C08D9" w:rsidP="00021085">
      <w:pPr>
        <w:pStyle w:val="Heading2"/>
      </w:pPr>
      <w:r w:rsidRPr="00CA2A05">
        <w:t>Emperor Frederick II</w:t>
      </w:r>
    </w:p>
    <w:p w14:paraId="67A5C112" w14:textId="153717DD" w:rsidR="007C08D9" w:rsidRPr="00CA2A05" w:rsidRDefault="007C08D9" w:rsidP="00621460">
      <w:pPr>
        <w:pStyle w:val="Paragraph"/>
      </w:pPr>
      <w:r w:rsidRPr="00CA2A05">
        <w:t xml:space="preserve">The link between </w:t>
      </w:r>
      <w:r w:rsidR="00B73EBD" w:rsidRPr="00CA2A05">
        <w:t>rank</w:t>
      </w:r>
      <w:r w:rsidRPr="00CA2A05">
        <w:t xml:space="preserve"> and degree centrality is best illustrated by Emperor Frederick II, who possesses the highest weighted degree (10.5)</w:t>
      </w:r>
      <w:r w:rsidR="00947FAF" w:rsidRPr="00CA2A05">
        <w:t xml:space="preserve"> and in-degree (5.0) in the network. </w:t>
      </w:r>
      <w:r w:rsidR="00947FAF" w:rsidRPr="00CA2A05">
        <w:lastRenderedPageBreak/>
        <w:t xml:space="preserve">This latter </w:t>
      </w:r>
      <w:r w:rsidR="003864E6" w:rsidRPr="00CA2A05">
        <w:t>statistic</w:t>
      </w:r>
      <w:r w:rsidR="00947FAF" w:rsidRPr="00CA2A05">
        <w:t xml:space="preserve"> is indicative of the fact that the emperor received information from </w:t>
      </w:r>
      <w:r w:rsidR="00DD1ED3" w:rsidRPr="00CA2A05">
        <w:t>a</w:t>
      </w:r>
      <w:r w:rsidR="00947FAF" w:rsidRPr="00CA2A05">
        <w:t xml:space="preserve"> range of correspondents in the early months of the invasion. The key </w:t>
      </w:r>
      <w:r w:rsidR="002C2AC8" w:rsidRPr="00CA2A05">
        <w:t>evidence for</w:t>
      </w:r>
      <w:r w:rsidR="007F67DF" w:rsidRPr="00CA2A05">
        <w:t xml:space="preserve"> </w:t>
      </w:r>
      <w:r w:rsidR="00947FAF" w:rsidRPr="00CA2A05">
        <w:t xml:space="preserve">this is Frederick’s own letter to Henry III of England, in which he names the individuals who </w:t>
      </w:r>
      <w:r w:rsidR="0082453D" w:rsidRPr="00CA2A05">
        <w:t>had sent him information</w:t>
      </w:r>
      <w:r w:rsidR="00947FAF" w:rsidRPr="00CA2A05">
        <w:t>, and it is notable that all five are also prominent in the Ottobeuren collection. These are</w:t>
      </w:r>
      <w:r w:rsidR="00C5661B" w:rsidRPr="00CA2A05">
        <w:t>:</w:t>
      </w:r>
      <w:r w:rsidR="00947FAF" w:rsidRPr="00CA2A05">
        <w:t xml:space="preserve"> Béla IV (via </w:t>
      </w:r>
      <w:r w:rsidR="0045250C" w:rsidRPr="00CA2A05">
        <w:t>B</w:t>
      </w:r>
      <w:r w:rsidR="00947FAF" w:rsidRPr="00CA2A05">
        <w:t xml:space="preserve">ishop </w:t>
      </w:r>
      <w:r w:rsidR="0045250C" w:rsidRPr="00CA2A05">
        <w:t xml:space="preserve">Stephen </w:t>
      </w:r>
      <w:r w:rsidR="00947FAF" w:rsidRPr="00CA2A05">
        <w:t>of Vác)</w:t>
      </w:r>
      <w:r w:rsidR="00C5661B" w:rsidRPr="00CA2A05">
        <w:t>;</w:t>
      </w:r>
      <w:r w:rsidR="00947FAF" w:rsidRPr="00CA2A05">
        <w:t xml:space="preserve"> Conrad IV</w:t>
      </w:r>
      <w:r w:rsidR="00C5661B" w:rsidRPr="00CA2A05">
        <w:t>;</w:t>
      </w:r>
      <w:r w:rsidR="00947FAF" w:rsidRPr="00CA2A05">
        <w:t xml:space="preserve"> Wenceslaus I of Bohemia</w:t>
      </w:r>
      <w:r w:rsidR="00C5661B" w:rsidRPr="00CA2A05">
        <w:t>;</w:t>
      </w:r>
      <w:r w:rsidR="00947FAF" w:rsidRPr="00CA2A05">
        <w:t xml:space="preserve"> Frederick II of Austria</w:t>
      </w:r>
      <w:r w:rsidR="00C5661B" w:rsidRPr="00CA2A05">
        <w:t>;</w:t>
      </w:r>
      <w:r w:rsidR="00947FAF" w:rsidRPr="00CA2A05">
        <w:t xml:space="preserve"> and Otto II of Bavaria</w:t>
      </w:r>
      <w:r w:rsidRPr="00CA2A05">
        <w:t>.</w:t>
      </w:r>
      <w:r w:rsidRPr="00CA2A05">
        <w:rPr>
          <w:rStyle w:val="EndnoteReference"/>
        </w:rPr>
        <w:endnoteReference w:id="93"/>
      </w:r>
    </w:p>
    <w:p w14:paraId="4122EB5E" w14:textId="5554A9A4" w:rsidR="007C08D9" w:rsidRPr="00CA2A05" w:rsidRDefault="00C5661B" w:rsidP="001332C5">
      <w:pPr>
        <w:pStyle w:val="Newparagraph"/>
      </w:pPr>
      <w:r w:rsidRPr="00CA2A05">
        <w:t xml:space="preserve">Though no letters addressed to the emperor survive, it seems reasonable to suggest that his high rank and imperial status at least partly explain why he received five separate accounts of the invasion. This finds some </w:t>
      </w:r>
      <w:r w:rsidR="007A4A45" w:rsidRPr="00CA2A05">
        <w:t>corroboration</w:t>
      </w:r>
      <w:r w:rsidRPr="00CA2A05">
        <w:t xml:space="preserve"> in the correspondence practices of Béla IV, who </w:t>
      </w:r>
      <w:r w:rsidR="00F34919" w:rsidRPr="00CA2A05">
        <w:t xml:space="preserve">along </w:t>
      </w:r>
      <w:r w:rsidRPr="00CA2A05">
        <w:t xml:space="preserve">with Pope Gregory IX possesses the joint-highest out-degree (6.0) in the network. Béla clearly targeted his appeals for help to the highest-ranking figures </w:t>
      </w:r>
      <w:r w:rsidR="001332C5" w:rsidRPr="00CA2A05">
        <w:t>in Christendom; t</w:t>
      </w:r>
      <w:r w:rsidR="007C08D9" w:rsidRPr="00CA2A05">
        <w:t xml:space="preserve">he same embassy of </w:t>
      </w:r>
      <w:r w:rsidR="00A77910" w:rsidRPr="00CA2A05">
        <w:t>Bishop Stephen</w:t>
      </w:r>
      <w:r w:rsidR="007C08D9" w:rsidRPr="00CA2A05">
        <w:t xml:space="preserve"> which informed Frederick of the invasion subsequently travelled to the papal curia in order to request assistance from Gregory IX, and we have seen that Béla </w:t>
      </w:r>
      <w:r w:rsidR="00FF5297" w:rsidRPr="00CA2A05">
        <w:t>wrote separately</w:t>
      </w:r>
      <w:r w:rsidR="007C08D9" w:rsidRPr="00CA2A05">
        <w:t xml:space="preserve"> to Conrad IV.</w:t>
      </w:r>
      <w:r w:rsidR="007C08D9" w:rsidRPr="00CA2A05">
        <w:rPr>
          <w:rStyle w:val="EndnoteReference"/>
        </w:rPr>
        <w:endnoteReference w:id="94"/>
      </w:r>
      <w:r w:rsidR="00241716" w:rsidRPr="00CA2A05">
        <w:t xml:space="preserve"> </w:t>
      </w:r>
      <w:r w:rsidR="008C0770" w:rsidRPr="00CA2A05">
        <w:t>In addition</w:t>
      </w:r>
      <w:r w:rsidR="007C08D9" w:rsidRPr="00CA2A05">
        <w:t>, Béla stated in a c</w:t>
      </w:r>
      <w:r w:rsidR="00930843" w:rsidRPr="00CA2A05">
        <w:t>a</w:t>
      </w:r>
      <w:r w:rsidR="007C08D9" w:rsidRPr="00CA2A05">
        <w:t xml:space="preserve">. 1250 letter to Pope Innocent IV (r. 1243–54) that he had </w:t>
      </w:r>
      <w:r w:rsidR="00241716" w:rsidRPr="00CA2A05">
        <w:t xml:space="preserve">also </w:t>
      </w:r>
      <w:r w:rsidR="007C08D9" w:rsidRPr="00CA2A05">
        <w:t>addressed an appeal to Louis IX of France during the invasion,</w:t>
      </w:r>
      <w:r w:rsidR="006D6DCA" w:rsidRPr="00CA2A05">
        <w:t xml:space="preserve"> though it is unclear whether he even received a reply</w:t>
      </w:r>
      <w:r w:rsidR="007C08D9" w:rsidRPr="00CA2A05">
        <w:t>.</w:t>
      </w:r>
      <w:r w:rsidR="007C08D9" w:rsidRPr="00CA2A05">
        <w:rPr>
          <w:rStyle w:val="EndnoteReference"/>
        </w:rPr>
        <w:endnoteReference w:id="95"/>
      </w:r>
    </w:p>
    <w:p w14:paraId="2676A29A" w14:textId="317A529D" w:rsidR="0080024A" w:rsidRPr="00CA2A05" w:rsidRDefault="00762211" w:rsidP="00DE66B9">
      <w:pPr>
        <w:pStyle w:val="Newparagraph"/>
      </w:pPr>
      <w:r w:rsidRPr="00CA2A05">
        <w:t xml:space="preserve">The reports </w:t>
      </w:r>
      <w:r w:rsidR="00960CDE" w:rsidRPr="00CA2A05">
        <w:t xml:space="preserve">received by the emperor </w:t>
      </w:r>
      <w:r w:rsidR="008B7E45" w:rsidRPr="00CA2A05">
        <w:t>in turn spurred him to send his own letters to various recipients,</w:t>
      </w:r>
      <w:r w:rsidR="000A2272" w:rsidRPr="00CA2A05">
        <w:t xml:space="preserve"> </w:t>
      </w:r>
      <w:r w:rsidR="003F090F" w:rsidRPr="00CA2A05">
        <w:t>and this active correspondence</w:t>
      </w:r>
      <w:r w:rsidR="0056515F" w:rsidRPr="00CA2A05">
        <w:t xml:space="preserve"> is </w:t>
      </w:r>
      <w:r w:rsidR="00DE66B9" w:rsidRPr="00CA2A05">
        <w:t>reflected in his high out-degree</w:t>
      </w:r>
      <w:r w:rsidR="005C2542" w:rsidRPr="00CA2A05">
        <w:t xml:space="preserve"> (5.5)</w:t>
      </w:r>
      <w:r w:rsidR="008B7E45" w:rsidRPr="00CA2A05">
        <w:t>.</w:t>
      </w:r>
      <w:r w:rsidR="001674F9" w:rsidRPr="00CA2A05">
        <w:t xml:space="preserve"> </w:t>
      </w:r>
      <w:r w:rsidR="0040763D" w:rsidRPr="00CA2A05">
        <w:t xml:space="preserve">In addition to the aforementioned sending of </w:t>
      </w:r>
      <w:r w:rsidR="0040763D" w:rsidRPr="00CA2A05">
        <w:rPr>
          <w:i/>
          <w:iCs/>
        </w:rPr>
        <w:t>Perfecte sollicitudinis zelus</w:t>
      </w:r>
      <w:r w:rsidR="0040763D" w:rsidRPr="00CA2A05">
        <w:t xml:space="preserve"> to </w:t>
      </w:r>
      <w:r w:rsidR="007120E1" w:rsidRPr="00CA2A05">
        <w:t>Swabia, Rome, and Louis IX, Frederick also addressed separate letters dealing with the invasion to Béla IV</w:t>
      </w:r>
      <w:r w:rsidR="007F5272" w:rsidRPr="00CA2A05">
        <w:t xml:space="preserve"> (</w:t>
      </w:r>
      <w:r w:rsidR="00953C57" w:rsidRPr="00CA2A05">
        <w:t xml:space="preserve">a </w:t>
      </w:r>
      <w:r w:rsidR="007F5272" w:rsidRPr="00CA2A05">
        <w:t xml:space="preserve">reply to </w:t>
      </w:r>
      <w:r w:rsidR="00953C57" w:rsidRPr="00CA2A05">
        <w:t>Bishop Stephen’s embassy</w:t>
      </w:r>
      <w:r w:rsidR="007F5272" w:rsidRPr="00CA2A05">
        <w:t>)</w:t>
      </w:r>
      <w:r w:rsidR="007120E1" w:rsidRPr="00CA2A05">
        <w:t xml:space="preserve"> and to Henry III of England.</w:t>
      </w:r>
      <w:r w:rsidR="009D6DAC" w:rsidRPr="00CA2A05">
        <w:rPr>
          <w:rStyle w:val="EndnoteReference"/>
        </w:rPr>
        <w:endnoteReference w:id="96"/>
      </w:r>
      <w:r w:rsidR="009D6DAC" w:rsidRPr="00CA2A05">
        <w:t xml:space="preserve"> </w:t>
      </w:r>
      <w:r w:rsidR="00632304" w:rsidRPr="00CA2A05">
        <w:t>Though Frederick made any participation in an anti-Mongol campaign contingent upon the conclusion of his Italian campaign against the papacy</w:t>
      </w:r>
      <w:r w:rsidR="001F060E" w:rsidRPr="00CA2A05">
        <w:t xml:space="preserve">, </w:t>
      </w:r>
      <w:r w:rsidR="00632304" w:rsidRPr="00CA2A05">
        <w:t xml:space="preserve">Bezzola was not </w:t>
      </w:r>
      <w:r w:rsidR="001F4B57" w:rsidRPr="00CA2A05">
        <w:t xml:space="preserve">necessarily </w:t>
      </w:r>
      <w:r w:rsidR="00632304" w:rsidRPr="00CA2A05">
        <w:t>wrong to argue that</w:t>
      </w:r>
      <w:r w:rsidR="00353E26" w:rsidRPr="00CA2A05">
        <w:t xml:space="preserve"> he</w:t>
      </w:r>
      <w:r w:rsidR="00632304" w:rsidRPr="00CA2A05">
        <w:t xml:space="preserve"> </w:t>
      </w:r>
      <w:r w:rsidR="0080024A" w:rsidRPr="00CA2A05">
        <w:t>was genuinely perturbed by the invasion</w:t>
      </w:r>
      <w:r w:rsidR="00AC504D" w:rsidRPr="00CA2A05">
        <w:t xml:space="preserve"> and</w:t>
      </w:r>
      <w:r w:rsidR="0080024A" w:rsidRPr="00CA2A05">
        <w:t xml:space="preserve"> that </w:t>
      </w:r>
      <w:r w:rsidR="0080024A" w:rsidRPr="00CA2A05">
        <w:lastRenderedPageBreak/>
        <w:t>he regarded the defence of Christendom as an important part of his imperial duty.</w:t>
      </w:r>
      <w:r w:rsidR="00B105C4" w:rsidRPr="00CA2A05">
        <w:rPr>
          <w:rStyle w:val="EndnoteReference"/>
        </w:rPr>
        <w:endnoteReference w:id="97"/>
      </w:r>
      <w:r w:rsidR="00B105C4" w:rsidRPr="00CA2A05">
        <w:t xml:space="preserve"> Indeed, the content of </w:t>
      </w:r>
      <w:r w:rsidR="005D3238" w:rsidRPr="00CA2A05">
        <w:t xml:space="preserve">these </w:t>
      </w:r>
      <w:r w:rsidR="00B105C4" w:rsidRPr="00CA2A05">
        <w:t xml:space="preserve">letters shows clearly that Frederick felt himself compelled to justify </w:t>
      </w:r>
      <w:r w:rsidR="009C794D" w:rsidRPr="00CA2A05">
        <w:t xml:space="preserve">to his correspondence </w:t>
      </w:r>
      <w:r w:rsidR="00B105C4" w:rsidRPr="00CA2A05">
        <w:t xml:space="preserve">his unwillingness to provide </w:t>
      </w:r>
      <w:r w:rsidR="009C794D" w:rsidRPr="00CA2A05">
        <w:t xml:space="preserve">immediate </w:t>
      </w:r>
      <w:r w:rsidR="00B105C4" w:rsidRPr="00CA2A05">
        <w:t>assistance</w:t>
      </w:r>
      <w:r w:rsidR="009C794D" w:rsidRPr="00CA2A05">
        <w:t xml:space="preserve"> to Hungary, and it</w:t>
      </w:r>
      <w:r w:rsidR="00B105C4" w:rsidRPr="00CA2A05">
        <w:t xml:space="preserve"> is </w:t>
      </w:r>
      <w:r w:rsidR="00842AA1" w:rsidRPr="00CA2A05">
        <w:t>possible</w:t>
      </w:r>
      <w:r w:rsidR="007454C7" w:rsidRPr="00CA2A05">
        <w:t xml:space="preserve"> </w:t>
      </w:r>
      <w:r w:rsidR="00B105C4" w:rsidRPr="00CA2A05">
        <w:t>that the large number of reports he received only heightened this perceived need for self-justification.</w:t>
      </w:r>
    </w:p>
    <w:p w14:paraId="2B602E8F" w14:textId="14AEBE68" w:rsidR="006E6C3B" w:rsidRPr="00CA2A05" w:rsidRDefault="00D80F76" w:rsidP="003A233D">
      <w:pPr>
        <w:pStyle w:val="Newparagraph"/>
      </w:pPr>
      <w:r w:rsidRPr="00CA2A05">
        <w:t>I</w:t>
      </w:r>
      <w:r w:rsidR="00EA40C9" w:rsidRPr="00CA2A05">
        <w:t xml:space="preserve">t is in this context that the </w:t>
      </w:r>
      <w:r w:rsidR="00E14CAE" w:rsidRPr="00CA2A05">
        <w:t xml:space="preserve">imperial </w:t>
      </w:r>
      <w:r w:rsidR="00EA40C9" w:rsidRPr="00CA2A05">
        <w:t>crusade serve</w:t>
      </w:r>
      <w:r w:rsidR="00AC7D9C" w:rsidRPr="00CA2A05">
        <w:t>d</w:t>
      </w:r>
      <w:r w:rsidR="00EA40C9" w:rsidRPr="00CA2A05">
        <w:t xml:space="preserve"> an important purpose </w:t>
      </w:r>
      <w:r w:rsidR="00AC7D9C" w:rsidRPr="00CA2A05">
        <w:t>in the letters which the emperor sent in June and July.</w:t>
      </w:r>
      <w:r w:rsidRPr="00CA2A05">
        <w:t xml:space="preserve"> </w:t>
      </w:r>
      <w:r w:rsidR="00F232DE" w:rsidRPr="00CA2A05">
        <w:t>In part, Frederick’s defence of his decision not to suspend the Italian campaign hinged on his argument that the papacy had been responsible for the discords in Italy, and that these posed as grave a threat to Christendom as the Mongols themselves.</w:t>
      </w:r>
      <w:r w:rsidR="0021721A" w:rsidRPr="00CA2A05">
        <w:rPr>
          <w:rStyle w:val="EndnoteReference"/>
        </w:rPr>
        <w:endnoteReference w:id="98"/>
      </w:r>
      <w:r w:rsidR="003868A5" w:rsidRPr="00CA2A05">
        <w:t xml:space="preserve"> </w:t>
      </w:r>
      <w:r w:rsidR="00D367F5" w:rsidRPr="00CA2A05">
        <w:t xml:space="preserve">Equally important, however, was </w:t>
      </w:r>
      <w:r w:rsidR="00A11F33" w:rsidRPr="00CA2A05">
        <w:t xml:space="preserve">the fact that in his letters Frederick sought </w:t>
      </w:r>
      <w:r w:rsidR="004C1CF9" w:rsidRPr="00CA2A05">
        <w:t xml:space="preserve">both to invoke the crusade as proof of his genuine concern and intent, and to define </w:t>
      </w:r>
      <w:r w:rsidR="00751B32" w:rsidRPr="00CA2A05">
        <w:t>its</w:t>
      </w:r>
      <w:r w:rsidR="004C1CF9" w:rsidRPr="00CA2A05">
        <w:t xml:space="preserve"> timetable and scope with reference to himself. </w:t>
      </w:r>
      <w:r w:rsidR="00A11F33" w:rsidRPr="00CA2A05">
        <w:t>In his letter to Henry III</w:t>
      </w:r>
      <w:r w:rsidR="001B278F" w:rsidRPr="00CA2A05">
        <w:t>,</w:t>
      </w:r>
      <w:r w:rsidR="00A11F33" w:rsidRPr="00CA2A05">
        <w:t xml:space="preserve"> Frederick credited himself with providing the impetus for the crusade, stating </w:t>
      </w:r>
      <w:r w:rsidR="00D367F5" w:rsidRPr="00CA2A05">
        <w:t>that ‘we have … expressly sent our beloved son Conrad, and other chiefs of our empire, with a strong force, to meet and check the attacks and violence of these barbarians’, and he also advised Henry to prepare his own contribution to the united Christian force which Frederick would personally lead.</w:t>
      </w:r>
      <w:r w:rsidR="00D367F5" w:rsidRPr="00CA2A05">
        <w:rPr>
          <w:rStyle w:val="EndnoteReference"/>
        </w:rPr>
        <w:endnoteReference w:id="99"/>
      </w:r>
      <w:r w:rsidR="00D367F5" w:rsidRPr="00CA2A05">
        <w:t xml:space="preserve"> </w:t>
      </w:r>
      <w:r w:rsidR="003A233D" w:rsidRPr="00CA2A05">
        <w:t>He similarly</w:t>
      </w:r>
      <w:r w:rsidR="003B2C3B" w:rsidRPr="00CA2A05">
        <w:t xml:space="preserve"> stated to Béla IV that Conrad</w:t>
      </w:r>
      <w:r w:rsidR="002001A7" w:rsidRPr="00CA2A05">
        <w:t>’s forces</w:t>
      </w:r>
      <w:r w:rsidR="003B2C3B" w:rsidRPr="00CA2A05">
        <w:t xml:space="preserve"> would assist </w:t>
      </w:r>
      <w:r w:rsidR="0062265F" w:rsidRPr="00CA2A05">
        <w:t>Béla</w:t>
      </w:r>
      <w:r w:rsidR="00795EB4" w:rsidRPr="00CA2A05">
        <w:t xml:space="preserve"> </w:t>
      </w:r>
      <w:r w:rsidR="003A233D" w:rsidRPr="00CA2A05">
        <w:t>‘</w:t>
      </w:r>
      <w:r w:rsidR="004211CC" w:rsidRPr="00CA2A05">
        <w:t>to restrain the force and invasion of the common adversaries</w:t>
      </w:r>
      <w:r w:rsidR="003A233D" w:rsidRPr="00CA2A05">
        <w:t xml:space="preserve"> … until we come with the greatest force to their ultimate discomfiture’</w:t>
      </w:r>
      <w:r w:rsidR="004211CC" w:rsidRPr="00CA2A05">
        <w:t>.</w:t>
      </w:r>
      <w:r w:rsidR="00D367F5" w:rsidRPr="00CA2A05">
        <w:rPr>
          <w:rStyle w:val="EndnoteReference"/>
        </w:rPr>
        <w:endnoteReference w:id="100"/>
      </w:r>
      <w:r w:rsidR="00D367F5" w:rsidRPr="00CA2A05">
        <w:t xml:space="preserve"> </w:t>
      </w:r>
      <w:r w:rsidR="006E6C3B" w:rsidRPr="00CA2A05">
        <w:t>In the emperor’s letters, therefore</w:t>
      </w:r>
      <w:r w:rsidR="00841FE8" w:rsidRPr="00CA2A05">
        <w:t xml:space="preserve">, the campaign </w:t>
      </w:r>
      <w:r w:rsidR="006E6C3B" w:rsidRPr="00CA2A05">
        <w:t xml:space="preserve">already being organized by Conrad served to underscore the sincerity of Frederick’s intention to defend Christendom, but was only the preliminary phase of a campaign which would come to </w:t>
      </w:r>
      <w:r w:rsidR="0002488B" w:rsidRPr="00CA2A05">
        <w:t xml:space="preserve">full </w:t>
      </w:r>
      <w:r w:rsidR="006E6C3B" w:rsidRPr="00CA2A05">
        <w:t>fruition under Frederick’s own leadership, following the conclusion of the Italian campaign.</w:t>
      </w:r>
    </w:p>
    <w:p w14:paraId="7F1F14EA" w14:textId="77777777" w:rsidR="007C08D9" w:rsidRPr="00CA2A05" w:rsidRDefault="007C08D9" w:rsidP="00021085">
      <w:pPr>
        <w:pStyle w:val="Heading2"/>
      </w:pPr>
      <w:r w:rsidRPr="00CA2A05">
        <w:lastRenderedPageBreak/>
        <w:t>Conrad IV</w:t>
      </w:r>
    </w:p>
    <w:p w14:paraId="66724FBD" w14:textId="633A7E38" w:rsidR="007C08D9" w:rsidRPr="00CA2A05" w:rsidRDefault="00396C8F" w:rsidP="00963542">
      <w:pPr>
        <w:pStyle w:val="Paragraph"/>
      </w:pPr>
      <w:r w:rsidRPr="00CA2A05">
        <w:t xml:space="preserve">It is not clear whether </w:t>
      </w:r>
      <w:r w:rsidR="001F1752" w:rsidRPr="00CA2A05">
        <w:t xml:space="preserve">Conrad’s assumption of the leadership role in the crusade was </w:t>
      </w:r>
      <w:r w:rsidR="00370DF9" w:rsidRPr="00CA2A05">
        <w:t xml:space="preserve">prompted by his father, though the fact that Conrad was just thirteen years old in 1241 </w:t>
      </w:r>
      <w:r w:rsidR="008652B3" w:rsidRPr="00CA2A05">
        <w:t xml:space="preserve">possibly means that </w:t>
      </w:r>
      <w:r w:rsidR="001A2FC6" w:rsidRPr="00CA2A05">
        <w:t xml:space="preserve">this decision was not entirely his own. </w:t>
      </w:r>
      <w:r w:rsidR="0015633C" w:rsidRPr="00CA2A05">
        <w:t>Nevertheless, Conrad</w:t>
      </w:r>
      <w:r w:rsidR="0051597B" w:rsidRPr="00CA2A05">
        <w:t xml:space="preserve"> does</w:t>
      </w:r>
      <w:r w:rsidR="00B30B4C" w:rsidRPr="00CA2A05">
        <w:t xml:space="preserve"> </w:t>
      </w:r>
      <w:r w:rsidR="0015633C" w:rsidRPr="00CA2A05">
        <w:t xml:space="preserve">appear to have played a highly active role in </w:t>
      </w:r>
      <w:r w:rsidR="00963542" w:rsidRPr="00CA2A05">
        <w:t>preparing the defence of the Empire</w:t>
      </w:r>
      <w:r w:rsidR="008243F4" w:rsidRPr="00CA2A05">
        <w:t xml:space="preserve">, </w:t>
      </w:r>
      <w:r w:rsidR="007B5FC5" w:rsidRPr="00CA2A05">
        <w:t>presumably</w:t>
      </w:r>
      <w:r w:rsidR="008243F4" w:rsidRPr="00CA2A05">
        <w:t xml:space="preserve"> with the assistance of his advisors</w:t>
      </w:r>
      <w:r w:rsidR="00963542" w:rsidRPr="00CA2A05">
        <w:t>. Indeed</w:t>
      </w:r>
      <w:r w:rsidR="007C08D9" w:rsidRPr="00CA2A05">
        <w:t xml:space="preserve">, a closer look at the letters addressed to him in the Ottobeuren collection shows another aspect of this which has not been discussed by historians; that of gathering information on the Mongols’ advance. In figure </w:t>
      </w:r>
      <w:r w:rsidR="00797DD7" w:rsidRPr="00CA2A05">
        <w:t xml:space="preserve">2 </w:t>
      </w:r>
      <w:r w:rsidR="007C08D9" w:rsidRPr="00CA2A05">
        <w:t xml:space="preserve">the edges linking Conrad with Wenceslaus I and Duke </w:t>
      </w:r>
      <w:r w:rsidR="00370D4F" w:rsidRPr="00CA2A05">
        <w:t xml:space="preserve">Frederick </w:t>
      </w:r>
      <w:r w:rsidR="007C08D9" w:rsidRPr="00CA2A05">
        <w:t>of Austria are depicted as reciprocal.</w:t>
      </w:r>
      <w:r w:rsidR="007C08D9" w:rsidRPr="00CA2A05">
        <w:rPr>
          <w:rStyle w:val="EndnoteReference"/>
        </w:rPr>
        <w:endnoteReference w:id="101"/>
      </w:r>
      <w:r w:rsidR="007C08D9" w:rsidRPr="00CA2A05">
        <w:t xml:space="preserve"> This is because the Ottobeuren letters addressed to Conrad IV by both these imperial princes show unambiguously that Conrad had contacted these princes first, both to publicize the crusade and also to request information. Wenceslaus</w:t>
      </w:r>
      <w:r w:rsidR="00AE5AE1" w:rsidRPr="00CA2A05">
        <w:t>’</w:t>
      </w:r>
      <w:r w:rsidR="007C08D9" w:rsidRPr="00CA2A05">
        <w:t xml:space="preserve"> letter starts by thanking Conrad for ‘the letter of Your Serenity’ which he had recently received.</w:t>
      </w:r>
      <w:r w:rsidR="007C08D9" w:rsidRPr="00CA2A05">
        <w:rPr>
          <w:rStyle w:val="EndnoteReference"/>
        </w:rPr>
        <w:endnoteReference w:id="102"/>
      </w:r>
      <w:r w:rsidR="007C08D9" w:rsidRPr="00CA2A05">
        <w:t xml:space="preserve"> He also reports that the information contained within the letter is ‘in accordance with that which Your Eminence required from us’.</w:t>
      </w:r>
      <w:r w:rsidR="007C08D9" w:rsidRPr="00CA2A05">
        <w:rPr>
          <w:rStyle w:val="EndnoteReference"/>
        </w:rPr>
        <w:endnoteReference w:id="103"/>
      </w:r>
      <w:r w:rsidR="007C08D9" w:rsidRPr="00CA2A05">
        <w:t xml:space="preserve"> Similar acknowledgements are present in Duke Frederick’s letter, which both praises Conrad for having declared the crusade and states that ‘Your Sincerity desires to be apprised of everything’ concerning the movements of the Mongols in Hungary and around the borders of Austria.</w:t>
      </w:r>
      <w:r w:rsidR="007C08D9" w:rsidRPr="00CA2A05">
        <w:rPr>
          <w:rStyle w:val="EndnoteReference"/>
        </w:rPr>
        <w:endnoteReference w:id="104"/>
      </w:r>
      <w:r w:rsidR="007C08D9" w:rsidRPr="00CA2A05">
        <w:t xml:space="preserve"> The duke’s reference to the accumulation of ‘all victuals and crossbows’ suggests that the duke had also been sent a copy of Conrad IV’s crusading instructions, which mentions the necessity of accumulating both of these provisions prior to the crusade.</w:t>
      </w:r>
      <w:r w:rsidR="007C08D9" w:rsidRPr="00CA2A05">
        <w:rPr>
          <w:rStyle w:val="EndnoteReference"/>
        </w:rPr>
        <w:endnoteReference w:id="105"/>
      </w:r>
    </w:p>
    <w:p w14:paraId="4A69F3E1" w14:textId="77777777" w:rsidR="007C08D9" w:rsidRPr="00CA2A05" w:rsidRDefault="007C08D9" w:rsidP="00021085">
      <w:pPr>
        <w:pStyle w:val="Newparagraph"/>
      </w:pPr>
      <w:r w:rsidRPr="00CA2A05">
        <w:t xml:space="preserve">This act of requesting information on the Mongols was not limited to Conrad IV, as both of the Ottobeuren letters addressed to Bishop Henry of Konstanz contain acknowledgements showing that they were replies to similar requests. For example, the </w:t>
      </w:r>
      <w:r w:rsidRPr="00CA2A05">
        <w:lastRenderedPageBreak/>
        <w:t>letter sent to the bishop by Duke Frederick of Austria states that ‘we are writing down, as you asked, rumours concerning the deeds and advance of the Tartars, which you desire to know’.</w:t>
      </w:r>
      <w:r w:rsidRPr="00CA2A05">
        <w:rPr>
          <w:rStyle w:val="EndnoteReference"/>
        </w:rPr>
        <w:endnoteReference w:id="106"/>
      </w:r>
      <w:r w:rsidRPr="00CA2A05">
        <w:t xml:space="preserve"> Similarly, the bishop of Freising opens his letter by acknowledging that ‘because you sought [my] advice … for your discernment I offer [this]’.</w:t>
      </w:r>
      <w:r w:rsidRPr="00CA2A05">
        <w:rPr>
          <w:rStyle w:val="EndnoteReference"/>
        </w:rPr>
        <w:endnoteReference w:id="107"/>
      </w:r>
      <w:r w:rsidRPr="00CA2A05">
        <w:t xml:space="preserve"> It is certainly not inconceivable that this was part of a coordinated effort between Conrad and Bishop Henry. Bishop Henry was a focal figure in the organization of the crusade in Swabia, having forwarded Conrad’s </w:t>
      </w:r>
      <w:r w:rsidRPr="00CA2A05">
        <w:rPr>
          <w:i/>
          <w:iCs/>
        </w:rPr>
        <w:t>Landfrieden</w:t>
      </w:r>
      <w:r w:rsidRPr="00CA2A05">
        <w:t xml:space="preserve"> ordinances to the Franciscans in his diocese.</w:t>
      </w:r>
      <w:r w:rsidRPr="00CA2A05">
        <w:rPr>
          <w:rStyle w:val="EndnoteReference"/>
        </w:rPr>
        <w:endnoteReference w:id="108"/>
      </w:r>
      <w:r w:rsidRPr="00CA2A05">
        <w:t xml:space="preserve"> It is also unlikely that two actors in the same region would both request information on the Mongols independently of each other. There is, however, no conclusive evidence of Bishop Henry acting on Conrad’s orders or of forwarding these letters to him, as the only other documentary evidence of the Bishop from the summer of 1241 are documents issued in June and July from Konstanz or nearby Baindt.</w:t>
      </w:r>
      <w:r w:rsidRPr="00CA2A05">
        <w:rPr>
          <w:rStyle w:val="EndnoteReference"/>
        </w:rPr>
        <w:endnoteReference w:id="109"/>
      </w:r>
    </w:p>
    <w:p w14:paraId="5DBDDFFE" w14:textId="77777777" w:rsidR="007C08D9" w:rsidRPr="00CA2A05" w:rsidRDefault="007C08D9" w:rsidP="00021085">
      <w:pPr>
        <w:pStyle w:val="Newparagraph"/>
      </w:pPr>
      <w:r w:rsidRPr="00CA2A05">
        <w:t xml:space="preserve">In spite of this, these requests for information make it at least possible that Bishop Henry’s role in the crusade was not limited to his reception and dissemination of the crusade and </w:t>
      </w:r>
      <w:r w:rsidRPr="00CA2A05">
        <w:rPr>
          <w:i/>
          <w:iCs/>
        </w:rPr>
        <w:t>Landfrieden</w:t>
      </w:r>
      <w:r w:rsidRPr="00CA2A05">
        <w:t xml:space="preserve"> ordinances, and that his attempts to ascertain the nature and movements of the Mongols also formed part of military planning led by Conrad. At any rate, Conrad’s own soliciting of information those nearer to the eastern frontiers of the Empire shows that he did not merely wait around for information to filter through, but was rather proactive in obtaining the information required for a potential military campaign against the Mongols.</w:t>
      </w:r>
    </w:p>
    <w:p w14:paraId="58470AA2" w14:textId="77777777" w:rsidR="007C08D9" w:rsidRPr="00CA2A05" w:rsidRDefault="007C08D9" w:rsidP="00021085">
      <w:pPr>
        <w:pStyle w:val="Heading2"/>
      </w:pPr>
      <w:r w:rsidRPr="00CA2A05">
        <w:t>Wenceslaus I of Bohemia</w:t>
      </w:r>
    </w:p>
    <w:p w14:paraId="386FD041" w14:textId="5EBB44D5" w:rsidR="007C08D9" w:rsidRPr="00CA2A05" w:rsidRDefault="007C08D9" w:rsidP="00021085">
      <w:pPr>
        <w:pStyle w:val="Paragraph"/>
      </w:pPr>
      <w:r w:rsidRPr="00CA2A05">
        <w:t xml:space="preserve">Conrad IV’s high weighted degree </w:t>
      </w:r>
      <w:r w:rsidR="00D56051" w:rsidRPr="00CA2A05">
        <w:t xml:space="preserve">(9.0) </w:t>
      </w:r>
      <w:r w:rsidR="00E6180F" w:rsidRPr="00CA2A05">
        <w:t>and out-degree (4.5)</w:t>
      </w:r>
      <w:r w:rsidRPr="00CA2A05">
        <w:t xml:space="preserve"> </w:t>
      </w:r>
      <w:r w:rsidR="00DC7EBA" w:rsidRPr="00CA2A05">
        <w:t xml:space="preserve">therefore </w:t>
      </w:r>
      <w:r w:rsidRPr="00CA2A05">
        <w:t>reflect his attempts to coordinate the imperial military response to the Mongols.</w:t>
      </w:r>
      <w:r w:rsidRPr="00CA2A05">
        <w:rPr>
          <w:rStyle w:val="EndnoteReference"/>
        </w:rPr>
        <w:endnoteReference w:id="110"/>
      </w:r>
      <w:r w:rsidRPr="00CA2A05">
        <w:t xml:space="preserve"> However, it is an established principle of social network analysis that centrality does not automatically translate into power within a network, since such factors are qualified by the levels of </w:t>
      </w:r>
      <w:r w:rsidRPr="00CA2A05">
        <w:lastRenderedPageBreak/>
        <w:t>(in)dependence by those with whom central figures are connected.</w:t>
      </w:r>
      <w:r w:rsidRPr="00CA2A05">
        <w:rPr>
          <w:rStyle w:val="EndnoteReference"/>
        </w:rPr>
        <w:endnoteReference w:id="111"/>
      </w:r>
      <w:r w:rsidRPr="00CA2A05">
        <w:t xml:space="preserve"> While Conrad IV’s publicizing of the crusade and solicitation of information can be read as an attempt to increase his own centrality to the defence plans, it is necessary to compare his influence with imperial princes possessing similar weighted degrees</w:t>
      </w:r>
      <w:r w:rsidR="002D1C7A" w:rsidRPr="00CA2A05">
        <w:t xml:space="preserve"> and out-degrees</w:t>
      </w:r>
      <w:r w:rsidRPr="00CA2A05">
        <w:t>, namely Wenceslaus I of Bohemia (</w:t>
      </w:r>
      <w:r w:rsidR="00FB2F9A" w:rsidRPr="00CA2A05">
        <w:t>7</w:t>
      </w:r>
      <w:r w:rsidRPr="00CA2A05">
        <w:t>.0</w:t>
      </w:r>
      <w:r w:rsidR="0036425E" w:rsidRPr="00CA2A05">
        <w:t>/5.5</w:t>
      </w:r>
      <w:r w:rsidRPr="00CA2A05">
        <w:t>) and Duke Frederick II of Austria (7.5</w:t>
      </w:r>
      <w:r w:rsidR="0036425E" w:rsidRPr="00CA2A05">
        <w:t>/4.5</w:t>
      </w:r>
      <w:r w:rsidRPr="00CA2A05">
        <w:t>). This is because, while both figures conveyed information on the invasion to Conrad IV and the emperor, a closer look at their correspondence activities shows that both Wenceslaus and Duke Frederick acted with considerable independence from the Hohenstaufen in the initial months of the invasion.</w:t>
      </w:r>
    </w:p>
    <w:p w14:paraId="34951A91" w14:textId="3188B11F" w:rsidR="007C08D9" w:rsidRPr="00CA2A05" w:rsidRDefault="007C08D9" w:rsidP="00591292">
      <w:pPr>
        <w:pStyle w:val="Newparagraph"/>
      </w:pPr>
      <w:r w:rsidRPr="00CA2A05">
        <w:t>Wenceslaus</w:t>
      </w:r>
      <w:r w:rsidR="00E21D89" w:rsidRPr="00CA2A05">
        <w:t xml:space="preserve">’ </w:t>
      </w:r>
      <w:r w:rsidR="009F749C" w:rsidRPr="00CA2A05">
        <w:t xml:space="preserve">high out-degree is </w:t>
      </w:r>
      <w:r w:rsidR="00591292" w:rsidRPr="00CA2A05">
        <w:t xml:space="preserve">due largely to the fact </w:t>
      </w:r>
      <w:r w:rsidR="009F749C" w:rsidRPr="00CA2A05">
        <w:t xml:space="preserve">that numerous figures named him as the source of the information which they sent to third parties, </w:t>
      </w:r>
      <w:r w:rsidR="009D73B6" w:rsidRPr="00CA2A05">
        <w:t xml:space="preserve">meaning </w:t>
      </w:r>
      <w:r w:rsidR="00591292" w:rsidRPr="00CA2A05">
        <w:t xml:space="preserve">that he attained </w:t>
      </w:r>
      <w:r w:rsidR="00C3182D" w:rsidRPr="00CA2A05">
        <w:t xml:space="preserve">a </w:t>
      </w:r>
      <w:r w:rsidR="009F749C" w:rsidRPr="00CA2A05">
        <w:t>considerable influence over the flow of information on the Mongols</w:t>
      </w:r>
      <w:r w:rsidRPr="00CA2A05">
        <w:t>. Among the letters which mention him, Wenceslaus’ influence is most obvious in that sent by Duke Otto of Bavaria to Bishop Siboto of Augsburg. This letter is one of only two in the Ottobeuren collection to focus primarily on events in Poland, the other being Wenceslaus’ first letter, and the similar content of both letters is attributable to the fact that Wenceslaus had contacted Otto in mid-April. This is known from Otto’s statement that Wenceslaus had ‘invoked our help and that of all his friends’ as part of his efforts to defend the borders of Bohemia from the Mongols.</w:t>
      </w:r>
      <w:r w:rsidRPr="00CA2A05">
        <w:rPr>
          <w:rStyle w:val="EndnoteReference"/>
        </w:rPr>
        <w:endnoteReference w:id="112"/>
      </w:r>
      <w:r w:rsidRPr="00CA2A05">
        <w:t xml:space="preserve"> </w:t>
      </w:r>
    </w:p>
    <w:p w14:paraId="5728F50E" w14:textId="5CACBDF2" w:rsidR="007C08D9" w:rsidRPr="00CA2A05" w:rsidRDefault="007C08D9" w:rsidP="00996EC1">
      <w:pPr>
        <w:pStyle w:val="Newparagraph"/>
      </w:pPr>
      <w:r w:rsidRPr="00CA2A05">
        <w:t xml:space="preserve">Whether Otto actually handled the encyclical from Wenceslaus is not clear, but the strong concurrences of both theme and phrasing between the two letters make it likely that any letter which Duke Otto did receive was reasonably similar to this. Moreover, the prominence accorded to Wenceslaus’ actions within Otto’s own letter strongly suggest that it was this communication from Wenceslaus which in turn spurred the duke to compose his letter to the bishop of Augsburg. </w:t>
      </w:r>
      <w:r w:rsidR="00775BD4" w:rsidRPr="00CA2A05">
        <w:t xml:space="preserve">It also seems that both Otto </w:t>
      </w:r>
      <w:r w:rsidR="00775BD4" w:rsidRPr="00CA2A05">
        <w:lastRenderedPageBreak/>
        <w:t xml:space="preserve">and Wenceslaus passed on this information to the emperor, whose letter naming </w:t>
      </w:r>
      <w:r w:rsidR="001F60CC" w:rsidRPr="00CA2A05">
        <w:t xml:space="preserve">them </w:t>
      </w:r>
      <w:r w:rsidR="00775BD4" w:rsidRPr="00CA2A05">
        <w:t xml:space="preserve">as sources </w:t>
      </w:r>
      <w:r w:rsidR="00996EC1" w:rsidRPr="00CA2A05">
        <w:t xml:space="preserve">of information </w:t>
      </w:r>
      <w:r w:rsidR="00775BD4" w:rsidRPr="00CA2A05">
        <w:t xml:space="preserve">also displayed an awareness of the Mongols’ incursion into Bohemia </w:t>
      </w:r>
      <w:r w:rsidR="00996EC1" w:rsidRPr="00CA2A05">
        <w:t>and of Wenceslaus’ resistance.</w:t>
      </w:r>
      <w:r w:rsidRPr="00CA2A05">
        <w:rPr>
          <w:rStyle w:val="EndnoteReference"/>
        </w:rPr>
        <w:endnoteReference w:id="113"/>
      </w:r>
    </w:p>
    <w:p w14:paraId="594E05C2" w14:textId="44AE74F4" w:rsidR="007C08D9" w:rsidRPr="00CA2A05" w:rsidRDefault="007C08D9" w:rsidP="00E709CA">
      <w:pPr>
        <w:pStyle w:val="Newparagraph"/>
      </w:pPr>
      <w:r w:rsidRPr="00CA2A05">
        <w:t>As Otto’s letter states, Wenceslaus also contacted other princes of the Empire with appeals for assistance before the expected invasion of Bohemia and Moravia. Confirmation that he did so comes from the letter sent by Henry Raspe, landgrave of Thuringia, to his father-in-law, Duke Henry II of Brabant. This letter, which was copied by Matthew Paris after having been forwarded across the Empire to France and England, was sent on 10 March, making it the earliest dated letter on the events of the invasion.</w:t>
      </w:r>
      <w:r w:rsidR="00EA5821" w:rsidRPr="00CA2A05">
        <w:rPr>
          <w:rStyle w:val="EndnoteReference"/>
        </w:rPr>
        <w:endnoteReference w:id="114"/>
      </w:r>
      <w:r w:rsidRPr="00CA2A05">
        <w:t xml:space="preserve"> It focuses on the opening stages of the Mongols’ advance into Poland and the destruction already inflicted in lands lying to the east, and was specifically occasioned by Wenceslaus sending an envoy to Henry Raspe: ‘</w:t>
      </w:r>
      <w:r w:rsidR="00666308" w:rsidRPr="00CA2A05">
        <w:t xml:space="preserve">Of these matters we have </w:t>
      </w:r>
      <w:r w:rsidR="00961039" w:rsidRPr="00CA2A05">
        <w:t>fully informed, as well by our own messengers as by the letters of our beloved cousin the king of Bohemia’</w:t>
      </w:r>
      <w:r w:rsidRPr="00CA2A05">
        <w:t>.</w:t>
      </w:r>
      <w:r w:rsidRPr="00CA2A05">
        <w:rPr>
          <w:rStyle w:val="EndnoteReference"/>
        </w:rPr>
        <w:endnoteReference w:id="115"/>
      </w:r>
      <w:r w:rsidRPr="00CA2A05">
        <w:t xml:space="preserve"> </w:t>
      </w:r>
      <w:r w:rsidR="00F00471" w:rsidRPr="00CA2A05">
        <w:t xml:space="preserve">As with Otto, </w:t>
      </w:r>
      <w:r w:rsidR="00FE65A3" w:rsidRPr="00CA2A05">
        <w:t xml:space="preserve">Wenceslaus </w:t>
      </w:r>
      <w:r w:rsidR="00E45A63" w:rsidRPr="00CA2A05">
        <w:t>impressed upon</w:t>
      </w:r>
      <w:r w:rsidR="00106361" w:rsidRPr="00CA2A05">
        <w:t xml:space="preserve"> </w:t>
      </w:r>
      <w:r w:rsidR="00FE65A3" w:rsidRPr="00CA2A05">
        <w:t xml:space="preserve">Raspe the </w:t>
      </w:r>
      <w:r w:rsidR="00E709CA" w:rsidRPr="00CA2A05">
        <w:t xml:space="preserve">urgency of the situation, identifying Easter week </w:t>
      </w:r>
      <w:r w:rsidR="00FE65A3" w:rsidRPr="00CA2A05">
        <w:t>(24–31 March</w:t>
      </w:r>
      <w:r w:rsidR="00250834" w:rsidRPr="00CA2A05">
        <w:t>)</w:t>
      </w:r>
      <w:r w:rsidR="00FE65A3" w:rsidRPr="00CA2A05">
        <w:t xml:space="preserve"> as the predicted </w:t>
      </w:r>
      <w:r w:rsidR="00316987" w:rsidRPr="00CA2A05">
        <w:t>time in which the Mongols would invade Bohemia</w:t>
      </w:r>
      <w:r w:rsidRPr="00CA2A05">
        <w:t>.</w:t>
      </w:r>
      <w:r w:rsidRPr="00CA2A05">
        <w:rPr>
          <w:rStyle w:val="EndnoteReference"/>
        </w:rPr>
        <w:endnoteReference w:id="116"/>
      </w:r>
    </w:p>
    <w:p w14:paraId="213FBDFE" w14:textId="77777777" w:rsidR="007C08D9" w:rsidRPr="00CA2A05" w:rsidRDefault="007C08D9" w:rsidP="00021085">
      <w:pPr>
        <w:pStyle w:val="Newparagraph"/>
      </w:pPr>
      <w:r w:rsidRPr="00CA2A05">
        <w:t>Not including Wenceslaus’ own letter to Conrad IV, two of the letters sent around June to the Swabian crusade organizers also carried news on his movements. The bishop of Freising’s report to Bishop Henry features the claim that Wenceslaus was ready to advance into Hungary with an army of 40,000 soldiers and 600,000 Germans, but that he ‘withdrew on the advice of the king of Hungary’.</w:t>
      </w:r>
      <w:r w:rsidRPr="00CA2A05">
        <w:rPr>
          <w:rStyle w:val="EndnoteReference"/>
        </w:rPr>
        <w:endnoteReference w:id="117"/>
      </w:r>
      <w:r w:rsidRPr="00CA2A05">
        <w:t xml:space="preserve"> While this is partially corroborated by Wenceslaus’ own claim to Conrad IV that he intended to advance into Hungary ahead of the main crusading force, it seems likely that the information contained within this report underwent one or more stages of transmission (and distortion) between the Bohemian king and the bishop; aside from the highly </w:t>
      </w:r>
      <w:r w:rsidRPr="00CA2A05">
        <w:lastRenderedPageBreak/>
        <w:t>implausible numbers in Wenceslaus’ supposed army, the bishop himself notes that this information ‘had not been confirmed by direct truth’.</w:t>
      </w:r>
      <w:bookmarkStart w:id="4" w:name="_Ref58282778"/>
      <w:r w:rsidRPr="00CA2A05">
        <w:rPr>
          <w:rStyle w:val="EndnoteReference"/>
        </w:rPr>
        <w:endnoteReference w:id="118"/>
      </w:r>
      <w:bookmarkEnd w:id="4"/>
      <w:r w:rsidRPr="00CA2A05">
        <w:t xml:space="preserve"> Nevertheless, the prominence afforded to Wenceslaus’ movements is indicative of his general influence over the flow of information on the Mongols, including through indirect channels.</w:t>
      </w:r>
    </w:p>
    <w:p w14:paraId="5D2DFE50" w14:textId="1C15B613" w:rsidR="00566B72" w:rsidRPr="00CA2A05" w:rsidRDefault="007C08D9" w:rsidP="00566B72">
      <w:pPr>
        <w:pStyle w:val="Newparagraph"/>
      </w:pPr>
      <w:r w:rsidRPr="00CA2A05">
        <w:t xml:space="preserve">It also appears that Wenceslaus and Duke Frederick of Austria communicated with each other, though the question of how far their cooperation extended is more controversial. </w:t>
      </w:r>
      <w:r w:rsidR="00566B72" w:rsidRPr="00CA2A05">
        <w:t>Neither figure stated explicitly that they had been in contact, but Frederick’s letter to Conrad IV does state several times that Bohemia had sustained significant damage at the hands of the Mongols, and at one point mentions Wenceslaus in the context of discussing princes with personal experience of the Mongols’ violence who might better be able to enlighten Conrad.</w:t>
      </w:r>
      <w:r w:rsidR="00566B72" w:rsidRPr="00CA2A05">
        <w:rPr>
          <w:rStyle w:val="EndnoteReference"/>
        </w:rPr>
        <w:endnoteReference w:id="119"/>
      </w:r>
      <w:r w:rsidR="00566B72" w:rsidRPr="00CA2A05">
        <w:t xml:space="preserve"> Seeing as Wenceslaus contacted numerous other princes in territories adjoining Bohemia during the invasion, it is </w:t>
      </w:r>
      <w:r w:rsidR="00CB2C09" w:rsidRPr="00CA2A05">
        <w:t xml:space="preserve">certainly </w:t>
      </w:r>
      <w:r w:rsidR="00566B72" w:rsidRPr="00CA2A05">
        <w:t>not unreasonable to suppose the Duke Frederick also heard from him.</w:t>
      </w:r>
    </w:p>
    <w:p w14:paraId="2B09A49D" w14:textId="3F2AEC6D" w:rsidR="00566B72" w:rsidRPr="00CA2A05" w:rsidRDefault="00FF31ED" w:rsidP="00F67FAA">
      <w:pPr>
        <w:pStyle w:val="Newparagraph"/>
      </w:pPr>
      <w:r w:rsidRPr="00CA2A05">
        <w:t xml:space="preserve">The prospect of </w:t>
      </w:r>
      <w:r w:rsidR="000745AB" w:rsidRPr="00CA2A05">
        <w:t xml:space="preserve">contact </w:t>
      </w:r>
      <w:r w:rsidRPr="00CA2A05">
        <w:t xml:space="preserve">between Wenceslaus and Duke Frederick is also raised by </w:t>
      </w:r>
      <w:r w:rsidR="00B67EA2" w:rsidRPr="00CA2A05">
        <w:t xml:space="preserve">Ivo of Narbonne’s controversial letter in the </w:t>
      </w:r>
      <w:r w:rsidR="00B67EA2" w:rsidRPr="00CA2A05">
        <w:rPr>
          <w:i/>
          <w:iCs/>
        </w:rPr>
        <w:t>Chronica majora</w:t>
      </w:r>
      <w:r w:rsidR="00B67EA2" w:rsidRPr="00CA2A05">
        <w:t xml:space="preserve">, </w:t>
      </w:r>
      <w:r w:rsidR="00566B72" w:rsidRPr="00CA2A05">
        <w:t>whose central claim is that Duke Frederick and a number of other princes, including Wenceslaus, joined forces in mid-1241 in order to repulse a Mongol siege within the Duchy of Austria.</w:t>
      </w:r>
      <w:r w:rsidR="008B5890" w:rsidRPr="00CA2A05">
        <w:rPr>
          <w:rStyle w:val="EndnoteReference"/>
        </w:rPr>
        <w:endnoteReference w:id="120"/>
      </w:r>
      <w:r w:rsidR="00566B72" w:rsidRPr="00CA2A05">
        <w:t xml:space="preserve"> The identification of the besieged town with Wiener Neustadt has </w:t>
      </w:r>
      <w:r w:rsidR="00C204EA" w:rsidRPr="00CA2A05">
        <w:t>long caused problems for historians attempting to establish this</w:t>
      </w:r>
      <w:r w:rsidR="0007120F" w:rsidRPr="00CA2A05">
        <w:t xml:space="preserve"> </w:t>
      </w:r>
      <w:r w:rsidR="00B3269B" w:rsidRPr="00CA2A05">
        <w:t>report’s veracity</w:t>
      </w:r>
      <w:r w:rsidR="003D74E7" w:rsidRPr="00CA2A05">
        <w:t xml:space="preserve">, </w:t>
      </w:r>
      <w:r w:rsidR="00566B72" w:rsidRPr="00CA2A05">
        <w:t>as this contradict</w:t>
      </w:r>
      <w:r w:rsidR="00B3269B" w:rsidRPr="00CA2A05">
        <w:t>s</w:t>
      </w:r>
      <w:r w:rsidR="00566B72" w:rsidRPr="00CA2A05">
        <w:t xml:space="preserve"> the fact that the Mongols did not cross to the right bank of the Danube before December 1241.</w:t>
      </w:r>
      <w:r w:rsidR="008B5890" w:rsidRPr="00CA2A05">
        <w:rPr>
          <w:rStyle w:val="EndnoteReference"/>
        </w:rPr>
        <w:endnoteReference w:id="121"/>
      </w:r>
      <w:r w:rsidR="00566B72" w:rsidRPr="00CA2A05">
        <w:t xml:space="preserve"> </w:t>
      </w:r>
      <w:r w:rsidR="00B67EA2" w:rsidRPr="00CA2A05">
        <w:t xml:space="preserve">However, Stephen Pow has </w:t>
      </w:r>
      <w:r w:rsidR="00BE02F2" w:rsidRPr="00CA2A05">
        <w:t xml:space="preserve">recently </w:t>
      </w:r>
      <w:r w:rsidR="00BC1013" w:rsidRPr="00CA2A05">
        <w:t>argued</w:t>
      </w:r>
      <w:r w:rsidR="0084655A" w:rsidRPr="00CA2A05">
        <w:t xml:space="preserve"> </w:t>
      </w:r>
      <w:r w:rsidR="00C204EA" w:rsidRPr="00CA2A05">
        <w:t xml:space="preserve">persuasively that the place referred to in the </w:t>
      </w:r>
      <w:r w:rsidR="00A02A06" w:rsidRPr="00CA2A05">
        <w:t xml:space="preserve">letter as </w:t>
      </w:r>
      <w:r w:rsidR="00C204EA" w:rsidRPr="00CA2A05">
        <w:rPr>
          <w:i/>
          <w:iCs/>
        </w:rPr>
        <w:t>Neustat</w:t>
      </w:r>
      <w:r w:rsidR="00A02A06" w:rsidRPr="00CA2A05">
        <w:t xml:space="preserve"> was most likely Korneuburg on the border between Austria and Bohemia (and the left side of the Danube)</w:t>
      </w:r>
      <w:r w:rsidR="00BE02F2" w:rsidRPr="00CA2A05">
        <w:t xml:space="preserve">, which </w:t>
      </w:r>
      <w:r w:rsidR="008744DD" w:rsidRPr="00CA2A05">
        <w:t>is</w:t>
      </w:r>
      <w:r w:rsidR="00BE02F2" w:rsidRPr="00CA2A05">
        <w:t xml:space="preserve"> reported in other sources </w:t>
      </w:r>
      <w:r w:rsidR="008972CB" w:rsidRPr="00CA2A05">
        <w:t xml:space="preserve">as having </w:t>
      </w:r>
      <w:r w:rsidR="00BE02F2" w:rsidRPr="00CA2A05">
        <w:t>been the site of a Mongol border raid</w:t>
      </w:r>
      <w:r w:rsidR="00566B72" w:rsidRPr="00CA2A05">
        <w:t>.</w:t>
      </w:r>
      <w:r w:rsidR="004624D1" w:rsidRPr="00CA2A05">
        <w:rPr>
          <w:rStyle w:val="EndnoteReference"/>
        </w:rPr>
        <w:endnoteReference w:id="122"/>
      </w:r>
      <w:r w:rsidR="00566B72" w:rsidRPr="00CA2A05">
        <w:t xml:space="preserve"> He also adduces Wenceslaus’ own </w:t>
      </w:r>
      <w:r w:rsidR="00F92EAA" w:rsidRPr="00CA2A05">
        <w:t>words</w:t>
      </w:r>
      <w:r w:rsidR="00566B72" w:rsidRPr="00CA2A05">
        <w:t xml:space="preserve"> as evidence of</w:t>
      </w:r>
      <w:r w:rsidR="008B5890" w:rsidRPr="00CA2A05">
        <w:t xml:space="preserve"> </w:t>
      </w:r>
      <w:r w:rsidR="00C32A61" w:rsidRPr="00CA2A05">
        <w:t>the report’s</w:t>
      </w:r>
      <w:r w:rsidR="0078003B" w:rsidRPr="00CA2A05">
        <w:t xml:space="preserve"> plausibility</w:t>
      </w:r>
      <w:r w:rsidR="008B5890" w:rsidRPr="00CA2A05">
        <w:t xml:space="preserve">, since Wenceslaus stated in his letter to </w:t>
      </w:r>
      <w:r w:rsidR="008B5890" w:rsidRPr="00CA2A05">
        <w:lastRenderedPageBreak/>
        <w:t>Conrad IV that he had witnessed the Mongols ‘both in Moravia and in Austria’.</w:t>
      </w:r>
      <w:r w:rsidR="004624D1" w:rsidRPr="00CA2A05">
        <w:rPr>
          <w:rStyle w:val="EndnoteReference"/>
        </w:rPr>
        <w:endnoteReference w:id="123"/>
      </w:r>
      <w:r w:rsidR="008B5890" w:rsidRPr="00CA2A05">
        <w:t xml:space="preserve"> </w:t>
      </w:r>
      <w:r w:rsidR="0084655A" w:rsidRPr="00CA2A05">
        <w:t>I</w:t>
      </w:r>
      <w:r w:rsidR="008B5890" w:rsidRPr="00CA2A05">
        <w:t xml:space="preserve">n light of </w:t>
      </w:r>
      <w:r w:rsidR="007B49AC" w:rsidRPr="00CA2A05">
        <w:t>this reinterpretation</w:t>
      </w:r>
      <w:r w:rsidR="00A105CC" w:rsidRPr="00CA2A05">
        <w:t xml:space="preserve">, </w:t>
      </w:r>
      <w:r w:rsidR="008B5890" w:rsidRPr="00CA2A05">
        <w:t>it seems at the very least plausible that Wenceslaus and Duke Frederick both corresponded in the summer of 1241 and possibly fought together.</w:t>
      </w:r>
    </w:p>
    <w:p w14:paraId="3BC50802" w14:textId="77777777" w:rsidR="007C08D9" w:rsidRPr="00CA2A05" w:rsidRDefault="007C08D9" w:rsidP="00021085">
      <w:pPr>
        <w:pStyle w:val="Heading2"/>
      </w:pPr>
      <w:r w:rsidRPr="00CA2A05">
        <w:t>Duke Frederick II of Austria</w:t>
      </w:r>
    </w:p>
    <w:p w14:paraId="10D10727" w14:textId="6A5D65D0" w:rsidR="007C08D9" w:rsidRPr="00CA2A05" w:rsidRDefault="0061070C" w:rsidP="00ED2AD6">
      <w:pPr>
        <w:pStyle w:val="Paragraph"/>
      </w:pPr>
      <w:r w:rsidRPr="00CA2A05">
        <w:t xml:space="preserve">Though his </w:t>
      </w:r>
      <w:r w:rsidR="00927B8E" w:rsidRPr="00CA2A05">
        <w:t xml:space="preserve">overall </w:t>
      </w:r>
      <w:r w:rsidRPr="00CA2A05">
        <w:t>degree is marginally higher</w:t>
      </w:r>
      <w:r w:rsidR="009B1525" w:rsidRPr="00CA2A05">
        <w:t>,</w:t>
      </w:r>
      <w:r w:rsidRPr="00CA2A05">
        <w:t xml:space="preserve"> </w:t>
      </w:r>
      <w:r w:rsidR="007C08D9" w:rsidRPr="00CA2A05">
        <w:t>Duke Frederick</w:t>
      </w:r>
      <w:r w:rsidR="00F752E2" w:rsidRPr="00CA2A05">
        <w:t xml:space="preserve"> </w:t>
      </w:r>
      <w:r w:rsidR="00ED2AD6" w:rsidRPr="00CA2A05">
        <w:t>has a lower out-degree than Wenceslaus and does not appear to have provided information to as many other figures</w:t>
      </w:r>
      <w:r w:rsidR="00DB3B14" w:rsidRPr="00CA2A05">
        <w:t>.</w:t>
      </w:r>
      <w:r w:rsidR="007C08D9" w:rsidRPr="00CA2A05">
        <w:t xml:space="preserve"> </w:t>
      </w:r>
      <w:r w:rsidR="00B45855" w:rsidRPr="00CA2A05">
        <w:t>He</w:t>
      </w:r>
      <w:r w:rsidR="00B44510" w:rsidRPr="00CA2A05">
        <w:t xml:space="preserve"> is also mentioned </w:t>
      </w:r>
      <w:r w:rsidR="006C7DE3" w:rsidRPr="00CA2A05">
        <w:t xml:space="preserve">in fewer </w:t>
      </w:r>
      <w:r w:rsidR="00ED2AD6" w:rsidRPr="00CA2A05">
        <w:t xml:space="preserve">contemporary </w:t>
      </w:r>
      <w:r w:rsidR="006C7DE3" w:rsidRPr="00CA2A05">
        <w:t xml:space="preserve">letters by other members of the network, and </w:t>
      </w:r>
      <w:r w:rsidR="00B44510" w:rsidRPr="00CA2A05">
        <w:t>his actions are</w:t>
      </w:r>
      <w:r w:rsidR="007E7624" w:rsidRPr="00CA2A05">
        <w:t xml:space="preserve"> instead</w:t>
      </w:r>
      <w:r w:rsidR="00B44510" w:rsidRPr="00CA2A05">
        <w:t xml:space="preserve"> </w:t>
      </w:r>
      <w:r w:rsidR="00BA7197" w:rsidRPr="00CA2A05">
        <w:t xml:space="preserve">documented </w:t>
      </w:r>
      <w:r w:rsidR="00B44510" w:rsidRPr="00CA2A05">
        <w:t xml:space="preserve">primarily in </w:t>
      </w:r>
      <w:r w:rsidR="006C7DE3" w:rsidRPr="00CA2A05">
        <w:t xml:space="preserve">his own letters </w:t>
      </w:r>
      <w:r w:rsidR="00ED2AD6" w:rsidRPr="00CA2A05">
        <w:t>and</w:t>
      </w:r>
      <w:r w:rsidR="006C7DE3" w:rsidRPr="00CA2A05">
        <w:t xml:space="preserve"> in chronicles, </w:t>
      </w:r>
      <w:r w:rsidR="007C08D9" w:rsidRPr="00CA2A05">
        <w:t>including accounts by both Roger of Várad and the annals of St Pantaleon in Cologne of his dealings with Béla IV.</w:t>
      </w:r>
      <w:r w:rsidR="00597D44" w:rsidRPr="00CA2A05">
        <w:rPr>
          <w:rStyle w:val="EndnoteReference"/>
        </w:rPr>
        <w:endnoteReference w:id="124"/>
      </w:r>
      <w:r w:rsidR="007C08D9" w:rsidRPr="00CA2A05">
        <w:t xml:space="preserve"> Nevertheless, </w:t>
      </w:r>
      <w:r w:rsidR="007458AC" w:rsidRPr="00CA2A05">
        <w:t xml:space="preserve">there are testaments to </w:t>
      </w:r>
      <w:r w:rsidR="007C08D9" w:rsidRPr="00CA2A05">
        <w:t xml:space="preserve">Duke Frederick’s letter-writing outside of the Ottobeuren collection. </w:t>
      </w:r>
      <w:r w:rsidR="00597D44" w:rsidRPr="00CA2A05">
        <w:t xml:space="preserve">He was presumably the source of the emperor’s statement in the letter to Henry III that the Mongols were </w:t>
      </w:r>
      <w:r w:rsidR="004D030D" w:rsidRPr="00CA2A05">
        <w:t>approaching</w:t>
      </w:r>
      <w:r w:rsidR="00597D44" w:rsidRPr="00CA2A05">
        <w:t xml:space="preserve"> the borders of Austria, which was the subject of Duke Frederick’s own letter to Bishop Henry of Konstanz.</w:t>
      </w:r>
      <w:r w:rsidR="00597D44" w:rsidRPr="00CA2A05">
        <w:rPr>
          <w:rStyle w:val="EndnoteReference"/>
        </w:rPr>
        <w:endnoteReference w:id="125"/>
      </w:r>
      <w:r w:rsidR="00181A87" w:rsidRPr="00CA2A05">
        <w:t xml:space="preserve"> In addition, he is </w:t>
      </w:r>
      <w:r w:rsidR="007C08D9" w:rsidRPr="00CA2A05">
        <w:t>named in a letter sent on 19 June by Pope Gregory IX to several ecclesiastical institutions in Germany and Austria, including Heiligenkreuz Abbey and the Dominicans in Vienna, authorizing a crusade against the Mongols.</w:t>
      </w:r>
      <w:r w:rsidR="004D030D" w:rsidRPr="00CA2A05">
        <w:rPr>
          <w:rStyle w:val="EndnoteReference"/>
        </w:rPr>
        <w:t xml:space="preserve"> </w:t>
      </w:r>
      <w:r w:rsidR="007C08D9" w:rsidRPr="00CA2A05">
        <w:t>This letter was a response to two letters sent from the southeast of the Empire with information about the situation in Hungary and the danger posed to Germany and Bohemia: one from Duke Bernhard of Carinthia and another from Duke Frederick.</w:t>
      </w:r>
      <w:r w:rsidR="004D030D" w:rsidRPr="00CA2A05">
        <w:rPr>
          <w:rStyle w:val="EndnoteReference"/>
        </w:rPr>
        <w:endnoteReference w:id="126"/>
      </w:r>
    </w:p>
    <w:p w14:paraId="36A87B9A" w14:textId="05AF9811" w:rsidR="00846D1E" w:rsidRPr="00CA2A05" w:rsidRDefault="007C08D9" w:rsidP="00021085">
      <w:pPr>
        <w:pStyle w:val="Newparagraph"/>
      </w:pPr>
      <w:r w:rsidRPr="00CA2A05">
        <w:t xml:space="preserve">The fact that Duke Frederick had already contacted the sworn enemy of the Hohenstaufen, some time before he responded to Conrad IV’s request for information, raises questions about the duke’s relation to the Hohenstaufen-led crusade. Frederick’s main motives in mid-1241 are rather difficult to ascertain. Though the aforementioned Mongol border raid gave him good reason to fear Mongol incursions into his territory, </w:t>
      </w:r>
      <w:r w:rsidRPr="00CA2A05">
        <w:lastRenderedPageBreak/>
        <w:t>the extortion of border counties from Béla IV also illustrates how Frederick sought to turn the invasion to his advantage.</w:t>
      </w:r>
    </w:p>
    <w:p w14:paraId="3E0C0F27" w14:textId="622823D0" w:rsidR="007C08D9" w:rsidRPr="00CA2A05" w:rsidRDefault="007C08D9" w:rsidP="00846D1E">
      <w:pPr>
        <w:pStyle w:val="Newparagraph"/>
      </w:pPr>
      <w:r w:rsidRPr="00CA2A05">
        <w:t>In addition, it is possible that the duke had reason</w:t>
      </w:r>
      <w:r w:rsidR="0011583A" w:rsidRPr="00CA2A05">
        <w:t>s not to accept a Hohenstaufen-led military campaign focused on the eastern frontier of the Empire.</w:t>
      </w:r>
      <w:r w:rsidR="00846D1E" w:rsidRPr="00CA2A05">
        <w:t xml:space="preserve"> On the one hand, it is not unreasonable to suggest that </w:t>
      </w:r>
      <w:r w:rsidR="004D7350" w:rsidRPr="00CA2A05">
        <w:t>the thirty-year-old Frederick was unwilling to entrust the defence of his territory to the thirteen-year-old Conrad</w:t>
      </w:r>
      <w:r w:rsidR="00B227CE" w:rsidRPr="00CA2A05">
        <w:t xml:space="preserve"> when he himself was considerably more experienced as a leader</w:t>
      </w:r>
      <w:r w:rsidR="00265946" w:rsidRPr="00CA2A05">
        <w:t xml:space="preserve">; </w:t>
      </w:r>
      <w:r w:rsidR="00C75C99" w:rsidRPr="00CA2A05">
        <w:t xml:space="preserve">the same can </w:t>
      </w:r>
      <w:r w:rsidR="00265946" w:rsidRPr="00CA2A05">
        <w:t xml:space="preserve">also </w:t>
      </w:r>
      <w:r w:rsidR="00C75C99" w:rsidRPr="00CA2A05">
        <w:t>be said of the thirty-six-year-old Wenceslaus</w:t>
      </w:r>
      <w:r w:rsidR="004D7350" w:rsidRPr="00CA2A05">
        <w:t>.</w:t>
      </w:r>
      <w:r w:rsidR="00846D1E" w:rsidRPr="00CA2A05">
        <w:t xml:space="preserve"> </w:t>
      </w:r>
      <w:r w:rsidR="00585581" w:rsidRPr="00CA2A05">
        <w:t>On the other</w:t>
      </w:r>
      <w:r w:rsidR="00F66DE7" w:rsidRPr="00CA2A05">
        <w:t xml:space="preserve"> hand</w:t>
      </w:r>
      <w:r w:rsidR="00585581" w:rsidRPr="00CA2A05">
        <w:t>, we must consider</w:t>
      </w:r>
      <w:r w:rsidR="00846D1E" w:rsidRPr="00CA2A05">
        <w:t xml:space="preserve"> Duke Frederick’s previous run-ins with the Hohenstaufen</w:t>
      </w:r>
      <w:r w:rsidR="009C3848" w:rsidRPr="00CA2A05">
        <w:t xml:space="preserve">. </w:t>
      </w:r>
      <w:r w:rsidRPr="00CA2A05">
        <w:t xml:space="preserve">For much of the second half of the 1230s Duke Frederick had been an enemy of the emperor, whom he had offended with multiple refusals to attend the </w:t>
      </w:r>
      <w:r w:rsidRPr="00CA2A05">
        <w:rPr>
          <w:i/>
          <w:iCs/>
        </w:rPr>
        <w:t>Reichstag</w:t>
      </w:r>
      <w:r w:rsidRPr="00CA2A05">
        <w:t>; this had eventually led to the emperor depriving him of his duchy and allowing Wenceslaus and Otto of Bavaria to invade Austria in an attempt to overthrow him. It was only in 1239 that Duke Frederick reconciled with the emperor and abandoned his previous support of the papacy.</w:t>
      </w:r>
      <w:r w:rsidRPr="00CA2A05">
        <w:rPr>
          <w:rStyle w:val="EndnoteReference"/>
        </w:rPr>
        <w:endnoteReference w:id="127"/>
      </w:r>
      <w:r w:rsidRPr="00CA2A05">
        <w:t xml:space="preserve"> The fact that Duke Frederick was uneasy with the prospect of having the imperial princes in his territory, ostensibly on account of the logistical problems of provisioning the army, can be seen in his aforementioned suggestion to Conrad IV that the crusaders continue into Hungary, and that half of them transit through Bohemia rather than Austria.</w:t>
      </w:r>
      <w:r w:rsidRPr="00CA2A05">
        <w:rPr>
          <w:rStyle w:val="EndnoteReference"/>
        </w:rPr>
        <w:endnoteReference w:id="128"/>
      </w:r>
    </w:p>
    <w:p w14:paraId="6FAE168B" w14:textId="7FA66E93" w:rsidR="007C08D9" w:rsidRPr="00CA2A05" w:rsidRDefault="007C08D9" w:rsidP="00021085">
      <w:pPr>
        <w:pStyle w:val="Newparagraph"/>
      </w:pPr>
      <w:r w:rsidRPr="00CA2A05">
        <w:t xml:space="preserve">The duke’s letter to Pope Gregory IX may therefore be seen in part as a means of Duke Frederick being able to maintain a certain independence of action from the imperial crusade by seeking an alternative source of legitimacy: that of the papacy. If this was the duke’s intention, then it was successful, since the letter secured Frederick papal authorization for the preaching of a crusade in Austria which was independent of the Hohenstaufen crusade efforts. In addition to this, the duke had succeeded in having the pope view him on a par with Béla IV. It is notable, for example, that the pope </w:t>
      </w:r>
      <w:r w:rsidRPr="00CA2A05">
        <w:lastRenderedPageBreak/>
        <w:t>employed the same phras</w:t>
      </w:r>
      <w:r w:rsidR="00936126" w:rsidRPr="00CA2A05">
        <w:t>e</w:t>
      </w:r>
      <w:r w:rsidRPr="00CA2A05">
        <w:t xml:space="preserve"> in the response to Duke Frederick’s letter as he had three days earlier in his reply to Béla IV, namely that he had read both letters ‘not without the shedding of many tears’.</w:t>
      </w:r>
      <w:r w:rsidRPr="00CA2A05">
        <w:rPr>
          <w:rStyle w:val="EndnoteReference"/>
        </w:rPr>
        <w:endnoteReference w:id="129"/>
      </w:r>
      <w:r w:rsidRPr="00CA2A05">
        <w:t xml:space="preserve"> This suggests that, while Duke Frederick’s correspondence appears to have been more limited than that of Wenceslaus, letters nevertheless played an important role in his efforts to enlist support for the defence of his territory while preserving his own independence of action.</w:t>
      </w:r>
    </w:p>
    <w:p w14:paraId="04A3C85D" w14:textId="77777777" w:rsidR="007C08D9" w:rsidRPr="00CA2A05" w:rsidRDefault="007C08D9" w:rsidP="00021085">
      <w:pPr>
        <w:pStyle w:val="Heading1"/>
      </w:pPr>
      <w:r w:rsidRPr="00CA2A05">
        <w:t>Conclusion</w:t>
      </w:r>
    </w:p>
    <w:p w14:paraId="1A4A40A0" w14:textId="0F4B6A6E" w:rsidR="007C08D9" w:rsidRPr="00CA2A05" w:rsidRDefault="007C08D9" w:rsidP="00021085">
      <w:pPr>
        <w:pStyle w:val="Paragraph"/>
      </w:pPr>
      <w:r w:rsidRPr="00CA2A05">
        <w:t>This article has attempted to produce a more</w:t>
      </w:r>
      <w:r w:rsidR="00192DE2" w:rsidRPr="00CA2A05">
        <w:t xml:space="preserve"> comprehensive </w:t>
      </w:r>
      <w:r w:rsidR="00943AC2" w:rsidRPr="00CA2A05">
        <w:t>exploration</w:t>
      </w:r>
      <w:r w:rsidRPr="00CA2A05">
        <w:t xml:space="preserve"> of communication patterns during the spring and summer of 1241, the point at which there were genuine fears among the imperial princes of a coming invasion by the Mongols. Our understanding of how individual imperial princes reacted to the threat at this time is based in no small measure on the letters preserved within the Ottobeuren collection, which is simultaneously a piece of historiography intended to reflect a broadly pro-Hohenstaufen view of the invasion and a record of genuine correspondence. It has also been possible to use the Ottobeuren collection in conjunction with other preserved sources in order to reconstruct the particularly intensive exchange of letters during the initial months of invasion. The salient feature of this network is that it did not have a single centre, but rather a number of nodes of comparable importance. Through a close reading of the letters it is possible to add further nuance to this network, and to differentiate between these actors. An example of this is the influence achieved by Wenceslaus of Bohemia over the broader spread of information on the invasion. Though this influence cannot be attributed to Wenceslaus’ deliberate actions alone, it is testament to the multiplier effect of his letters that he appears as a key source of information in two letter collections produced completely independently of each other in Germany and in England. </w:t>
      </w:r>
    </w:p>
    <w:p w14:paraId="743062E6" w14:textId="552ECFC4" w:rsidR="00CA6797" w:rsidRPr="00CA2A05" w:rsidRDefault="00DE42C3" w:rsidP="0012023C">
      <w:pPr>
        <w:pStyle w:val="Newparagraph"/>
      </w:pPr>
      <w:r w:rsidRPr="00CA2A05">
        <w:lastRenderedPageBreak/>
        <w:t xml:space="preserve">While the failure of Conrad IV’s crusade cannot be explained by any single factor, a discussion of Conrad’s correspondence history does show that he was comparatively late to act and remained dependent upon others for information on the Mongols. By the time that Conrad started requesting information on the Mongols’ movements, Wenceslaus had already begun corresponding with rulers of territories adjoining Bohemia for several months, while Duke Frederick of Austria had sought papal approval for his own crusading activity. </w:t>
      </w:r>
      <w:r w:rsidR="00CA6797" w:rsidRPr="00CA2A05">
        <w:t xml:space="preserve">Both had also sent information to the emperor emphasizing the threat to their territories. </w:t>
      </w:r>
      <w:r w:rsidR="007C08D9" w:rsidRPr="00CA2A05">
        <w:t xml:space="preserve">Moreover, even after Conrad IV had appointed himself leader of the crusade, both of these princes continued to act with the independence which they had already displayed in the months beforehand. </w:t>
      </w:r>
      <w:r w:rsidR="009232FB" w:rsidRPr="00CA2A05">
        <w:t xml:space="preserve">The fact that Wenceslaus and Duke Frederick advocated courses of action vastly different to that proposed by Conrad also suggests that neither was entirely convinced of his leadership of the crusade; </w:t>
      </w:r>
      <w:r w:rsidR="00F22101" w:rsidRPr="00CA2A05">
        <w:t xml:space="preserve">among the potential reasons for this are that </w:t>
      </w:r>
      <w:r w:rsidR="009232FB" w:rsidRPr="00CA2A05">
        <w:t xml:space="preserve">they regarded his defensive </w:t>
      </w:r>
      <w:r w:rsidR="00F22101" w:rsidRPr="00CA2A05">
        <w:t xml:space="preserve">campaign as </w:t>
      </w:r>
      <w:r w:rsidR="009232FB" w:rsidRPr="00CA2A05">
        <w:t>insufficient</w:t>
      </w:r>
      <w:r w:rsidR="00BF32A9" w:rsidRPr="00CA2A05">
        <w:t xml:space="preserve"> given the urgency of the situation</w:t>
      </w:r>
      <w:r w:rsidR="009232FB" w:rsidRPr="00CA2A05">
        <w:t xml:space="preserve">, and because they </w:t>
      </w:r>
      <w:r w:rsidR="0012023C" w:rsidRPr="00CA2A05">
        <w:t xml:space="preserve">saw </w:t>
      </w:r>
      <w:r w:rsidR="00033316" w:rsidRPr="00CA2A05">
        <w:t xml:space="preserve">Conrad as too young and inexperienced </w:t>
      </w:r>
      <w:r w:rsidR="0012023C" w:rsidRPr="00CA2A05">
        <w:t>to lead the defence of the Empire.</w:t>
      </w:r>
    </w:p>
    <w:p w14:paraId="0AAB1560" w14:textId="5080B1C3" w:rsidR="007C08D9" w:rsidRPr="00CA2A05" w:rsidRDefault="007C08D9" w:rsidP="00CA6797">
      <w:pPr>
        <w:pStyle w:val="Newparagraph"/>
      </w:pPr>
      <w:r w:rsidRPr="00CA2A05">
        <w:t xml:space="preserve">Finally, a comparative overview of the repeated instances in which actors sent, requested, and recirculated letters concerning the Mongol advance demonstrates unambiguously the importance which contemporaries accorded to these letters and the information they carried. In almost every case, the dissemination of reports describing the destruction caused by the Mongols was linked to the perception that these would spur action in their recipients. In turn, many of these letters owe their survival to the fact that monastic copyists, such as Matthew Paris and the Ottobeuren scribe, considered them worthy of preservation. </w:t>
      </w:r>
      <w:r w:rsidRPr="00CA2A05">
        <w:rPr>
          <w:rFonts w:cs="Calibri"/>
        </w:rPr>
        <w:t xml:space="preserve">Understanding the agency and motivations of such diverse actors is fundamental to understanding how and why we possess the sources which we do from 1241. </w:t>
      </w:r>
    </w:p>
    <w:p w14:paraId="3C518F1E" w14:textId="77777777" w:rsidR="007C08D9" w:rsidRPr="00CA2A05" w:rsidRDefault="007C08D9" w:rsidP="00021085">
      <w:pPr>
        <w:pStyle w:val="Heading1"/>
      </w:pPr>
      <w:r w:rsidRPr="00CA2A05">
        <w:lastRenderedPageBreak/>
        <w:t>Acknowledgements</w:t>
      </w:r>
    </w:p>
    <w:p w14:paraId="1FEC3F00" w14:textId="522D44DD" w:rsidR="007C08D9" w:rsidRPr="00CA2A05" w:rsidRDefault="00644BB2" w:rsidP="005300C2">
      <w:pPr>
        <w:pStyle w:val="Acknowledgements"/>
        <w:rPr>
          <w:rFonts w:cs="Arial"/>
          <w:b/>
          <w:bCs/>
          <w:kern w:val="32"/>
          <w:sz w:val="24"/>
          <w:szCs w:val="32"/>
        </w:rPr>
      </w:pPr>
      <w:r w:rsidRPr="00CA2A05">
        <w:t>I</w:t>
      </w:r>
      <w:r w:rsidR="007C08D9" w:rsidRPr="00CA2A05">
        <w:t xml:space="preserve"> wish to thank Professor Nora Berend</w:t>
      </w:r>
      <w:r w:rsidR="00773C8F" w:rsidRPr="00CA2A05">
        <w:t xml:space="preserve"> and </w:t>
      </w:r>
      <w:r w:rsidR="007C08D9" w:rsidRPr="00CA2A05">
        <w:t>Professor Peter Jackson</w:t>
      </w:r>
      <w:r w:rsidR="005300C2" w:rsidRPr="00CA2A05">
        <w:t xml:space="preserve">, </w:t>
      </w:r>
      <w:r w:rsidR="00773C8F" w:rsidRPr="00CA2A05">
        <w:t xml:space="preserve">as well as </w:t>
      </w:r>
      <w:r w:rsidR="005300C2" w:rsidRPr="00CA2A05">
        <w:t>the anonymous reviewers</w:t>
      </w:r>
      <w:r w:rsidR="00773C8F" w:rsidRPr="00CA2A05">
        <w:t>,</w:t>
      </w:r>
      <w:r w:rsidR="005300C2" w:rsidRPr="00CA2A05">
        <w:t xml:space="preserve"> for </w:t>
      </w:r>
      <w:r w:rsidR="00036A3F" w:rsidRPr="00CA2A05">
        <w:t>their</w:t>
      </w:r>
      <w:r w:rsidR="008923C6" w:rsidRPr="00CA2A05">
        <w:t xml:space="preserve"> constructive </w:t>
      </w:r>
      <w:r w:rsidR="00A238B4" w:rsidRPr="00CA2A05">
        <w:t>comments</w:t>
      </w:r>
      <w:r w:rsidR="00861176" w:rsidRPr="00CA2A05">
        <w:t xml:space="preserve"> and feedback</w:t>
      </w:r>
      <w:r w:rsidR="00A238B4" w:rsidRPr="00CA2A05">
        <w:t xml:space="preserve"> </w:t>
      </w:r>
      <w:r w:rsidR="008923C6" w:rsidRPr="00CA2A05">
        <w:t xml:space="preserve">on </w:t>
      </w:r>
      <w:r w:rsidR="007C08D9" w:rsidRPr="00CA2A05">
        <w:t>this article. I am also grateful to Mag. Peter Zerlauth in the special collections department of the ULBT in Innsbruck for helping me to consult the manuscript of the Ottobeuren collection in March 2019.</w:t>
      </w:r>
      <w:r w:rsidRPr="00CA2A05">
        <w:t xml:space="preserve"> Finally, I would like to </w:t>
      </w:r>
      <w:r w:rsidR="00B04256" w:rsidRPr="00CA2A05">
        <w:t xml:space="preserve">express my thanks to </w:t>
      </w:r>
      <w:r w:rsidRPr="00CA2A05">
        <w:t xml:space="preserve">Dr Beatrice Gini for her guidance in creating the accompanying dataset, and </w:t>
      </w:r>
      <w:r w:rsidR="00FD512C" w:rsidRPr="00CA2A05">
        <w:t xml:space="preserve">to </w:t>
      </w:r>
      <w:r w:rsidRPr="00CA2A05">
        <w:t xml:space="preserve">the staff </w:t>
      </w:r>
      <w:r w:rsidR="00B04256" w:rsidRPr="00CA2A05">
        <w:t xml:space="preserve">of </w:t>
      </w:r>
      <w:r w:rsidRPr="00CA2A05">
        <w:t xml:space="preserve">Cambridge University Library </w:t>
      </w:r>
      <w:r w:rsidR="00B04256" w:rsidRPr="00CA2A05">
        <w:t xml:space="preserve">and St John’s College Library, Cambridge, </w:t>
      </w:r>
      <w:r w:rsidRPr="00CA2A05">
        <w:t xml:space="preserve">for continuing to provide </w:t>
      </w:r>
      <w:r w:rsidR="00B04256" w:rsidRPr="00CA2A05">
        <w:t xml:space="preserve">access to </w:t>
      </w:r>
      <w:r w:rsidR="009F65C4" w:rsidRPr="00CA2A05">
        <w:t xml:space="preserve">literature </w:t>
      </w:r>
      <w:r w:rsidR="00C45576" w:rsidRPr="00CA2A05">
        <w:t xml:space="preserve">and resources </w:t>
      </w:r>
      <w:r w:rsidR="00B04256" w:rsidRPr="00CA2A05">
        <w:t>essential to this article</w:t>
      </w:r>
      <w:r w:rsidRPr="00CA2A05">
        <w:t>.</w:t>
      </w:r>
    </w:p>
    <w:p w14:paraId="4539B951" w14:textId="77777777" w:rsidR="007C08D9" w:rsidRPr="00CA2A05" w:rsidRDefault="007C08D9" w:rsidP="00021085">
      <w:pPr>
        <w:pStyle w:val="Heading1"/>
      </w:pPr>
      <w:r w:rsidRPr="00CA2A05">
        <w:t>Data availability statement</w:t>
      </w:r>
    </w:p>
    <w:p w14:paraId="52873BDB" w14:textId="2FBFD4EC" w:rsidR="007C08D9" w:rsidRPr="00CA2A05" w:rsidRDefault="007C08D9" w:rsidP="00021085">
      <w:pPr>
        <w:pStyle w:val="Acknowledgements"/>
        <w:rPr>
          <w:lang w:val="en-US"/>
        </w:rPr>
      </w:pPr>
      <w:r w:rsidRPr="00CA2A05">
        <w:t>The data that support the findings of this study are openly available in Apollo at Matthew Coulter, ‘</w:t>
      </w:r>
      <w:r w:rsidRPr="00CA2A05">
        <w:rPr>
          <w:lang w:val="en-US"/>
        </w:rPr>
        <w:t xml:space="preserve">Research Data supporting “Patterns of Communication during the 1241 Mongol Invasion of Europe: Insights from the Ottobeuren Letter Collection”’, Apollo ([dataset]; accessed </w:t>
      </w:r>
      <w:r w:rsidR="00BD56EC" w:rsidRPr="00CA2A05">
        <w:rPr>
          <w:lang w:val="en-US"/>
        </w:rPr>
        <w:t>24</w:t>
      </w:r>
      <w:r w:rsidR="009C0E80" w:rsidRPr="00CA2A05">
        <w:rPr>
          <w:lang w:val="en-US"/>
        </w:rPr>
        <w:t xml:space="preserve"> March,</w:t>
      </w:r>
      <w:r w:rsidRPr="00CA2A05">
        <w:rPr>
          <w:lang w:val="en-US"/>
        </w:rPr>
        <w:t xml:space="preserve"> 202</w:t>
      </w:r>
      <w:r w:rsidR="009C0E80" w:rsidRPr="00CA2A05">
        <w:rPr>
          <w:lang w:val="en-US"/>
        </w:rPr>
        <w:t>1</w:t>
      </w:r>
      <w:r w:rsidRPr="00CA2A05">
        <w:rPr>
          <w:lang w:val="en-US"/>
        </w:rPr>
        <w:t xml:space="preserve">), </w:t>
      </w:r>
      <w:hyperlink r:id="rId11" w:history="1">
        <w:r w:rsidRPr="00CA2A05">
          <w:rPr>
            <w:rStyle w:val="Hyperlink"/>
            <w:lang w:val="en-US"/>
          </w:rPr>
          <w:t>https://doi.org/10.17863/CAM.61487</w:t>
        </w:r>
      </w:hyperlink>
      <w:r w:rsidRPr="00CA2A05">
        <w:rPr>
          <w:lang w:val="en-US"/>
        </w:rPr>
        <w:t>.</w:t>
      </w:r>
    </w:p>
    <w:p w14:paraId="0FE08B90" w14:textId="51A68750" w:rsidR="007C08D9" w:rsidRPr="00CA2A05" w:rsidRDefault="007C08D9" w:rsidP="00F21B2F">
      <w:pPr>
        <w:pStyle w:val="Heading1"/>
        <w:rPr>
          <w:lang w:val="en-US"/>
        </w:rPr>
      </w:pPr>
      <w:r w:rsidRPr="00CA2A05">
        <w:rPr>
          <w:lang w:val="en-US"/>
        </w:rPr>
        <w:t>References</w:t>
      </w:r>
    </w:p>
    <w:p w14:paraId="2EC8E1FC" w14:textId="3456DE18" w:rsidR="007C08D9" w:rsidRPr="00CA2A05" w:rsidRDefault="007C08D9" w:rsidP="006E0EB2">
      <w:pPr>
        <w:pStyle w:val="Newparagraph"/>
        <w:ind w:firstLine="0"/>
        <w:rPr>
          <w:lang w:val="en-US"/>
        </w:rPr>
        <w:sectPr w:rsidR="007C08D9" w:rsidRPr="00CA2A05" w:rsidSect="003815B5">
          <w:endnotePr>
            <w:numFmt w:val="decimal"/>
          </w:endnotePr>
          <w:pgSz w:w="11901" w:h="16840" w:code="9"/>
          <w:pgMar w:top="1418" w:right="1701" w:bottom="1418" w:left="1701" w:header="709" w:footer="709" w:gutter="0"/>
          <w:cols w:space="708"/>
          <w:docGrid w:linePitch="360"/>
        </w:sectPr>
      </w:pPr>
    </w:p>
    <w:p w14:paraId="6B9244A8" w14:textId="77777777" w:rsidR="007C08D9" w:rsidRPr="00CA2A05" w:rsidRDefault="007C08D9" w:rsidP="00021085">
      <w:pPr>
        <w:pStyle w:val="Heading1"/>
      </w:pPr>
      <w:r w:rsidRPr="00CA2A05">
        <w:lastRenderedPageBreak/>
        <w:t>Appendices</w:t>
      </w:r>
    </w:p>
    <w:p w14:paraId="6560CAA4" w14:textId="77777777" w:rsidR="007C08D9" w:rsidRPr="00CA2A05" w:rsidRDefault="007C08D9" w:rsidP="00021085">
      <w:pPr>
        <w:pStyle w:val="Heading2"/>
      </w:pPr>
      <w:r w:rsidRPr="00CA2A05">
        <w:t>Appendix 1: Contents of the Ottobeuren Collection</w:t>
      </w:r>
    </w:p>
    <w:p w14:paraId="4D4AE37F" w14:textId="77777777" w:rsidR="007C08D9" w:rsidRPr="00CA2A05" w:rsidRDefault="007C08D9" w:rsidP="00021085">
      <w:pPr>
        <w:pStyle w:val="Paragraph"/>
      </w:pPr>
      <w:r w:rsidRPr="00CA2A05">
        <w:t>[Table 1 here]</w:t>
      </w:r>
    </w:p>
    <w:p w14:paraId="4D066AE2" w14:textId="4E5C3C80" w:rsidR="007C08D9" w:rsidRPr="00CA2A05" w:rsidRDefault="007C08D9" w:rsidP="00021085">
      <w:pPr>
        <w:pStyle w:val="Heading2"/>
      </w:pPr>
      <w:r w:rsidRPr="00CA2A05">
        <w:t xml:space="preserve">Appendix 2: Key to Abbreviations in Figures 1 and </w:t>
      </w:r>
      <w:r w:rsidR="00EA4D80" w:rsidRPr="00CA2A05">
        <w:t>2</w:t>
      </w:r>
    </w:p>
    <w:p w14:paraId="0A3F4196" w14:textId="77777777" w:rsidR="007C08D9" w:rsidRPr="00CA2A05" w:rsidRDefault="007C08D9" w:rsidP="00021085">
      <w:pPr>
        <w:pStyle w:val="Heading3"/>
      </w:pPr>
      <w:r w:rsidRPr="00CA2A05">
        <w:t xml:space="preserve">Introduced in Figure 1 </w:t>
      </w:r>
    </w:p>
    <w:p w14:paraId="37C3D708" w14:textId="77777777" w:rsidR="007C08D9" w:rsidRPr="00CA2A05" w:rsidRDefault="007C08D9" w:rsidP="00021085">
      <w:pPr>
        <w:pStyle w:val="Bulletedlist"/>
        <w:rPr>
          <w:lang w:val="en-US"/>
        </w:rPr>
      </w:pPr>
      <w:r w:rsidRPr="00CA2A05">
        <w:rPr>
          <w:lang w:val="en-US"/>
        </w:rPr>
        <w:t>AT – Albert III, Count of Tirol (d. 1253, r. 1209–53)</w:t>
      </w:r>
    </w:p>
    <w:p w14:paraId="6F1D28F1" w14:textId="357E6392" w:rsidR="007C08D9" w:rsidRPr="00CA2A05" w:rsidRDefault="007C08D9" w:rsidP="00021085">
      <w:pPr>
        <w:pStyle w:val="Bulletedlist"/>
      </w:pPr>
      <w:r w:rsidRPr="00CA2A05">
        <w:rPr>
          <w:lang w:val="en-US"/>
        </w:rPr>
        <w:t>BA – Berthold of Andechs, Patriarch of Aquileia (d. 1251, r. 1218–51)</w:t>
      </w:r>
    </w:p>
    <w:p w14:paraId="4CB899FD" w14:textId="77777777" w:rsidR="007C08D9" w:rsidRPr="00CA2A05" w:rsidRDefault="007C08D9" w:rsidP="00021085">
      <w:pPr>
        <w:pStyle w:val="Bulletedlist"/>
      </w:pPr>
      <w:r w:rsidRPr="00CA2A05">
        <w:rPr>
          <w:lang w:val="en-US"/>
        </w:rPr>
        <w:t>BIV – Béla IV, King of Hungary (1206–70, r. 1235–70)</w:t>
      </w:r>
    </w:p>
    <w:p w14:paraId="60F8633D" w14:textId="77777777" w:rsidR="007C08D9" w:rsidRPr="00CA2A05" w:rsidRDefault="007C08D9" w:rsidP="00021085">
      <w:pPr>
        <w:pStyle w:val="Bulletedlist"/>
      </w:pPr>
      <w:r w:rsidRPr="00CA2A05">
        <w:rPr>
          <w:lang w:val="en-US"/>
        </w:rPr>
        <w:t>BT – Bartholomeus of Trent OP (d. 1251)</w:t>
      </w:r>
    </w:p>
    <w:p w14:paraId="3403FD51" w14:textId="77777777" w:rsidR="007C08D9" w:rsidRPr="00CA2A05" w:rsidRDefault="007C08D9" w:rsidP="00021085">
      <w:pPr>
        <w:pStyle w:val="Bulletedlist"/>
      </w:pPr>
      <w:r w:rsidRPr="00CA2A05">
        <w:rPr>
          <w:lang w:val="en-US"/>
        </w:rPr>
        <w:t>CF – Conrad of Tölz and Hohenburg, Bishop of Freising (d. 1258, r. 1230–58)</w:t>
      </w:r>
    </w:p>
    <w:p w14:paraId="1819E452" w14:textId="77777777" w:rsidR="007C08D9" w:rsidRPr="00CA2A05" w:rsidRDefault="007C08D9" w:rsidP="00021085">
      <w:pPr>
        <w:pStyle w:val="Bulletedlist"/>
      </w:pPr>
      <w:r w:rsidRPr="00CA2A05">
        <w:rPr>
          <w:lang w:val="en-US"/>
        </w:rPr>
        <w:t>CIV – Conrad IV, King of the Romans, King of Jerusalem, and Duke of Swabia (1228–54, r. 1237–54)</w:t>
      </w:r>
    </w:p>
    <w:p w14:paraId="3458D3BD" w14:textId="77777777" w:rsidR="007C08D9" w:rsidRPr="00CA2A05" w:rsidRDefault="007C08D9" w:rsidP="00021085">
      <w:pPr>
        <w:pStyle w:val="Bulletedlist"/>
      </w:pPr>
      <w:r w:rsidRPr="00CA2A05">
        <w:rPr>
          <w:lang w:val="en-US"/>
        </w:rPr>
        <w:t>EB – Egno of Eppan, Bishop-elect of Brixen (d. 1273, r. 1240–50)</w:t>
      </w:r>
    </w:p>
    <w:p w14:paraId="4EBFCB1B" w14:textId="4DF71CAA" w:rsidR="007C08D9" w:rsidRPr="00CA2A05" w:rsidRDefault="007C08D9" w:rsidP="00021085">
      <w:pPr>
        <w:pStyle w:val="Bulletedlist"/>
      </w:pPr>
      <w:r w:rsidRPr="00CA2A05">
        <w:rPr>
          <w:lang w:val="en-US"/>
        </w:rPr>
        <w:t>EF – Frederick II, Holy Roman Emperor and King of Sicily (1194–1250, r. 1212–50)</w:t>
      </w:r>
    </w:p>
    <w:p w14:paraId="2EDFB5A8" w14:textId="77777777" w:rsidR="007C08D9" w:rsidRPr="00CA2A05" w:rsidRDefault="007C08D9" w:rsidP="00021085">
      <w:pPr>
        <w:pStyle w:val="Bulletedlist"/>
      </w:pPr>
      <w:r w:rsidRPr="00CA2A05">
        <w:rPr>
          <w:lang w:val="en-US"/>
        </w:rPr>
        <w:t>FA – Frederick II, Duke of Austria (1211–46, r. 1230–46)</w:t>
      </w:r>
    </w:p>
    <w:p w14:paraId="5748C89E" w14:textId="77777777" w:rsidR="007C08D9" w:rsidRPr="00CA2A05" w:rsidRDefault="007C08D9" w:rsidP="00021085">
      <w:pPr>
        <w:pStyle w:val="Bulletedlist"/>
      </w:pPr>
      <w:r w:rsidRPr="00CA2A05">
        <w:rPr>
          <w:lang w:val="en-US"/>
        </w:rPr>
        <w:t>HK – Henry of Tanne, Bishop of Konstanz (d. 1248, r. 1233–48)</w:t>
      </w:r>
    </w:p>
    <w:p w14:paraId="1E454665" w14:textId="1F74647D" w:rsidR="007C08D9" w:rsidRPr="00CA2A05" w:rsidRDefault="007C08D9" w:rsidP="00021085">
      <w:pPr>
        <w:pStyle w:val="Bulletedlist"/>
      </w:pPr>
      <w:r w:rsidRPr="00CA2A05">
        <w:rPr>
          <w:lang w:val="en-US"/>
        </w:rPr>
        <w:t>J – Brother Julian OP</w:t>
      </w:r>
      <w:r w:rsidR="00D14F69" w:rsidRPr="00CA2A05">
        <w:rPr>
          <w:lang w:val="en-US"/>
        </w:rPr>
        <w:t xml:space="preserve"> (fl. 1237–8)</w:t>
      </w:r>
    </w:p>
    <w:p w14:paraId="62AA40DE" w14:textId="77777777" w:rsidR="007C08D9" w:rsidRPr="00CA2A05" w:rsidRDefault="007C08D9" w:rsidP="00021085">
      <w:pPr>
        <w:pStyle w:val="Bulletedlist"/>
      </w:pPr>
      <w:r w:rsidRPr="00CA2A05">
        <w:rPr>
          <w:lang w:val="en-US"/>
        </w:rPr>
        <w:t>OB – Otto II, Duke of Bavaria (1206–53, r. 1231–53)</w:t>
      </w:r>
    </w:p>
    <w:p w14:paraId="38877CFC" w14:textId="77777777" w:rsidR="007C08D9" w:rsidRPr="00CA2A05" w:rsidRDefault="007C08D9" w:rsidP="00021085">
      <w:pPr>
        <w:pStyle w:val="Bulletedlist"/>
      </w:pPr>
      <w:r w:rsidRPr="00CA2A05">
        <w:rPr>
          <w:lang w:val="en-US"/>
        </w:rPr>
        <w:t>Ott. – Ottobeuren Abbey</w:t>
      </w:r>
    </w:p>
    <w:p w14:paraId="40D29E72" w14:textId="13FA901B" w:rsidR="007C08D9" w:rsidRPr="00CA2A05" w:rsidRDefault="007C08D9" w:rsidP="00021085">
      <w:pPr>
        <w:pStyle w:val="Bulletedlist"/>
      </w:pPr>
      <w:r w:rsidRPr="00CA2A05">
        <w:rPr>
          <w:lang w:val="en-US"/>
        </w:rPr>
        <w:t>SA –</w:t>
      </w:r>
      <w:r w:rsidR="005D6281" w:rsidRPr="00CA2A05">
        <w:rPr>
          <w:lang w:val="en-US"/>
        </w:rPr>
        <w:t xml:space="preserve"> </w:t>
      </w:r>
      <w:r w:rsidRPr="00CA2A05">
        <w:rPr>
          <w:lang w:val="en-US"/>
        </w:rPr>
        <w:t>Siboto of Seefeld, Bishop of Augsburg (d. 1262, r. 1227–47)</w:t>
      </w:r>
    </w:p>
    <w:p w14:paraId="6B155F84" w14:textId="4FAED7E0" w:rsidR="007C08D9" w:rsidRPr="00CA2A05" w:rsidRDefault="007C08D9" w:rsidP="00021085">
      <w:pPr>
        <w:pStyle w:val="Bulletedlist"/>
        <w:rPr>
          <w:lang w:val="en-US"/>
        </w:rPr>
      </w:pPr>
      <w:r w:rsidRPr="00CA2A05">
        <w:rPr>
          <w:lang w:val="en-US"/>
        </w:rPr>
        <w:t>WIB – Wenceslaus I, King of Bohemia (</w:t>
      </w:r>
      <w:r w:rsidR="006E5878" w:rsidRPr="00CA2A05">
        <w:rPr>
          <w:lang w:val="en-US"/>
        </w:rPr>
        <w:t>1205–</w:t>
      </w:r>
      <w:r w:rsidRPr="00CA2A05">
        <w:rPr>
          <w:lang w:val="en-US"/>
        </w:rPr>
        <w:t>53, r. 1230–53)</w:t>
      </w:r>
    </w:p>
    <w:p w14:paraId="2DFE3E92" w14:textId="7D748CC1" w:rsidR="007C08D9" w:rsidRPr="00CA2A05" w:rsidRDefault="007C08D9" w:rsidP="00021085">
      <w:pPr>
        <w:pStyle w:val="Heading3"/>
        <w:rPr>
          <w:lang w:val="en-US"/>
        </w:rPr>
      </w:pPr>
      <w:r w:rsidRPr="00CA2A05">
        <w:rPr>
          <w:lang w:val="en-US"/>
        </w:rPr>
        <w:lastRenderedPageBreak/>
        <w:t xml:space="preserve">Introduced in Figure </w:t>
      </w:r>
      <w:r w:rsidR="00797DD7" w:rsidRPr="00CA2A05">
        <w:rPr>
          <w:lang w:val="en-US"/>
        </w:rPr>
        <w:t>2</w:t>
      </w:r>
      <w:r w:rsidRPr="00CA2A05">
        <w:rPr>
          <w:lang w:val="en-US"/>
        </w:rPr>
        <w:t xml:space="preserve"> </w:t>
      </w:r>
    </w:p>
    <w:p w14:paraId="0DB32502" w14:textId="77777777" w:rsidR="007C08D9" w:rsidRPr="00CA2A05" w:rsidRDefault="007C08D9" w:rsidP="00021085">
      <w:pPr>
        <w:pStyle w:val="Bulletedlist"/>
      </w:pPr>
      <w:r w:rsidRPr="00CA2A05">
        <w:t>BC – Bernhard of Spanheim, Duke of Carinthia (1176/81–1256, r. 1202–56)</w:t>
      </w:r>
    </w:p>
    <w:p w14:paraId="2C9F7985" w14:textId="716E7AAC" w:rsidR="007C08D9" w:rsidRPr="00CA2A05" w:rsidRDefault="007C08D9" w:rsidP="00021085">
      <w:pPr>
        <w:pStyle w:val="Bulletedlist"/>
      </w:pPr>
      <w:r w:rsidRPr="00CA2A05">
        <w:t>CC – Conrad of Hochstaden, Archbishop of Cologne (</w:t>
      </w:r>
      <w:r w:rsidR="00A05546" w:rsidRPr="00CA2A05">
        <w:t>d. 12</w:t>
      </w:r>
      <w:r w:rsidRPr="00CA2A05">
        <w:t>61, r. 1238–61)</w:t>
      </w:r>
    </w:p>
    <w:p w14:paraId="7D05BB34" w14:textId="77777777" w:rsidR="007C08D9" w:rsidRPr="00CA2A05" w:rsidRDefault="007C08D9" w:rsidP="00021085">
      <w:pPr>
        <w:pStyle w:val="Bulletedlist"/>
      </w:pPr>
      <w:r w:rsidRPr="00CA2A05">
        <w:t>GIX – Pope Gregory IX (d. 1241, r. 1227–41)</w:t>
      </w:r>
    </w:p>
    <w:p w14:paraId="5FEBBC90" w14:textId="77777777" w:rsidR="007C08D9" w:rsidRPr="00CA2A05" w:rsidRDefault="007C08D9" w:rsidP="00021085">
      <w:pPr>
        <w:pStyle w:val="Bulletedlist"/>
      </w:pPr>
      <w:r w:rsidRPr="00CA2A05">
        <w:t>HE – Henry III, King of England (1207–72, r. 1216–72)</w:t>
      </w:r>
    </w:p>
    <w:p w14:paraId="71ADD81F" w14:textId="771CE588" w:rsidR="007C08D9" w:rsidRPr="00CA2A05" w:rsidRDefault="007C08D9" w:rsidP="00021085">
      <w:pPr>
        <w:pStyle w:val="Bulletedlist"/>
      </w:pPr>
      <w:r w:rsidRPr="00CA2A05">
        <w:t>HB – Henry II, Duke of Brabant (</w:t>
      </w:r>
      <w:r w:rsidR="00A05546" w:rsidRPr="00CA2A05">
        <w:t>d. 12</w:t>
      </w:r>
      <w:r w:rsidRPr="00CA2A05">
        <w:t xml:space="preserve">48, r. 1235–48) </w:t>
      </w:r>
    </w:p>
    <w:p w14:paraId="21E87281" w14:textId="7241070F" w:rsidR="00266D95" w:rsidRPr="00CA2A05" w:rsidRDefault="00010C32" w:rsidP="00010C32">
      <w:pPr>
        <w:pStyle w:val="Bulletedlist"/>
      </w:pPr>
      <w:r w:rsidRPr="00CA2A05">
        <w:t>HR – Henry Raspe, Landgrave of Thuringia (</w:t>
      </w:r>
      <w:r w:rsidR="00F86902" w:rsidRPr="00CA2A05">
        <w:t>12</w:t>
      </w:r>
      <w:r w:rsidR="003D5E74" w:rsidRPr="00CA2A05">
        <w:t>0</w:t>
      </w:r>
      <w:r w:rsidRPr="00CA2A05">
        <w:t>4</w:t>
      </w:r>
      <w:r w:rsidR="003D5E74" w:rsidRPr="00CA2A05">
        <w:t>–4</w:t>
      </w:r>
      <w:r w:rsidRPr="00CA2A05">
        <w:t>7, r. 1241–7)</w:t>
      </w:r>
    </w:p>
    <w:p w14:paraId="43B4F5AF" w14:textId="24F6471A" w:rsidR="00010C32" w:rsidRPr="00CA2A05" w:rsidRDefault="00010C32" w:rsidP="00010C32">
      <w:pPr>
        <w:pStyle w:val="Bulletedlist"/>
      </w:pPr>
      <w:r w:rsidRPr="00CA2A05">
        <w:t>HZ – Heiligenkreuz Abbey</w:t>
      </w:r>
    </w:p>
    <w:p w14:paraId="5F6166EC" w14:textId="0A73CF78" w:rsidR="00A05546" w:rsidRPr="00CA2A05" w:rsidRDefault="007C08D9" w:rsidP="00A05546">
      <w:pPr>
        <w:pStyle w:val="Bulletedlist"/>
      </w:pPr>
      <w:r w:rsidRPr="00CA2A05">
        <w:t>KF – Konstanz Franciscans</w:t>
      </w:r>
    </w:p>
    <w:p w14:paraId="17EAE49F" w14:textId="66FDD144" w:rsidR="00A05546" w:rsidRPr="00CA2A05" w:rsidRDefault="00A05546" w:rsidP="00A05546">
      <w:pPr>
        <w:pStyle w:val="Bulletedlist"/>
      </w:pPr>
      <w:r w:rsidRPr="00CA2A05">
        <w:t>LIX – Louis IX, King of France (1214–70, r. 1226–70)</w:t>
      </w:r>
    </w:p>
    <w:p w14:paraId="325216F0" w14:textId="4EB49AB3" w:rsidR="00F86902" w:rsidRPr="00CA2A05" w:rsidRDefault="00F86902" w:rsidP="00F86902">
      <w:pPr>
        <w:pStyle w:val="Bulletedlist"/>
      </w:pPr>
      <w:r w:rsidRPr="00CA2A05">
        <w:t>MFG – Minister of Franciscan Province of Germany</w:t>
      </w:r>
    </w:p>
    <w:p w14:paraId="019FB01B" w14:textId="7748E247" w:rsidR="00F86902" w:rsidRPr="00CA2A05" w:rsidRDefault="00F86902" w:rsidP="00F86902">
      <w:pPr>
        <w:pStyle w:val="Bulletedlist"/>
      </w:pPr>
      <w:r w:rsidRPr="00CA2A05">
        <w:t>PDG – Prior of Dominican Province of Germany</w:t>
      </w:r>
    </w:p>
    <w:p w14:paraId="0D4C50EC" w14:textId="348BC51B" w:rsidR="007C08D9" w:rsidRPr="00CA2A05" w:rsidRDefault="007C08D9" w:rsidP="00021085">
      <w:pPr>
        <w:pStyle w:val="Bulletedlist"/>
      </w:pPr>
      <w:r w:rsidRPr="00CA2A05">
        <w:t>RS – Roman Senate</w:t>
      </w:r>
    </w:p>
    <w:p w14:paraId="43C91A18" w14:textId="3A47121F" w:rsidR="007C08D9" w:rsidRPr="00CA2A05" w:rsidRDefault="007C08D9" w:rsidP="00021085">
      <w:pPr>
        <w:pStyle w:val="Bulletedlist"/>
      </w:pPr>
      <w:r w:rsidRPr="00CA2A05">
        <w:t>SM – Siegfried III of Eppstein, Archbishop of Mainz (1195–1249, r. 1230–49)</w:t>
      </w:r>
    </w:p>
    <w:p w14:paraId="538EF159" w14:textId="19FAF980" w:rsidR="005D6281" w:rsidRPr="00CA2A05" w:rsidRDefault="005D6281" w:rsidP="005D6281">
      <w:pPr>
        <w:pStyle w:val="Bulletedlist"/>
      </w:pPr>
      <w:r w:rsidRPr="00CA2A05">
        <w:t>VD – Vienna Dominicans</w:t>
      </w:r>
    </w:p>
    <w:p w14:paraId="14FAD294" w14:textId="77777777" w:rsidR="007C08D9" w:rsidRPr="00CA2A05" w:rsidRDefault="007C08D9" w:rsidP="00021085">
      <w:pPr>
        <w:pStyle w:val="Bulletedlist"/>
      </w:pPr>
      <w:r w:rsidRPr="00CA2A05">
        <w:t>WP – William of Auvergne, Bishop of Paris (d. 1249, r. 1228–49)</w:t>
      </w:r>
    </w:p>
    <w:p w14:paraId="756D32A8" w14:textId="77777777" w:rsidR="007C08D9" w:rsidRPr="00CA2A05" w:rsidRDefault="007C08D9" w:rsidP="00021085">
      <w:pPr>
        <w:pStyle w:val="Bulletedlist"/>
        <w:numPr>
          <w:ilvl w:val="0"/>
          <w:numId w:val="0"/>
        </w:numPr>
        <w:ind w:left="720" w:hanging="360"/>
      </w:pPr>
    </w:p>
    <w:p w14:paraId="793D4E64" w14:textId="77777777" w:rsidR="007C08D9" w:rsidRPr="00CA2A05" w:rsidRDefault="007C08D9" w:rsidP="00021085">
      <w:pPr>
        <w:pStyle w:val="Figurecaption"/>
        <w:sectPr w:rsidR="007C08D9" w:rsidRPr="00CA2A05" w:rsidSect="00BB6751">
          <w:endnotePr>
            <w:numFmt w:val="decimal"/>
          </w:endnotePr>
          <w:pgSz w:w="11901" w:h="16840" w:code="9"/>
          <w:pgMar w:top="1418" w:right="1701" w:bottom="1418" w:left="1701" w:header="709" w:footer="709" w:gutter="0"/>
          <w:cols w:space="708"/>
          <w:docGrid w:linePitch="360"/>
        </w:sectPr>
      </w:pPr>
    </w:p>
    <w:p w14:paraId="3FF539CE" w14:textId="77777777" w:rsidR="007C08D9" w:rsidRPr="00CA2A05" w:rsidRDefault="007C08D9" w:rsidP="00021085">
      <w:pPr>
        <w:pStyle w:val="Heading1"/>
      </w:pPr>
      <w:r w:rsidRPr="00CA2A05">
        <w:lastRenderedPageBreak/>
        <w:t>Tables</w:t>
      </w:r>
    </w:p>
    <w:p w14:paraId="3DB767D5" w14:textId="0DA59713" w:rsidR="007C08D9" w:rsidRPr="00CA2A05" w:rsidRDefault="007C08D9" w:rsidP="00021085">
      <w:pPr>
        <w:pStyle w:val="Tabletitle"/>
      </w:pPr>
      <w:r w:rsidRPr="00CA2A05">
        <w:t xml:space="preserve">Table 1. Contents of ULBT Cod. 187, 1v–8v. Abbreviations of names are given in appendix 2. Source: Neuhauser, </w:t>
      </w:r>
      <w:r w:rsidRPr="00CA2A05">
        <w:rPr>
          <w:i/>
          <w:iCs/>
        </w:rPr>
        <w:t>Katalog</w:t>
      </w:r>
      <w:r w:rsidRPr="00CA2A05">
        <w:t>, 2: 174–7.</w:t>
      </w:r>
    </w:p>
    <w:tbl>
      <w:tblPr>
        <w:tblStyle w:val="TableGrid"/>
        <w:tblW w:w="0" w:type="auto"/>
        <w:tblBorders>
          <w:insideV w:val="none" w:sz="0" w:space="0" w:color="auto"/>
        </w:tblBorders>
        <w:tblLook w:val="04A0" w:firstRow="1" w:lastRow="0" w:firstColumn="1" w:lastColumn="0" w:noHBand="0" w:noVBand="1"/>
      </w:tblPr>
      <w:tblGrid>
        <w:gridCol w:w="730"/>
        <w:gridCol w:w="4935"/>
        <w:gridCol w:w="993"/>
        <w:gridCol w:w="1831"/>
      </w:tblGrid>
      <w:tr w:rsidR="007C08D9" w:rsidRPr="00CA2A05" w14:paraId="1E252777" w14:textId="77777777" w:rsidTr="00BB6751">
        <w:tc>
          <w:tcPr>
            <w:tcW w:w="730" w:type="dxa"/>
          </w:tcPr>
          <w:p w14:paraId="4017219B" w14:textId="6066FCA9"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f</w:t>
            </w:r>
            <w:r w:rsidR="00B0595D" w:rsidRPr="00CA2A05">
              <w:rPr>
                <w:rFonts w:ascii="Times New Roman" w:hAnsi="Times New Roman" w:cs="Times New Roman"/>
                <w:sz w:val="20"/>
                <w:szCs w:val="20"/>
              </w:rPr>
              <w:t>ol</w:t>
            </w:r>
            <w:r w:rsidR="004E71D2" w:rsidRPr="00CA2A05">
              <w:rPr>
                <w:rFonts w:ascii="Times New Roman" w:hAnsi="Times New Roman" w:cs="Times New Roman"/>
                <w:sz w:val="20"/>
                <w:szCs w:val="20"/>
              </w:rPr>
              <w:t>.</w:t>
            </w:r>
          </w:p>
        </w:tc>
        <w:tc>
          <w:tcPr>
            <w:tcW w:w="4935" w:type="dxa"/>
          </w:tcPr>
          <w:p w14:paraId="52711F3C"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Information</w:t>
            </w:r>
          </w:p>
        </w:tc>
        <w:tc>
          <w:tcPr>
            <w:tcW w:w="993" w:type="dxa"/>
          </w:tcPr>
          <w:p w14:paraId="58C8182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i/>
                <w:iCs/>
                <w:sz w:val="20"/>
                <w:szCs w:val="20"/>
              </w:rPr>
              <w:t>BFW</w:t>
            </w:r>
            <w:r w:rsidRPr="00CA2A05">
              <w:rPr>
                <w:rFonts w:ascii="Times New Roman" w:hAnsi="Times New Roman" w:cs="Times New Roman"/>
                <w:sz w:val="20"/>
                <w:szCs w:val="20"/>
              </w:rPr>
              <w:t xml:space="preserve"> no.</w:t>
            </w:r>
          </w:p>
        </w:tc>
        <w:tc>
          <w:tcPr>
            <w:tcW w:w="1831" w:type="dxa"/>
          </w:tcPr>
          <w:p w14:paraId="0F53D52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Edition used</w:t>
            </w:r>
          </w:p>
        </w:tc>
      </w:tr>
      <w:tr w:rsidR="007C08D9" w:rsidRPr="00CA2A05" w14:paraId="228FC294" w14:textId="77777777" w:rsidTr="00BB6751">
        <w:tc>
          <w:tcPr>
            <w:tcW w:w="730" w:type="dxa"/>
          </w:tcPr>
          <w:p w14:paraId="1267C21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1v</w:t>
            </w:r>
          </w:p>
        </w:tc>
        <w:tc>
          <w:tcPr>
            <w:tcW w:w="4935" w:type="dxa"/>
          </w:tcPr>
          <w:p w14:paraId="318DDF99"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 xml:space="preserve">Letter 1 </w:t>
            </w:r>
          </w:p>
          <w:p w14:paraId="2AC7B1FF"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BIV</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CIV</w:t>
            </w:r>
          </w:p>
          <w:p w14:paraId="4A044D11"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Undated</w:t>
            </w:r>
          </w:p>
        </w:tc>
        <w:tc>
          <w:tcPr>
            <w:tcW w:w="993" w:type="dxa"/>
          </w:tcPr>
          <w:p w14:paraId="220D5F51"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11357</w:t>
            </w:r>
          </w:p>
        </w:tc>
        <w:tc>
          <w:tcPr>
            <w:tcW w:w="1831" w:type="dxa"/>
          </w:tcPr>
          <w:p w14:paraId="760E6D9B"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Hormayr, 2: 65 (no. 1)</w:t>
            </w:r>
          </w:p>
        </w:tc>
      </w:tr>
      <w:tr w:rsidR="007C08D9" w:rsidRPr="00CA2A05" w14:paraId="03AC2B0D" w14:textId="77777777" w:rsidTr="00BB6751">
        <w:tc>
          <w:tcPr>
            <w:tcW w:w="730" w:type="dxa"/>
          </w:tcPr>
          <w:p w14:paraId="00287792"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2r</w:t>
            </w:r>
          </w:p>
        </w:tc>
        <w:tc>
          <w:tcPr>
            <w:tcW w:w="4935" w:type="dxa"/>
          </w:tcPr>
          <w:p w14:paraId="2B7FBA50"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Prophecy 1</w:t>
            </w:r>
          </w:p>
          <w:p w14:paraId="5E1B513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Cedar of Lebanon</w:t>
            </w:r>
          </w:p>
        </w:tc>
        <w:tc>
          <w:tcPr>
            <w:tcW w:w="993" w:type="dxa"/>
          </w:tcPr>
          <w:p w14:paraId="5907EED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w:t>
            </w:r>
          </w:p>
        </w:tc>
        <w:tc>
          <w:tcPr>
            <w:tcW w:w="1831" w:type="dxa"/>
          </w:tcPr>
          <w:p w14:paraId="2062A6F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 xml:space="preserve">Lerner, </w:t>
            </w:r>
            <w:r w:rsidRPr="00CA2A05">
              <w:rPr>
                <w:rFonts w:ascii="Times New Roman" w:hAnsi="Times New Roman" w:cs="Times New Roman"/>
                <w:i/>
                <w:iCs/>
                <w:sz w:val="20"/>
                <w:szCs w:val="20"/>
              </w:rPr>
              <w:t>Powers of Prophecy</w:t>
            </w:r>
            <w:r w:rsidRPr="00CA2A05">
              <w:rPr>
                <w:rFonts w:ascii="Times New Roman" w:hAnsi="Times New Roman" w:cs="Times New Roman"/>
                <w:sz w:val="20"/>
                <w:szCs w:val="20"/>
              </w:rPr>
              <w:t>, 199–200</w:t>
            </w:r>
          </w:p>
        </w:tc>
      </w:tr>
      <w:tr w:rsidR="007C08D9" w:rsidRPr="00CA2A05" w14:paraId="3C199879" w14:textId="77777777" w:rsidTr="00BB6751">
        <w:tc>
          <w:tcPr>
            <w:tcW w:w="730" w:type="dxa"/>
          </w:tcPr>
          <w:p w14:paraId="7EFC329D"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2r–4r</w:t>
            </w:r>
          </w:p>
        </w:tc>
        <w:tc>
          <w:tcPr>
            <w:tcW w:w="4935" w:type="dxa"/>
          </w:tcPr>
          <w:p w14:paraId="2C2EA746"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2</w:t>
            </w:r>
          </w:p>
          <w:p w14:paraId="14D3F42F"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J</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 xml:space="preserve">Salvius Salvi </w:t>
            </w:r>
          </w:p>
          <w:p w14:paraId="224B7B0E" w14:textId="108E2000"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c</w:t>
            </w:r>
            <w:r w:rsidR="00930843" w:rsidRPr="00CA2A05">
              <w:rPr>
                <w:rFonts w:ascii="Times New Roman" w:hAnsi="Times New Roman" w:cs="Times New Roman"/>
                <w:sz w:val="20"/>
                <w:szCs w:val="20"/>
              </w:rPr>
              <w:t>a</w:t>
            </w:r>
            <w:r w:rsidRPr="00CA2A05">
              <w:rPr>
                <w:rFonts w:ascii="Times New Roman" w:hAnsi="Times New Roman" w:cs="Times New Roman"/>
                <w:sz w:val="20"/>
                <w:szCs w:val="20"/>
              </w:rPr>
              <w:t xml:space="preserve">. 1238; later transmitted in early 1241 by </w:t>
            </w:r>
            <w:r w:rsidRPr="00CA2A05">
              <w:rPr>
                <w:rFonts w:ascii="Times New Roman" w:hAnsi="Times New Roman" w:cs="Times New Roman"/>
                <w:b/>
                <w:bCs/>
                <w:sz w:val="20"/>
                <w:szCs w:val="20"/>
              </w:rPr>
              <w:t>BIV</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BA</w:t>
            </w:r>
            <w:r w:rsidRPr="00CA2A05">
              <w:rPr>
                <w:rFonts w:ascii="Times New Roman" w:hAnsi="Times New Roman" w:cs="Times New Roman"/>
                <w:sz w:val="20"/>
                <w:szCs w:val="20"/>
              </w:rPr>
              <w:t xml:space="preserve">, and forwarded to </w:t>
            </w:r>
            <w:r w:rsidRPr="00CA2A05">
              <w:rPr>
                <w:rFonts w:ascii="Times New Roman" w:hAnsi="Times New Roman" w:cs="Times New Roman"/>
                <w:b/>
                <w:bCs/>
                <w:sz w:val="20"/>
                <w:szCs w:val="20"/>
              </w:rPr>
              <w:t>EB</w:t>
            </w:r>
            <w:r w:rsidRPr="00CA2A05">
              <w:rPr>
                <w:rFonts w:ascii="Times New Roman" w:hAnsi="Times New Roman" w:cs="Times New Roman"/>
                <w:sz w:val="20"/>
                <w:szCs w:val="20"/>
              </w:rPr>
              <w:t xml:space="preserve"> and </w:t>
            </w:r>
            <w:r w:rsidRPr="00CA2A05">
              <w:rPr>
                <w:rFonts w:ascii="Times New Roman" w:hAnsi="Times New Roman" w:cs="Times New Roman"/>
                <w:b/>
                <w:bCs/>
                <w:sz w:val="20"/>
                <w:szCs w:val="20"/>
              </w:rPr>
              <w:t>AT</w:t>
            </w:r>
          </w:p>
          <w:p w14:paraId="44BC829B"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Includes scribal preface introducing letter; letter contains postscript explaining 1241 transmission</w:t>
            </w:r>
          </w:p>
        </w:tc>
        <w:tc>
          <w:tcPr>
            <w:tcW w:w="993" w:type="dxa"/>
          </w:tcPr>
          <w:p w14:paraId="0EEB48D5"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11309</w:t>
            </w:r>
          </w:p>
        </w:tc>
        <w:tc>
          <w:tcPr>
            <w:tcW w:w="1831" w:type="dxa"/>
          </w:tcPr>
          <w:p w14:paraId="7355C2A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 xml:space="preserve">Hormayr, 2: 67–9 (no. 5) </w:t>
            </w:r>
          </w:p>
        </w:tc>
      </w:tr>
      <w:tr w:rsidR="007C08D9" w:rsidRPr="00CA2A05" w14:paraId="1DC614E9" w14:textId="77777777" w:rsidTr="00BB6751">
        <w:tc>
          <w:tcPr>
            <w:tcW w:w="730" w:type="dxa"/>
          </w:tcPr>
          <w:p w14:paraId="3CFB341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4r</w:t>
            </w:r>
          </w:p>
        </w:tc>
        <w:tc>
          <w:tcPr>
            <w:tcW w:w="4935" w:type="dxa"/>
          </w:tcPr>
          <w:p w14:paraId="0C0A6A44"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3</w:t>
            </w:r>
          </w:p>
          <w:p w14:paraId="069B7B9D"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WIB</w:t>
            </w:r>
            <w:r w:rsidRPr="00CA2A05">
              <w:rPr>
                <w:rFonts w:ascii="Times New Roman" w:hAnsi="Times New Roman" w:cs="Times New Roman"/>
                <w:sz w:val="20"/>
                <w:szCs w:val="20"/>
              </w:rPr>
              <w:t>, addressed generally</w:t>
            </w:r>
          </w:p>
          <w:p w14:paraId="15E1DF66"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Undated</w:t>
            </w:r>
          </w:p>
          <w:p w14:paraId="154409B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Includes scribal preface naming sender</w:t>
            </w:r>
          </w:p>
        </w:tc>
        <w:tc>
          <w:tcPr>
            <w:tcW w:w="993" w:type="dxa"/>
          </w:tcPr>
          <w:p w14:paraId="6E35C47D"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11328</w:t>
            </w:r>
          </w:p>
        </w:tc>
        <w:tc>
          <w:tcPr>
            <w:tcW w:w="1831" w:type="dxa"/>
          </w:tcPr>
          <w:p w14:paraId="1FBFD7CA"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 xml:space="preserve">Hormayr, 2: 66–7 (no. 4) </w:t>
            </w:r>
          </w:p>
        </w:tc>
      </w:tr>
      <w:tr w:rsidR="007C08D9" w:rsidRPr="00CA2A05" w14:paraId="28EF72F4" w14:textId="77777777" w:rsidTr="00BB6751">
        <w:tc>
          <w:tcPr>
            <w:tcW w:w="730" w:type="dxa"/>
          </w:tcPr>
          <w:p w14:paraId="531CEEC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4r–5v</w:t>
            </w:r>
          </w:p>
        </w:tc>
        <w:tc>
          <w:tcPr>
            <w:tcW w:w="4935" w:type="dxa"/>
          </w:tcPr>
          <w:p w14:paraId="18015B15"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4</w:t>
            </w:r>
          </w:p>
          <w:p w14:paraId="070FE1BD"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EF</w:t>
            </w:r>
            <w:r w:rsidRPr="00CA2A05">
              <w:rPr>
                <w:rFonts w:ascii="Times New Roman" w:hAnsi="Times New Roman" w:cs="Times New Roman"/>
                <w:sz w:val="20"/>
                <w:szCs w:val="20"/>
              </w:rPr>
              <w:t xml:space="preserve">, addressed generally to </w:t>
            </w:r>
            <w:r w:rsidRPr="00CA2A05">
              <w:rPr>
                <w:rFonts w:ascii="Times New Roman" w:hAnsi="Times New Roman" w:cs="Times New Roman"/>
                <w:b/>
                <w:bCs/>
                <w:sz w:val="20"/>
                <w:szCs w:val="20"/>
              </w:rPr>
              <w:t>counts, free men, ministerials, and others in Swabia</w:t>
            </w:r>
          </w:p>
          <w:p w14:paraId="0753D07A"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20 June 1241</w:t>
            </w:r>
          </w:p>
          <w:p w14:paraId="3571905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 xml:space="preserve">Includes scribal preface naming sender; letter includes postscript containing crusade instructions </w:t>
            </w:r>
          </w:p>
        </w:tc>
        <w:tc>
          <w:tcPr>
            <w:tcW w:w="993" w:type="dxa"/>
          </w:tcPr>
          <w:p w14:paraId="60BC3AE4"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3210</w:t>
            </w:r>
          </w:p>
        </w:tc>
        <w:tc>
          <w:tcPr>
            <w:tcW w:w="1831" w:type="dxa"/>
          </w:tcPr>
          <w:p w14:paraId="302C2761"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i/>
                <w:iCs/>
                <w:sz w:val="20"/>
                <w:szCs w:val="20"/>
              </w:rPr>
              <w:t>MGH Const.</w:t>
            </w:r>
            <w:r w:rsidRPr="00CA2A05">
              <w:rPr>
                <w:rFonts w:ascii="Times New Roman" w:hAnsi="Times New Roman" w:cs="Times New Roman"/>
                <w:sz w:val="20"/>
                <w:szCs w:val="20"/>
              </w:rPr>
              <w:t xml:space="preserve">, 2: 322–5 (no. 235 (A1)) (letter), 445 (no. 335) (instructions) </w:t>
            </w:r>
          </w:p>
        </w:tc>
      </w:tr>
      <w:tr w:rsidR="007C08D9" w:rsidRPr="00CA2A05" w14:paraId="2A2DEC10" w14:textId="77777777" w:rsidTr="00BB6751">
        <w:tc>
          <w:tcPr>
            <w:tcW w:w="730" w:type="dxa"/>
          </w:tcPr>
          <w:p w14:paraId="0519D5C2"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5v–6r</w:t>
            </w:r>
          </w:p>
        </w:tc>
        <w:tc>
          <w:tcPr>
            <w:tcW w:w="4935" w:type="dxa"/>
          </w:tcPr>
          <w:p w14:paraId="4B2A2228"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5</w:t>
            </w:r>
          </w:p>
          <w:p w14:paraId="2A6D3897"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WIB</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CIV</w:t>
            </w:r>
          </w:p>
          <w:p w14:paraId="3B20CD73"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Undated</w:t>
            </w:r>
          </w:p>
          <w:p w14:paraId="74769163"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Includes scribal preface naming sender</w:t>
            </w:r>
          </w:p>
        </w:tc>
        <w:tc>
          <w:tcPr>
            <w:tcW w:w="993" w:type="dxa"/>
          </w:tcPr>
          <w:p w14:paraId="03B4704A"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11341</w:t>
            </w:r>
          </w:p>
        </w:tc>
        <w:tc>
          <w:tcPr>
            <w:tcW w:w="1831" w:type="dxa"/>
          </w:tcPr>
          <w:p w14:paraId="3C447AF5" w14:textId="77777777" w:rsidR="007C08D9" w:rsidRPr="00CA2A05" w:rsidRDefault="007C08D9" w:rsidP="00BB6751">
            <w:pPr>
              <w:spacing w:line="240" w:lineRule="auto"/>
              <w:rPr>
                <w:rFonts w:ascii="Times New Roman" w:hAnsi="Times New Roman" w:cs="Times New Roman"/>
                <w:i/>
                <w:iCs/>
                <w:sz w:val="20"/>
                <w:szCs w:val="20"/>
              </w:rPr>
            </w:pPr>
            <w:r w:rsidRPr="00CA2A05">
              <w:rPr>
                <w:rFonts w:ascii="Times New Roman" w:hAnsi="Times New Roman" w:cs="Times New Roman"/>
                <w:sz w:val="20"/>
                <w:szCs w:val="20"/>
              </w:rPr>
              <w:t xml:space="preserve">Hormayr, 2: 66 (no. 3) </w:t>
            </w:r>
          </w:p>
        </w:tc>
      </w:tr>
      <w:tr w:rsidR="007C08D9" w:rsidRPr="00CA2A05" w14:paraId="66071766" w14:textId="77777777" w:rsidTr="00BB6751">
        <w:tc>
          <w:tcPr>
            <w:tcW w:w="730" w:type="dxa"/>
          </w:tcPr>
          <w:p w14:paraId="3EC5DA3C"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6r–v</w:t>
            </w:r>
          </w:p>
        </w:tc>
        <w:tc>
          <w:tcPr>
            <w:tcW w:w="4935" w:type="dxa"/>
          </w:tcPr>
          <w:p w14:paraId="47520105"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6</w:t>
            </w:r>
          </w:p>
          <w:p w14:paraId="2FFDF2C3"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FA</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CIV</w:t>
            </w:r>
          </w:p>
          <w:p w14:paraId="3C56E36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13 June 1241</w:t>
            </w:r>
          </w:p>
          <w:p w14:paraId="6C5FBC77"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Includes scribal preface naming sender and addressee</w:t>
            </w:r>
          </w:p>
        </w:tc>
        <w:tc>
          <w:tcPr>
            <w:tcW w:w="993" w:type="dxa"/>
          </w:tcPr>
          <w:p w14:paraId="2FCE0257"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11349</w:t>
            </w:r>
          </w:p>
        </w:tc>
        <w:tc>
          <w:tcPr>
            <w:tcW w:w="1831" w:type="dxa"/>
          </w:tcPr>
          <w:p w14:paraId="0D3C86AB"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 xml:space="preserve">Hormayr, 2: 65–6 (no. 2) </w:t>
            </w:r>
          </w:p>
        </w:tc>
      </w:tr>
      <w:tr w:rsidR="007C08D9" w:rsidRPr="00CA2A05" w14:paraId="02531695" w14:textId="77777777" w:rsidTr="00BB6751">
        <w:tc>
          <w:tcPr>
            <w:tcW w:w="730" w:type="dxa"/>
          </w:tcPr>
          <w:p w14:paraId="3919969F"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6v–7r</w:t>
            </w:r>
          </w:p>
        </w:tc>
        <w:tc>
          <w:tcPr>
            <w:tcW w:w="4935" w:type="dxa"/>
          </w:tcPr>
          <w:p w14:paraId="25B42130"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7</w:t>
            </w:r>
          </w:p>
          <w:p w14:paraId="0A69F69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BT</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EB</w:t>
            </w:r>
            <w:r w:rsidRPr="00CA2A05">
              <w:rPr>
                <w:rFonts w:ascii="Times New Roman" w:hAnsi="Times New Roman" w:cs="Times New Roman"/>
                <w:sz w:val="20"/>
                <w:szCs w:val="20"/>
              </w:rPr>
              <w:t xml:space="preserve"> and </w:t>
            </w:r>
            <w:r w:rsidRPr="00CA2A05">
              <w:rPr>
                <w:rFonts w:ascii="Times New Roman" w:hAnsi="Times New Roman" w:cs="Times New Roman"/>
                <w:b/>
                <w:bCs/>
                <w:sz w:val="20"/>
                <w:szCs w:val="20"/>
              </w:rPr>
              <w:t>monks of Novacella Abbey</w:t>
            </w:r>
            <w:r w:rsidRPr="00CA2A05">
              <w:rPr>
                <w:rFonts w:ascii="Times New Roman" w:hAnsi="Times New Roman" w:cs="Times New Roman"/>
                <w:sz w:val="20"/>
                <w:szCs w:val="20"/>
              </w:rPr>
              <w:t xml:space="preserve"> (Brixen) </w:t>
            </w:r>
          </w:p>
          <w:p w14:paraId="1E25FBFD"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Undated</w:t>
            </w:r>
          </w:p>
        </w:tc>
        <w:tc>
          <w:tcPr>
            <w:tcW w:w="993" w:type="dxa"/>
          </w:tcPr>
          <w:p w14:paraId="3240D96D"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3209</w:t>
            </w:r>
          </w:p>
        </w:tc>
        <w:tc>
          <w:tcPr>
            <w:tcW w:w="1831" w:type="dxa"/>
          </w:tcPr>
          <w:p w14:paraId="7CE1ED21"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Hormayr, 2: 70 (no. 8)</w:t>
            </w:r>
          </w:p>
        </w:tc>
      </w:tr>
      <w:tr w:rsidR="007C08D9" w:rsidRPr="00CA2A05" w14:paraId="1BFFA9EB" w14:textId="77777777" w:rsidTr="00BB6751">
        <w:tc>
          <w:tcPr>
            <w:tcW w:w="730" w:type="dxa"/>
          </w:tcPr>
          <w:p w14:paraId="489614E4"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7r</w:t>
            </w:r>
          </w:p>
        </w:tc>
        <w:tc>
          <w:tcPr>
            <w:tcW w:w="4935" w:type="dxa"/>
          </w:tcPr>
          <w:p w14:paraId="40AC429A"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8</w:t>
            </w:r>
          </w:p>
          <w:p w14:paraId="2B83DB46"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 xml:space="preserve">FA </w:t>
            </w:r>
            <w:r w:rsidRPr="00CA2A05">
              <w:rPr>
                <w:rFonts w:ascii="Times New Roman" w:hAnsi="Times New Roman" w:cs="Times New Roman"/>
                <w:sz w:val="20"/>
                <w:szCs w:val="20"/>
              </w:rPr>
              <w:t>to</w:t>
            </w:r>
            <w:r w:rsidRPr="00CA2A05">
              <w:rPr>
                <w:rFonts w:ascii="Times New Roman" w:hAnsi="Times New Roman" w:cs="Times New Roman"/>
                <w:b/>
                <w:bCs/>
                <w:sz w:val="20"/>
                <w:szCs w:val="20"/>
              </w:rPr>
              <w:t xml:space="preserve"> HK</w:t>
            </w:r>
            <w:r w:rsidRPr="00CA2A05">
              <w:rPr>
                <w:rFonts w:ascii="Times New Roman" w:hAnsi="Times New Roman" w:cs="Times New Roman"/>
                <w:sz w:val="20"/>
                <w:szCs w:val="20"/>
              </w:rPr>
              <w:t xml:space="preserve"> </w:t>
            </w:r>
          </w:p>
          <w:p w14:paraId="7C7FD14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22 June 1241</w:t>
            </w:r>
          </w:p>
        </w:tc>
        <w:tc>
          <w:tcPr>
            <w:tcW w:w="993" w:type="dxa"/>
          </w:tcPr>
          <w:p w14:paraId="4E8CDAF3"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11338</w:t>
            </w:r>
          </w:p>
        </w:tc>
        <w:tc>
          <w:tcPr>
            <w:tcW w:w="1831" w:type="dxa"/>
          </w:tcPr>
          <w:p w14:paraId="0CB878D1"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Hormayr, 2: 70 (no. 9)</w:t>
            </w:r>
          </w:p>
        </w:tc>
      </w:tr>
      <w:tr w:rsidR="007C08D9" w:rsidRPr="00CA2A05" w14:paraId="3480FE38" w14:textId="77777777" w:rsidTr="00BB6751">
        <w:tc>
          <w:tcPr>
            <w:tcW w:w="730" w:type="dxa"/>
          </w:tcPr>
          <w:p w14:paraId="3A26547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7r–v</w:t>
            </w:r>
          </w:p>
        </w:tc>
        <w:tc>
          <w:tcPr>
            <w:tcW w:w="4935" w:type="dxa"/>
          </w:tcPr>
          <w:p w14:paraId="6B84417C" w14:textId="77777777" w:rsidR="007C08D9" w:rsidRPr="00CA2A05" w:rsidRDefault="007C08D9" w:rsidP="00BB6751">
            <w:pPr>
              <w:spacing w:line="240" w:lineRule="auto"/>
              <w:rPr>
                <w:rFonts w:ascii="Times New Roman" w:hAnsi="Times New Roman" w:cs="Times New Roman"/>
                <w:b/>
                <w:bCs/>
                <w:sz w:val="20"/>
                <w:szCs w:val="20"/>
              </w:rPr>
            </w:pPr>
            <w:r w:rsidRPr="00CA2A05">
              <w:rPr>
                <w:rFonts w:ascii="Times New Roman" w:hAnsi="Times New Roman" w:cs="Times New Roman"/>
                <w:b/>
                <w:bCs/>
                <w:sz w:val="20"/>
                <w:szCs w:val="20"/>
              </w:rPr>
              <w:t>Letter 9</w:t>
            </w:r>
          </w:p>
          <w:p w14:paraId="4BD11879"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CF</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HK</w:t>
            </w:r>
          </w:p>
          <w:p w14:paraId="2FA4BF7C"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Undated</w:t>
            </w:r>
          </w:p>
        </w:tc>
        <w:tc>
          <w:tcPr>
            <w:tcW w:w="993" w:type="dxa"/>
          </w:tcPr>
          <w:p w14:paraId="5E52D69B"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11337</w:t>
            </w:r>
          </w:p>
        </w:tc>
        <w:tc>
          <w:tcPr>
            <w:tcW w:w="1831" w:type="dxa"/>
          </w:tcPr>
          <w:p w14:paraId="2AFFDAF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Hormayr, 2: 70 (no. 10)</w:t>
            </w:r>
          </w:p>
        </w:tc>
      </w:tr>
      <w:tr w:rsidR="007C08D9" w:rsidRPr="00CA2A05" w14:paraId="33468112" w14:textId="77777777" w:rsidTr="00BB6751">
        <w:tc>
          <w:tcPr>
            <w:tcW w:w="730" w:type="dxa"/>
          </w:tcPr>
          <w:p w14:paraId="53A569CF"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7v</w:t>
            </w:r>
          </w:p>
        </w:tc>
        <w:tc>
          <w:tcPr>
            <w:tcW w:w="4935" w:type="dxa"/>
          </w:tcPr>
          <w:p w14:paraId="0BD8FE46" w14:textId="77777777" w:rsidR="007C08D9" w:rsidRPr="00CA2A05" w:rsidRDefault="007C08D9" w:rsidP="00BB6751">
            <w:pPr>
              <w:spacing w:line="240" w:lineRule="auto"/>
              <w:rPr>
                <w:rFonts w:ascii="Times New Roman" w:hAnsi="Times New Roman" w:cs="Times New Roman"/>
                <w:b/>
                <w:sz w:val="20"/>
                <w:szCs w:val="20"/>
              </w:rPr>
            </w:pPr>
            <w:r w:rsidRPr="00CA2A05">
              <w:rPr>
                <w:rFonts w:ascii="Times New Roman" w:hAnsi="Times New Roman" w:cs="Times New Roman"/>
                <w:b/>
                <w:sz w:val="20"/>
                <w:szCs w:val="20"/>
              </w:rPr>
              <w:t>Letter 10</w:t>
            </w:r>
          </w:p>
          <w:p w14:paraId="1E9F6F44"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b/>
                <w:bCs/>
                <w:sz w:val="20"/>
                <w:szCs w:val="20"/>
              </w:rPr>
              <w:t>OB</w:t>
            </w:r>
            <w:r w:rsidRPr="00CA2A05">
              <w:rPr>
                <w:rFonts w:ascii="Times New Roman" w:hAnsi="Times New Roman" w:cs="Times New Roman"/>
                <w:sz w:val="20"/>
                <w:szCs w:val="20"/>
              </w:rPr>
              <w:t xml:space="preserve"> to </w:t>
            </w:r>
            <w:r w:rsidRPr="00CA2A05">
              <w:rPr>
                <w:rFonts w:ascii="Times New Roman" w:hAnsi="Times New Roman" w:cs="Times New Roman"/>
                <w:b/>
                <w:bCs/>
                <w:sz w:val="20"/>
                <w:szCs w:val="20"/>
              </w:rPr>
              <w:t>SA</w:t>
            </w:r>
          </w:p>
          <w:p w14:paraId="657C4124"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 April 1241</w:t>
            </w:r>
          </w:p>
          <w:p w14:paraId="6ADC002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Letter includes postscript recounting copying of letter</w:t>
            </w:r>
          </w:p>
        </w:tc>
        <w:tc>
          <w:tcPr>
            <w:tcW w:w="993" w:type="dxa"/>
          </w:tcPr>
          <w:p w14:paraId="14FFD974"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11325</w:t>
            </w:r>
          </w:p>
        </w:tc>
        <w:tc>
          <w:tcPr>
            <w:tcW w:w="1831" w:type="dxa"/>
          </w:tcPr>
          <w:p w14:paraId="3645EA9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Hormayr, 2: 70–1 (no. 11)</w:t>
            </w:r>
          </w:p>
        </w:tc>
      </w:tr>
      <w:tr w:rsidR="007C08D9" w:rsidRPr="00CA2A05" w14:paraId="7E132E5D" w14:textId="77777777" w:rsidTr="00BB6751">
        <w:tc>
          <w:tcPr>
            <w:tcW w:w="730" w:type="dxa"/>
          </w:tcPr>
          <w:p w14:paraId="32D268E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8r–v</w:t>
            </w:r>
          </w:p>
        </w:tc>
        <w:tc>
          <w:tcPr>
            <w:tcW w:w="4935" w:type="dxa"/>
          </w:tcPr>
          <w:p w14:paraId="4D1040B0" w14:textId="77777777" w:rsidR="007C08D9" w:rsidRPr="00CA2A05" w:rsidRDefault="007C08D9" w:rsidP="00BB6751">
            <w:pPr>
              <w:spacing w:line="240" w:lineRule="auto"/>
              <w:rPr>
                <w:rFonts w:ascii="Times New Roman" w:hAnsi="Times New Roman" w:cs="Times New Roman"/>
                <w:b/>
                <w:sz w:val="20"/>
                <w:szCs w:val="20"/>
              </w:rPr>
            </w:pPr>
            <w:r w:rsidRPr="00CA2A05">
              <w:rPr>
                <w:rFonts w:ascii="Times New Roman" w:hAnsi="Times New Roman" w:cs="Times New Roman"/>
                <w:b/>
                <w:sz w:val="20"/>
                <w:szCs w:val="20"/>
              </w:rPr>
              <w:t>Prophecy 2</w:t>
            </w:r>
          </w:p>
          <w:p w14:paraId="038E6BB2" w14:textId="77777777" w:rsidR="007C08D9" w:rsidRPr="00CA2A05" w:rsidRDefault="007C08D9" w:rsidP="00BB6751">
            <w:pPr>
              <w:spacing w:line="240" w:lineRule="auto"/>
              <w:rPr>
                <w:rFonts w:ascii="Times New Roman" w:hAnsi="Times New Roman" w:cs="Times New Roman"/>
                <w:bCs/>
                <w:sz w:val="20"/>
                <w:szCs w:val="20"/>
              </w:rPr>
            </w:pPr>
            <w:r w:rsidRPr="00CA2A05">
              <w:rPr>
                <w:rFonts w:ascii="Times New Roman" w:hAnsi="Times New Roman" w:cs="Times New Roman"/>
                <w:bCs/>
                <w:sz w:val="20"/>
                <w:szCs w:val="20"/>
              </w:rPr>
              <w:t>Alexandrian-Aristotelian Dialogue</w:t>
            </w:r>
          </w:p>
        </w:tc>
        <w:tc>
          <w:tcPr>
            <w:tcW w:w="993" w:type="dxa"/>
          </w:tcPr>
          <w:p w14:paraId="09C63148"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w:t>
            </w:r>
          </w:p>
        </w:tc>
        <w:tc>
          <w:tcPr>
            <w:tcW w:w="1831" w:type="dxa"/>
          </w:tcPr>
          <w:p w14:paraId="135D51AE" w14:textId="77777777" w:rsidR="007C08D9" w:rsidRPr="00CA2A05" w:rsidRDefault="007C08D9" w:rsidP="00BB6751">
            <w:pPr>
              <w:spacing w:line="240" w:lineRule="auto"/>
              <w:rPr>
                <w:rFonts w:ascii="Times New Roman" w:hAnsi="Times New Roman" w:cs="Times New Roman"/>
                <w:sz w:val="20"/>
                <w:szCs w:val="20"/>
              </w:rPr>
            </w:pPr>
            <w:r w:rsidRPr="00CA2A05">
              <w:rPr>
                <w:rFonts w:ascii="Times New Roman" w:hAnsi="Times New Roman" w:cs="Times New Roman"/>
                <w:sz w:val="20"/>
                <w:szCs w:val="20"/>
              </w:rPr>
              <w:t>–</w:t>
            </w:r>
          </w:p>
        </w:tc>
      </w:tr>
    </w:tbl>
    <w:p w14:paraId="40E6A1CB" w14:textId="77777777" w:rsidR="007C08D9" w:rsidRPr="00CA2A05" w:rsidRDefault="007C08D9" w:rsidP="00021085"/>
    <w:p w14:paraId="6AD9B3E6" w14:textId="77777777" w:rsidR="007C08D9" w:rsidRPr="00CA2A05" w:rsidRDefault="007C08D9" w:rsidP="00021085">
      <w:pPr>
        <w:sectPr w:rsidR="007C08D9" w:rsidRPr="00CA2A05" w:rsidSect="00074B81">
          <w:endnotePr>
            <w:numFmt w:val="decimal"/>
          </w:endnotePr>
          <w:pgSz w:w="11901" w:h="16840" w:code="9"/>
          <w:pgMar w:top="1418" w:right="1701" w:bottom="1418" w:left="1701" w:header="709" w:footer="709" w:gutter="0"/>
          <w:cols w:space="708"/>
          <w:docGrid w:linePitch="360"/>
        </w:sectPr>
      </w:pPr>
    </w:p>
    <w:p w14:paraId="3CD75F83" w14:textId="77777777" w:rsidR="007C08D9" w:rsidRPr="00CA2A05" w:rsidRDefault="007C08D9" w:rsidP="00021085">
      <w:pPr>
        <w:pStyle w:val="Heading1"/>
      </w:pPr>
      <w:r w:rsidRPr="00CA2A05">
        <w:lastRenderedPageBreak/>
        <w:t>Figure Captions</w:t>
      </w:r>
    </w:p>
    <w:p w14:paraId="2D78003B" w14:textId="5DE8037D" w:rsidR="007C08D9" w:rsidRPr="00CA2A05" w:rsidRDefault="007C08D9" w:rsidP="00021085">
      <w:pPr>
        <w:pStyle w:val="Figurecaption"/>
      </w:pPr>
      <w:r w:rsidRPr="00CA2A05">
        <w:t xml:space="preserve">Figure 1. Network graph showing transmission of letters in the Ottobeuren collection. Made using </w:t>
      </w:r>
      <w:r w:rsidRPr="00CA2A05">
        <w:rPr>
          <w:i/>
          <w:iCs/>
        </w:rPr>
        <w:t>Gephi</w:t>
      </w:r>
      <w:r w:rsidRPr="00CA2A05">
        <w:t xml:space="preserve"> and Fruchterman-Reingold algorithm.</w:t>
      </w:r>
      <w:r w:rsidR="00A97286" w:rsidRPr="00CA2A05">
        <w:rPr>
          <w:rStyle w:val="FootnoteReference"/>
        </w:rPr>
        <w:footnoteReference w:id="1"/>
      </w:r>
      <w:r w:rsidRPr="00CA2A05">
        <w:t xml:space="preserve"> Abbreviations are given in appendix 2. Source: appendix 1.</w:t>
      </w:r>
    </w:p>
    <w:p w14:paraId="6FAD9087" w14:textId="57396FBD" w:rsidR="00021085" w:rsidRPr="0009026E" w:rsidRDefault="007C08D9" w:rsidP="00021085">
      <w:pPr>
        <w:pStyle w:val="Figurecaption"/>
        <w:rPr>
          <w:i/>
          <w:iCs/>
        </w:rPr>
      </w:pPr>
      <w:r w:rsidRPr="00CA2A05">
        <w:t xml:space="preserve">Figure </w:t>
      </w:r>
      <w:r w:rsidR="00CD7148" w:rsidRPr="00CA2A05">
        <w:t>2</w:t>
      </w:r>
      <w:r w:rsidRPr="00CA2A05">
        <w:t>. Network graph showing transmission of information on the Mongols, c</w:t>
      </w:r>
      <w:r w:rsidR="00930843" w:rsidRPr="00CA2A05">
        <w:t>a</w:t>
      </w:r>
      <w:r w:rsidRPr="00CA2A05">
        <w:t xml:space="preserve">. March–July 1241. Node size corresponds to weighted average degree. Shaded nodes represent actors referenced in figure 1 (Ottobeuren </w:t>
      </w:r>
      <w:r w:rsidR="005A3541" w:rsidRPr="00CA2A05">
        <w:t>A</w:t>
      </w:r>
      <w:r w:rsidRPr="00CA2A05">
        <w:t xml:space="preserve">bbey not shown). Black edges represent preserved letters; grey edges represent lost letters alluded to by either a sender or recipient (1.0 weight) or by third-party evidence (0.5 weight). Made using </w:t>
      </w:r>
      <w:r w:rsidRPr="00CA2A05">
        <w:rPr>
          <w:i/>
          <w:iCs/>
        </w:rPr>
        <w:t>Gephi</w:t>
      </w:r>
      <w:r w:rsidRPr="00CA2A05">
        <w:t xml:space="preserve"> and </w:t>
      </w:r>
      <w:r w:rsidRPr="00CA2A05">
        <w:rPr>
          <w:i/>
          <w:iCs/>
        </w:rPr>
        <w:t>ForceAtlas 2</w:t>
      </w:r>
      <w:r w:rsidRPr="00CA2A05">
        <w:t xml:space="preserve"> algorithm.</w:t>
      </w:r>
      <w:r w:rsidR="00A97286" w:rsidRPr="00CA2A05">
        <w:rPr>
          <w:rStyle w:val="FootnoteReference"/>
        </w:rPr>
        <w:footnoteReference w:id="2"/>
      </w:r>
      <w:r w:rsidRPr="00CA2A05">
        <w:t xml:space="preserve"> </w:t>
      </w:r>
      <w:r w:rsidR="00021085" w:rsidRPr="00CA2A05">
        <w:t>Source: Matthew Coulter, ‘</w:t>
      </w:r>
      <w:r w:rsidR="00021085" w:rsidRPr="00CA2A05">
        <w:rPr>
          <w:lang w:val="en-US"/>
        </w:rPr>
        <w:t xml:space="preserve">Research Data supporting “Patterns of Communication during the 1241 Mongol Invasion of Europe: Insights from the Ottobeuren Letter Collection”’, Apollo ([dataset]; accessed </w:t>
      </w:r>
      <w:r w:rsidR="000C624D" w:rsidRPr="00CA2A05">
        <w:rPr>
          <w:lang w:val="en-US"/>
        </w:rPr>
        <w:t>24</w:t>
      </w:r>
      <w:r w:rsidR="00C86EA5" w:rsidRPr="00CA2A05">
        <w:rPr>
          <w:lang w:val="en-US"/>
        </w:rPr>
        <w:t xml:space="preserve"> March,</w:t>
      </w:r>
      <w:r w:rsidR="00021085" w:rsidRPr="00CA2A05">
        <w:rPr>
          <w:lang w:val="en-US"/>
        </w:rPr>
        <w:t xml:space="preserve"> 202</w:t>
      </w:r>
      <w:r w:rsidR="00C86EA5" w:rsidRPr="00CA2A05">
        <w:rPr>
          <w:lang w:val="en-US"/>
        </w:rPr>
        <w:t>1</w:t>
      </w:r>
      <w:r w:rsidR="00021085" w:rsidRPr="00CA2A05">
        <w:rPr>
          <w:lang w:val="en-US"/>
        </w:rPr>
        <w:t xml:space="preserve">), </w:t>
      </w:r>
      <w:hyperlink r:id="rId12" w:history="1">
        <w:r w:rsidR="00021085" w:rsidRPr="00CA2A05">
          <w:rPr>
            <w:rStyle w:val="Hyperlink"/>
            <w:lang w:val="en-US"/>
          </w:rPr>
          <w:t>https://doi.org/10.17863/CAM.61487</w:t>
        </w:r>
      </w:hyperlink>
      <w:r w:rsidR="00021085" w:rsidRPr="00CA2A05">
        <w:rPr>
          <w:lang w:val="en-US"/>
        </w:rPr>
        <w:t>.</w:t>
      </w:r>
    </w:p>
    <w:p w14:paraId="4DCE6237" w14:textId="358C2568" w:rsidR="00FE4713" w:rsidRDefault="00FE4713" w:rsidP="0080308E">
      <w:pPr>
        <w:pStyle w:val="Figurecaption"/>
      </w:pPr>
    </w:p>
    <w:sectPr w:rsidR="00FE4713" w:rsidSect="00074B81">
      <w:headerReference w:type="even" r:id="rId13"/>
      <w:headerReference w:type="default" r:id="rId14"/>
      <w:footerReference w:type="even" r:id="rId15"/>
      <w:footerReference w:type="default" r:id="rId16"/>
      <w:headerReference w:type="first" r:id="rId17"/>
      <w:footerReference w:type="first" r:id="rId18"/>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75226" w14:textId="77777777" w:rsidR="00B244F2" w:rsidRPr="00C52F42" w:rsidRDefault="00B244F2" w:rsidP="00C52F42">
      <w:pPr>
        <w:pStyle w:val="Footer"/>
      </w:pPr>
    </w:p>
  </w:endnote>
  <w:endnote w:type="continuationSeparator" w:id="0">
    <w:p w14:paraId="3B165718" w14:textId="77777777" w:rsidR="00B244F2" w:rsidRPr="002C386A" w:rsidRDefault="00B244F2" w:rsidP="002C386A">
      <w:pPr>
        <w:pStyle w:val="Footer"/>
      </w:pPr>
    </w:p>
  </w:endnote>
  <w:endnote w:type="continuationNotice" w:id="1">
    <w:p w14:paraId="2B7CA7C1" w14:textId="77777777" w:rsidR="00B244F2" w:rsidRDefault="00B244F2">
      <w:pPr>
        <w:spacing w:line="240" w:lineRule="auto"/>
      </w:pPr>
    </w:p>
  </w:endnote>
  <w:endnote w:id="2">
    <w:p w14:paraId="28EED85C" w14:textId="0DC40CDC" w:rsidR="003A1E8B" w:rsidRPr="003B7029" w:rsidRDefault="003A1E8B" w:rsidP="00021085">
      <w:pPr>
        <w:pStyle w:val="Footnotes"/>
      </w:pPr>
      <w:r w:rsidRPr="003B7029">
        <w:rPr>
          <w:rStyle w:val="EndnoteReference"/>
        </w:rPr>
        <w:endnoteRef/>
      </w:r>
      <w:r w:rsidRPr="003B7029">
        <w:t xml:space="preserve"> In this article the following abbreviations are used: </w:t>
      </w:r>
      <w:r w:rsidRPr="003B7029">
        <w:rPr>
          <w:i/>
          <w:iCs/>
        </w:rPr>
        <w:t>BFW</w:t>
      </w:r>
      <w:r w:rsidRPr="003B7029">
        <w:t xml:space="preserve"> – Johann Friedrich Böhmer et al., eds., </w:t>
      </w:r>
      <w:r w:rsidRPr="003B7029">
        <w:rPr>
          <w:i/>
          <w:iCs/>
        </w:rPr>
        <w:t>Regesta Imperii V: Jüngere Staufer 1198–1272. Die Regesten des Kaiserreichs unter Philipp, Otto IV, Friedrich II, Heinrich (VII), Conrad IV, Heinrich Raspe, Wilhelm und Richard</w:t>
      </w:r>
      <w:r w:rsidRPr="003B7029">
        <w:t xml:space="preserve">, 4 vols, Regesta Imperii 5, 1881–1983; </w:t>
      </w:r>
      <w:r w:rsidRPr="003B7029">
        <w:rPr>
          <w:i/>
          <w:iCs/>
        </w:rPr>
        <w:t>BUB</w:t>
      </w:r>
      <w:r w:rsidRPr="003B7029">
        <w:t xml:space="preserve"> – Oskar von Mitis et al., eds., </w:t>
      </w:r>
      <w:r w:rsidRPr="003B7029">
        <w:rPr>
          <w:i/>
          <w:iCs/>
        </w:rPr>
        <w:t>Urkundenbuch zur Geschichte der Babenberger in Österreich</w:t>
      </w:r>
      <w:r w:rsidRPr="003B7029">
        <w:t xml:space="preserve">, 4 vols, Publikationen des Instituts für Österreichische Geschichtsforschung (Vienna, 1950–97); </w:t>
      </w:r>
      <w:r w:rsidRPr="003B7029">
        <w:rPr>
          <w:i/>
          <w:iCs/>
        </w:rPr>
        <w:t>CDH</w:t>
      </w:r>
      <w:r w:rsidRPr="003B7029">
        <w:t xml:space="preserve"> – György Fejér, ed., </w:t>
      </w:r>
      <w:r w:rsidRPr="003B7029">
        <w:rPr>
          <w:i/>
          <w:iCs/>
        </w:rPr>
        <w:t>Codex diplomaticus Hungariae, ecclesiasticus ac civilis</w:t>
      </w:r>
      <w:r w:rsidRPr="003B7029">
        <w:t xml:space="preserve">, 45 vols (Buda, 1829–66); </w:t>
      </w:r>
      <w:r w:rsidRPr="003B7029">
        <w:rPr>
          <w:i/>
          <w:iCs/>
        </w:rPr>
        <w:t>CM</w:t>
      </w:r>
      <w:r w:rsidRPr="003B7029">
        <w:t xml:space="preserve"> – Matthew Paris, </w:t>
      </w:r>
      <w:r w:rsidRPr="003B7029">
        <w:rPr>
          <w:i/>
          <w:iCs/>
        </w:rPr>
        <w:t>Chronica majora</w:t>
      </w:r>
      <w:r w:rsidRPr="003B7029">
        <w:t xml:space="preserve">, ed. Henry Richards Luard, 7 vols, Rolls Series 57 (London, 1872–83); Hormayr – Joseph von Hormayr, ed., </w:t>
      </w:r>
      <w:r w:rsidRPr="003B7029">
        <w:rPr>
          <w:i/>
          <w:iCs/>
        </w:rPr>
        <w:t>Die goldene Chronik von Hohenschwangau, der Burg der Welfen, der Hohenstauffen und der Scheyren</w:t>
      </w:r>
      <w:r w:rsidRPr="003B7029">
        <w:t xml:space="preserve">, 2 vols (Munich: Franz, 1842); </w:t>
      </w:r>
      <w:r w:rsidRPr="003B7029">
        <w:rPr>
          <w:i/>
          <w:iCs/>
        </w:rPr>
        <w:t>MGH Const.</w:t>
      </w:r>
      <w:r w:rsidRPr="003B7029">
        <w:t xml:space="preserve"> – </w:t>
      </w:r>
      <w:r w:rsidRPr="003B7029">
        <w:rPr>
          <w:i/>
          <w:iCs/>
        </w:rPr>
        <w:t>Monumenta Germaniae Historica Constitutiones et acta publica imperatorum et regnum</w:t>
      </w:r>
      <w:r w:rsidRPr="003B7029">
        <w:t xml:space="preserve">, 13 vols (Hannover, 1893–2013); </w:t>
      </w:r>
      <w:r w:rsidRPr="003B7029">
        <w:rPr>
          <w:i/>
          <w:iCs/>
        </w:rPr>
        <w:t>MGH Epp. saec. XIII</w:t>
      </w:r>
      <w:r w:rsidRPr="003B7029">
        <w:t xml:space="preserve"> – Karl Rodenberg and Georg Heinrich Pertz, eds., </w:t>
      </w:r>
      <w:r w:rsidRPr="003B7029">
        <w:rPr>
          <w:i/>
          <w:iCs/>
        </w:rPr>
        <w:t>Monumenta Germaniae Historica Epistolae saeculi XIII e regestis pontificum Romanorum selectae</w:t>
      </w:r>
      <w:r w:rsidRPr="003B7029">
        <w:t xml:space="preserve">, 3 vols (Berlin, 1883–94); </w:t>
      </w:r>
      <w:r w:rsidRPr="003B7029">
        <w:rPr>
          <w:i/>
          <w:iCs/>
        </w:rPr>
        <w:t>MGH SS</w:t>
      </w:r>
      <w:r w:rsidRPr="003B7029">
        <w:t xml:space="preserve"> – </w:t>
      </w:r>
      <w:r w:rsidRPr="003B7029">
        <w:rPr>
          <w:i/>
          <w:iCs/>
        </w:rPr>
        <w:t>Monumenta Germaniae Historica Scriptores (in folio)</w:t>
      </w:r>
      <w:r w:rsidRPr="003B7029">
        <w:t xml:space="preserve">; </w:t>
      </w:r>
      <w:r w:rsidRPr="003B7029">
        <w:rPr>
          <w:i/>
          <w:iCs/>
        </w:rPr>
        <w:t xml:space="preserve">PV – </w:t>
      </w:r>
      <w:r w:rsidRPr="003B7029">
        <w:t>Edoardo D’Angelo et al., eds.</w:t>
      </w:r>
      <w:r w:rsidR="00EA17C7" w:rsidRPr="003B7029">
        <w:t xml:space="preserve"> and trans.</w:t>
      </w:r>
      <w:r w:rsidRPr="003B7029">
        <w:t xml:space="preserve">, </w:t>
      </w:r>
      <w:r w:rsidRPr="003B7029">
        <w:rPr>
          <w:i/>
          <w:iCs/>
        </w:rPr>
        <w:t>L’epistolario di Pier della Vigna</w:t>
      </w:r>
      <w:r w:rsidRPr="003B7029">
        <w:t xml:space="preserve"> (Soveria Mannelli: Rubbettino Editore, 2014); </w:t>
      </w:r>
      <w:r w:rsidRPr="003B7029">
        <w:rPr>
          <w:i/>
          <w:iCs/>
        </w:rPr>
        <w:t>TUB</w:t>
      </w:r>
      <w:r w:rsidRPr="003B7029">
        <w:t xml:space="preserve"> – Franz Huter, ed., </w:t>
      </w:r>
      <w:r w:rsidRPr="003B7029">
        <w:rPr>
          <w:i/>
          <w:iCs/>
        </w:rPr>
        <w:t>Tiroler Urkundenbuch, I. Abteilung: Die Urkunden zur Geschichte des deutschen Etschlandes und des Vintschgaus</w:t>
      </w:r>
      <w:r w:rsidRPr="003B7029">
        <w:t xml:space="preserve">, 3 vols (Innsbruck: Universitätsverlag Wagner, 1937–57); ULBT – Innsbruck, Universitäts- und Landesbibliothek Tirol; </w:t>
      </w:r>
      <w:r w:rsidRPr="003B7029">
        <w:rPr>
          <w:i/>
          <w:iCs/>
        </w:rPr>
        <w:t>WUB Online</w:t>
      </w:r>
      <w:r w:rsidRPr="003B7029">
        <w:t xml:space="preserve"> – </w:t>
      </w:r>
      <w:r w:rsidR="00476C2D" w:rsidRPr="003B7029">
        <w:t>Landesarchiv Baden-Württemberg</w:t>
      </w:r>
      <w:r w:rsidR="00476C2D" w:rsidRPr="003B7029">
        <w:rPr>
          <w:i/>
          <w:iCs/>
        </w:rPr>
        <w:t>,</w:t>
      </w:r>
      <w:r w:rsidR="00476C2D" w:rsidRPr="003B7029">
        <w:t xml:space="preserve"> ed., </w:t>
      </w:r>
      <w:r w:rsidR="00476C2D" w:rsidRPr="003B7029">
        <w:rPr>
          <w:i/>
          <w:iCs/>
        </w:rPr>
        <w:t>W</w:t>
      </w:r>
      <w:r w:rsidRPr="003B7029">
        <w:rPr>
          <w:i/>
          <w:iCs/>
        </w:rPr>
        <w:t>ürttembergisches Urkundenbuch</w:t>
      </w:r>
      <w:r w:rsidRPr="003B7029">
        <w:t xml:space="preserve">, </w:t>
      </w:r>
      <w:r w:rsidR="000B0023" w:rsidRPr="003B7029">
        <w:t>o</w:t>
      </w:r>
      <w:r w:rsidRPr="003B7029">
        <w:t xml:space="preserve">nline ed., 12 vols, 2008, </w:t>
      </w:r>
      <w:hyperlink r:id="rId1" w:history="1">
        <w:r w:rsidRPr="003B7029">
          <w:rPr>
            <w:rStyle w:val="Hyperlink"/>
          </w:rPr>
          <w:t>https://www.wubonline.de/</w:t>
        </w:r>
      </w:hyperlink>
      <w:r w:rsidRPr="003B7029">
        <w:t xml:space="preserve"> (accessed </w:t>
      </w:r>
      <w:r w:rsidR="00DF5145" w:rsidRPr="003B7029">
        <w:t>24</w:t>
      </w:r>
      <w:r w:rsidR="0083414F" w:rsidRPr="003B7029">
        <w:t xml:space="preserve"> March</w:t>
      </w:r>
      <w:r w:rsidRPr="003B7029">
        <w:t>, 202</w:t>
      </w:r>
      <w:r w:rsidR="0083414F" w:rsidRPr="003B7029">
        <w:t>1</w:t>
      </w:r>
      <w:r w:rsidRPr="003B7029">
        <w:t xml:space="preserve">). References to </w:t>
      </w:r>
      <w:r w:rsidR="00FF5147" w:rsidRPr="003B7029">
        <w:t>individual items in</w:t>
      </w:r>
      <w:r w:rsidRPr="003B7029">
        <w:t xml:space="preserve"> </w:t>
      </w:r>
      <w:r w:rsidR="00027160" w:rsidRPr="003B7029">
        <w:t xml:space="preserve">the </w:t>
      </w:r>
      <w:r w:rsidRPr="003B7029">
        <w:t>Ottobeuren collection correspond to the table of contents in appendix 1.</w:t>
      </w:r>
    </w:p>
  </w:endnote>
  <w:endnote w:id="3">
    <w:p w14:paraId="6DEEFEC9" w14:textId="2554C6D9" w:rsidR="003A1E8B" w:rsidRPr="003B7029" w:rsidRDefault="003A1E8B" w:rsidP="009F30F3">
      <w:pPr>
        <w:pStyle w:val="Footnotes"/>
      </w:pPr>
      <w:r w:rsidRPr="003B7029">
        <w:rPr>
          <w:rStyle w:val="EndnoteReference"/>
        </w:rPr>
        <w:endnoteRef/>
      </w:r>
      <w:r w:rsidRPr="003B7029">
        <w:t xml:space="preserve"> ULBT Cod. 187, 1v–8v. For the manuscript description, see Walter Neuhauser, </w:t>
      </w:r>
      <w:r w:rsidRPr="003B7029">
        <w:rPr>
          <w:i/>
          <w:iCs/>
        </w:rPr>
        <w:t>Katalog der Handschriften der Universitätsbibliothek Innsbruck</w:t>
      </w:r>
      <w:r w:rsidRPr="003B7029">
        <w:t>, vol. 2, 10 vols, Veröffentlichungen der Kommission für Schrift- und Buchwesen des Mittelalters II 4 (Vienna: Österreichische Akademie der Wissenschaften, 1991), 174–7</w:t>
      </w:r>
      <w:r w:rsidR="00E779F4" w:rsidRPr="003B7029">
        <w:t xml:space="preserve">, </w:t>
      </w:r>
      <w:hyperlink r:id="rId2" w:history="1">
        <w:r w:rsidR="00E779F4" w:rsidRPr="003B7029">
          <w:rPr>
            <w:rStyle w:val="Hyperlink"/>
          </w:rPr>
          <w:t>https://manuscripta.at/_scripts/php/cat2pdf.php?cat=INN2&amp;ID=7768</w:t>
        </w:r>
      </w:hyperlink>
      <w:r w:rsidR="00E779F4" w:rsidRPr="003B7029">
        <w:t xml:space="preserve"> (accessed </w:t>
      </w:r>
      <w:r w:rsidR="003339F4" w:rsidRPr="003B7029">
        <w:t>24</w:t>
      </w:r>
      <w:r w:rsidR="00E779F4" w:rsidRPr="003B7029">
        <w:t xml:space="preserve"> March, 2021)</w:t>
      </w:r>
      <w:r w:rsidRPr="003B7029">
        <w:t>.</w:t>
      </w:r>
    </w:p>
  </w:endnote>
  <w:endnote w:id="4">
    <w:p w14:paraId="04B15C29" w14:textId="77777777" w:rsidR="003A1E8B" w:rsidRPr="003B7029" w:rsidRDefault="003A1E8B" w:rsidP="00021085">
      <w:pPr>
        <w:pStyle w:val="Footnotes"/>
      </w:pPr>
      <w:r w:rsidRPr="003B7029">
        <w:rPr>
          <w:rStyle w:val="EndnoteReference"/>
        </w:rPr>
        <w:endnoteRef/>
      </w:r>
      <w:r w:rsidRPr="003B7029">
        <w:t xml:space="preserve"> Peter Jackson, ‘The Crusade against the Mongols (1241)’, </w:t>
      </w:r>
      <w:r w:rsidRPr="003B7029">
        <w:rPr>
          <w:i/>
          <w:iCs/>
        </w:rPr>
        <w:t>Journal of Ecclesiastical History</w:t>
      </w:r>
      <w:r w:rsidRPr="003B7029">
        <w:t xml:space="preserve"> 42, no. 1 (1991): 1–10; Peter Jackson, </w:t>
      </w:r>
      <w:r w:rsidRPr="003B7029">
        <w:rPr>
          <w:i/>
          <w:iCs/>
        </w:rPr>
        <w:t>The Mongols and the West, 1221–1410</w:t>
      </w:r>
      <w:r w:rsidRPr="003B7029">
        <w:t>, 2nd ed. (Abingdon and New York: Routledge, 2018), 72–5.</w:t>
      </w:r>
    </w:p>
  </w:endnote>
  <w:endnote w:id="5">
    <w:p w14:paraId="23293D2E" w14:textId="2CA96892" w:rsidR="003A1E8B" w:rsidRPr="003B7029" w:rsidRDefault="003A1E8B" w:rsidP="00D33B13">
      <w:pPr>
        <w:pStyle w:val="Footnotes"/>
      </w:pPr>
      <w:r w:rsidRPr="003B7029">
        <w:rPr>
          <w:rStyle w:val="EndnoteReference"/>
        </w:rPr>
        <w:endnoteRef/>
      </w:r>
      <w:r w:rsidRPr="003B7029">
        <w:t xml:space="preserve"> Jackson, ‘Crusade’, 1; Felicitas Schmieder, ‘Der Einfall der Mongolen nach Polen und Schlesien – Schreckensmeldungen, Hilferufe und die Reaktion des Westens’, in </w:t>
      </w:r>
      <w:r w:rsidRPr="003B7029">
        <w:rPr>
          <w:i/>
          <w:iCs/>
        </w:rPr>
        <w:t>Wahlstatt 1241: Beiträge zur Mongolenschlacht bei Liegnitz und zu ihren Nachwirkungen</w:t>
      </w:r>
      <w:r w:rsidRPr="003B7029">
        <w:t>, ed. Ulrich Schmilewski (Würzburg: Wilhelm Gottlieb Korn, 1991), 77–86.</w:t>
      </w:r>
    </w:p>
  </w:endnote>
  <w:endnote w:id="6">
    <w:p w14:paraId="6E512882" w14:textId="31DAA3C1" w:rsidR="003A1E8B" w:rsidRPr="003B7029" w:rsidRDefault="003A1E8B" w:rsidP="00086972">
      <w:pPr>
        <w:pStyle w:val="Footnotes"/>
      </w:pPr>
      <w:r w:rsidRPr="003B7029">
        <w:rPr>
          <w:rStyle w:val="EndnoteReference"/>
        </w:rPr>
        <w:endnoteRef/>
      </w:r>
      <w:r w:rsidRPr="003B7029">
        <w:t xml:space="preserve"> Gian Andri Bezzola, </w:t>
      </w:r>
      <w:r w:rsidRPr="003B7029">
        <w:rPr>
          <w:i/>
          <w:iCs/>
        </w:rPr>
        <w:t>Die Mongolen in abendländischer Sicht, 1220–1270: Ein Beitrag zur Frage der Völkerbegegnungen</w:t>
      </w:r>
      <w:r w:rsidRPr="003B7029">
        <w:t xml:space="preserve"> (Bern, Munich: Francke, 1974), 66–90.</w:t>
      </w:r>
    </w:p>
  </w:endnote>
  <w:endnote w:id="7">
    <w:p w14:paraId="001CCE9A" w14:textId="77777777" w:rsidR="003A1E8B" w:rsidRPr="003B7029" w:rsidRDefault="003A1E8B" w:rsidP="00021085">
      <w:pPr>
        <w:pStyle w:val="Footnotes"/>
      </w:pPr>
      <w:r w:rsidRPr="003B7029">
        <w:rPr>
          <w:rStyle w:val="EndnoteReference"/>
        </w:rPr>
        <w:endnoteRef/>
      </w:r>
      <w:r w:rsidRPr="003B7029">
        <w:t xml:space="preserve"> Karl Rudolf, ‘Die Tartaren 1241/1242: Nachrichten und Wiedergabe, Korrespondenzen und Historiographie’, </w:t>
      </w:r>
      <w:r w:rsidRPr="003B7029">
        <w:rPr>
          <w:i/>
          <w:iCs/>
        </w:rPr>
        <w:t>Römische historische Mitteilungen</w:t>
      </w:r>
      <w:r w:rsidRPr="003B7029">
        <w:t xml:space="preserve"> 19 (1977): 79–107.</w:t>
      </w:r>
    </w:p>
  </w:endnote>
  <w:endnote w:id="8">
    <w:p w14:paraId="6C2EA8F5" w14:textId="1909F463" w:rsidR="003A1E8B" w:rsidRPr="003B7029" w:rsidRDefault="003A1E8B" w:rsidP="00021085">
      <w:pPr>
        <w:pStyle w:val="Footnotes"/>
      </w:pPr>
      <w:r w:rsidRPr="003B7029">
        <w:rPr>
          <w:rStyle w:val="EndnoteReference"/>
        </w:rPr>
        <w:endnoteRef/>
      </w:r>
      <w:r w:rsidRPr="003B7029">
        <w:t xml:space="preserve"> Overviews of Matthew Paris’ treatment of the Mongols include: J. J. Saunders, ‘Matthew Paris and the Mongols’, in </w:t>
      </w:r>
      <w:r w:rsidRPr="003B7029">
        <w:rPr>
          <w:i/>
          <w:iCs/>
        </w:rPr>
        <w:t>Essays in Medieval History Presented to Bertie Wilkinson</w:t>
      </w:r>
      <w:r w:rsidRPr="003B7029">
        <w:t xml:space="preserve">, ed. T. A. Sandquist and M. R. Powicke (Toronto: University of Toronto Press, 1969), 116–32; </w:t>
      </w:r>
      <w:r w:rsidR="00AB075C" w:rsidRPr="003B7029">
        <w:t xml:space="preserve">Bezzola, </w:t>
      </w:r>
      <w:r w:rsidR="00A630EE" w:rsidRPr="003B7029">
        <w:rPr>
          <w:i/>
          <w:iCs/>
        </w:rPr>
        <w:t>Die Mongolgen</w:t>
      </w:r>
      <w:r w:rsidR="00A630EE" w:rsidRPr="003B7029">
        <w:t xml:space="preserve">, 63–5; </w:t>
      </w:r>
      <w:r w:rsidRPr="003B7029">
        <w:t xml:space="preserve">Hans Eberhard Hilpert, </w:t>
      </w:r>
      <w:r w:rsidRPr="003B7029">
        <w:rPr>
          <w:i/>
          <w:iCs/>
        </w:rPr>
        <w:t>Kaiser- und Papstbriefe in den Chronica majora des Matthaeus Paris</w:t>
      </w:r>
      <w:r w:rsidRPr="003B7029">
        <w:t xml:space="preserve"> (Stuttgart: Klett-Cotta, 1981), 153–64; Daniel Williams, ‘Matthew Paris and the Thirteenth-Century Prospect of Asia’, in </w:t>
      </w:r>
      <w:r w:rsidRPr="003B7029">
        <w:rPr>
          <w:i/>
          <w:iCs/>
        </w:rPr>
        <w:t>England in the Thirteenth Century: Proceedings of the 1984 Harlaxton Symposium</w:t>
      </w:r>
      <w:r w:rsidRPr="003B7029">
        <w:t>, ed. William Mark Ormrod (Woodbridge: Boydell Press, 1986), 51–67. See also note 18 below.</w:t>
      </w:r>
    </w:p>
  </w:endnote>
  <w:endnote w:id="9">
    <w:p w14:paraId="5514B5FE" w14:textId="77777777" w:rsidR="003A1E8B" w:rsidRPr="003B7029" w:rsidRDefault="003A1E8B" w:rsidP="00021085">
      <w:pPr>
        <w:pStyle w:val="Footnotes"/>
      </w:pPr>
      <w:r w:rsidRPr="003B7029">
        <w:rPr>
          <w:rStyle w:val="EndnoteReference"/>
        </w:rPr>
        <w:endnoteRef/>
      </w:r>
      <w:r w:rsidRPr="003B7029">
        <w:t xml:space="preserve"> Ulf Büntgen and Nicola Di Cosmo, ‘Climatic and Environmental Aspects of the Mongol Withdrawal from Hungary in 1242 CE’, </w:t>
      </w:r>
      <w:r w:rsidRPr="003B7029">
        <w:rPr>
          <w:i/>
          <w:iCs/>
        </w:rPr>
        <w:t>Scientific Reports</w:t>
      </w:r>
      <w:r w:rsidRPr="003B7029">
        <w:t xml:space="preserve"> 6, no. 1 (2016): 1–9.</w:t>
      </w:r>
    </w:p>
  </w:endnote>
  <w:endnote w:id="10">
    <w:p w14:paraId="1696A439" w14:textId="168E989E" w:rsidR="003A1E8B" w:rsidRPr="003B7029" w:rsidRDefault="003A1E8B" w:rsidP="00021085">
      <w:pPr>
        <w:pStyle w:val="Footnotes"/>
      </w:pPr>
      <w:r w:rsidRPr="003B7029">
        <w:rPr>
          <w:rStyle w:val="EndnoteReference"/>
        </w:rPr>
        <w:endnoteRef/>
      </w:r>
      <w:r w:rsidRPr="003B7029">
        <w:t xml:space="preserve"> Zsolt Pinke et al., ‘Climate of Doubt: A Re-Evaluation of Büntgen and Di Cosmo’s Environmental Hypothesis for the Mongol Withdrawal from Hungary, 1242 CE’, </w:t>
      </w:r>
      <w:r w:rsidRPr="003B7029">
        <w:rPr>
          <w:i/>
          <w:iCs/>
        </w:rPr>
        <w:t>Scientific Reports</w:t>
      </w:r>
      <w:r w:rsidRPr="003B7029">
        <w:t xml:space="preserve"> 7, no. 1 (2017): 1–6; Ulf Büntgen and Nicola Di Cosmo, ‘Reply to “Climate of Doubt: A Re-Evaluation of Büntgen and Di Cosmo’s Environmental Hypothesis for the Mongol Withdrawal from Hungary, 1242 CE”’, </w:t>
      </w:r>
      <w:r w:rsidRPr="003B7029">
        <w:rPr>
          <w:i/>
          <w:iCs/>
        </w:rPr>
        <w:t>Scientific Reports</w:t>
      </w:r>
      <w:r w:rsidRPr="003B7029">
        <w:t xml:space="preserve"> 7, no. 1 (2017): 1–2; József Laszlovszky et al., ‘Contextualizing the Mongol Invasion of 1241–42: Short- and Long-Term Perspectives’, </w:t>
      </w:r>
      <w:r w:rsidRPr="003B7029">
        <w:rPr>
          <w:i/>
          <w:iCs/>
        </w:rPr>
        <w:t>Hungarian Historical Review</w:t>
      </w:r>
      <w:r w:rsidRPr="003B7029">
        <w:t xml:space="preserve"> 7, no. 3 (2018): 419–50. A detailed re-evaluation of the reasons for the withdrawal can be found in Stephen Pow, ‘Conquest and Withdrawal: The Mongol Invasions of Europe in the Thirteenth Century’ (PhD </w:t>
      </w:r>
      <w:r w:rsidR="009276B4" w:rsidRPr="003B7029">
        <w:t>diss.</w:t>
      </w:r>
      <w:r w:rsidRPr="003B7029">
        <w:t>, Central European University, 2020). I am grateful to Dr Pow for his kind permission to cite this thesis.</w:t>
      </w:r>
    </w:p>
  </w:endnote>
  <w:endnote w:id="11">
    <w:p w14:paraId="2C26D51B" w14:textId="77777777" w:rsidR="003A1E8B" w:rsidRPr="003B7029" w:rsidRDefault="003A1E8B" w:rsidP="00021085">
      <w:pPr>
        <w:pStyle w:val="Footnotes"/>
      </w:pPr>
      <w:r w:rsidRPr="003B7029">
        <w:rPr>
          <w:rStyle w:val="EndnoteReference"/>
        </w:rPr>
        <w:endnoteRef/>
      </w:r>
      <w:r w:rsidRPr="003B7029">
        <w:t xml:space="preserve"> For the contrast between medieval and modern definitions of letters, see Giles Constable, </w:t>
      </w:r>
      <w:r w:rsidRPr="003B7029">
        <w:rPr>
          <w:i/>
          <w:iCs/>
        </w:rPr>
        <w:t>Letters and Letter-Collections</w:t>
      </w:r>
      <w:r w:rsidRPr="003B7029">
        <w:t>, Typologie des Sources Du Moyen Âge Occidental 17 (Turnhout: Brepols, 1976), 11–16.</w:t>
      </w:r>
    </w:p>
  </w:endnote>
  <w:endnote w:id="12">
    <w:p w14:paraId="68CA41B3" w14:textId="77777777" w:rsidR="003A1E8B" w:rsidRPr="003B7029" w:rsidRDefault="003A1E8B" w:rsidP="00021085">
      <w:pPr>
        <w:pStyle w:val="Footnotes"/>
      </w:pPr>
      <w:r w:rsidRPr="003B7029">
        <w:rPr>
          <w:rStyle w:val="EndnoteReference"/>
        </w:rPr>
        <w:endnoteRef/>
      </w:r>
      <w:r w:rsidRPr="003B7029">
        <w:t xml:space="preserve"> Rolf Köhn, ‘Zur Quellenkritik kopial überlieferter Korrespondenz im lateinischen Mittelalter, zumal in Briefsammlungen’, </w:t>
      </w:r>
      <w:r w:rsidRPr="003B7029">
        <w:rPr>
          <w:i/>
          <w:iCs/>
        </w:rPr>
        <w:t>Mitteilungen des Instituts für Österreichische Geschichtsforschung</w:t>
      </w:r>
      <w:r w:rsidRPr="003B7029">
        <w:t xml:space="preserve"> 101 (1993): 288–95. Similar points are raised in Walter Ysebaert, ‘Medieval Letters and Letter Collections as Historical Sources: Methodological Questions and Reflections and Research Perspectives (6th–14th Centuries)’, </w:t>
      </w:r>
      <w:r w:rsidRPr="003B7029">
        <w:rPr>
          <w:i/>
          <w:iCs/>
        </w:rPr>
        <w:t>Studi Medievali 3a Serie</w:t>
      </w:r>
      <w:r w:rsidRPr="003B7029">
        <w:t xml:space="preserve"> 50, no. 1 (2009): 51–7.</w:t>
      </w:r>
    </w:p>
  </w:endnote>
  <w:endnote w:id="13">
    <w:p w14:paraId="32476883" w14:textId="77777777" w:rsidR="003A1E8B" w:rsidRPr="003B7029" w:rsidRDefault="003A1E8B" w:rsidP="00021085">
      <w:pPr>
        <w:pStyle w:val="Footnotes"/>
      </w:pPr>
      <w:r w:rsidRPr="003B7029">
        <w:rPr>
          <w:rStyle w:val="EndnoteReference"/>
        </w:rPr>
        <w:endnoteRef/>
      </w:r>
      <w:r w:rsidRPr="003B7029">
        <w:t xml:space="preserve"> Rudolf, ‘Die Tartaren 1241/1242’, 79–82.</w:t>
      </w:r>
    </w:p>
  </w:endnote>
  <w:endnote w:id="14">
    <w:p w14:paraId="7881466C" w14:textId="205BA035" w:rsidR="003A1E8B" w:rsidRPr="003B7029" w:rsidRDefault="003A1E8B" w:rsidP="00021085">
      <w:pPr>
        <w:pStyle w:val="Footnotes"/>
      </w:pPr>
      <w:r w:rsidRPr="003B7029">
        <w:rPr>
          <w:rStyle w:val="EndnoteReference"/>
        </w:rPr>
        <w:endnoteRef/>
      </w:r>
      <w:r w:rsidRPr="003B7029">
        <w:t xml:space="preserve"> Ibid., 85; Hermann Baerwald, ed., </w:t>
      </w:r>
      <w:r w:rsidRPr="003B7029">
        <w:rPr>
          <w:i/>
          <w:iCs/>
        </w:rPr>
        <w:t>Das Baumgartenberger Formelbuch: Eine Quelle des XIII. Jahrhunderts, vornehmlich der Zeiten Rudolfs von Habsburg</w:t>
      </w:r>
      <w:r w:rsidRPr="003B7029">
        <w:t>, Fontes Rerum Austriacarum Abt. 2: Diplomata et Acta 25 (Vienna: Kaiserlich-königliche Hof- und Staatsdruckerei, 1866), 347–9.</w:t>
      </w:r>
    </w:p>
  </w:endnote>
  <w:endnote w:id="15">
    <w:p w14:paraId="12779F76" w14:textId="77777777" w:rsidR="003A1E8B" w:rsidRPr="003B7029" w:rsidRDefault="003A1E8B" w:rsidP="00021085">
      <w:pPr>
        <w:pStyle w:val="Footnotes"/>
      </w:pPr>
      <w:r w:rsidRPr="003B7029">
        <w:rPr>
          <w:rStyle w:val="EndnoteReference"/>
        </w:rPr>
        <w:endnoteRef/>
      </w:r>
      <w:r w:rsidRPr="003B7029">
        <w:t xml:space="preserve"> Tomaš Somer, ‘Forging the Past: Facts and Myths behind the Mongol Invasion of Moravia in 1241’, </w:t>
      </w:r>
      <w:r w:rsidRPr="003B7029">
        <w:rPr>
          <w:i/>
          <w:iCs/>
        </w:rPr>
        <w:t>Golden Horde Review</w:t>
      </w:r>
      <w:r w:rsidRPr="003B7029">
        <w:t xml:space="preserve"> 6, no. 2 (2018): 238–51; Pow, ‘Conquest and Withdrawal’, 189–97.</w:t>
      </w:r>
    </w:p>
  </w:endnote>
  <w:endnote w:id="16">
    <w:p w14:paraId="122D4005" w14:textId="1C82801D" w:rsidR="003A1E8B" w:rsidRPr="003B7029" w:rsidRDefault="003A1E8B" w:rsidP="00021085">
      <w:pPr>
        <w:pStyle w:val="Footnotes"/>
      </w:pPr>
      <w:r w:rsidRPr="003B7029">
        <w:rPr>
          <w:rStyle w:val="EndnoteReference"/>
        </w:rPr>
        <w:endnoteRef/>
      </w:r>
      <w:r w:rsidRPr="003B7029">
        <w:t xml:space="preserve"> Baerwald, </w:t>
      </w:r>
      <w:r w:rsidRPr="003B7029">
        <w:rPr>
          <w:i/>
          <w:iCs/>
        </w:rPr>
        <w:t>Das Baumgartenberger Formelbuch</w:t>
      </w:r>
      <w:r w:rsidRPr="003B7029">
        <w:t>, 347 note 2.</w:t>
      </w:r>
    </w:p>
  </w:endnote>
  <w:endnote w:id="17">
    <w:p w14:paraId="6CFDC499" w14:textId="4BB6ACB5" w:rsidR="003A1E8B" w:rsidRPr="003B7029" w:rsidRDefault="003A1E8B" w:rsidP="00021085">
      <w:pPr>
        <w:pStyle w:val="Footnotes"/>
      </w:pPr>
      <w:r w:rsidRPr="003B7029">
        <w:rPr>
          <w:rStyle w:val="EndnoteReference"/>
        </w:rPr>
        <w:endnoteRef/>
      </w:r>
      <w:r w:rsidRPr="003B7029">
        <w:t xml:space="preserve"> Antonín Boček, ed., </w:t>
      </w:r>
      <w:r w:rsidRPr="003B7029">
        <w:rPr>
          <w:i/>
          <w:iCs/>
        </w:rPr>
        <w:t>Codex diplomaticus et epistolaris Moraviae</w:t>
      </w:r>
      <w:r w:rsidRPr="003B7029">
        <w:t>, vol. 3, 15 vols (Olomouc, 1841), 5 (no. 8). The inclusion of forgeries in this collection is discussed in Somer, ‘Forging the Past’, 247; Pow, ‘Conquest and Withdrawal’, 191–2.</w:t>
      </w:r>
    </w:p>
  </w:endnote>
  <w:endnote w:id="18">
    <w:p w14:paraId="5E6C180B" w14:textId="25BC5AF5" w:rsidR="003A1E8B" w:rsidRPr="003B7029" w:rsidRDefault="003A1E8B" w:rsidP="00021085">
      <w:pPr>
        <w:pStyle w:val="Footnotes"/>
      </w:pPr>
      <w:r w:rsidRPr="003B7029">
        <w:rPr>
          <w:rStyle w:val="EndnoteReference"/>
        </w:rPr>
        <w:endnoteRef/>
      </w:r>
      <w:r w:rsidRPr="003B7029">
        <w:t xml:space="preserve"> Richard Vaughan, </w:t>
      </w:r>
      <w:r w:rsidRPr="003B7029">
        <w:rPr>
          <w:i/>
          <w:iCs/>
        </w:rPr>
        <w:t>Matthew Paris</w:t>
      </w:r>
      <w:r w:rsidRPr="003B7029">
        <w:t xml:space="preserve">, </w:t>
      </w:r>
      <w:r w:rsidR="00DF4DBC" w:rsidRPr="003B7029">
        <w:t>r</w:t>
      </w:r>
      <w:r w:rsidRPr="003B7029">
        <w:t>eissue</w:t>
      </w:r>
      <w:r w:rsidR="00F7599B" w:rsidRPr="003B7029">
        <w:t xml:space="preserve"> ed.</w:t>
      </w:r>
      <w:r w:rsidRPr="003B7029">
        <w:t xml:space="preserve"> (Cambridge: Cambridge University Press, 1979), 134–5.</w:t>
      </w:r>
    </w:p>
  </w:endnote>
  <w:endnote w:id="19">
    <w:p w14:paraId="73E33E93" w14:textId="4D12C981" w:rsidR="003A1E8B" w:rsidRPr="003B7029" w:rsidRDefault="003A1E8B" w:rsidP="00021085">
      <w:pPr>
        <w:pStyle w:val="Footnotes"/>
      </w:pPr>
      <w:r w:rsidRPr="003B7029">
        <w:rPr>
          <w:rStyle w:val="EndnoteReference"/>
        </w:rPr>
        <w:endnoteRef/>
      </w:r>
      <w:r w:rsidRPr="003B7029">
        <w:t xml:space="preserve"> Hilpert, </w:t>
      </w:r>
      <w:r w:rsidRPr="003B7029">
        <w:rPr>
          <w:i/>
          <w:iCs/>
        </w:rPr>
        <w:t>Kaiser- und Papstbriefe</w:t>
      </w:r>
      <w:r w:rsidRPr="003B7029">
        <w:t xml:space="preserve">, 153–55, 160–64. For the letters, see </w:t>
      </w:r>
      <w:r w:rsidRPr="003B7029">
        <w:rPr>
          <w:i/>
          <w:iCs/>
        </w:rPr>
        <w:t>CM</w:t>
      </w:r>
      <w:r w:rsidRPr="003B7029">
        <w:t xml:space="preserve">, 4, 112–19, 270–7. These are also translated in Matthew Paris, </w:t>
      </w:r>
      <w:r w:rsidRPr="003B7029">
        <w:rPr>
          <w:i/>
          <w:iCs/>
        </w:rPr>
        <w:t>Matthew Paris’s English History from the Year 1235 to 1273</w:t>
      </w:r>
      <w:r w:rsidRPr="003B7029">
        <w:t xml:space="preserve">, trans. John Allen Giles, vol. 1 (London: H. G. Bohn, 1852), 341–7, 467–73. Another example of Matthew adding his own material to his sources on the Mongols is mentioned in Peter Jackson, ‘The Testimony of the Russian “Archbishop” Peter Concerning the Mongols (1244/5): Precious Intelligence or Timely Disinformation?’, </w:t>
      </w:r>
      <w:r w:rsidRPr="003B7029">
        <w:rPr>
          <w:i/>
          <w:iCs/>
        </w:rPr>
        <w:t>Journal of the Royal Asiatic Society</w:t>
      </w:r>
      <w:r w:rsidRPr="003B7029">
        <w:t xml:space="preserve"> 26, no. 1–2 (2016): 67.</w:t>
      </w:r>
    </w:p>
  </w:endnote>
  <w:endnote w:id="20">
    <w:p w14:paraId="6FE492C6" w14:textId="77777777" w:rsidR="003A1E8B" w:rsidRPr="003B7029" w:rsidRDefault="003A1E8B" w:rsidP="00021085">
      <w:pPr>
        <w:pStyle w:val="Footnotes"/>
      </w:pPr>
      <w:r w:rsidRPr="003B7029">
        <w:rPr>
          <w:rStyle w:val="EndnoteReference"/>
        </w:rPr>
        <w:endnoteRef/>
      </w:r>
      <w:r w:rsidRPr="003B7029">
        <w:t xml:space="preserve"> Rudolf, ‘Die Tartaren 1241/1242’, 91–9, 106–7.</w:t>
      </w:r>
    </w:p>
  </w:endnote>
  <w:endnote w:id="21">
    <w:p w14:paraId="2EDF9C0F" w14:textId="77777777" w:rsidR="003A1E8B" w:rsidRPr="003B7029" w:rsidRDefault="003A1E8B" w:rsidP="00021085">
      <w:pPr>
        <w:pStyle w:val="Footnotes"/>
      </w:pPr>
      <w:r w:rsidRPr="003B7029">
        <w:rPr>
          <w:rStyle w:val="EndnoteReference"/>
        </w:rPr>
        <w:endnoteRef/>
      </w:r>
      <w:r w:rsidRPr="003B7029">
        <w:t xml:space="preserve"> Peter Segl, </w:t>
      </w:r>
      <w:r w:rsidRPr="003B7029">
        <w:rPr>
          <w:i/>
          <w:iCs/>
        </w:rPr>
        <w:t>Ketzer in Österreich: Untersuchungen über Häresie und Inquisition im Herzogtum Österreich im 13. und beginnenden 14. Jahrhundert</w:t>
      </w:r>
      <w:r w:rsidRPr="003B7029">
        <w:t>, Quellen und Forschungen aus dem Gebiet der Geschichte, Neue Folge 5 (Paderborn: Ferdinand Schöningh, 1984), 108–10.</w:t>
      </w:r>
    </w:p>
  </w:endnote>
  <w:endnote w:id="22">
    <w:p w14:paraId="5372B51A" w14:textId="6F9A2850" w:rsidR="003A1E8B" w:rsidRPr="003B7029" w:rsidRDefault="003A1E8B" w:rsidP="00021085">
      <w:pPr>
        <w:pStyle w:val="Footnotes"/>
      </w:pPr>
      <w:r w:rsidRPr="003B7029">
        <w:rPr>
          <w:rStyle w:val="EndnoteReference"/>
        </w:rPr>
        <w:endnoteRef/>
      </w:r>
      <w:r w:rsidRPr="003B7029">
        <w:t xml:space="preserve"> Björn Weiler, ‘Historical Writing and the Experience of Europeanization: The View from St Albans’, in </w:t>
      </w:r>
      <w:r w:rsidRPr="003B7029">
        <w:rPr>
          <w:i/>
          <w:iCs/>
        </w:rPr>
        <w:t>‘The Making of Europe’: Essays in Honour of Robert Bartlett</w:t>
      </w:r>
      <w:r w:rsidRPr="003B7029">
        <w:t xml:space="preserve">, ed. John Hudson and Sally Crumplin (Leiden: Brill, 2016), </w:t>
      </w:r>
      <w:r w:rsidR="00983C9B" w:rsidRPr="003B7029">
        <w:t xml:space="preserve">205–43 (here </w:t>
      </w:r>
      <w:r w:rsidRPr="003B7029">
        <w:t>224</w:t>
      </w:r>
      <w:r w:rsidR="00983C9B" w:rsidRPr="003B7029">
        <w:t>)</w:t>
      </w:r>
      <w:r w:rsidRPr="003B7029">
        <w:t>. Matthew’s</w:t>
      </w:r>
      <w:r w:rsidR="00EB6761" w:rsidRPr="003B7029">
        <w:t xml:space="preserve"> </w:t>
      </w:r>
      <w:r w:rsidR="009A30EA" w:rsidRPr="003B7029">
        <w:t xml:space="preserve">gathering of information is </w:t>
      </w:r>
      <w:r w:rsidR="00574425" w:rsidRPr="003B7029">
        <w:t xml:space="preserve">also discussed in </w:t>
      </w:r>
      <w:r w:rsidRPr="003B7029">
        <w:t xml:space="preserve">Vaughan, </w:t>
      </w:r>
      <w:r w:rsidRPr="003B7029">
        <w:rPr>
          <w:i/>
          <w:iCs/>
        </w:rPr>
        <w:t>Matthew Paris</w:t>
      </w:r>
      <w:r w:rsidRPr="003B7029">
        <w:t>, 11–18</w:t>
      </w:r>
      <w:r w:rsidR="00574425" w:rsidRPr="003B7029">
        <w:t xml:space="preserve">; </w:t>
      </w:r>
      <w:r w:rsidR="0088019C" w:rsidRPr="003B7029">
        <w:t xml:space="preserve">Nathan Greasley, ‘Revisiting the Compilation of Matthew Paris’s </w:t>
      </w:r>
      <w:r w:rsidR="0088019C" w:rsidRPr="003B7029">
        <w:rPr>
          <w:i/>
          <w:iCs/>
        </w:rPr>
        <w:t>Chronica majora</w:t>
      </w:r>
      <w:r w:rsidR="0088019C" w:rsidRPr="003B7029">
        <w:t xml:space="preserve">: New Textual and Manuscript Evidence’, </w:t>
      </w:r>
      <w:r w:rsidR="0088019C" w:rsidRPr="003B7029">
        <w:rPr>
          <w:i/>
          <w:iCs/>
        </w:rPr>
        <w:t>Journal of Medieval History</w:t>
      </w:r>
      <w:r w:rsidR="0088019C" w:rsidRPr="003B7029">
        <w:t xml:space="preserve"> </w:t>
      </w:r>
      <w:r w:rsidR="00192412" w:rsidRPr="003B7029">
        <w:t>47, no. 2</w:t>
      </w:r>
      <w:r w:rsidR="001E2643" w:rsidRPr="003B7029">
        <w:t xml:space="preserve"> (2021): 1–27 (esp. </w:t>
      </w:r>
      <w:r w:rsidR="00D82812" w:rsidRPr="003B7029">
        <w:t>5–10, 18</w:t>
      </w:r>
      <w:r w:rsidR="003D18F3" w:rsidRPr="003B7029">
        <w:t>–19).</w:t>
      </w:r>
    </w:p>
  </w:endnote>
  <w:endnote w:id="23">
    <w:p w14:paraId="729A957C" w14:textId="77777777" w:rsidR="003A1E8B" w:rsidRPr="003B7029" w:rsidRDefault="003A1E8B" w:rsidP="00021085">
      <w:pPr>
        <w:pStyle w:val="Footnotes"/>
      </w:pPr>
      <w:r w:rsidRPr="003B7029">
        <w:rPr>
          <w:rStyle w:val="EndnoteReference"/>
        </w:rPr>
        <w:endnoteRef/>
      </w:r>
      <w:r w:rsidRPr="003B7029">
        <w:t xml:space="preserve"> Köhn, ‘Zur Quellenkritik’, 296.</w:t>
      </w:r>
    </w:p>
  </w:endnote>
  <w:endnote w:id="24">
    <w:p w14:paraId="2F65BD98" w14:textId="186D695C" w:rsidR="003A1E8B" w:rsidRPr="003B7029" w:rsidRDefault="003A1E8B" w:rsidP="00021085">
      <w:pPr>
        <w:pStyle w:val="Footnotes"/>
      </w:pPr>
      <w:r w:rsidRPr="003B7029">
        <w:rPr>
          <w:rStyle w:val="EndnoteReference"/>
        </w:rPr>
        <w:endnoteRef/>
      </w:r>
      <w:r w:rsidRPr="003B7029">
        <w:t xml:space="preserve"> Böhmer, ‘Briefe über den Anmarsch der Mongolen gegen Deutschland im Jahr 1241’, </w:t>
      </w:r>
      <w:r w:rsidRPr="003B7029">
        <w:rPr>
          <w:i/>
          <w:iCs/>
        </w:rPr>
        <w:t>Neue Mitteilungen aus dem Gebiete historisch-antiquarischer Forschungen</w:t>
      </w:r>
      <w:r w:rsidRPr="003B7029">
        <w:t xml:space="preserve"> 4, no. 2 (1839): 105–17; Hormayr, 2: 62–71. </w:t>
      </w:r>
      <w:r w:rsidR="007D3C28" w:rsidRPr="003B7029">
        <w:t>Editions employed in this article are given in appendix 1.</w:t>
      </w:r>
    </w:p>
  </w:endnote>
  <w:endnote w:id="25">
    <w:p w14:paraId="6D273A52" w14:textId="35AC21DB" w:rsidR="003A1E8B" w:rsidRPr="003B7029" w:rsidRDefault="003A1E8B" w:rsidP="00021085">
      <w:pPr>
        <w:pStyle w:val="Footnotes"/>
      </w:pPr>
      <w:r w:rsidRPr="003B7029">
        <w:rPr>
          <w:rStyle w:val="EndnoteReference"/>
        </w:rPr>
        <w:endnoteRef/>
      </w:r>
      <w:r w:rsidRPr="003B7029">
        <w:t xml:space="preserve"> Robert E. Lerner, </w:t>
      </w:r>
      <w:r w:rsidRPr="003B7029">
        <w:rPr>
          <w:i/>
          <w:iCs/>
        </w:rPr>
        <w:t>The Powers of Prophecy: The Cedar of Lebanon Vision from the Mongol Onslaught to the Dawn of the Enlightenment</w:t>
      </w:r>
      <w:r w:rsidRPr="003B7029">
        <w:t xml:space="preserve"> (Berkeley: University of California Press, 1983), 11 note 4. The circumstances surrounding the manuscript’s rediscovery are discussed in </w:t>
      </w:r>
      <w:r w:rsidRPr="003B7029">
        <w:rPr>
          <w:i/>
          <w:iCs/>
        </w:rPr>
        <w:t>TUB</w:t>
      </w:r>
      <w:r w:rsidRPr="003B7029">
        <w:t>, 3: 165, 365–6 (no. 1124). Despite this, the manuscript’s comparative obscurity continued; Rudolf, for example, was only aware of Hormayr’s transcription and not of the manuscript</w:t>
      </w:r>
      <w:r w:rsidR="00487273" w:rsidRPr="003B7029">
        <w:t xml:space="preserve"> (</w:t>
      </w:r>
      <w:r w:rsidRPr="003B7029">
        <w:t>Rudolf, ‘Die Tartaren 1241/1242’, 85 note 31</w:t>
      </w:r>
      <w:r w:rsidR="00487273" w:rsidRPr="003B7029">
        <w:t>).</w:t>
      </w:r>
    </w:p>
  </w:endnote>
  <w:endnote w:id="26">
    <w:p w14:paraId="14F54E48" w14:textId="77777777" w:rsidR="003A1E8B" w:rsidRPr="003B7029" w:rsidRDefault="003A1E8B" w:rsidP="00021085">
      <w:pPr>
        <w:pStyle w:val="Footnotes"/>
      </w:pPr>
      <w:r w:rsidRPr="003B7029">
        <w:rPr>
          <w:rStyle w:val="EndnoteReference"/>
        </w:rPr>
        <w:endnoteRef/>
      </w:r>
      <w:r w:rsidRPr="003B7029">
        <w:t xml:space="preserve"> Ottobeuren letter 2 is missing from Hormayr’s edition.</w:t>
      </w:r>
    </w:p>
  </w:endnote>
  <w:endnote w:id="27">
    <w:p w14:paraId="21C8E89D" w14:textId="5D46BE08" w:rsidR="003A1E8B" w:rsidRPr="003B7029" w:rsidRDefault="003A1E8B" w:rsidP="00021085">
      <w:pPr>
        <w:pStyle w:val="Footnotes"/>
      </w:pPr>
      <w:r w:rsidRPr="003B7029">
        <w:rPr>
          <w:rStyle w:val="EndnoteReference"/>
        </w:rPr>
        <w:endnoteRef/>
      </w:r>
      <w:r w:rsidRPr="003B7029">
        <w:t xml:space="preserve"> For the historical exaggeration of Duke Frederick II of Austria's role in repelling the Mongols, including by Hormayr, see Johannes Gießauf, ‘Herzog Friedrich II. von Österreich und die Mongolengefahr von 1241/42’, in </w:t>
      </w:r>
      <w:r w:rsidRPr="003B7029">
        <w:rPr>
          <w:i/>
          <w:iCs/>
        </w:rPr>
        <w:t>Forschungen zur Geschichte des Alpen-Adria-Raumes: Festgabe für em.o.Univ.-Prof. Dr. Othmar Pickl zum 70. Geburtstag</w:t>
      </w:r>
      <w:r w:rsidRPr="003B7029">
        <w:t xml:space="preserve">, ed. Herwig Ebner, Paul W. Roth, and Ingeborg Wiesflecker-Friedhuber, Schriftenreihe des Instituts für Geschichte 9 (Graz: Institut für geschichte der Karl-Franzens-Universität, 1997), 173–4, 192–3; Jackson, </w:t>
      </w:r>
      <w:r w:rsidRPr="003B7029">
        <w:rPr>
          <w:i/>
          <w:iCs/>
        </w:rPr>
        <w:t>Mongols</w:t>
      </w:r>
      <w:r w:rsidRPr="003B7029">
        <w:t>, 74; Pow, ‘Conquest and Withdrawal’, 193–4.</w:t>
      </w:r>
    </w:p>
  </w:endnote>
  <w:endnote w:id="28">
    <w:p w14:paraId="33909B50" w14:textId="77777777" w:rsidR="003A1E8B" w:rsidRPr="003B7029" w:rsidRDefault="003A1E8B" w:rsidP="00021085">
      <w:pPr>
        <w:pStyle w:val="Footnotes"/>
      </w:pPr>
      <w:r w:rsidRPr="003B7029">
        <w:rPr>
          <w:rStyle w:val="EndnoteReference"/>
        </w:rPr>
        <w:endnoteRef/>
      </w:r>
      <w:r w:rsidRPr="003B7029">
        <w:t xml:space="preserve"> Hormayr, 2: 69 (no. 6). The correct dating is given in </w:t>
      </w:r>
      <w:r w:rsidRPr="003B7029">
        <w:rPr>
          <w:i/>
          <w:iCs/>
        </w:rPr>
        <w:t>BUB</w:t>
      </w:r>
      <w:r w:rsidRPr="003B7029">
        <w:t>, 2: 166–7 (no. 328).</w:t>
      </w:r>
    </w:p>
  </w:endnote>
  <w:endnote w:id="29">
    <w:p w14:paraId="4DA32274" w14:textId="4C158BAD" w:rsidR="003A1E8B" w:rsidRPr="003B7029" w:rsidRDefault="003A1E8B" w:rsidP="00021085">
      <w:pPr>
        <w:pStyle w:val="Footnotes"/>
      </w:pPr>
      <w:r w:rsidRPr="003B7029">
        <w:rPr>
          <w:rStyle w:val="EndnoteReference"/>
        </w:rPr>
        <w:endnoteRef/>
      </w:r>
      <w:r w:rsidRPr="003B7029">
        <w:t xml:space="preserve"> Hormayr, 2: 64; </w:t>
      </w:r>
      <w:r w:rsidRPr="003B7029">
        <w:rPr>
          <w:i/>
          <w:iCs/>
        </w:rPr>
        <w:t>TUB</w:t>
      </w:r>
      <w:r w:rsidRPr="003B7029">
        <w:t>, 3: 180 (no. 1137*). For Hormayr</w:t>
      </w:r>
      <w:r w:rsidR="00977832" w:rsidRPr="003B7029">
        <w:t xml:space="preserve"> and forgery</w:t>
      </w:r>
      <w:r w:rsidRPr="003B7029">
        <w:t xml:space="preserve">, see Friedrich Bock, ‘Fälschungen des Freiherrn von Hormayr (1782–1848)’, </w:t>
      </w:r>
      <w:r w:rsidRPr="003B7029">
        <w:rPr>
          <w:i/>
          <w:iCs/>
        </w:rPr>
        <w:t>Neues Archiv der Gesellschaft für Ältere Deutsche Geschichtskunde</w:t>
      </w:r>
      <w:r w:rsidRPr="003B7029">
        <w:t xml:space="preserve"> 47 (1928): 225–43.</w:t>
      </w:r>
    </w:p>
  </w:endnote>
  <w:endnote w:id="30">
    <w:p w14:paraId="066DA68B" w14:textId="77777777" w:rsidR="003A1E8B" w:rsidRPr="003B7029" w:rsidRDefault="003A1E8B" w:rsidP="00021085">
      <w:pPr>
        <w:pStyle w:val="Footnotes"/>
      </w:pPr>
      <w:r w:rsidRPr="003B7029">
        <w:rPr>
          <w:rStyle w:val="EndnoteReference"/>
        </w:rPr>
        <w:endnoteRef/>
      </w:r>
      <w:r w:rsidRPr="003B7029">
        <w:t xml:space="preserve"> Lerner, </w:t>
      </w:r>
      <w:r w:rsidRPr="003B7029">
        <w:rPr>
          <w:i/>
          <w:iCs/>
        </w:rPr>
        <w:t>Powers of Prophecy</w:t>
      </w:r>
      <w:r w:rsidRPr="003B7029">
        <w:t>, 11–12 (here 12).</w:t>
      </w:r>
    </w:p>
  </w:endnote>
  <w:endnote w:id="31">
    <w:p w14:paraId="379AD346" w14:textId="77777777" w:rsidR="003A1E8B" w:rsidRPr="003B7029" w:rsidRDefault="003A1E8B" w:rsidP="00021085">
      <w:pPr>
        <w:pStyle w:val="Footnotes"/>
      </w:pPr>
      <w:r w:rsidRPr="003B7029">
        <w:rPr>
          <w:rStyle w:val="EndnoteReference"/>
        </w:rPr>
        <w:endnoteRef/>
      </w:r>
      <w:r w:rsidRPr="003B7029">
        <w:t xml:space="preserve"> Ibid., 12.</w:t>
      </w:r>
    </w:p>
  </w:endnote>
  <w:endnote w:id="32">
    <w:p w14:paraId="49A807C9" w14:textId="11036BEE" w:rsidR="003A1E8B" w:rsidRPr="003B7029" w:rsidRDefault="003A1E8B" w:rsidP="00021085">
      <w:pPr>
        <w:pStyle w:val="Footnotes"/>
      </w:pPr>
      <w:r w:rsidRPr="003B7029">
        <w:rPr>
          <w:rStyle w:val="EndnoteReference"/>
        </w:rPr>
        <w:endnoteRef/>
      </w:r>
      <w:r w:rsidRPr="003B7029">
        <w:t xml:space="preserve"> Neuhauser, </w:t>
      </w:r>
      <w:r w:rsidRPr="003B7029">
        <w:rPr>
          <w:i/>
          <w:iCs/>
        </w:rPr>
        <w:t>Katalog</w:t>
      </w:r>
      <w:r w:rsidRPr="003B7029">
        <w:t xml:space="preserve">, 2: 176–7. </w:t>
      </w:r>
    </w:p>
  </w:endnote>
  <w:endnote w:id="33">
    <w:p w14:paraId="4E3F7E50" w14:textId="77777777" w:rsidR="003A1E8B" w:rsidRPr="003B7029" w:rsidRDefault="003A1E8B" w:rsidP="00021085">
      <w:pPr>
        <w:pStyle w:val="Footnotes"/>
      </w:pPr>
      <w:r w:rsidRPr="003B7029">
        <w:rPr>
          <w:rStyle w:val="EndnoteReference"/>
        </w:rPr>
        <w:endnoteRef/>
      </w:r>
      <w:r w:rsidRPr="003B7029">
        <w:t xml:space="preserve"> Ottobeuren letters 4 (20 June 1241), 6 (13 June 1241), 8 (22 June 1241), 10 (11 April 1241).</w:t>
      </w:r>
    </w:p>
  </w:endnote>
  <w:endnote w:id="34">
    <w:p w14:paraId="74DDAA29" w14:textId="77777777" w:rsidR="003A1E8B" w:rsidRPr="003B7029" w:rsidRDefault="003A1E8B" w:rsidP="00021085">
      <w:pPr>
        <w:pStyle w:val="Footnotes"/>
      </w:pPr>
      <w:r w:rsidRPr="003B7029">
        <w:rPr>
          <w:rStyle w:val="EndnoteReference"/>
        </w:rPr>
        <w:endnoteRef/>
      </w:r>
      <w:r w:rsidRPr="003B7029">
        <w:t xml:space="preserve"> Ottobeuren letter 3.</w:t>
      </w:r>
    </w:p>
  </w:endnote>
  <w:endnote w:id="35">
    <w:p w14:paraId="76D5E4B2" w14:textId="77777777" w:rsidR="003A1E8B" w:rsidRPr="003B7029" w:rsidRDefault="003A1E8B" w:rsidP="00021085">
      <w:pPr>
        <w:pStyle w:val="Footnotes"/>
      </w:pPr>
      <w:r w:rsidRPr="003B7029">
        <w:rPr>
          <w:rStyle w:val="EndnoteReference"/>
        </w:rPr>
        <w:endnoteRef/>
      </w:r>
      <w:r w:rsidRPr="003B7029">
        <w:t xml:space="preserve"> Ottobeuren letter 5.</w:t>
      </w:r>
    </w:p>
  </w:endnote>
  <w:endnote w:id="36">
    <w:p w14:paraId="06B37FF9" w14:textId="77777777" w:rsidR="003A1E8B" w:rsidRPr="003B7029" w:rsidRDefault="003A1E8B" w:rsidP="00021085">
      <w:pPr>
        <w:pStyle w:val="Footnotes"/>
      </w:pPr>
      <w:r w:rsidRPr="003B7029">
        <w:rPr>
          <w:rStyle w:val="EndnoteReference"/>
        </w:rPr>
        <w:endnoteRef/>
      </w:r>
      <w:r w:rsidRPr="003B7029">
        <w:t xml:space="preserve"> Ottobeuren letter 7.</w:t>
      </w:r>
    </w:p>
  </w:endnote>
  <w:endnote w:id="37">
    <w:p w14:paraId="2F4117F3" w14:textId="5304B68A" w:rsidR="003A1E8B" w:rsidRPr="003B7029" w:rsidRDefault="003A1E8B" w:rsidP="00021085">
      <w:pPr>
        <w:pStyle w:val="Footnotes"/>
      </w:pPr>
      <w:r w:rsidRPr="003B7029">
        <w:rPr>
          <w:rStyle w:val="EndnoteReference"/>
        </w:rPr>
        <w:endnoteRef/>
      </w:r>
      <w:r w:rsidRPr="003B7029">
        <w:t xml:space="preserve"> Rudolf, ‘Die Tartaren 1241/1242’, 87–9. Cf. Ottobeuren letter 1.</w:t>
      </w:r>
      <w:r w:rsidR="001C6BF8" w:rsidRPr="003B7029">
        <w:t xml:space="preserve"> See also note</w:t>
      </w:r>
      <w:r w:rsidR="00521A78" w:rsidRPr="003B7029">
        <w:t>s</w:t>
      </w:r>
      <w:r w:rsidR="001C6BF8" w:rsidRPr="003B7029">
        <w:t xml:space="preserve"> </w:t>
      </w:r>
      <w:r w:rsidR="00D760C8" w:rsidRPr="003B7029">
        <w:t>9</w:t>
      </w:r>
      <w:r w:rsidR="00521A78" w:rsidRPr="003B7029">
        <w:t>3–4</w:t>
      </w:r>
      <w:r w:rsidR="00D760C8" w:rsidRPr="003B7029">
        <w:t xml:space="preserve"> below.</w:t>
      </w:r>
    </w:p>
  </w:endnote>
  <w:endnote w:id="38">
    <w:p w14:paraId="6F408A5C" w14:textId="1D8F8212" w:rsidR="003A1E8B" w:rsidRPr="003B7029" w:rsidRDefault="003A1E8B" w:rsidP="00021085">
      <w:pPr>
        <w:pStyle w:val="Footnotes"/>
      </w:pPr>
      <w:r w:rsidRPr="003B7029">
        <w:rPr>
          <w:rStyle w:val="EndnoteReference"/>
        </w:rPr>
        <w:endnoteRef/>
      </w:r>
      <w:r w:rsidRPr="003B7029">
        <w:t xml:space="preserve"> Ottobeuren letter 9, ‘fama’. See also notes 11</w:t>
      </w:r>
      <w:r w:rsidR="004439BA" w:rsidRPr="003B7029">
        <w:t>6</w:t>
      </w:r>
      <w:r w:rsidR="00FC6606" w:rsidRPr="003B7029">
        <w:t>–1</w:t>
      </w:r>
      <w:r w:rsidR="004439BA" w:rsidRPr="003B7029">
        <w:t>7</w:t>
      </w:r>
      <w:r w:rsidR="00FC6606" w:rsidRPr="003B7029">
        <w:t xml:space="preserve"> below</w:t>
      </w:r>
      <w:r w:rsidRPr="003B7029">
        <w:t>.</w:t>
      </w:r>
    </w:p>
  </w:endnote>
  <w:endnote w:id="39">
    <w:p w14:paraId="1A08D765" w14:textId="797D8877" w:rsidR="003A1E8B" w:rsidRPr="003B7029" w:rsidRDefault="003A1E8B" w:rsidP="00021085">
      <w:pPr>
        <w:pStyle w:val="Footnotes"/>
      </w:pPr>
      <w:r w:rsidRPr="003B7029">
        <w:rPr>
          <w:rStyle w:val="EndnoteReference"/>
        </w:rPr>
        <w:endnoteRef/>
      </w:r>
      <w:r w:rsidRPr="003B7029">
        <w:t xml:space="preserve"> Mathieu Bastian, Sebastien Heymann, and Mathieu Jacomy, ‘Gephi: An Open Source Software for Exploring and Manipulating Networks’ (International AAAI Conference on Weblogs and Social Media, San Jose, CA, 2009), 1–2, </w:t>
      </w:r>
      <w:hyperlink r:id="rId3" w:history="1">
        <w:r w:rsidRPr="003B7029">
          <w:rPr>
            <w:rStyle w:val="Hyperlink"/>
          </w:rPr>
          <w:t>https://gephi.org/publications/gephi-bastian-feb09.pdf</w:t>
        </w:r>
      </w:hyperlink>
      <w:r w:rsidRPr="003B7029">
        <w:t xml:space="preserve"> (accessed </w:t>
      </w:r>
      <w:r w:rsidR="00152735" w:rsidRPr="003B7029">
        <w:t>24</w:t>
      </w:r>
      <w:r w:rsidR="009C0E80" w:rsidRPr="003B7029">
        <w:t xml:space="preserve"> March, 2021</w:t>
      </w:r>
      <w:r w:rsidRPr="003B7029">
        <w:t xml:space="preserve">); Thomas M. J. Fruchterman and Edward M. Reingold, ‘Graph Drawing by Force-Directed Placement’, </w:t>
      </w:r>
      <w:r w:rsidRPr="003B7029">
        <w:rPr>
          <w:i/>
          <w:iCs/>
        </w:rPr>
        <w:t>Software: Practice and Experience</w:t>
      </w:r>
      <w:r w:rsidRPr="003B7029">
        <w:t xml:space="preserve"> 21, no. 11 (1991): 1129–64.</w:t>
      </w:r>
    </w:p>
  </w:endnote>
  <w:endnote w:id="40">
    <w:p w14:paraId="603C0DCA" w14:textId="77777777" w:rsidR="003A1E8B" w:rsidRPr="003B7029" w:rsidRDefault="003A1E8B" w:rsidP="00021085">
      <w:pPr>
        <w:pStyle w:val="Footnotes"/>
      </w:pPr>
      <w:r w:rsidRPr="003B7029">
        <w:rPr>
          <w:rStyle w:val="EndnoteReference"/>
        </w:rPr>
        <w:endnoteRef/>
      </w:r>
      <w:r w:rsidRPr="003B7029">
        <w:t xml:space="preserve"> ‘Rescriptum istius litere viderunt fratres minores Auguste sigillatum sigillo ducis Bawarie et ad utilitatem et cautelam legentium eandem veritatem dignum duxerunt corroborare prescripte schedule sigillum sue domus apponendo.’ Ottobeuren letter 10.</w:t>
      </w:r>
    </w:p>
  </w:endnote>
  <w:endnote w:id="41">
    <w:p w14:paraId="15B01B3B" w14:textId="28F686A5" w:rsidR="004E34D5" w:rsidRPr="003B7029" w:rsidRDefault="004E34D5" w:rsidP="004E34D5">
      <w:pPr>
        <w:pStyle w:val="Footnotes"/>
        <w:rPr>
          <w:lang w:val="en-US"/>
        </w:rPr>
      </w:pPr>
      <w:r w:rsidRPr="003B7029">
        <w:rPr>
          <w:rStyle w:val="EndnoteReference"/>
        </w:rPr>
        <w:endnoteRef/>
      </w:r>
      <w:r w:rsidRPr="003B7029">
        <w:t xml:space="preserve"> </w:t>
      </w:r>
      <w:r w:rsidRPr="003B7029">
        <w:rPr>
          <w:lang w:val="en-US"/>
        </w:rPr>
        <w:t xml:space="preserve">All distances </w:t>
      </w:r>
      <w:r w:rsidR="008303B3" w:rsidRPr="003B7029">
        <w:rPr>
          <w:lang w:val="en-US"/>
        </w:rPr>
        <w:t>discussed</w:t>
      </w:r>
      <w:r w:rsidRPr="003B7029">
        <w:rPr>
          <w:lang w:val="en-US"/>
        </w:rPr>
        <w:t xml:space="preserve"> in this article were calculated using the ‘measure distance’ feature in Google Maps.</w:t>
      </w:r>
      <w:r w:rsidR="0069186A" w:rsidRPr="003B7029">
        <w:rPr>
          <w:lang w:val="en-US"/>
        </w:rPr>
        <w:t xml:space="preserve"> See</w:t>
      </w:r>
      <w:r w:rsidR="00B5404F" w:rsidRPr="003B7029">
        <w:rPr>
          <w:lang w:val="en-US"/>
        </w:rPr>
        <w:t>:</w:t>
      </w:r>
      <w:r w:rsidR="0069186A" w:rsidRPr="003B7029">
        <w:rPr>
          <w:lang w:val="en-US"/>
        </w:rPr>
        <w:t xml:space="preserve"> </w:t>
      </w:r>
      <w:r w:rsidR="00A6539F" w:rsidRPr="003B7029">
        <w:rPr>
          <w:lang w:val="en-US"/>
        </w:rPr>
        <w:t xml:space="preserve">Map of </w:t>
      </w:r>
      <w:r w:rsidR="003C1BF5" w:rsidRPr="003B7029">
        <w:rPr>
          <w:lang w:val="en-US"/>
        </w:rPr>
        <w:t>southern Germany and</w:t>
      </w:r>
      <w:r w:rsidR="006D4A0A" w:rsidRPr="003B7029">
        <w:rPr>
          <w:lang w:val="en-US"/>
        </w:rPr>
        <w:t xml:space="preserve"> Austria</w:t>
      </w:r>
      <w:r w:rsidR="003C1BF5" w:rsidRPr="003B7029">
        <w:rPr>
          <w:lang w:val="en-US"/>
        </w:rPr>
        <w:t>, Google Maps,</w:t>
      </w:r>
      <w:r w:rsidR="00FC6DD1" w:rsidRPr="003B7029">
        <w:rPr>
          <w:lang w:val="en-US"/>
        </w:rPr>
        <w:t xml:space="preserve"> </w:t>
      </w:r>
      <w:hyperlink r:id="rId4" w:history="1">
        <w:r w:rsidR="00FC6DD1" w:rsidRPr="003B7029">
          <w:rPr>
            <w:rStyle w:val="Hyperlink"/>
            <w:lang w:val="en-US"/>
          </w:rPr>
          <w:t>https://www.google.com/maps/@47.3618117,10.6937371,8.42z/data=!5m1!1e4</w:t>
        </w:r>
      </w:hyperlink>
      <w:r w:rsidR="00FC6DD1" w:rsidRPr="003B7029">
        <w:rPr>
          <w:lang w:val="en-US"/>
        </w:rPr>
        <w:t xml:space="preserve"> </w:t>
      </w:r>
      <w:r w:rsidR="00A35F8E" w:rsidRPr="003B7029">
        <w:rPr>
          <w:lang w:val="en-US"/>
        </w:rPr>
        <w:t>(</w:t>
      </w:r>
      <w:r w:rsidR="00FC6DD1" w:rsidRPr="003B7029">
        <w:rPr>
          <w:lang w:val="en-US"/>
        </w:rPr>
        <w:t>accessed 2</w:t>
      </w:r>
      <w:r w:rsidR="00A61799" w:rsidRPr="003B7029">
        <w:rPr>
          <w:lang w:val="en-US"/>
        </w:rPr>
        <w:t>4</w:t>
      </w:r>
      <w:r w:rsidR="00FC6DD1" w:rsidRPr="003B7029">
        <w:rPr>
          <w:lang w:val="en-US"/>
        </w:rPr>
        <w:t xml:space="preserve"> March, 2021</w:t>
      </w:r>
      <w:r w:rsidR="00A35F8E" w:rsidRPr="003B7029">
        <w:rPr>
          <w:lang w:val="en-US"/>
        </w:rPr>
        <w:t>)</w:t>
      </w:r>
      <w:r w:rsidR="00FC6DD1" w:rsidRPr="003B7029">
        <w:rPr>
          <w:lang w:val="en-US"/>
        </w:rPr>
        <w:t>.</w:t>
      </w:r>
    </w:p>
  </w:endnote>
  <w:endnote w:id="42">
    <w:p w14:paraId="7AE9DEE3" w14:textId="0BC9B761" w:rsidR="003A1E8B" w:rsidRPr="003B7029" w:rsidRDefault="003A1E8B" w:rsidP="00021085">
      <w:pPr>
        <w:pStyle w:val="Footnotes"/>
      </w:pPr>
      <w:r w:rsidRPr="003B7029">
        <w:rPr>
          <w:rStyle w:val="EndnoteReference"/>
        </w:rPr>
        <w:endnoteRef/>
      </w:r>
      <w:r w:rsidR="002F257F" w:rsidRPr="003B7029">
        <w:t xml:space="preserve"> </w:t>
      </w:r>
      <w:r w:rsidRPr="003B7029">
        <w:rPr>
          <w:i/>
          <w:iCs/>
        </w:rPr>
        <w:t>CM</w:t>
      </w:r>
      <w:r w:rsidRPr="003B7029">
        <w:t>, 4: 109–11 (</w:t>
      </w:r>
      <w:r w:rsidR="00F0754C" w:rsidRPr="003B7029">
        <w:t xml:space="preserve">here </w:t>
      </w:r>
      <w:r w:rsidRPr="003B7029">
        <w:t>111)</w:t>
      </w:r>
      <w:r w:rsidR="00F0754C" w:rsidRPr="003B7029">
        <w:t xml:space="preserve">, ‘Et is fuit [tenor] [sic] literarum transmissarum ad episcopum  Parisiensem ex parte ducis Braibantiæ. </w:t>
      </w:r>
      <w:r w:rsidR="006560E1" w:rsidRPr="003B7029">
        <w:t>Simili modo scriptum est regi Anglorum ex parte archiepiscopi Coloniensis’</w:t>
      </w:r>
      <w:r w:rsidR="003D6939" w:rsidRPr="003B7029">
        <w:t>.</w:t>
      </w:r>
      <w:r w:rsidRPr="003B7029">
        <w:t xml:space="preserve"> These connections are depicted in figure </w:t>
      </w:r>
      <w:r w:rsidR="00797DD7" w:rsidRPr="003B7029">
        <w:t>2</w:t>
      </w:r>
      <w:r w:rsidRPr="003B7029">
        <w:t>.</w:t>
      </w:r>
    </w:p>
  </w:endnote>
  <w:endnote w:id="43">
    <w:p w14:paraId="7918A8DE" w14:textId="2ADC3C05" w:rsidR="003A1E8B" w:rsidRPr="003B7029" w:rsidRDefault="003A1E8B" w:rsidP="00021085">
      <w:pPr>
        <w:pStyle w:val="Footnotes"/>
      </w:pPr>
      <w:r w:rsidRPr="003B7029">
        <w:rPr>
          <w:rStyle w:val="EndnoteReference"/>
        </w:rPr>
        <w:endnoteRef/>
      </w:r>
      <w:r w:rsidRPr="003B7029">
        <w:t xml:space="preserve"> Weiler, </w:t>
      </w:r>
      <w:r w:rsidRPr="003B7029">
        <w:rPr>
          <w:i/>
          <w:iCs/>
        </w:rPr>
        <w:t>Henry III of England and the Staufen Empire, 1216–1272</w:t>
      </w:r>
      <w:r w:rsidRPr="003B7029">
        <w:t>, Royal Historical Society Studies in History, New Series (Woodbridge: Boydell Press, 2006), 7, 36–7, 45, 61–2, 202.</w:t>
      </w:r>
    </w:p>
  </w:endnote>
  <w:endnote w:id="44">
    <w:p w14:paraId="421336F9" w14:textId="77777777" w:rsidR="003A1E8B" w:rsidRPr="003B7029" w:rsidRDefault="003A1E8B" w:rsidP="00021085">
      <w:pPr>
        <w:pStyle w:val="Footnotes"/>
      </w:pPr>
      <w:r w:rsidRPr="003B7029">
        <w:rPr>
          <w:rStyle w:val="EndnoteReference"/>
        </w:rPr>
        <w:endnoteRef/>
      </w:r>
      <w:r w:rsidRPr="003B7029">
        <w:t xml:space="preserve"> </w:t>
      </w:r>
      <w:r w:rsidRPr="003B7029">
        <w:rPr>
          <w:i/>
          <w:iCs/>
        </w:rPr>
        <w:t>CM</w:t>
      </w:r>
      <w:r w:rsidRPr="003B7029">
        <w:t>, 6: 83–4 (no. 51).</w:t>
      </w:r>
    </w:p>
  </w:endnote>
  <w:endnote w:id="45">
    <w:p w14:paraId="7630BEB4" w14:textId="77777777" w:rsidR="003A1E8B" w:rsidRPr="003B7029" w:rsidRDefault="003A1E8B" w:rsidP="00021085">
      <w:pPr>
        <w:pStyle w:val="Footnotes"/>
      </w:pPr>
      <w:r w:rsidRPr="003B7029">
        <w:rPr>
          <w:rStyle w:val="EndnoteReference"/>
        </w:rPr>
        <w:endnoteRef/>
      </w:r>
      <w:r w:rsidRPr="003B7029">
        <w:t xml:space="preserve"> ‘universis comitibus, liberis, ministerialibus ceterisque hominibus in Swevia constitutis’, Ottobeuren letter 2 (letter).</w:t>
      </w:r>
    </w:p>
  </w:endnote>
  <w:endnote w:id="46">
    <w:p w14:paraId="4710EDD6" w14:textId="22DDF7E7" w:rsidR="003A1E8B" w:rsidRPr="003B7029" w:rsidRDefault="003A1E8B" w:rsidP="00021085">
      <w:pPr>
        <w:pStyle w:val="Footnotes"/>
      </w:pPr>
      <w:r w:rsidRPr="003B7029">
        <w:rPr>
          <w:rStyle w:val="EndnoteReference"/>
        </w:rPr>
        <w:endnoteRef/>
      </w:r>
      <w:r w:rsidRPr="003B7029">
        <w:t xml:space="preserve"> For the manuscript transmission, see </w:t>
      </w:r>
      <w:r w:rsidRPr="003B7029">
        <w:rPr>
          <w:i/>
          <w:iCs/>
        </w:rPr>
        <w:t>MGH Const.</w:t>
      </w:r>
      <w:r w:rsidRPr="003B7029">
        <w:t xml:space="preserve">, 2: 322–3 (no. 235). See also </w:t>
      </w:r>
      <w:r w:rsidRPr="003B7029">
        <w:rPr>
          <w:i/>
          <w:iCs/>
        </w:rPr>
        <w:t>PV</w:t>
      </w:r>
      <w:r w:rsidRPr="003B7029">
        <w:t xml:space="preserve">, 227–30 (no. I.30). </w:t>
      </w:r>
    </w:p>
  </w:endnote>
  <w:endnote w:id="47">
    <w:p w14:paraId="6F80FAB0" w14:textId="739A7D86" w:rsidR="003A1E8B" w:rsidRPr="003B7029" w:rsidRDefault="003A1E8B" w:rsidP="00021085">
      <w:pPr>
        <w:pStyle w:val="Footnotes"/>
      </w:pPr>
      <w:r w:rsidRPr="003B7029">
        <w:rPr>
          <w:rStyle w:val="EndnoteReference"/>
        </w:rPr>
        <w:endnoteRef/>
      </w:r>
      <w:r w:rsidRPr="003B7029">
        <w:t xml:space="preserve"> Riccardo of San Germano, </w:t>
      </w:r>
      <w:r w:rsidRPr="003B7029">
        <w:rPr>
          <w:i/>
          <w:iCs/>
        </w:rPr>
        <w:t>Chronica</w:t>
      </w:r>
      <w:r w:rsidRPr="003B7029">
        <w:t xml:space="preserve">, ed. Carlo Alberto Garufi, Rerum Italicarum Scriptores (ser. II), 7, no. 2 (Bologna: Nicola Zanichelli, 1937–8), 209–10. Matthew Paris also claims that Frederick wrote to Louis IX: </w:t>
      </w:r>
      <w:r w:rsidRPr="003B7029">
        <w:rPr>
          <w:i/>
          <w:iCs/>
        </w:rPr>
        <w:t>CM</w:t>
      </w:r>
      <w:r w:rsidRPr="003B7029">
        <w:t>, 4: 119.</w:t>
      </w:r>
    </w:p>
  </w:endnote>
  <w:endnote w:id="48">
    <w:p w14:paraId="421E2ADF" w14:textId="77777777" w:rsidR="003A1E8B" w:rsidRPr="003B7029" w:rsidRDefault="003A1E8B" w:rsidP="00021085">
      <w:pPr>
        <w:pStyle w:val="Footnotes"/>
      </w:pPr>
      <w:r w:rsidRPr="003B7029">
        <w:rPr>
          <w:rStyle w:val="EndnoteReference"/>
        </w:rPr>
        <w:endnoteRef/>
      </w:r>
      <w:r w:rsidRPr="003B7029">
        <w:t xml:space="preserve"> Ottobeuren letter 2 (instructions). Conrad IV’s letter to Lower Germany is edited alongside the crusade instructions in </w:t>
      </w:r>
      <w:r w:rsidRPr="003B7029">
        <w:rPr>
          <w:i/>
          <w:iCs/>
        </w:rPr>
        <w:t>MGH Const.</w:t>
      </w:r>
      <w:r w:rsidRPr="003B7029">
        <w:t xml:space="preserve">, 2: 445–6 (no. 336). The entire letter enclosing the crusade and </w:t>
      </w:r>
      <w:r w:rsidRPr="003B7029">
        <w:rPr>
          <w:i/>
          <w:iCs/>
        </w:rPr>
        <w:t>Landfrieden</w:t>
      </w:r>
      <w:r w:rsidRPr="003B7029">
        <w:t xml:space="preserve"> ordinances were first edited (though with false dating) in Xaver Bernet, ‘Beiträge zur Geschichte der Kreuzzüge gegen die Mongolen im XIII. Jahrhundert (zunächst für das Bisthum Konstanz)’, </w:t>
      </w:r>
      <w:r w:rsidRPr="003B7029">
        <w:rPr>
          <w:i/>
          <w:iCs/>
        </w:rPr>
        <w:t>Der Geschichtsfreund: Mitteilungen des Historischen Vereins Zentralschweiz</w:t>
      </w:r>
      <w:r w:rsidRPr="003B7029">
        <w:t xml:space="preserve"> 1 (1843): 351–5. The dating of this text was correctly established in Julius Ficker, ‘Über eine irreleitende Datierung aus der Zeit der Mongolengefahr’, </w:t>
      </w:r>
      <w:r w:rsidRPr="003B7029">
        <w:rPr>
          <w:i/>
          <w:iCs/>
        </w:rPr>
        <w:t>Mitteilungen des Instituts für Österreichische Geschichtsforschung</w:t>
      </w:r>
      <w:r w:rsidRPr="003B7029">
        <w:t xml:space="preserve"> 3 (1882): 103–9. See also </w:t>
      </w:r>
      <w:r w:rsidRPr="003B7029">
        <w:rPr>
          <w:i/>
          <w:iCs/>
        </w:rPr>
        <w:t>BFW</w:t>
      </w:r>
      <w:r w:rsidRPr="003B7029">
        <w:t>, nos. 4437, 11327, 11340.</w:t>
      </w:r>
    </w:p>
  </w:endnote>
  <w:endnote w:id="49">
    <w:p w14:paraId="1A5F8D72" w14:textId="59A7D094" w:rsidR="003A1E8B" w:rsidRPr="003B7029" w:rsidRDefault="003A1E8B" w:rsidP="00021085">
      <w:pPr>
        <w:pStyle w:val="Footnotes"/>
      </w:pPr>
      <w:r w:rsidRPr="003B7029">
        <w:rPr>
          <w:rStyle w:val="EndnoteReference"/>
        </w:rPr>
        <w:endnoteRef/>
      </w:r>
      <w:r w:rsidRPr="003B7029">
        <w:t xml:space="preserve"> </w:t>
      </w:r>
      <w:r w:rsidRPr="003B7029">
        <w:rPr>
          <w:i/>
          <w:iCs/>
        </w:rPr>
        <w:t>CM</w:t>
      </w:r>
      <w:r w:rsidRPr="003B7029">
        <w:t>, 4: 114. On this reference see also note 9</w:t>
      </w:r>
      <w:r w:rsidR="00A57E7E" w:rsidRPr="003B7029">
        <w:t>2</w:t>
      </w:r>
      <w:r w:rsidRPr="003B7029">
        <w:t xml:space="preserve"> below.</w:t>
      </w:r>
    </w:p>
  </w:endnote>
  <w:endnote w:id="50">
    <w:p w14:paraId="5EC21F7C" w14:textId="4F103DC4" w:rsidR="003A1E8B" w:rsidRPr="003B7029" w:rsidRDefault="003A1E8B" w:rsidP="00021085">
      <w:pPr>
        <w:pStyle w:val="Footnotes"/>
      </w:pPr>
      <w:r w:rsidRPr="003B7029">
        <w:rPr>
          <w:rStyle w:val="EndnoteReference"/>
        </w:rPr>
        <w:endnoteRef/>
      </w:r>
      <w:r w:rsidRPr="003B7029">
        <w:t xml:space="preserve"> There is a longstanding debate on whether Julian made one or two journeys eastwards. The argument that Julian made two journeys was established by Dörrie and was long considered authoritative: Heinrich Dörrie, ‘Drei Texte zur Geschichte der Ungarn und Mongolen: die Missionsreisen des fr. Iulianus O.P. ins Uralgebiet (1234–5) und nach Russland (1237) und der Bericht des Erzbischofs Peter über die Tartaren’, </w:t>
      </w:r>
      <w:r w:rsidRPr="003B7029">
        <w:rPr>
          <w:i/>
          <w:iCs/>
        </w:rPr>
        <w:t>Nachrichten von der Akademie der Wissenschaften in Göttingen: Philologisch-historische Klasse</w:t>
      </w:r>
      <w:r w:rsidRPr="003B7029">
        <w:t xml:space="preserve"> 6 (1956): 137–9; Hansgerd Göckenjan and James Ross Sweeney, eds.</w:t>
      </w:r>
      <w:r w:rsidR="00FA6BA2" w:rsidRPr="003B7029">
        <w:t xml:space="preserve"> and trans.</w:t>
      </w:r>
      <w:r w:rsidRPr="003B7029">
        <w:t xml:space="preserve">, </w:t>
      </w:r>
      <w:r w:rsidRPr="003B7029">
        <w:rPr>
          <w:i/>
          <w:iCs/>
        </w:rPr>
        <w:t>Der Mongolensturm: Berichte von Augenzeugen und Zeitgenossen, 1235–1250</w:t>
      </w:r>
      <w:r w:rsidRPr="003B7029">
        <w:t xml:space="preserve">, Ungarns Geschichtsschreiber 3 (Graz: Styria, 1985), 95–7. Sinor, by contrast, proposed that Julian only made one journey: Denis Sinor, ‘Un voyageur du treizième siècle: le Dominicain Julien de Hongrie’, </w:t>
      </w:r>
      <w:r w:rsidRPr="003B7029">
        <w:rPr>
          <w:i/>
          <w:iCs/>
        </w:rPr>
        <w:t>Bulletin of the School of Oriental and African Studies, University of London</w:t>
      </w:r>
      <w:r w:rsidRPr="003B7029">
        <w:t xml:space="preserve"> 14, no. 3 (1952): 589–602; Sinor, ‘Le rapport du Dominicain Julien écrit en 1238 sur le péril mongol’, </w:t>
      </w:r>
      <w:r w:rsidRPr="003B7029">
        <w:rPr>
          <w:i/>
          <w:iCs/>
        </w:rPr>
        <w:t>Comptes rendus des séances de l’Académie des Inscriptions et Belles-Lettres</w:t>
      </w:r>
      <w:r w:rsidRPr="003B7029">
        <w:t xml:space="preserve"> 146, no. 4 (2002): 1153–68. This latter interpretation has recently found support in Nora Berend, Przemysław Urbańczyk, and Przemysław Wiszewski, </w:t>
      </w:r>
      <w:r w:rsidRPr="003B7029">
        <w:rPr>
          <w:i/>
          <w:iCs/>
        </w:rPr>
        <w:t>Central Europe in the High Middle Ages: Bohemia, Hungary and Poland, c.900–c.1300</w:t>
      </w:r>
      <w:r w:rsidRPr="003B7029">
        <w:t>, Cambridge Medieval Textbooks (Cambridge: Cambridge University Press, 2013), 68–71.</w:t>
      </w:r>
    </w:p>
  </w:endnote>
  <w:endnote w:id="51">
    <w:p w14:paraId="583EC66A" w14:textId="77777777" w:rsidR="003A1E8B" w:rsidRPr="003B7029" w:rsidRDefault="003A1E8B" w:rsidP="00021085">
      <w:pPr>
        <w:pStyle w:val="Footnotes"/>
      </w:pPr>
      <w:r w:rsidRPr="003B7029">
        <w:rPr>
          <w:rStyle w:val="EndnoteReference"/>
        </w:rPr>
        <w:endnoteRef/>
      </w:r>
      <w:r w:rsidRPr="003B7029">
        <w:t xml:space="preserve"> Dörrie, ‘Drei Texte’, 162–5 (165–82 for the text); Göckenjan and Sweeney, </w:t>
      </w:r>
      <w:r w:rsidRPr="003B7029">
        <w:rPr>
          <w:i/>
          <w:iCs/>
        </w:rPr>
        <w:t>Der Mongolensturm</w:t>
      </w:r>
      <w:r w:rsidRPr="003B7029">
        <w:t>, 99–100; Sinor, ‘La rapport du Dominicain Julien’, 1154–5.</w:t>
      </w:r>
    </w:p>
  </w:endnote>
  <w:endnote w:id="52">
    <w:p w14:paraId="7B4EBFB3" w14:textId="77777777" w:rsidR="003A1E8B" w:rsidRPr="003B7029" w:rsidRDefault="003A1E8B" w:rsidP="00021085">
      <w:pPr>
        <w:pStyle w:val="Footnotes"/>
      </w:pPr>
      <w:r w:rsidRPr="003B7029">
        <w:rPr>
          <w:rStyle w:val="EndnoteReference"/>
        </w:rPr>
        <w:endnoteRef/>
      </w:r>
      <w:r w:rsidRPr="003B7029">
        <w:t xml:space="preserve"> Dörrie, ‘Drei Texte’, 163, 180.</w:t>
      </w:r>
    </w:p>
  </w:endnote>
  <w:endnote w:id="53">
    <w:p w14:paraId="171D2526" w14:textId="77777777" w:rsidR="003A1E8B" w:rsidRPr="003B7029" w:rsidRDefault="003A1E8B" w:rsidP="00021085">
      <w:pPr>
        <w:pStyle w:val="Footnotes"/>
      </w:pPr>
      <w:r w:rsidRPr="003B7029">
        <w:rPr>
          <w:rStyle w:val="EndnoteReference"/>
        </w:rPr>
        <w:endnoteRef/>
      </w:r>
      <w:r w:rsidRPr="003B7029">
        <w:t xml:space="preserve"> Sinor, ‘Un voyageur’, 591.</w:t>
      </w:r>
    </w:p>
  </w:endnote>
  <w:endnote w:id="54">
    <w:p w14:paraId="5426E4AA" w14:textId="77777777" w:rsidR="003A1E8B" w:rsidRPr="003B7029" w:rsidRDefault="003A1E8B" w:rsidP="00021085">
      <w:pPr>
        <w:pStyle w:val="Footnotes"/>
      </w:pPr>
      <w:r w:rsidRPr="003B7029">
        <w:rPr>
          <w:rStyle w:val="EndnoteReference"/>
        </w:rPr>
        <w:endnoteRef/>
      </w:r>
      <w:r w:rsidRPr="003B7029">
        <w:t xml:space="preserve"> Ottobeuren letter 2, ‘Notum sit omnibus Christi fidelibus, quod hoc scriptum rex Hungarie delegavit patriarche Aquiegiensi et patriarcha transmisit episcopo Brixinensi et comiti Tyrolensi, ut et ipsi universis Christi fidelibus transmittant admonendo eos, ut eum pro ecclesia exorare studeant. Preterea scire desideramus omnes, ad quos presens scriptum pervenerit, quod lator presentium iustus et veredicus sit.’ Also transcribed in </w:t>
      </w:r>
      <w:r w:rsidRPr="003B7029">
        <w:rPr>
          <w:i/>
          <w:iCs/>
        </w:rPr>
        <w:t>TUB</w:t>
      </w:r>
      <w:r w:rsidRPr="003B7029">
        <w:t>, 3: 165, 365–6 (no. 1124).</w:t>
      </w:r>
    </w:p>
  </w:endnote>
  <w:endnote w:id="55">
    <w:p w14:paraId="731F40FF" w14:textId="77777777" w:rsidR="003A1E8B" w:rsidRPr="003B7029" w:rsidRDefault="003A1E8B" w:rsidP="00021085">
      <w:pPr>
        <w:pStyle w:val="Footnotes"/>
      </w:pPr>
      <w:r w:rsidRPr="003B7029">
        <w:rPr>
          <w:rStyle w:val="EndnoteReference"/>
        </w:rPr>
        <w:endnoteRef/>
      </w:r>
      <w:r w:rsidRPr="003B7029">
        <w:t xml:space="preserve"> Sinor, ‘Un voyageur’, 600–2. Berthold was also maternal uncle to Duke Henry II of Silesia. The connections of the house of Andechs-Meran in the thirteenth century are discussed in Jonathan R. Lyon, </w:t>
      </w:r>
      <w:r w:rsidRPr="003B7029">
        <w:rPr>
          <w:i/>
          <w:iCs/>
        </w:rPr>
        <w:t>Princely Brothers and Sisters: The Sibling Bond in German Politics, 1100–1250</w:t>
      </w:r>
      <w:r w:rsidRPr="003B7029">
        <w:t xml:space="preserve"> (Ithaca, NY: Cornell University Press, 2013), 164–81.</w:t>
      </w:r>
    </w:p>
  </w:endnote>
  <w:endnote w:id="56">
    <w:p w14:paraId="110D5E6A" w14:textId="48C9F6CB" w:rsidR="003A1E8B" w:rsidRPr="003B7029" w:rsidRDefault="003A1E8B" w:rsidP="00021085">
      <w:pPr>
        <w:pStyle w:val="Footnotes"/>
      </w:pPr>
      <w:r w:rsidRPr="003B7029">
        <w:rPr>
          <w:rStyle w:val="EndnoteReference"/>
        </w:rPr>
        <w:endnoteRef/>
      </w:r>
      <w:r w:rsidRPr="003B7029">
        <w:t xml:space="preserve"> Walter Landi, ‘Die Grafen von Tirol: Ein historisch-familiengeschichtlicher Überblick (10.–14. Jahrhundert)’, in </w:t>
      </w:r>
      <w:r w:rsidRPr="003B7029">
        <w:rPr>
          <w:i/>
          <w:iCs/>
        </w:rPr>
        <w:t>Schloss Tirol</w:t>
      </w:r>
      <w:r w:rsidRPr="003B7029">
        <w:t xml:space="preserve">, ed. Walter Hauser and Martin Mittermair, vol. 1 (Bolzano: Schloss Tirol, 2017–18), 125–7. Berthold’s relationship with Meinhard is discussed in Lyon, </w:t>
      </w:r>
      <w:r w:rsidRPr="003B7029">
        <w:rPr>
          <w:i/>
          <w:iCs/>
        </w:rPr>
        <w:t>Princely Brothers and Sisters</w:t>
      </w:r>
      <w:r w:rsidRPr="003B7029">
        <w:t>, 190–1. Albert’s other daughter, Elizabeth, was married to also married to a relation of Berthold’s, his great-nephew Duke Otto II of Merania.</w:t>
      </w:r>
    </w:p>
  </w:endnote>
  <w:endnote w:id="57">
    <w:p w14:paraId="48EBD203" w14:textId="240C2D49" w:rsidR="003A1E8B" w:rsidRPr="003B7029" w:rsidRDefault="003A1E8B" w:rsidP="00F24699">
      <w:pPr>
        <w:pStyle w:val="Footnotes"/>
      </w:pPr>
      <w:r w:rsidRPr="003B7029">
        <w:rPr>
          <w:rStyle w:val="EndnoteReference"/>
        </w:rPr>
        <w:endnoteRef/>
      </w:r>
      <w:r w:rsidRPr="003B7029">
        <w:t xml:space="preserve"> </w:t>
      </w:r>
      <w:r w:rsidRPr="003B7029">
        <w:rPr>
          <w:i/>
          <w:iCs/>
        </w:rPr>
        <w:t>TUB</w:t>
      </w:r>
      <w:r w:rsidRPr="003B7029">
        <w:t xml:space="preserve">, 3: 171 (no. 1129). Patriasdorf is so named because it was a possession of the patriarchs of Aquileia, while Lienz belonged to the counts of Gorizia; see Meinrad Pizzinini, ‘Lienz’, in </w:t>
      </w:r>
      <w:r w:rsidRPr="003B7029">
        <w:rPr>
          <w:i/>
          <w:iCs/>
        </w:rPr>
        <w:t>Österreichische Städteatlas</w:t>
      </w:r>
      <w:r w:rsidRPr="003B7029">
        <w:t xml:space="preserve">, vol. 8, 11 vols (Vienna: Österreichischer Arbeitskreis für Stadtgeschichtsforschung, 2004), </w:t>
      </w:r>
      <w:hyperlink r:id="rId5" w:history="1">
        <w:r w:rsidRPr="003B7029">
          <w:rPr>
            <w:rStyle w:val="Hyperlink"/>
          </w:rPr>
          <w:t>https://www.arcanum.hu/hu/online-kiadvanyok/OsterreichischerStadtatlas-osterreichischer-stadteatlas-1/lienz-2C9A/</w:t>
        </w:r>
      </w:hyperlink>
      <w:r w:rsidRPr="003B7029">
        <w:t xml:space="preserve"> (accessed </w:t>
      </w:r>
      <w:r w:rsidR="00595CE1" w:rsidRPr="003B7029">
        <w:t>24</w:t>
      </w:r>
      <w:r w:rsidRPr="003B7029">
        <w:t xml:space="preserve"> March</w:t>
      </w:r>
      <w:r w:rsidR="00595CE1" w:rsidRPr="003B7029">
        <w:t>,</w:t>
      </w:r>
      <w:r w:rsidRPr="003B7029">
        <w:t xml:space="preserve"> 2021).</w:t>
      </w:r>
    </w:p>
  </w:endnote>
  <w:endnote w:id="58">
    <w:p w14:paraId="19E49E33" w14:textId="070DADC7" w:rsidR="003A1E8B" w:rsidRPr="003B7029" w:rsidRDefault="003A1E8B" w:rsidP="00BF72BD">
      <w:pPr>
        <w:pStyle w:val="Footnotes"/>
      </w:pPr>
      <w:r w:rsidRPr="003B7029">
        <w:rPr>
          <w:rStyle w:val="EndnoteReference"/>
        </w:rPr>
        <w:endnoteRef/>
      </w:r>
      <w:r w:rsidRPr="003B7029">
        <w:t xml:space="preserve"> </w:t>
      </w:r>
      <w:r w:rsidRPr="003B7029">
        <w:rPr>
          <w:i/>
          <w:iCs/>
        </w:rPr>
        <w:t>TUB</w:t>
      </w:r>
      <w:r w:rsidRPr="003B7029">
        <w:t xml:space="preserve">, 3: 167–70 (no. 1127); Huter, ‘Die Mongolengefahr von 1241 und Tirol’, </w:t>
      </w:r>
      <w:r w:rsidRPr="003B7029">
        <w:rPr>
          <w:i/>
          <w:iCs/>
        </w:rPr>
        <w:t>Carinthia I</w:t>
      </w:r>
      <w:r w:rsidRPr="003B7029">
        <w:t xml:space="preserve"> 146 (1956): 528–35; reprinted in Franz Huter, </w:t>
      </w:r>
      <w:r w:rsidRPr="003B7029">
        <w:rPr>
          <w:i/>
          <w:iCs/>
        </w:rPr>
        <w:t>Ausgewählte Aufsätze zur Geschichte Tirols</w:t>
      </w:r>
      <w:r w:rsidRPr="003B7029">
        <w:t xml:space="preserve">, ed. Josef Riedmann and Marjan Cescutti, Schlern-Schriften 300 (Innsbruck: Universitätsverlag Wagner, 1997), 160–6 (here 165). On the feud see also Konstantin von Blumenthal, ‘Hugo von Velturns († 1267), </w:t>
      </w:r>
      <w:r w:rsidRPr="003B7029">
        <w:rPr>
          <w:i/>
          <w:iCs/>
        </w:rPr>
        <w:t>qui se pro nobis et ecclesia nostra tutorem et murum inexpugnabilem exposuit</w:t>
      </w:r>
      <w:r w:rsidRPr="003B7029">
        <w:t xml:space="preserve">: Teil 1’, </w:t>
      </w:r>
      <w:r w:rsidRPr="003B7029">
        <w:rPr>
          <w:i/>
          <w:iCs/>
        </w:rPr>
        <w:t>Tiroler Heimat</w:t>
      </w:r>
      <w:r w:rsidRPr="003B7029">
        <w:t xml:space="preserve"> 82 (2018): 97–107.</w:t>
      </w:r>
    </w:p>
  </w:endnote>
  <w:endnote w:id="59">
    <w:p w14:paraId="53805644" w14:textId="3F5D6EFB" w:rsidR="00126B0F" w:rsidRPr="003B7029" w:rsidRDefault="00126B0F" w:rsidP="00367E47">
      <w:pPr>
        <w:pStyle w:val="Footnotes"/>
      </w:pPr>
      <w:r w:rsidRPr="003B7029">
        <w:rPr>
          <w:rStyle w:val="EndnoteReference"/>
        </w:rPr>
        <w:endnoteRef/>
      </w:r>
      <w:r w:rsidRPr="003B7029">
        <w:t xml:space="preserve"> </w:t>
      </w:r>
      <w:r w:rsidR="000506E5" w:rsidRPr="003B7029">
        <w:rPr>
          <w:lang w:val="en-US"/>
        </w:rPr>
        <w:t xml:space="preserve">Ernst Oehlmann, ‘Die Alpenpässe im Mittelalter (2)’, </w:t>
      </w:r>
      <w:r w:rsidR="000506E5" w:rsidRPr="003B7029">
        <w:rPr>
          <w:i/>
          <w:iCs/>
          <w:lang w:val="en-US"/>
        </w:rPr>
        <w:t>Jahrbuch für schweizerische Geschichte</w:t>
      </w:r>
      <w:r w:rsidR="000506E5" w:rsidRPr="003B7029">
        <w:rPr>
          <w:lang w:val="en-US"/>
        </w:rPr>
        <w:t xml:space="preserve"> 4 (1879): 20</w:t>
      </w:r>
      <w:r w:rsidR="00AB2F01" w:rsidRPr="003B7029">
        <w:rPr>
          <w:lang w:val="en-US"/>
        </w:rPr>
        <w:t>2</w:t>
      </w:r>
      <w:r w:rsidR="000506E5" w:rsidRPr="003B7029">
        <w:rPr>
          <w:lang w:val="en-US"/>
        </w:rPr>
        <w:t xml:space="preserve">–11; </w:t>
      </w:r>
      <w:r w:rsidRPr="003B7029">
        <w:t xml:space="preserve">John Ecclesfield Tyler, </w:t>
      </w:r>
      <w:r w:rsidRPr="003B7029">
        <w:rPr>
          <w:i/>
          <w:iCs/>
        </w:rPr>
        <w:t>The Alpine Passes: The Middle Ages (962–1250)</w:t>
      </w:r>
      <w:r w:rsidRPr="003B7029">
        <w:t xml:space="preserve"> (Oxford: Blackwell, 1930), 80, 110, 111–17. </w:t>
      </w:r>
      <w:r w:rsidR="00021EA7" w:rsidRPr="003B7029">
        <w:t xml:space="preserve">The primary Brenner route ran </w:t>
      </w:r>
      <w:r w:rsidR="00AA4156" w:rsidRPr="003B7029">
        <w:t xml:space="preserve">between Verona and Augsburg, passing </w:t>
      </w:r>
      <w:r w:rsidR="00A70475" w:rsidRPr="003B7029">
        <w:t xml:space="preserve">in turn </w:t>
      </w:r>
      <w:r w:rsidR="00AA4156" w:rsidRPr="003B7029">
        <w:t>through Trent, Bolzano, Brixen, Sterzing, Brenner, Innsbruck, Partenkirchen</w:t>
      </w:r>
      <w:r w:rsidR="008842DE" w:rsidRPr="003B7029">
        <w:t>,</w:t>
      </w:r>
      <w:r w:rsidR="00AC074E" w:rsidRPr="003B7029">
        <w:t xml:space="preserve"> Schongau, and then Augsburg</w:t>
      </w:r>
      <w:r w:rsidR="003C259D" w:rsidRPr="003B7029">
        <w:t xml:space="preserve">. The </w:t>
      </w:r>
      <w:r w:rsidR="00CF3CCD" w:rsidRPr="003B7029">
        <w:t xml:space="preserve">Swabian </w:t>
      </w:r>
      <w:r w:rsidR="00315633" w:rsidRPr="003B7029">
        <w:t>branch</w:t>
      </w:r>
      <w:r w:rsidR="003C259D" w:rsidRPr="003B7029">
        <w:t xml:space="preserve"> </w:t>
      </w:r>
      <w:r w:rsidR="00367E47" w:rsidRPr="003B7029">
        <w:t xml:space="preserve">followed this </w:t>
      </w:r>
      <w:r w:rsidR="00CF3CCD" w:rsidRPr="003B7029">
        <w:t xml:space="preserve">itinerary </w:t>
      </w:r>
      <w:r w:rsidR="00367E47" w:rsidRPr="003B7029">
        <w:t>as far as Zirl</w:t>
      </w:r>
      <w:r w:rsidR="00A5080B" w:rsidRPr="003B7029">
        <w:t xml:space="preserve">, </w:t>
      </w:r>
      <w:r w:rsidR="00367E47" w:rsidRPr="003B7029">
        <w:t xml:space="preserve">east of Innsbruck, </w:t>
      </w:r>
      <w:r w:rsidR="00492AA2" w:rsidRPr="003B7029">
        <w:t>but</w:t>
      </w:r>
      <w:r w:rsidR="00367E47" w:rsidRPr="003B7029">
        <w:t xml:space="preserve"> exited the </w:t>
      </w:r>
      <w:r w:rsidR="00E11B2D" w:rsidRPr="003B7029">
        <w:t xml:space="preserve">Inn Valley </w:t>
      </w:r>
      <w:r w:rsidR="004E506D" w:rsidRPr="003B7029">
        <w:t>through</w:t>
      </w:r>
      <w:r w:rsidR="00E11B2D" w:rsidRPr="003B7029">
        <w:t xml:space="preserve"> </w:t>
      </w:r>
      <w:r w:rsidR="004E506D" w:rsidRPr="003B7029">
        <w:t xml:space="preserve">the </w:t>
      </w:r>
      <w:r w:rsidRPr="003B7029">
        <w:t>Fern Pass and Füssen</w:t>
      </w:r>
      <w:r w:rsidR="00E91865" w:rsidRPr="003B7029">
        <w:t>;</w:t>
      </w:r>
      <w:r w:rsidR="009469D7" w:rsidRPr="003B7029">
        <w:t xml:space="preserve"> en route to Ulm </w:t>
      </w:r>
      <w:r w:rsidR="00E11B2D" w:rsidRPr="003B7029">
        <w:t>it likely passed</w:t>
      </w:r>
      <w:r w:rsidRPr="003B7029">
        <w:t xml:space="preserve"> through Memmingen, 10 km east of Ottobeuren.</w:t>
      </w:r>
      <w:r w:rsidR="00CA6608" w:rsidRPr="003B7029">
        <w:t xml:space="preserve"> </w:t>
      </w:r>
      <w:r w:rsidRPr="003B7029">
        <w:t xml:space="preserve">For maps of medieval roads which partially cover the region in question, see also </w:t>
      </w:r>
      <w:r w:rsidRPr="003B7029">
        <w:rPr>
          <w:lang w:val="en-US"/>
        </w:rPr>
        <w:t>Meinrad Schaab, ‘</w:t>
      </w:r>
      <w:r w:rsidR="0084282A" w:rsidRPr="003B7029">
        <w:rPr>
          <w:lang w:val="en-US"/>
        </w:rPr>
        <w:t>Beiwort zur Karte 10,</w:t>
      </w:r>
      <w:r w:rsidR="00C04B7B" w:rsidRPr="003B7029">
        <w:rPr>
          <w:lang w:val="en-US"/>
        </w:rPr>
        <w:t xml:space="preserve"> </w:t>
      </w:r>
      <w:r w:rsidR="0084282A" w:rsidRPr="003B7029">
        <w:rPr>
          <w:lang w:val="en-US"/>
        </w:rPr>
        <w:t xml:space="preserve">1: Geleitstraßen um 1550’, </w:t>
      </w:r>
      <w:r w:rsidR="00642D51" w:rsidRPr="003B7029">
        <w:rPr>
          <w:lang w:val="en-US"/>
        </w:rPr>
        <w:t>in</w:t>
      </w:r>
      <w:r w:rsidRPr="003B7029">
        <w:rPr>
          <w:lang w:val="en-US"/>
        </w:rPr>
        <w:t xml:space="preserve"> </w:t>
      </w:r>
      <w:r w:rsidRPr="003B7029">
        <w:rPr>
          <w:i/>
          <w:iCs/>
        </w:rPr>
        <w:t>Historischer Atlas von Baden-Württemberg</w:t>
      </w:r>
      <w:r w:rsidRPr="003B7029">
        <w:t xml:space="preserve"> (Stuttgart: Landesvermessungsamt Baden-Württemberg, 1972–88), </w:t>
      </w:r>
      <w:r w:rsidR="00D3495B" w:rsidRPr="003B7029">
        <w:t>1–19</w:t>
      </w:r>
      <w:r w:rsidR="00B46279" w:rsidRPr="003B7029">
        <w:t xml:space="preserve">, </w:t>
      </w:r>
      <w:hyperlink r:id="rId6" w:history="1">
        <w:r w:rsidR="00A35F8E" w:rsidRPr="003B7029">
          <w:rPr>
            <w:rStyle w:val="Hyperlink"/>
          </w:rPr>
          <w:t>https://www.leo-bw.de/media/kgl_atlas/current/delivered/pdf/HABW_10_1.pdf</w:t>
        </w:r>
      </w:hyperlink>
      <w:r w:rsidR="00A35F8E" w:rsidRPr="003B7029">
        <w:t xml:space="preserve"> (</w:t>
      </w:r>
      <w:r w:rsidR="00917D80" w:rsidRPr="003B7029">
        <w:t>accessed 2</w:t>
      </w:r>
      <w:r w:rsidR="00797BF0" w:rsidRPr="003B7029">
        <w:t>4</w:t>
      </w:r>
      <w:r w:rsidR="00917D80" w:rsidRPr="003B7029">
        <w:t xml:space="preserve"> March, 2021</w:t>
      </w:r>
      <w:r w:rsidR="00A35F8E" w:rsidRPr="003B7029">
        <w:t>)</w:t>
      </w:r>
      <w:r w:rsidR="00917D80" w:rsidRPr="003B7029">
        <w:t>;</w:t>
      </w:r>
      <w:r w:rsidRPr="003B7029">
        <w:t xml:space="preserve"> </w:t>
      </w:r>
      <w:r w:rsidRPr="003B7029">
        <w:rPr>
          <w:lang w:val="en-US"/>
        </w:rPr>
        <w:t xml:space="preserve">David Ditchburn, Simon MacLean, and Angus MacKay, eds., </w:t>
      </w:r>
      <w:r w:rsidRPr="003B7029">
        <w:rPr>
          <w:i/>
          <w:iCs/>
          <w:lang w:val="en-US"/>
        </w:rPr>
        <w:t>Atlas of Medieval Europe</w:t>
      </w:r>
      <w:r w:rsidRPr="003B7029">
        <w:rPr>
          <w:lang w:val="en-US"/>
        </w:rPr>
        <w:t>, 2nd ed. (London, New York: Routledge, 2007), 159–60</w:t>
      </w:r>
      <w:r w:rsidRPr="003B7029">
        <w:t xml:space="preserve">; Bernhard Schwade, ‘Kaiserpfalzen und Königshöfe: Das Reisekönigtum im Mittelalter’, Altwege in Deutschland (2016), </w:t>
      </w:r>
      <w:hyperlink r:id="rId7" w:history="1">
        <w:r w:rsidRPr="003B7029">
          <w:rPr>
            <w:rStyle w:val="Hyperlink"/>
          </w:rPr>
          <w:t>http://www.altwege.de/kaiser-pfalzen/home-pfalzen.html?Pfalzen=K%F6nigspfalzen</w:t>
        </w:r>
      </w:hyperlink>
      <w:r w:rsidRPr="003B7029">
        <w:t>, accessed 2</w:t>
      </w:r>
      <w:r w:rsidR="00652CA3" w:rsidRPr="003B7029">
        <w:t>4</w:t>
      </w:r>
      <w:r w:rsidRPr="003B7029">
        <w:t xml:space="preserve"> March, 2021. For Roman roads </w:t>
      </w:r>
      <w:r w:rsidR="007725CC" w:rsidRPr="003B7029">
        <w:t>in the region</w:t>
      </w:r>
      <w:r w:rsidR="00CB5F8D" w:rsidRPr="003B7029">
        <w:t xml:space="preserve">, which often remained in use </w:t>
      </w:r>
      <w:r w:rsidR="007725CC" w:rsidRPr="003B7029">
        <w:t>in the Middle Ages</w:t>
      </w:r>
      <w:r w:rsidRPr="003B7029">
        <w:t xml:space="preserve">, see </w:t>
      </w:r>
      <w:r w:rsidRPr="003B7029">
        <w:rPr>
          <w:lang w:val="en-US"/>
        </w:rPr>
        <w:t xml:space="preserve">Michael McCormick et al., ‘Roman Road Network (Version 2008)’, </w:t>
      </w:r>
      <w:r w:rsidR="001C5D5F" w:rsidRPr="003B7029">
        <w:rPr>
          <w:lang w:val="en-US"/>
        </w:rPr>
        <w:t>Harvard Dataverse</w:t>
      </w:r>
      <w:r w:rsidR="00000552" w:rsidRPr="003B7029">
        <w:rPr>
          <w:lang w:val="en-US"/>
        </w:rPr>
        <w:t>,</w:t>
      </w:r>
      <w:r w:rsidR="001C5D5F" w:rsidRPr="003B7029">
        <w:rPr>
          <w:lang w:val="en-US"/>
        </w:rPr>
        <w:t xml:space="preserve"> V1</w:t>
      </w:r>
      <w:r w:rsidR="007E6C31" w:rsidRPr="003B7029">
        <w:rPr>
          <w:lang w:val="en-US"/>
        </w:rPr>
        <w:t xml:space="preserve"> </w:t>
      </w:r>
      <w:r w:rsidR="00B9238F" w:rsidRPr="003B7029">
        <w:rPr>
          <w:lang w:val="en-US"/>
        </w:rPr>
        <w:t>([dataset]; accessed 2</w:t>
      </w:r>
      <w:r w:rsidR="00797BF0" w:rsidRPr="003B7029">
        <w:rPr>
          <w:lang w:val="en-US"/>
        </w:rPr>
        <w:t>4</w:t>
      </w:r>
      <w:r w:rsidR="00B9238F" w:rsidRPr="003B7029">
        <w:rPr>
          <w:lang w:val="en-US"/>
        </w:rPr>
        <w:t xml:space="preserve"> March, 2021)</w:t>
      </w:r>
      <w:r w:rsidRPr="003B7029">
        <w:rPr>
          <w:lang w:val="en-US"/>
        </w:rPr>
        <w:t xml:space="preserve">, </w:t>
      </w:r>
      <w:hyperlink r:id="rId8" w:history="1">
        <w:r w:rsidRPr="003B7029">
          <w:rPr>
            <w:rStyle w:val="Hyperlink"/>
            <w:lang w:val="en-US"/>
          </w:rPr>
          <w:t>https://doi.org/10.7910/DVN/TI0KAU</w:t>
        </w:r>
      </w:hyperlink>
      <w:r w:rsidRPr="003B7029">
        <w:rPr>
          <w:lang w:val="en-US"/>
        </w:rPr>
        <w:t>.</w:t>
      </w:r>
      <w:r w:rsidRPr="003B7029">
        <w:t xml:space="preserve"> </w:t>
      </w:r>
    </w:p>
  </w:endnote>
  <w:endnote w:id="60">
    <w:p w14:paraId="0F709C72" w14:textId="7EA6AE7C" w:rsidR="00230AD5" w:rsidRPr="003B7029" w:rsidRDefault="00230AD5" w:rsidP="00230AD5">
      <w:pPr>
        <w:pStyle w:val="Footnotes"/>
        <w:rPr>
          <w:lang w:val="en-US"/>
        </w:rPr>
      </w:pPr>
      <w:r w:rsidRPr="003B7029">
        <w:rPr>
          <w:rStyle w:val="EndnoteReference"/>
        </w:rPr>
        <w:endnoteRef/>
      </w:r>
      <w:r w:rsidRPr="003B7029">
        <w:t xml:space="preserve"> </w:t>
      </w:r>
      <w:r w:rsidR="008C129B" w:rsidRPr="003B7029">
        <w:t xml:space="preserve">Oehlmann, ‘Die Alpenpässe (2)’, 239–45; </w:t>
      </w:r>
      <w:r w:rsidRPr="003B7029">
        <w:rPr>
          <w:lang w:val="en-US"/>
        </w:rPr>
        <w:t xml:space="preserve">Tyler, </w:t>
      </w:r>
      <w:r w:rsidRPr="003B7029">
        <w:rPr>
          <w:i/>
          <w:iCs/>
          <w:lang w:val="en-US"/>
        </w:rPr>
        <w:t>Alpine Passes</w:t>
      </w:r>
      <w:r w:rsidRPr="003B7029">
        <w:rPr>
          <w:lang w:val="en-US"/>
        </w:rPr>
        <w:t>, 127–8.</w:t>
      </w:r>
    </w:p>
  </w:endnote>
  <w:endnote w:id="61">
    <w:p w14:paraId="7295CD96" w14:textId="0D0F829A" w:rsidR="003A1E8B" w:rsidRPr="003B7029" w:rsidRDefault="003A1E8B" w:rsidP="00986B61">
      <w:pPr>
        <w:pStyle w:val="Footnotes"/>
      </w:pPr>
      <w:r w:rsidRPr="003B7029">
        <w:rPr>
          <w:rStyle w:val="EndnoteReference"/>
        </w:rPr>
        <w:endnoteRef/>
      </w:r>
      <w:r w:rsidRPr="003B7029">
        <w:t xml:space="preserve"> On Ulrich of Ulten see Bruno Mahlknecht, </w:t>
      </w:r>
      <w:r w:rsidRPr="003B7029">
        <w:rPr>
          <w:i/>
          <w:iCs/>
        </w:rPr>
        <w:t>Eppan: Geschichte und Gegenwart. Ein Gemeindebuch zum Anlaß der 1400-Jahr-Erstnennung des Names Eppan im Jahre 590</w:t>
      </w:r>
      <w:r w:rsidRPr="003B7029">
        <w:t xml:space="preserve"> (Eppan: Gemeinde Eppan, 1990), 26</w:t>
      </w:r>
      <w:r w:rsidR="00982F55" w:rsidRPr="003B7029">
        <w:t>6</w:t>
      </w:r>
      <w:r w:rsidRPr="003B7029">
        <w:t>, 273</w:t>
      </w:r>
      <w:r w:rsidR="00DD7A04" w:rsidRPr="003B7029">
        <w:t>–</w:t>
      </w:r>
      <w:r w:rsidRPr="003B7029">
        <w:t xml:space="preserve">5, 277, </w:t>
      </w:r>
      <w:hyperlink r:id="rId9" w:history="1">
        <w:r w:rsidRPr="003B7029">
          <w:rPr>
            <w:rStyle w:val="Hyperlink"/>
          </w:rPr>
          <w:t>https://digital.tessmann.it/tessmannDigital/Buch/22527/</w:t>
        </w:r>
      </w:hyperlink>
      <w:r w:rsidRPr="003B7029">
        <w:t xml:space="preserve"> (accessed </w:t>
      </w:r>
      <w:r w:rsidR="00903251" w:rsidRPr="003B7029">
        <w:t>24</w:t>
      </w:r>
      <w:r w:rsidR="005B1102" w:rsidRPr="003B7029">
        <w:t xml:space="preserve"> March</w:t>
      </w:r>
      <w:r w:rsidRPr="003B7029">
        <w:t>, 202</w:t>
      </w:r>
      <w:r w:rsidR="005B1102" w:rsidRPr="003B7029">
        <w:t>1</w:t>
      </w:r>
      <w:r w:rsidRPr="003B7029">
        <w:t xml:space="preserve">); Mahlknecht, ‘Die Grafen von Eppan: Versuch einer Gesamtdarstellung’, </w:t>
      </w:r>
      <w:r w:rsidRPr="003B7029">
        <w:rPr>
          <w:i/>
          <w:iCs/>
        </w:rPr>
        <w:t>Der Schlern</w:t>
      </w:r>
      <w:r w:rsidRPr="003B7029">
        <w:t xml:space="preserve"> 72 (1998): 689, 695–6.</w:t>
      </w:r>
    </w:p>
  </w:endnote>
  <w:endnote w:id="62">
    <w:p w14:paraId="77FCE322" w14:textId="2E82CFED" w:rsidR="003A1E8B" w:rsidRPr="003B7029" w:rsidRDefault="003A1E8B" w:rsidP="00021085">
      <w:pPr>
        <w:pStyle w:val="Footnotes"/>
      </w:pPr>
      <w:r w:rsidRPr="003B7029">
        <w:rPr>
          <w:rStyle w:val="EndnoteReference"/>
        </w:rPr>
        <w:endnoteRef/>
      </w:r>
      <w:r w:rsidRPr="003B7029">
        <w:t xml:space="preserve"> </w:t>
      </w:r>
      <w:r w:rsidRPr="003B7029">
        <w:rPr>
          <w:i/>
          <w:iCs/>
        </w:rPr>
        <w:t>TUB</w:t>
      </w:r>
      <w:r w:rsidRPr="003B7029">
        <w:t>, 3: 172–4 (no. 1131).</w:t>
      </w:r>
    </w:p>
  </w:endnote>
  <w:endnote w:id="63">
    <w:p w14:paraId="3BA28211" w14:textId="33E72235" w:rsidR="003A1E8B" w:rsidRPr="003B7029" w:rsidRDefault="003A1E8B" w:rsidP="00021085">
      <w:pPr>
        <w:pStyle w:val="Footnotes"/>
      </w:pPr>
      <w:r w:rsidRPr="003B7029">
        <w:rPr>
          <w:rStyle w:val="EndnoteReference"/>
        </w:rPr>
        <w:endnoteRef/>
      </w:r>
      <w:r w:rsidRPr="003B7029">
        <w:t xml:space="preserve"> Ibid., 176–7 (no. 1134).</w:t>
      </w:r>
    </w:p>
  </w:endnote>
  <w:endnote w:id="64">
    <w:p w14:paraId="37D15145" w14:textId="375D42BD" w:rsidR="003A1E8B" w:rsidRPr="003B7029" w:rsidRDefault="003A1E8B" w:rsidP="00385312">
      <w:pPr>
        <w:pStyle w:val="Footnotes"/>
        <w:rPr>
          <w:i/>
          <w:iCs/>
          <w:lang w:val="en-US"/>
        </w:rPr>
      </w:pPr>
      <w:r w:rsidRPr="003B7029">
        <w:rPr>
          <w:rStyle w:val="EndnoteReference"/>
        </w:rPr>
        <w:endnoteRef/>
      </w:r>
      <w:r w:rsidRPr="003B7029">
        <w:t xml:space="preserve"> Hansmartin Schwarzmaier, </w:t>
      </w:r>
      <w:r w:rsidRPr="003B7029">
        <w:rPr>
          <w:i/>
          <w:iCs/>
        </w:rPr>
        <w:t>Königtum, Adel und Klöster im Gebiet zwischen oberer Iller und Lech</w:t>
      </w:r>
      <w:r w:rsidRPr="003B7029">
        <w:t>, Veröffentlichungen der Schwäbischen Forschungsgemeinschaft bei der Kommission für Bayerische Landesgeschichte, Reihe 1: Studien zur Geschichte der bayerischen Schwabens 7 (Augsburg: Verlag der Schwäbischen Forschungsgemeinschaft, 1961), 67–117 (here 82–6, 90, 116–17). On the advocacy see also note 8</w:t>
      </w:r>
      <w:r w:rsidR="00A57E7E" w:rsidRPr="003B7029">
        <w:t>7</w:t>
      </w:r>
      <w:r w:rsidRPr="003B7029">
        <w:t xml:space="preserve"> below.</w:t>
      </w:r>
    </w:p>
  </w:endnote>
  <w:endnote w:id="65">
    <w:p w14:paraId="686D23BE" w14:textId="4EFB9825" w:rsidR="003A1E8B" w:rsidRPr="003B7029" w:rsidRDefault="003A1E8B" w:rsidP="006E791C">
      <w:pPr>
        <w:pStyle w:val="Footnotes"/>
      </w:pPr>
      <w:r w:rsidRPr="003B7029">
        <w:rPr>
          <w:rStyle w:val="EndnoteReference"/>
        </w:rPr>
        <w:endnoteRef/>
      </w:r>
      <w:r w:rsidR="00AA0933" w:rsidRPr="003B7029">
        <w:t xml:space="preserve"> </w:t>
      </w:r>
      <w:r w:rsidRPr="003B7029">
        <w:t>Landi, ‘</w:t>
      </w:r>
      <w:r w:rsidRPr="003B7029">
        <w:rPr>
          <w:i/>
          <w:iCs/>
        </w:rPr>
        <w:t>Dilectus consanguineus</w:t>
      </w:r>
      <w:r w:rsidRPr="003B7029">
        <w:t xml:space="preserve">: Die Grafen von Eppan und ihre Verwandten’, in </w:t>
      </w:r>
      <w:r w:rsidRPr="003B7029">
        <w:rPr>
          <w:i/>
          <w:iCs/>
        </w:rPr>
        <w:t>Eppan und das Überetsch: Wohnen und Wirtschaften an der Weinstraße und in angrenzenden Gebieten</w:t>
      </w:r>
      <w:r w:rsidRPr="003B7029">
        <w:t xml:space="preserve">, ed. Rainer Loose (Lana, 2008), 127–9. Cf. ibid., 165–9. </w:t>
      </w:r>
    </w:p>
  </w:endnote>
  <w:endnote w:id="66">
    <w:p w14:paraId="32E6C78F" w14:textId="56B79482" w:rsidR="003A1E8B" w:rsidRPr="003B7029" w:rsidRDefault="003A1E8B" w:rsidP="00345444">
      <w:pPr>
        <w:pStyle w:val="Footnotes"/>
      </w:pPr>
      <w:r w:rsidRPr="003B7029">
        <w:rPr>
          <w:rStyle w:val="EndnoteReference"/>
        </w:rPr>
        <w:endnoteRef/>
      </w:r>
      <w:r w:rsidRPr="003B7029">
        <w:t xml:space="preserve"> </w:t>
      </w:r>
      <w:r w:rsidRPr="003B7029">
        <w:rPr>
          <w:i/>
          <w:iCs/>
        </w:rPr>
        <w:t>TUB</w:t>
      </w:r>
      <w:r w:rsidRPr="003B7029">
        <w:t xml:space="preserve">, 3: 167 (no. 1126), ‘capitaneum locum nostrum Rumesperc’; </w:t>
      </w:r>
      <w:r w:rsidRPr="003B7029">
        <w:rPr>
          <w:i/>
          <w:iCs/>
        </w:rPr>
        <w:t>WUB Online</w:t>
      </w:r>
      <w:r w:rsidRPr="003B7029">
        <w:t>, 4: no. 972.</w:t>
      </w:r>
    </w:p>
  </w:endnote>
  <w:endnote w:id="67">
    <w:p w14:paraId="0ACBCBF5" w14:textId="5F55E7D1" w:rsidR="003A1E8B" w:rsidRPr="003B7029" w:rsidRDefault="003A1E8B" w:rsidP="00345444">
      <w:pPr>
        <w:pStyle w:val="Footnotes"/>
      </w:pPr>
      <w:r w:rsidRPr="003B7029">
        <w:rPr>
          <w:rStyle w:val="EndnoteReference"/>
        </w:rPr>
        <w:endnoteRef/>
      </w:r>
      <w:r w:rsidRPr="003B7029">
        <w:t xml:space="preserve"> Schwarzmaier, </w:t>
      </w:r>
      <w:r w:rsidRPr="003B7029">
        <w:rPr>
          <w:i/>
          <w:iCs/>
        </w:rPr>
        <w:t>Königtum</w:t>
      </w:r>
      <w:r w:rsidRPr="003B7029">
        <w:t xml:space="preserve">, 95–8. On Volkmar see also Eduard Gebele, ‘Volkmar der Weise von Kemnat’, in </w:t>
      </w:r>
      <w:r w:rsidRPr="003B7029">
        <w:rPr>
          <w:i/>
          <w:iCs/>
        </w:rPr>
        <w:t>Lebensbilder aus dem Bayerischen Schwaben</w:t>
      </w:r>
      <w:r w:rsidRPr="003B7029">
        <w:t>, vol. 1, 19 vols, Veröffentlichenungen der Schwäbischen Forschungsgemeinschaft, Reihe 3: Lebensbilder aus dem bayerischen Schwaben 1 (Munich: Hueber, 1952), 89–112 (here 105).</w:t>
      </w:r>
    </w:p>
  </w:endnote>
  <w:endnote w:id="68">
    <w:p w14:paraId="265C0BF6" w14:textId="636C9661" w:rsidR="003A1E8B" w:rsidRPr="003B7029" w:rsidRDefault="003A1E8B" w:rsidP="000D5A80">
      <w:pPr>
        <w:pStyle w:val="Footnotes"/>
      </w:pPr>
      <w:r w:rsidRPr="003B7029">
        <w:rPr>
          <w:rStyle w:val="EndnoteReference"/>
        </w:rPr>
        <w:endnoteRef/>
      </w:r>
      <w:r w:rsidRPr="003B7029">
        <w:t xml:space="preserve"> </w:t>
      </w:r>
      <w:r w:rsidRPr="003B7029">
        <w:rPr>
          <w:i/>
          <w:iCs/>
        </w:rPr>
        <w:t>TUB</w:t>
      </w:r>
      <w:r w:rsidRPr="003B7029">
        <w:t>, 3: 179 (no. 1137).</w:t>
      </w:r>
    </w:p>
  </w:endnote>
  <w:endnote w:id="69">
    <w:p w14:paraId="0E8A60DE" w14:textId="1E7F064B" w:rsidR="003A1E8B" w:rsidRPr="003B7029" w:rsidRDefault="003A1E8B" w:rsidP="00F27E31">
      <w:pPr>
        <w:pStyle w:val="Footnotes"/>
      </w:pPr>
      <w:r w:rsidRPr="003B7029">
        <w:rPr>
          <w:rStyle w:val="EndnoteReference"/>
        </w:rPr>
        <w:endnoteRef/>
      </w:r>
      <w:r w:rsidRPr="003B7029">
        <w:t xml:space="preserve"> </w:t>
      </w:r>
      <w:r w:rsidRPr="003B7029">
        <w:rPr>
          <w:i/>
          <w:iCs/>
        </w:rPr>
        <w:t>TUB</w:t>
      </w:r>
      <w:r w:rsidRPr="003B7029">
        <w:t>, 3: 160–1 (no. 1119). See also Gebele, ‘Volkmar der Weise’, 94; von Blumenthal, ‘Hugo von Velturns 1’, 98–9.</w:t>
      </w:r>
    </w:p>
  </w:endnote>
  <w:endnote w:id="70">
    <w:p w14:paraId="21A1F00D" w14:textId="77777777" w:rsidR="003A1E8B" w:rsidRPr="003B7029" w:rsidRDefault="003A1E8B" w:rsidP="00021085">
      <w:pPr>
        <w:pStyle w:val="Footnotes"/>
      </w:pPr>
      <w:r w:rsidRPr="003B7029">
        <w:rPr>
          <w:rStyle w:val="EndnoteReference"/>
        </w:rPr>
        <w:endnoteRef/>
      </w:r>
      <w:r w:rsidRPr="003B7029">
        <w:t xml:space="preserve"> Ottobeuren letters 1–3, prophecy 1. The Hungarian origins of the Cedar of Lebanon prophecy are suggested in Lerner, </w:t>
      </w:r>
      <w:r w:rsidRPr="003B7029">
        <w:rPr>
          <w:i/>
          <w:iCs/>
        </w:rPr>
        <w:t>Powers of Prophecy</w:t>
      </w:r>
      <w:r w:rsidRPr="003B7029">
        <w:t>, 13.</w:t>
      </w:r>
    </w:p>
  </w:endnote>
  <w:endnote w:id="71">
    <w:p w14:paraId="5C82F60B" w14:textId="1E5F61AF" w:rsidR="003A1E8B" w:rsidRPr="003B7029" w:rsidRDefault="003A1E8B" w:rsidP="00021085">
      <w:pPr>
        <w:pStyle w:val="Footnotes"/>
      </w:pPr>
      <w:r w:rsidRPr="003B7029">
        <w:rPr>
          <w:rStyle w:val="EndnoteReference"/>
        </w:rPr>
        <w:endnoteRef/>
      </w:r>
      <w:r w:rsidRPr="003B7029">
        <w:t xml:space="preserve"> Neuhauser, </w:t>
      </w:r>
      <w:r w:rsidRPr="003B7029">
        <w:rPr>
          <w:i/>
          <w:iCs/>
        </w:rPr>
        <w:t>Katalog</w:t>
      </w:r>
      <w:r w:rsidRPr="003B7029">
        <w:t>, 2: 175, ‘Anno ab incarnatione verbi M</w:t>
      </w:r>
      <w:r w:rsidRPr="003B7029">
        <w:rPr>
          <w:vertAlign w:val="superscript"/>
        </w:rPr>
        <w:t>O</w:t>
      </w:r>
      <w:r w:rsidRPr="003B7029">
        <w:t xml:space="preserve"> CC</w:t>
      </w:r>
      <w:r w:rsidRPr="003B7029">
        <w:rPr>
          <w:vertAlign w:val="superscript"/>
        </w:rPr>
        <w:t>O</w:t>
      </w:r>
      <w:r w:rsidRPr="003B7029">
        <w:t xml:space="preserve"> XL</w:t>
      </w:r>
      <w:r w:rsidRPr="003B7029">
        <w:rPr>
          <w:vertAlign w:val="superscript"/>
        </w:rPr>
        <w:t>O</w:t>
      </w:r>
      <w:r w:rsidRPr="003B7029">
        <w:t xml:space="preserve"> I</w:t>
      </w:r>
      <w:r w:rsidRPr="003B7029">
        <w:rPr>
          <w:vertAlign w:val="superscript"/>
        </w:rPr>
        <w:t>O</w:t>
      </w:r>
      <w:r w:rsidRPr="003B7029">
        <w:t xml:space="preserve"> gens Tartarorum in multitudine gravi totam Ungariam in desolationem redegit generalem, omnem intendens delere christianitatem. Qualiter autem venerint epistola docet subscripta.’</w:t>
      </w:r>
    </w:p>
  </w:endnote>
  <w:endnote w:id="72">
    <w:p w14:paraId="2725DD3D" w14:textId="77777777" w:rsidR="003A1E8B" w:rsidRPr="003B7029" w:rsidRDefault="003A1E8B" w:rsidP="00021085">
      <w:pPr>
        <w:pStyle w:val="Footnotes"/>
      </w:pPr>
      <w:r w:rsidRPr="003B7029">
        <w:rPr>
          <w:rStyle w:val="EndnoteReference"/>
        </w:rPr>
        <w:endnoteRef/>
      </w:r>
      <w:r w:rsidRPr="003B7029">
        <w:t xml:space="preserve"> Lerner, </w:t>
      </w:r>
      <w:r w:rsidRPr="003B7029">
        <w:rPr>
          <w:i/>
          <w:iCs/>
        </w:rPr>
        <w:t>Powers of Prophecy</w:t>
      </w:r>
      <w:r w:rsidRPr="003B7029">
        <w:t>, 9–24 (here 15–16).</w:t>
      </w:r>
    </w:p>
  </w:endnote>
  <w:endnote w:id="73">
    <w:p w14:paraId="72A52D72" w14:textId="77777777" w:rsidR="003A1E8B" w:rsidRPr="003B7029" w:rsidRDefault="003A1E8B" w:rsidP="00021085">
      <w:pPr>
        <w:pStyle w:val="Footnotes"/>
      </w:pPr>
      <w:r w:rsidRPr="003B7029">
        <w:rPr>
          <w:rStyle w:val="EndnoteReference"/>
        </w:rPr>
        <w:endnoteRef/>
      </w:r>
      <w:r w:rsidRPr="003B7029">
        <w:t xml:space="preserve"> Ottobeuren letter 1, ‘christianitatis excidium’.</w:t>
      </w:r>
    </w:p>
  </w:endnote>
  <w:endnote w:id="74">
    <w:p w14:paraId="45CD68C6" w14:textId="77777777" w:rsidR="003A1E8B" w:rsidRPr="003B7029" w:rsidRDefault="003A1E8B" w:rsidP="00021085">
      <w:pPr>
        <w:pStyle w:val="Footnotes"/>
      </w:pPr>
      <w:r w:rsidRPr="003B7029">
        <w:rPr>
          <w:rStyle w:val="EndnoteReference"/>
        </w:rPr>
        <w:endnoteRef/>
      </w:r>
      <w:r w:rsidRPr="003B7029">
        <w:t xml:space="preserve"> Ottobeuren letter 3, ‘desiderant quam totam christianitatem abolere’.</w:t>
      </w:r>
    </w:p>
  </w:endnote>
  <w:endnote w:id="75">
    <w:p w14:paraId="74393F3B" w14:textId="77777777" w:rsidR="003A1E8B" w:rsidRPr="003B7029" w:rsidRDefault="003A1E8B" w:rsidP="00021085">
      <w:pPr>
        <w:pStyle w:val="Footnotes"/>
      </w:pPr>
      <w:r w:rsidRPr="003B7029">
        <w:rPr>
          <w:rStyle w:val="EndnoteReference"/>
        </w:rPr>
        <w:endnoteRef/>
      </w:r>
      <w:r w:rsidRPr="003B7029">
        <w:t xml:space="preserve"> Ibid., ‘sine christianorum auxilio et omnium amicorum nostrorum’.</w:t>
      </w:r>
    </w:p>
  </w:endnote>
  <w:endnote w:id="76">
    <w:p w14:paraId="533BA954" w14:textId="77777777" w:rsidR="003A1E8B" w:rsidRPr="003B7029" w:rsidRDefault="003A1E8B" w:rsidP="00021085">
      <w:pPr>
        <w:pStyle w:val="Footnotes"/>
      </w:pPr>
      <w:r w:rsidRPr="003B7029">
        <w:rPr>
          <w:rStyle w:val="EndnoteReference"/>
        </w:rPr>
        <w:endnoteRef/>
      </w:r>
      <w:r w:rsidRPr="003B7029">
        <w:t xml:space="preserve"> Ottobeuren letters 4–6. These prefaces are short and simply identify the senders and/or recipients.</w:t>
      </w:r>
    </w:p>
  </w:endnote>
  <w:endnote w:id="77">
    <w:p w14:paraId="4BAB5FFA" w14:textId="425F3927" w:rsidR="004473EF" w:rsidRPr="003B7029" w:rsidRDefault="004473EF" w:rsidP="00E42361">
      <w:pPr>
        <w:pStyle w:val="Footnotes"/>
      </w:pPr>
      <w:r w:rsidRPr="003B7029">
        <w:rPr>
          <w:rStyle w:val="EndnoteReference"/>
        </w:rPr>
        <w:endnoteRef/>
      </w:r>
      <w:r w:rsidRPr="003B7029">
        <w:t xml:space="preserve"> Ottobeuren letter 4, ‘in auxilium omnium christianorum’. On </w:t>
      </w:r>
      <w:r w:rsidR="007B5E8F" w:rsidRPr="003B7029">
        <w:t xml:space="preserve">the </w:t>
      </w:r>
      <w:r w:rsidR="008F2CD0" w:rsidRPr="003B7029">
        <w:t xml:space="preserve">emperor’s reaction to the </w:t>
      </w:r>
      <w:r w:rsidR="00E42361" w:rsidRPr="003B7029">
        <w:t>invasion see notes 9</w:t>
      </w:r>
      <w:r w:rsidR="008C1FB5" w:rsidRPr="003B7029">
        <w:t>5</w:t>
      </w:r>
      <w:r w:rsidR="00E42361" w:rsidRPr="003B7029">
        <w:t>–</w:t>
      </w:r>
      <w:r w:rsidR="008C1FB5" w:rsidRPr="003B7029">
        <w:t>9</w:t>
      </w:r>
      <w:r w:rsidR="00E42361" w:rsidRPr="003B7029">
        <w:t xml:space="preserve"> below.</w:t>
      </w:r>
      <w:r w:rsidRPr="003B7029">
        <w:t xml:space="preserve"> </w:t>
      </w:r>
    </w:p>
  </w:endnote>
  <w:endnote w:id="78">
    <w:p w14:paraId="3597E11D" w14:textId="77777777" w:rsidR="003A1E8B" w:rsidRPr="003B7029" w:rsidRDefault="003A1E8B" w:rsidP="00021085">
      <w:pPr>
        <w:pStyle w:val="Footnotes"/>
      </w:pPr>
      <w:r w:rsidRPr="003B7029">
        <w:rPr>
          <w:rStyle w:val="EndnoteReference"/>
        </w:rPr>
        <w:endnoteRef/>
      </w:r>
      <w:r w:rsidRPr="003B7029">
        <w:t xml:space="preserve"> Ottobeuren letter 5.</w:t>
      </w:r>
    </w:p>
  </w:endnote>
  <w:endnote w:id="79">
    <w:p w14:paraId="1EA3D9F2" w14:textId="77777777" w:rsidR="003A1E8B" w:rsidRPr="003B7029" w:rsidRDefault="003A1E8B" w:rsidP="00021085">
      <w:pPr>
        <w:pStyle w:val="Footnotes"/>
      </w:pPr>
      <w:r w:rsidRPr="003B7029">
        <w:rPr>
          <w:rStyle w:val="EndnoteReference"/>
        </w:rPr>
        <w:endnoteRef/>
      </w:r>
      <w:r w:rsidRPr="003B7029">
        <w:t xml:space="preserve"> Ottobeuren letter 6.</w:t>
      </w:r>
    </w:p>
  </w:endnote>
  <w:endnote w:id="80">
    <w:p w14:paraId="0EECEC8A" w14:textId="77777777" w:rsidR="003A1E8B" w:rsidRPr="003B7029" w:rsidRDefault="003A1E8B" w:rsidP="00021085">
      <w:pPr>
        <w:pStyle w:val="Footnotes"/>
      </w:pPr>
      <w:r w:rsidRPr="003B7029">
        <w:rPr>
          <w:rStyle w:val="EndnoteReference"/>
        </w:rPr>
        <w:endnoteRef/>
      </w:r>
      <w:r w:rsidRPr="003B7029">
        <w:t xml:space="preserve"> Conrad IV’s defensive conception of the crusade is outlined in Jackson, ‘Crusade’, 14–15.</w:t>
      </w:r>
    </w:p>
  </w:endnote>
  <w:endnote w:id="81">
    <w:p w14:paraId="323B1285" w14:textId="207AE7CC" w:rsidR="003A1E8B" w:rsidRPr="003B7029" w:rsidRDefault="003A1E8B" w:rsidP="00021085">
      <w:pPr>
        <w:pStyle w:val="Footnotes"/>
      </w:pPr>
      <w:r w:rsidRPr="003B7029">
        <w:rPr>
          <w:rStyle w:val="EndnoteReference"/>
        </w:rPr>
        <w:endnoteRef/>
      </w:r>
      <w:r w:rsidRPr="003B7029">
        <w:t xml:space="preserve"> Gießauf, ‘Herzog Friedrich II.’, 184–85; Georg Scheibelreiter, </w:t>
      </w:r>
      <w:r w:rsidRPr="003B7029">
        <w:rPr>
          <w:i/>
          <w:iCs/>
        </w:rPr>
        <w:t>Die Babenberger: Reichsfürsten und Landesherren</w:t>
      </w:r>
      <w:r w:rsidRPr="003B7029">
        <w:t xml:space="preserve"> (Vienna: Böhlau, 2010), 333. The duke’s extortion of several counties from Béla IV is described in Roger of Várad, ‘Magistri Rogerii Epistola in miserabile carmen super destruction Regni Hungarie per tartaros facta/Master Roger’s Epistle to the Sorrowful Lament upon the Destruction of the Kingdom of Hungary by the Tatars’, trans. János M. Bak and Martyn Rady, in</w:t>
      </w:r>
      <w:r w:rsidR="00031DB0" w:rsidRPr="003B7029">
        <w:t xml:space="preserve"> Martyn Rady, János M. Bak, and László Veszprémy, eds.,</w:t>
      </w:r>
      <w:r w:rsidRPr="003B7029">
        <w:t xml:space="preserve"> </w:t>
      </w:r>
      <w:r w:rsidRPr="003B7029">
        <w:rPr>
          <w:i/>
          <w:iCs/>
        </w:rPr>
        <w:t>Anonymi Bele regis notarii Gesta Hungarorum/Anonymous, Notary of King Béla, The Deeds of the Hungarians – Magistri Rogerii Epistola in miserabile carmen super destruction Regni Hungarie per tartaros facta/Master Roger’s Epistle to the Sorrowful Lament upon the Destruction of the Kingdom of Hungary by the Tatars</w:t>
      </w:r>
      <w:r w:rsidRPr="003B7029">
        <w:t>,</w:t>
      </w:r>
      <w:r w:rsidR="001108AE" w:rsidRPr="003B7029">
        <w:t xml:space="preserve"> </w:t>
      </w:r>
      <w:r w:rsidRPr="003B7029">
        <w:t xml:space="preserve">Central European Medieval Texts 5 (Budapest and New York: Central European University Press, 2010), 192–7; Hermann Cardauns, ed., ‘Annales Sancti Pantaleonis Coloniensis’, in </w:t>
      </w:r>
      <w:r w:rsidRPr="003B7029">
        <w:rPr>
          <w:i/>
          <w:iCs/>
        </w:rPr>
        <w:t>MGH SS</w:t>
      </w:r>
      <w:r w:rsidRPr="003B7029">
        <w:t>, vol. 22 (Hannover, 1872), 535.</w:t>
      </w:r>
    </w:p>
  </w:endnote>
  <w:endnote w:id="82">
    <w:p w14:paraId="1F424E7C" w14:textId="296A8584" w:rsidR="003A1E8B" w:rsidRPr="003B7029" w:rsidRDefault="003A1E8B" w:rsidP="00021085">
      <w:pPr>
        <w:pStyle w:val="Footnotes"/>
      </w:pPr>
      <w:r w:rsidRPr="003B7029">
        <w:rPr>
          <w:rStyle w:val="EndnoteReference"/>
        </w:rPr>
        <w:endnoteRef/>
      </w:r>
      <w:r w:rsidRPr="003B7029">
        <w:t xml:space="preserve"> Ottobeuren letter 7, ‘inopinabilis victoria’. On Bartholomeus of Trent’s life and works, see Silvio Ceccon, ‘Per il </w:t>
      </w:r>
      <w:r w:rsidRPr="003B7029">
        <w:rPr>
          <w:i/>
          <w:iCs/>
        </w:rPr>
        <w:t>Corpus</w:t>
      </w:r>
      <w:r w:rsidRPr="003B7029">
        <w:t xml:space="preserve"> delle opere di Bartolomeo da Trento’, in </w:t>
      </w:r>
      <w:r w:rsidRPr="003B7029">
        <w:rPr>
          <w:i/>
          <w:iCs/>
        </w:rPr>
        <w:t>Florentissima proles ecclesiæ: miscellanea hagiographica, historica et liturgica Reginaldo Grégoire o.s.b. XII lustra complenti oblata</w:t>
      </w:r>
      <w:r w:rsidRPr="003B7029">
        <w:t>, ed. Réginald Grégoire and Domenico Gobbi, Bibliotheca Civis 9 (Trent: Civis, 1996), 79–93.</w:t>
      </w:r>
    </w:p>
  </w:endnote>
  <w:endnote w:id="83">
    <w:p w14:paraId="4DC9C08A" w14:textId="77777777" w:rsidR="003A1E8B" w:rsidRPr="003B7029" w:rsidRDefault="003A1E8B" w:rsidP="00021085">
      <w:pPr>
        <w:pStyle w:val="Footnotes"/>
      </w:pPr>
      <w:r w:rsidRPr="003B7029">
        <w:rPr>
          <w:rStyle w:val="EndnoteReference"/>
        </w:rPr>
        <w:endnoteRef/>
      </w:r>
      <w:r w:rsidRPr="003B7029">
        <w:t xml:space="preserve"> Ottobeuren letter 7, ‘gentes Barbaras que in sua feritate confidunt, et Christi fidem delere conantur, virtute conternatur divina’.</w:t>
      </w:r>
    </w:p>
  </w:endnote>
  <w:endnote w:id="84">
    <w:p w14:paraId="4FEC51A3" w14:textId="77777777" w:rsidR="003A1E8B" w:rsidRPr="003B7029" w:rsidRDefault="003A1E8B" w:rsidP="00021085">
      <w:pPr>
        <w:pStyle w:val="Footnotes"/>
      </w:pPr>
      <w:r w:rsidRPr="003B7029">
        <w:rPr>
          <w:rStyle w:val="EndnoteReference"/>
        </w:rPr>
        <w:endnoteRef/>
      </w:r>
      <w:r w:rsidRPr="003B7029">
        <w:t xml:space="preserve"> Ottobeuren letters 8–10.</w:t>
      </w:r>
    </w:p>
  </w:endnote>
  <w:endnote w:id="85">
    <w:p w14:paraId="42A7091C" w14:textId="51CFBF0E" w:rsidR="003A1E8B" w:rsidRPr="003B7029" w:rsidRDefault="003A1E8B" w:rsidP="00CF21B3">
      <w:pPr>
        <w:pStyle w:val="Footnotes"/>
      </w:pPr>
      <w:r w:rsidRPr="003B7029">
        <w:rPr>
          <w:rStyle w:val="EndnoteReference"/>
        </w:rPr>
        <w:endnoteRef/>
      </w:r>
      <w:r w:rsidRPr="003B7029">
        <w:t xml:space="preserve"> </w:t>
      </w:r>
      <w:r w:rsidR="00A34778" w:rsidRPr="003B7029">
        <w:t>Note</w:t>
      </w:r>
      <w:r w:rsidR="0025526B" w:rsidRPr="003B7029">
        <w:t>s</w:t>
      </w:r>
      <w:r w:rsidR="00A34778" w:rsidRPr="003B7029">
        <w:t xml:space="preserve"> </w:t>
      </w:r>
      <w:r w:rsidR="0025526B" w:rsidRPr="003B7029">
        <w:t xml:space="preserve">7, 18 above. </w:t>
      </w:r>
      <w:r w:rsidRPr="003B7029">
        <w:t xml:space="preserve">Another example of a contemporary source crediting the retreat of the Mongols to the crusade can be found in Georg Heinrich Pertz, ed., ‘Annales Sancti Trudperti’, in </w:t>
      </w:r>
      <w:r w:rsidRPr="003B7029">
        <w:rPr>
          <w:i/>
          <w:iCs/>
        </w:rPr>
        <w:t>MGH SS</w:t>
      </w:r>
      <w:r w:rsidRPr="003B7029">
        <w:t>, vol. 17 (Hannover, 1861), 294.</w:t>
      </w:r>
    </w:p>
  </w:endnote>
  <w:endnote w:id="86">
    <w:p w14:paraId="3804BC72" w14:textId="2466706D" w:rsidR="003A1E8B" w:rsidRPr="003B7029" w:rsidRDefault="003A1E8B" w:rsidP="00021085">
      <w:pPr>
        <w:pStyle w:val="Footnotes"/>
      </w:pPr>
      <w:r w:rsidRPr="003B7029">
        <w:rPr>
          <w:rStyle w:val="EndnoteReference"/>
        </w:rPr>
        <w:endnoteRef/>
      </w:r>
      <w:r w:rsidRPr="003B7029">
        <w:t xml:space="preserve"> </w:t>
      </w:r>
      <w:r w:rsidRPr="003B7029">
        <w:rPr>
          <w:i/>
          <w:iCs/>
        </w:rPr>
        <w:t>Neue Deutsche Biographie</w:t>
      </w:r>
      <w:r w:rsidRPr="003B7029">
        <w:t>, s.vv. ‘Egno’, ‘Heinrich I. von Tanne’, ‘Konrad I. von Tölz (</w:t>
      </w:r>
      <w:r w:rsidRPr="003B7029">
        <w:rPr>
          <w:i/>
          <w:iCs/>
        </w:rPr>
        <w:t>Tolntznaer</w:t>
      </w:r>
      <w:r w:rsidRPr="003B7029">
        <w:t xml:space="preserve">)’, </w:t>
      </w:r>
      <w:hyperlink r:id="rId10" w:history="1">
        <w:r w:rsidRPr="003B7029">
          <w:rPr>
            <w:rStyle w:val="Hyperlink"/>
          </w:rPr>
          <w:t>https://www.deutsche-biographie.de/</w:t>
        </w:r>
      </w:hyperlink>
      <w:r w:rsidRPr="003B7029">
        <w:t xml:space="preserve"> (accessed </w:t>
      </w:r>
      <w:r w:rsidR="00AB6109" w:rsidRPr="003B7029">
        <w:t>24</w:t>
      </w:r>
      <w:r w:rsidRPr="003B7029">
        <w:t xml:space="preserve"> March</w:t>
      </w:r>
      <w:r w:rsidR="00AB6109" w:rsidRPr="003B7029">
        <w:t>,</w:t>
      </w:r>
      <w:r w:rsidRPr="003B7029">
        <w:t xml:space="preserve"> 2021).</w:t>
      </w:r>
    </w:p>
  </w:endnote>
  <w:endnote w:id="87">
    <w:p w14:paraId="4D62AB04" w14:textId="32B1E8AA" w:rsidR="003A1E8B" w:rsidRPr="003B7029" w:rsidRDefault="003A1E8B" w:rsidP="004654ED">
      <w:pPr>
        <w:pStyle w:val="Footnotes"/>
      </w:pPr>
      <w:r w:rsidRPr="003B7029">
        <w:rPr>
          <w:rStyle w:val="EndnoteReference"/>
        </w:rPr>
        <w:endnoteRef/>
      </w:r>
      <w:r w:rsidRPr="003B7029">
        <w:t xml:space="preserve"> </w:t>
      </w:r>
      <w:r w:rsidRPr="003B7029">
        <w:rPr>
          <w:lang w:val="en-US"/>
        </w:rPr>
        <w:t xml:space="preserve">Schwarzmaier, ‘Gründungs- und Frühgeschichte der Abtei Ottobeuren’, in </w:t>
      </w:r>
      <w:r w:rsidRPr="003B7029">
        <w:rPr>
          <w:i/>
          <w:iCs/>
          <w:lang w:val="en-US"/>
        </w:rPr>
        <w:t>Ottobeuren: Festschrift zur 1200–Jahrfeier der Abtei</w:t>
      </w:r>
      <w:r w:rsidRPr="003B7029">
        <w:rPr>
          <w:lang w:val="en-US"/>
        </w:rPr>
        <w:t>, ed. Aegidius Kolb and Hermann Tüchle (Augsburg: Winfried-Werk, 1964), 3–25 (</w:t>
      </w:r>
      <w:r w:rsidR="0021179B" w:rsidRPr="003B7029">
        <w:rPr>
          <w:lang w:val="en-US"/>
        </w:rPr>
        <w:t>here</w:t>
      </w:r>
      <w:r w:rsidRPr="003B7029">
        <w:rPr>
          <w:lang w:val="en-US"/>
        </w:rPr>
        <w:t xml:space="preserve"> 4–11); </w:t>
      </w:r>
      <w:r w:rsidRPr="003B7029">
        <w:t xml:space="preserve">Ulrich Faust, ‘Ottobeuren’, in </w:t>
      </w:r>
      <w:r w:rsidRPr="003B7029">
        <w:rPr>
          <w:i/>
          <w:iCs/>
        </w:rPr>
        <w:t>Die Männer- und Frauenklöster der Benediktiner in Bayern</w:t>
      </w:r>
      <w:r w:rsidRPr="003B7029">
        <w:t xml:space="preserve">, ed. Manfred Heim et al., vol. 2, Germania Benedictina 2 (St Ottilien: EOS, 2014), 1543–4, 1550–2. For the forgeries, see also </w:t>
      </w:r>
      <w:r w:rsidRPr="003B7029">
        <w:rPr>
          <w:lang w:val="en-US"/>
        </w:rPr>
        <w:t xml:space="preserve">Schwarzmaier, </w:t>
      </w:r>
      <w:r w:rsidRPr="003B7029">
        <w:rPr>
          <w:i/>
          <w:iCs/>
          <w:lang w:val="en-US"/>
        </w:rPr>
        <w:t>Königtum</w:t>
      </w:r>
      <w:r w:rsidRPr="003B7029">
        <w:rPr>
          <w:lang w:val="en-US"/>
        </w:rPr>
        <w:t xml:space="preserve">, 121–9; Hermann Hoffmann and Aegidius Kolb, eds., </w:t>
      </w:r>
      <w:r w:rsidRPr="003B7029">
        <w:rPr>
          <w:i/>
          <w:iCs/>
          <w:lang w:val="en-US"/>
        </w:rPr>
        <w:t>Die Urkunden des Reichsstiftes Ottobeuren, 764–1460</w:t>
      </w:r>
      <w:r w:rsidRPr="003B7029">
        <w:rPr>
          <w:lang w:val="en-US"/>
        </w:rPr>
        <w:t xml:space="preserve">, </w:t>
      </w:r>
      <w:r w:rsidRPr="003B7029">
        <w:t>Veröffentlichenungen der Schwäbischen Forschungsgemeinschaft</w:t>
      </w:r>
      <w:r w:rsidRPr="003B7029">
        <w:rPr>
          <w:lang w:val="en-US"/>
        </w:rPr>
        <w:t xml:space="preserve">, Reihe 2a: Urkunden und Regesten 13 (Augsburg: Verlag der Schwäbischen Forschungsgemeinschaft, 1991), 1–4 (nos. 2–4). The 972 charter by Otto I granting Ottobeuren imperial immediacy and freeing the abbey from imperial impositions only survives as a forgery, but is believed to be based on a genuine original. For the early history of Ottobeuren and its relations to the German emperors, see esp. </w:t>
      </w:r>
      <w:r w:rsidRPr="003B7029">
        <w:t xml:space="preserve">Peter Blickle, ed., </w:t>
      </w:r>
      <w:r w:rsidRPr="003B7029">
        <w:rPr>
          <w:i/>
          <w:iCs/>
        </w:rPr>
        <w:t>Memmingen</w:t>
      </w:r>
      <w:r w:rsidRPr="003B7029">
        <w:t>, Historischer Atlas von Bayern, Teil Schwaben 4 (Munich: Kommission für Bayerische Landesgeschichte, 1967), 22–39.</w:t>
      </w:r>
    </w:p>
  </w:endnote>
  <w:endnote w:id="88">
    <w:p w14:paraId="4D9F8C21" w14:textId="6A15B2AC" w:rsidR="003A1E8B" w:rsidRPr="003B7029" w:rsidRDefault="003A1E8B" w:rsidP="00EF5030">
      <w:pPr>
        <w:pStyle w:val="Footnotes"/>
      </w:pPr>
      <w:r w:rsidRPr="003B7029">
        <w:rPr>
          <w:rStyle w:val="EndnoteReference"/>
        </w:rPr>
        <w:endnoteRef/>
      </w:r>
      <w:r w:rsidRPr="003B7029">
        <w:t xml:space="preserve"> Schwarzmaier, </w:t>
      </w:r>
      <w:r w:rsidRPr="003B7029">
        <w:rPr>
          <w:i/>
          <w:iCs/>
        </w:rPr>
        <w:t>Königtum</w:t>
      </w:r>
      <w:r w:rsidRPr="003B7029">
        <w:t xml:space="preserve">, 116–17, 168–9; Faust, ‘Ottobeuren’, 1581; Hoffmann and Kolb, </w:t>
      </w:r>
      <w:r w:rsidRPr="003B7029">
        <w:rPr>
          <w:i/>
          <w:iCs/>
        </w:rPr>
        <w:t>Die Urkunden Ottobeuren</w:t>
      </w:r>
      <w:r w:rsidRPr="003B7029">
        <w:t>, 9–10 (nos. 14–15). A map of Hohenstaufen possessions in Swabia</w:t>
      </w:r>
      <w:r w:rsidR="00592B13" w:rsidRPr="003B7029">
        <w:t xml:space="preserve"> </w:t>
      </w:r>
      <w:r w:rsidRPr="003B7029">
        <w:t xml:space="preserve">can be found in Franz Xaver Vollmer, ‘Besitz der Staufer (bis 1250)’, in </w:t>
      </w:r>
      <w:r w:rsidRPr="003B7029">
        <w:rPr>
          <w:i/>
          <w:iCs/>
        </w:rPr>
        <w:t>Historischer Atlas von Baden-Württemberg</w:t>
      </w:r>
      <w:r w:rsidRPr="003B7029">
        <w:t xml:space="preserve">, no. 5.4, </w:t>
      </w:r>
      <w:hyperlink r:id="rId11" w:history="1">
        <w:r w:rsidRPr="003B7029">
          <w:rPr>
            <w:rStyle w:val="Hyperlink"/>
          </w:rPr>
          <w:t>https://www.leo-bw.de/detail-gis/-/Detail/details/DOKUMENT/kgl_atlas/HABW_05_04/Besitz+der+Staufer+%28bis+1250%29</w:t>
        </w:r>
      </w:hyperlink>
      <w:r w:rsidRPr="003B7029">
        <w:t xml:space="preserve"> (accessed </w:t>
      </w:r>
      <w:r w:rsidR="00B27696" w:rsidRPr="003B7029">
        <w:t>24</w:t>
      </w:r>
      <w:r w:rsidRPr="003B7029">
        <w:t xml:space="preserve"> March, 2021).</w:t>
      </w:r>
    </w:p>
  </w:endnote>
  <w:endnote w:id="89">
    <w:p w14:paraId="25B4959F" w14:textId="77777777" w:rsidR="003A1E8B" w:rsidRPr="003B7029" w:rsidRDefault="003A1E8B" w:rsidP="00021085">
      <w:pPr>
        <w:pStyle w:val="Footnotes"/>
      </w:pPr>
      <w:r w:rsidRPr="003B7029">
        <w:rPr>
          <w:rStyle w:val="EndnoteReference"/>
        </w:rPr>
        <w:endnoteRef/>
      </w:r>
      <w:r w:rsidRPr="003B7029">
        <w:t xml:space="preserve"> Hilpert, </w:t>
      </w:r>
      <w:r w:rsidRPr="003B7029">
        <w:rPr>
          <w:i/>
          <w:iCs/>
        </w:rPr>
        <w:t>Kaiser- und Papstbriefe</w:t>
      </w:r>
      <w:r w:rsidRPr="003B7029">
        <w:t>, 158–60.</w:t>
      </w:r>
    </w:p>
  </w:endnote>
  <w:endnote w:id="90">
    <w:p w14:paraId="1BDCC696" w14:textId="5F747148" w:rsidR="003A1E8B" w:rsidRPr="003B7029" w:rsidRDefault="003A1E8B" w:rsidP="00021085">
      <w:pPr>
        <w:pStyle w:val="Footnotes"/>
      </w:pPr>
      <w:r w:rsidRPr="003B7029">
        <w:rPr>
          <w:rStyle w:val="EndnoteReference"/>
        </w:rPr>
        <w:endnoteRef/>
      </w:r>
      <w:r w:rsidRPr="003B7029">
        <w:t xml:space="preserve"> Robert A. Hanneman and Mark Riddle, ‘Concepts and Measures for Basic Network Analysis’, in </w:t>
      </w:r>
      <w:r w:rsidRPr="003B7029">
        <w:rPr>
          <w:i/>
          <w:iCs/>
        </w:rPr>
        <w:t>The SAGE Handbook of Social Network Analysis</w:t>
      </w:r>
      <w:r w:rsidRPr="003B7029">
        <w:t>, ed. John Scott and Peter J. Carrington (London: SAGE, 2011), 364–5.</w:t>
      </w:r>
    </w:p>
  </w:endnote>
  <w:endnote w:id="91">
    <w:p w14:paraId="7FBB2974" w14:textId="43742595" w:rsidR="003A1E8B" w:rsidRPr="003B7029" w:rsidRDefault="003A1E8B" w:rsidP="00021085">
      <w:pPr>
        <w:pStyle w:val="Footnotes"/>
        <w:rPr>
          <w:i/>
          <w:iCs/>
        </w:rPr>
      </w:pPr>
      <w:r w:rsidRPr="003B7029">
        <w:rPr>
          <w:rStyle w:val="EndnoteReference"/>
        </w:rPr>
        <w:endnoteRef/>
      </w:r>
      <w:r w:rsidRPr="003B7029">
        <w:t xml:space="preserve"> A</w:t>
      </w:r>
      <w:r w:rsidR="001011B4" w:rsidRPr="003B7029">
        <w:t xml:space="preserve"> full guide to the variables employed in </w:t>
      </w:r>
      <w:r w:rsidR="005B0CB9" w:rsidRPr="003B7029">
        <w:t>figure 2</w:t>
      </w:r>
      <w:r w:rsidR="001011B4" w:rsidRPr="003B7029">
        <w:t xml:space="preserve">, as well as statistics for each of the figures and evidence for each connection </w:t>
      </w:r>
      <w:r w:rsidR="005B4976" w:rsidRPr="003B7029">
        <w:t xml:space="preserve">depicted, </w:t>
      </w:r>
      <w:r w:rsidRPr="003B7029">
        <w:t>can be found in the dataset associated with this paper.</w:t>
      </w:r>
    </w:p>
  </w:endnote>
  <w:endnote w:id="92">
    <w:p w14:paraId="4A32337D" w14:textId="77777777" w:rsidR="003A1E8B" w:rsidRPr="003B7029" w:rsidRDefault="003A1E8B" w:rsidP="00021085">
      <w:pPr>
        <w:pStyle w:val="Footnotes"/>
      </w:pPr>
      <w:r w:rsidRPr="003B7029">
        <w:rPr>
          <w:rStyle w:val="EndnoteReference"/>
        </w:rPr>
        <w:endnoteRef/>
      </w:r>
      <w:r w:rsidRPr="003B7029">
        <w:t xml:space="preserve"> Mathieu Jacomy et al., ‘ForceAtlas2, a Continuous Graph Layout Algorithm for Handy Network Visualization Designed for the Gephi Software’, </w:t>
      </w:r>
      <w:r w:rsidRPr="003B7029">
        <w:rPr>
          <w:i/>
          <w:iCs/>
        </w:rPr>
        <w:t>PLOS ONE</w:t>
      </w:r>
      <w:r w:rsidRPr="003B7029">
        <w:t xml:space="preserve"> 9, no. 6 (2014): </w:t>
      </w:r>
      <w:hyperlink r:id="rId12" w:history="1">
        <w:r w:rsidRPr="003B7029">
          <w:rPr>
            <w:rStyle w:val="Hyperlink"/>
          </w:rPr>
          <w:t>https://doi.org/10.1371/journal.pone.0098679</w:t>
        </w:r>
      </w:hyperlink>
      <w:r w:rsidRPr="003B7029">
        <w:t>.</w:t>
      </w:r>
    </w:p>
  </w:endnote>
  <w:endnote w:id="93">
    <w:p w14:paraId="01C4ABB0" w14:textId="6ADD3203" w:rsidR="003A1E8B" w:rsidRPr="003B7029" w:rsidRDefault="003A1E8B" w:rsidP="00E756C3">
      <w:pPr>
        <w:pStyle w:val="Footnotes"/>
      </w:pPr>
      <w:r w:rsidRPr="003B7029">
        <w:rPr>
          <w:rStyle w:val="EndnoteReference"/>
        </w:rPr>
        <w:endnoteRef/>
      </w:r>
      <w:r w:rsidRPr="003B7029">
        <w:t xml:space="preserve"> </w:t>
      </w:r>
      <w:r w:rsidRPr="003B7029">
        <w:rPr>
          <w:i/>
          <w:iCs/>
        </w:rPr>
        <w:t>CM</w:t>
      </w:r>
      <w:r w:rsidRPr="003B7029">
        <w:t>, 4: 114, ‘prout per venerabilem Vatiensem episcopum, dicti Hungariae regis legatum, ad nostram curiam … Necnon et haec per literas dilecti filii nostri Conradi … regisque Boemiæ, Austriæ et Bavariæ, ipsis quoque nuntiorum verbis, qui de vicinitate hostium experimento sunt edocti, plenius certificamur’. The dating of these connections is unclear beyond the fact that this letter was sent on 3 July; the fact that the emperor’s encyclical from 20 June (Ottobeuren letter 4) makes no mention of these sources or of the situation in Bohemia and Austria makes it possible that this information reached the emperor in late June.</w:t>
      </w:r>
      <w:r w:rsidR="00CF168D" w:rsidRPr="003B7029">
        <w:t xml:space="preserve"> It is unclear whether the emperor replied to </w:t>
      </w:r>
      <w:r w:rsidR="00943EA8" w:rsidRPr="003B7029">
        <w:t>all of these figures.</w:t>
      </w:r>
    </w:p>
  </w:endnote>
  <w:endnote w:id="94">
    <w:p w14:paraId="0F210ABF" w14:textId="17865854" w:rsidR="003A1E8B" w:rsidRPr="003B7029" w:rsidRDefault="003A1E8B" w:rsidP="00FC7AA3">
      <w:pPr>
        <w:pStyle w:val="Footnotes"/>
      </w:pPr>
      <w:r w:rsidRPr="003B7029">
        <w:rPr>
          <w:rStyle w:val="EndnoteReference"/>
        </w:rPr>
        <w:endnoteRef/>
      </w:r>
      <w:r w:rsidR="00B52495" w:rsidRPr="003B7029">
        <w:t xml:space="preserve"> </w:t>
      </w:r>
      <w:r w:rsidR="00FC7AA3" w:rsidRPr="003B7029">
        <w:t xml:space="preserve">Béla’s appeals for help are summarized in </w:t>
      </w:r>
      <w:r w:rsidR="006853C1" w:rsidRPr="003B7029">
        <w:t xml:space="preserve">Bezzola, </w:t>
      </w:r>
      <w:r w:rsidR="006853C1" w:rsidRPr="003B7029">
        <w:rPr>
          <w:i/>
          <w:iCs/>
        </w:rPr>
        <w:t>Die Mongolen</w:t>
      </w:r>
      <w:r w:rsidR="006853C1" w:rsidRPr="003B7029">
        <w:t xml:space="preserve">, </w:t>
      </w:r>
      <w:r w:rsidR="00C2789D" w:rsidRPr="003B7029">
        <w:t>66–7</w:t>
      </w:r>
      <w:r w:rsidR="006853C1" w:rsidRPr="003B7029">
        <w:t xml:space="preserve">; </w:t>
      </w:r>
      <w:r w:rsidR="00FC7AA3" w:rsidRPr="003B7029">
        <w:t xml:space="preserve">Rudolf, ‘Die Tartaren’, 83; Gießauf, ‘Herzog Friedrich II.’, 185–7; Jackson, </w:t>
      </w:r>
      <w:r w:rsidRPr="003B7029">
        <w:rPr>
          <w:i/>
          <w:iCs/>
        </w:rPr>
        <w:t>Mongols</w:t>
      </w:r>
      <w:r w:rsidRPr="003B7029">
        <w:t xml:space="preserve">, 72–3. For Béla’s letter to Gregory IX, see </w:t>
      </w:r>
      <w:r w:rsidRPr="003B7029">
        <w:rPr>
          <w:i/>
          <w:iCs/>
        </w:rPr>
        <w:t>CDH</w:t>
      </w:r>
      <w:r w:rsidRPr="003B7029">
        <w:t>, 4, no. 1: 214–15. Gregory sent two replies</w:t>
      </w:r>
      <w:r w:rsidR="00D24D73" w:rsidRPr="003B7029">
        <w:t xml:space="preserve"> prior to his death on 22 August</w:t>
      </w:r>
      <w:r w:rsidR="007458CB" w:rsidRPr="003B7029">
        <w:t>:</w:t>
      </w:r>
      <w:r w:rsidRPr="003B7029">
        <w:t xml:space="preserve"> </w:t>
      </w:r>
      <w:r w:rsidRPr="003B7029">
        <w:rPr>
          <w:i/>
          <w:iCs/>
        </w:rPr>
        <w:t>MGH Epp. saec. XIII</w:t>
      </w:r>
      <w:r w:rsidRPr="003B7029">
        <w:t>, 1: 721–2, 725–6 (nos. 821, 826).</w:t>
      </w:r>
    </w:p>
  </w:endnote>
  <w:endnote w:id="95">
    <w:p w14:paraId="39B0C7E5" w14:textId="6A6A59F0" w:rsidR="003A1E8B" w:rsidRPr="003B7029" w:rsidRDefault="003A1E8B" w:rsidP="00531C93">
      <w:pPr>
        <w:pStyle w:val="Footnotes"/>
      </w:pPr>
      <w:r w:rsidRPr="003B7029">
        <w:rPr>
          <w:rStyle w:val="EndnoteReference"/>
        </w:rPr>
        <w:endnoteRef/>
      </w:r>
      <w:r w:rsidR="00F420B6" w:rsidRPr="003B7029">
        <w:t xml:space="preserve"> </w:t>
      </w:r>
      <w:r w:rsidRPr="003B7029">
        <w:t xml:space="preserve">Gießauf, ‘Herzog Friedrich II.’, </w:t>
      </w:r>
      <w:r w:rsidR="00DC2B31" w:rsidRPr="003B7029">
        <w:t>186</w:t>
      </w:r>
      <w:r w:rsidR="007312EF" w:rsidRPr="003B7029">
        <w:t xml:space="preserve"> note 76, 187 note </w:t>
      </w:r>
      <w:r w:rsidR="002623D4" w:rsidRPr="003B7029">
        <w:t>83</w:t>
      </w:r>
      <w:r w:rsidRPr="003B7029">
        <w:t>.</w:t>
      </w:r>
      <w:r w:rsidR="00A464B3" w:rsidRPr="003B7029">
        <w:t xml:space="preserve"> </w:t>
      </w:r>
      <w:r w:rsidR="00E74333" w:rsidRPr="003B7029">
        <w:t>For the letter, see</w:t>
      </w:r>
      <w:r w:rsidR="00AD007A" w:rsidRPr="003B7029">
        <w:t xml:space="preserve"> </w:t>
      </w:r>
      <w:r w:rsidR="00AD007A" w:rsidRPr="003B7029">
        <w:rPr>
          <w:i/>
          <w:iCs/>
        </w:rPr>
        <w:t>CDH</w:t>
      </w:r>
      <w:r w:rsidR="00AD007A" w:rsidRPr="003B7029">
        <w:t>, 4, no. 2: 218–24 (here 220), ‘Francorum etiam curiam requiri fecimus’</w:t>
      </w:r>
      <w:r w:rsidR="00F420B6" w:rsidRPr="003B7029">
        <w:t xml:space="preserve">; Göckenjan and Sweeney, </w:t>
      </w:r>
      <w:r w:rsidR="00F420B6" w:rsidRPr="003B7029">
        <w:rPr>
          <w:i/>
          <w:iCs/>
        </w:rPr>
        <w:t>Der Mongolensturm</w:t>
      </w:r>
      <w:r w:rsidR="00F420B6" w:rsidRPr="003B7029">
        <w:t>, 299–314 (here 307 note 11).</w:t>
      </w:r>
      <w:r w:rsidRPr="003B7029">
        <w:t xml:space="preserve"> It is reasonable to assume that Béla appealed to Louis IX at the same time that he sent his embassy to the emperor and pope, whom he also names </w:t>
      </w:r>
      <w:r w:rsidR="00130647" w:rsidRPr="003B7029">
        <w:t>in this letter</w:t>
      </w:r>
      <w:r w:rsidRPr="003B7029">
        <w:t xml:space="preserve"> as </w:t>
      </w:r>
      <w:r w:rsidR="007E3B78" w:rsidRPr="003B7029">
        <w:t xml:space="preserve">having </w:t>
      </w:r>
      <w:r w:rsidRPr="003B7029">
        <w:t>failed to assist Hungary.</w:t>
      </w:r>
    </w:p>
  </w:endnote>
  <w:endnote w:id="96">
    <w:p w14:paraId="6346468F" w14:textId="4FDB3B4F" w:rsidR="009D6DAC" w:rsidRPr="003B7029" w:rsidRDefault="009D6DAC" w:rsidP="009D6DAC">
      <w:pPr>
        <w:pStyle w:val="Footnotes"/>
      </w:pPr>
      <w:r w:rsidRPr="003B7029">
        <w:rPr>
          <w:rStyle w:val="EndnoteReference"/>
        </w:rPr>
        <w:endnoteRef/>
      </w:r>
      <w:r w:rsidRPr="003B7029">
        <w:t xml:space="preserve"> </w:t>
      </w:r>
      <w:r w:rsidRPr="003B7029">
        <w:rPr>
          <w:i/>
          <w:iCs/>
        </w:rPr>
        <w:t>PV</w:t>
      </w:r>
      <w:r w:rsidRPr="003B7029">
        <w:t xml:space="preserve">, 221–6 (no. I.29); </w:t>
      </w:r>
      <w:r w:rsidRPr="003B7029">
        <w:rPr>
          <w:i/>
          <w:iCs/>
        </w:rPr>
        <w:t>CM</w:t>
      </w:r>
      <w:r w:rsidRPr="003B7029">
        <w:t>, 4: 114. See also notes 44</w:t>
      </w:r>
      <w:r w:rsidR="006726BF" w:rsidRPr="003B7029">
        <w:t>–6</w:t>
      </w:r>
      <w:r w:rsidRPr="003B7029">
        <w:t xml:space="preserve"> above.</w:t>
      </w:r>
    </w:p>
  </w:endnote>
  <w:endnote w:id="97">
    <w:p w14:paraId="598DD19B" w14:textId="59C45C1C" w:rsidR="00B105C4" w:rsidRPr="003B7029" w:rsidRDefault="00B105C4" w:rsidP="00B105C4">
      <w:pPr>
        <w:pStyle w:val="Footnotes"/>
      </w:pPr>
      <w:r w:rsidRPr="003B7029">
        <w:rPr>
          <w:rStyle w:val="EndnoteReference"/>
        </w:rPr>
        <w:endnoteRef/>
      </w:r>
      <w:r w:rsidRPr="003B7029">
        <w:t xml:space="preserve"> Bezzola, </w:t>
      </w:r>
      <w:r w:rsidRPr="003B7029">
        <w:rPr>
          <w:i/>
          <w:iCs/>
        </w:rPr>
        <w:t>Die Mongolen</w:t>
      </w:r>
      <w:r w:rsidRPr="003B7029">
        <w:t xml:space="preserve">, 77–81. For the Italian campaign, see Thomas Curtis Van Cleve, </w:t>
      </w:r>
      <w:r w:rsidRPr="003B7029">
        <w:rPr>
          <w:i/>
          <w:iCs/>
        </w:rPr>
        <w:t xml:space="preserve">The Emperor Frederick II of Hohenstaufen: </w:t>
      </w:r>
      <w:r w:rsidRPr="003B7029">
        <w:t>Immutator Mundi (Oxford: Clarendon Press, 1972), 442–54.</w:t>
      </w:r>
    </w:p>
  </w:endnote>
  <w:endnote w:id="98">
    <w:p w14:paraId="18372893" w14:textId="26310B8F" w:rsidR="0021721A" w:rsidRPr="003B7029" w:rsidRDefault="0021721A" w:rsidP="0021721A">
      <w:pPr>
        <w:pStyle w:val="Footnotes"/>
      </w:pPr>
      <w:r w:rsidRPr="003B7029">
        <w:rPr>
          <w:rStyle w:val="EndnoteReference"/>
        </w:rPr>
        <w:endnoteRef/>
      </w:r>
      <w:r w:rsidRPr="003B7029">
        <w:t xml:space="preserve"> </w:t>
      </w:r>
      <w:r w:rsidRPr="003B7029">
        <w:rPr>
          <w:i/>
          <w:iCs/>
        </w:rPr>
        <w:t>PV</w:t>
      </w:r>
      <w:r w:rsidRPr="003B7029">
        <w:t xml:space="preserve">, 221–3 (no. I.29) (§§ 5–11); </w:t>
      </w:r>
      <w:r w:rsidRPr="003B7029">
        <w:rPr>
          <w:i/>
          <w:iCs/>
        </w:rPr>
        <w:t>CM</w:t>
      </w:r>
      <w:r w:rsidRPr="003B7029">
        <w:t>, 4: 116–7</w:t>
      </w:r>
      <w:r w:rsidR="00372FBE" w:rsidRPr="003B7029">
        <w:t>.</w:t>
      </w:r>
      <w:r w:rsidR="00640DE3" w:rsidRPr="003B7029">
        <w:t xml:space="preserve"> </w:t>
      </w:r>
      <w:r w:rsidR="0022405C" w:rsidRPr="003B7029">
        <w:t xml:space="preserve">These arguments are summarized in Jackson, ‘Crusade’, 12–14; Jackson, </w:t>
      </w:r>
      <w:r w:rsidR="0022405C" w:rsidRPr="003B7029">
        <w:rPr>
          <w:i/>
          <w:iCs/>
        </w:rPr>
        <w:t>Mongols</w:t>
      </w:r>
      <w:r w:rsidR="0022405C" w:rsidRPr="003B7029">
        <w:t xml:space="preserve">, 74–5. </w:t>
      </w:r>
      <w:r w:rsidR="00381384" w:rsidRPr="003B7029">
        <w:t>See also note 7</w:t>
      </w:r>
      <w:r w:rsidR="00C020E3" w:rsidRPr="003B7029">
        <w:t>6</w:t>
      </w:r>
      <w:r w:rsidR="00381384" w:rsidRPr="003B7029">
        <w:t xml:space="preserve"> above. </w:t>
      </w:r>
      <w:r w:rsidRPr="003B7029">
        <w:t xml:space="preserve">Owing to Matthew Paris’ editing of letters (note 18 above), the anti-papal content of the letter to Henry III cannot be regarded as entirely trustworthy, but all of </w:t>
      </w:r>
      <w:r w:rsidR="00EA5CC0" w:rsidRPr="003B7029">
        <w:t>Frederick’s</w:t>
      </w:r>
      <w:r w:rsidRPr="003B7029">
        <w:t xml:space="preserve"> letters </w:t>
      </w:r>
      <w:r w:rsidR="00411C28" w:rsidRPr="003B7029">
        <w:t>portray the papacy as the cause of the conflict.</w:t>
      </w:r>
    </w:p>
  </w:endnote>
  <w:endnote w:id="99">
    <w:p w14:paraId="14F9AB6E" w14:textId="2A5942EB" w:rsidR="003A1E8B" w:rsidRPr="003B7029" w:rsidRDefault="003A1E8B" w:rsidP="00D367F5">
      <w:pPr>
        <w:pStyle w:val="Footnotes"/>
      </w:pPr>
      <w:r w:rsidRPr="003B7029">
        <w:rPr>
          <w:rStyle w:val="EndnoteReference"/>
        </w:rPr>
        <w:endnoteRef/>
      </w:r>
      <w:r w:rsidRPr="003B7029">
        <w:t xml:space="preserve"> </w:t>
      </w:r>
      <w:r w:rsidR="009723FF" w:rsidRPr="003B7029">
        <w:t xml:space="preserve">Giles, </w:t>
      </w:r>
      <w:r w:rsidR="009723FF" w:rsidRPr="003B7029">
        <w:rPr>
          <w:i/>
          <w:iCs/>
        </w:rPr>
        <w:t>Matthew Paris’s English History</w:t>
      </w:r>
      <w:r w:rsidR="009723FF" w:rsidRPr="003B7029">
        <w:t>, 1: 345–6 (here 345)</w:t>
      </w:r>
      <w:r w:rsidR="001B74C0" w:rsidRPr="003B7029">
        <w:t xml:space="preserve">; </w:t>
      </w:r>
      <w:r w:rsidRPr="003B7029">
        <w:rPr>
          <w:i/>
          <w:iCs/>
        </w:rPr>
        <w:t>CM</w:t>
      </w:r>
      <w:r w:rsidRPr="003B7029">
        <w:t xml:space="preserve">, 4: 117–18 (here 117), </w:t>
      </w:r>
      <w:r w:rsidRPr="003B7029">
        <w:rPr>
          <w:rStyle w:val="FootnoteTextChar"/>
        </w:rPr>
        <w:t>‘Dilecto autem filio nostro Conrado ac cæteris imperii nostri principibus expresse transmisimus, ut ad reprimendum ingressus et impetus hostium barbarorum potenter occurrant.</w:t>
      </w:r>
      <w:r w:rsidR="009723FF" w:rsidRPr="003B7029">
        <w:rPr>
          <w:rStyle w:val="FootnoteTextChar"/>
        </w:rPr>
        <w:t>’</w:t>
      </w:r>
    </w:p>
  </w:endnote>
  <w:endnote w:id="100">
    <w:p w14:paraId="49324898" w14:textId="77777777" w:rsidR="003A1E8B" w:rsidRPr="003B7029" w:rsidRDefault="003A1E8B" w:rsidP="00D367F5">
      <w:pPr>
        <w:pStyle w:val="Footnotes"/>
      </w:pPr>
      <w:r w:rsidRPr="003B7029">
        <w:rPr>
          <w:rStyle w:val="EndnoteReference"/>
        </w:rPr>
        <w:endnoteRef/>
      </w:r>
      <w:r w:rsidRPr="003B7029">
        <w:t xml:space="preserve"> </w:t>
      </w:r>
      <w:r w:rsidRPr="003B7029">
        <w:rPr>
          <w:i/>
          <w:iCs/>
        </w:rPr>
        <w:t>PV</w:t>
      </w:r>
      <w:r w:rsidRPr="003B7029">
        <w:t>, 221 (no. I.29) (§12), ‘Tuam igitur industriam exhortamur, quatenus interim cum toto tuarum conatu uirium dilecto filio nostro Corrado, in Romanorum regem electo, potenter assurgas ad reprimendos impetus aduersariorum communium et ingressus, ut eis non liceat campum liberum inuenire, donec nos cum potentia maxima ad eorum confusionem ultimam ueniemus.’</w:t>
      </w:r>
    </w:p>
  </w:endnote>
  <w:endnote w:id="101">
    <w:p w14:paraId="70FB2E5E" w14:textId="77777777" w:rsidR="003A1E8B" w:rsidRPr="003B7029" w:rsidRDefault="003A1E8B" w:rsidP="00021085">
      <w:pPr>
        <w:pStyle w:val="Footnotes"/>
      </w:pPr>
      <w:r w:rsidRPr="003B7029">
        <w:rPr>
          <w:rStyle w:val="EndnoteReference"/>
        </w:rPr>
        <w:endnoteRef/>
      </w:r>
      <w:r w:rsidRPr="003B7029">
        <w:t xml:space="preserve"> For an outline of reciprocity in social network analysis, see Hanneman and Riddle, ‘Concepts and Measures’, 344–5.</w:t>
      </w:r>
    </w:p>
  </w:endnote>
  <w:endnote w:id="102">
    <w:p w14:paraId="6F2EBC29" w14:textId="77777777" w:rsidR="003A1E8B" w:rsidRPr="003B7029" w:rsidRDefault="003A1E8B" w:rsidP="00021085">
      <w:pPr>
        <w:pStyle w:val="Footnotes"/>
      </w:pPr>
      <w:r w:rsidRPr="003B7029">
        <w:rPr>
          <w:rStyle w:val="EndnoteReference"/>
        </w:rPr>
        <w:endnoteRef/>
      </w:r>
      <w:r w:rsidRPr="003B7029">
        <w:t xml:space="preserve"> Ottobeuren letter 5, ‘Serenitatis vestre litteras in qua decuit honestate recepimus’.</w:t>
      </w:r>
    </w:p>
  </w:endnote>
  <w:endnote w:id="103">
    <w:p w14:paraId="6EF5585E" w14:textId="77777777" w:rsidR="003A1E8B" w:rsidRPr="003B7029" w:rsidRDefault="003A1E8B" w:rsidP="00021085">
      <w:pPr>
        <w:pStyle w:val="Footnotes"/>
      </w:pPr>
      <w:r w:rsidRPr="003B7029">
        <w:rPr>
          <w:rStyle w:val="EndnoteReference"/>
        </w:rPr>
        <w:endnoteRef/>
      </w:r>
      <w:r w:rsidRPr="003B7029">
        <w:t xml:space="preserve"> Ibid., ‘secundum quod a nobis vestra requisivit eminentia’.</w:t>
      </w:r>
    </w:p>
  </w:endnote>
  <w:endnote w:id="104">
    <w:p w14:paraId="554C0881" w14:textId="77777777" w:rsidR="003A1E8B" w:rsidRPr="003B7029" w:rsidRDefault="003A1E8B" w:rsidP="00021085">
      <w:pPr>
        <w:pStyle w:val="Footnotes"/>
      </w:pPr>
      <w:r w:rsidRPr="003B7029">
        <w:rPr>
          <w:rStyle w:val="EndnoteReference"/>
        </w:rPr>
        <w:endnoteRef/>
      </w:r>
      <w:r w:rsidRPr="003B7029">
        <w:t xml:space="preserve"> Ottobeuren letter 6, ‘vestra desiderat sinceritas edoceri universa’.</w:t>
      </w:r>
    </w:p>
  </w:endnote>
  <w:endnote w:id="105">
    <w:p w14:paraId="60EF2E87" w14:textId="77777777" w:rsidR="003A1E8B" w:rsidRPr="003B7029" w:rsidRDefault="003A1E8B" w:rsidP="00021085">
      <w:pPr>
        <w:pStyle w:val="Footnotes"/>
      </w:pPr>
      <w:r w:rsidRPr="003B7029">
        <w:rPr>
          <w:rStyle w:val="EndnoteReference"/>
        </w:rPr>
        <w:endnoteRef/>
      </w:r>
      <w:r w:rsidRPr="003B7029">
        <w:t xml:space="preserve"> Ibid., ‘omnibus victualibus et balistariis’. Cf. Ottobeuren letter 2 (instructions); note the similar wording in instructions 2 and 4.</w:t>
      </w:r>
    </w:p>
  </w:endnote>
  <w:endnote w:id="106">
    <w:p w14:paraId="52D8DFF0" w14:textId="77777777" w:rsidR="003A1E8B" w:rsidRPr="003B7029" w:rsidRDefault="003A1E8B" w:rsidP="00021085">
      <w:pPr>
        <w:pStyle w:val="Footnotes"/>
      </w:pPr>
      <w:r w:rsidRPr="003B7029">
        <w:rPr>
          <w:rStyle w:val="EndnoteReference"/>
        </w:rPr>
        <w:endnoteRef/>
      </w:r>
      <w:r w:rsidRPr="003B7029">
        <w:t xml:space="preserve"> ‘Rumores et actibus et processu tartarorum, quas vestra dilectio desiderat per nos scire, vobis scribimus ut petistis …’: Ottobeuren letter 8.</w:t>
      </w:r>
    </w:p>
  </w:endnote>
  <w:endnote w:id="107">
    <w:p w14:paraId="6513CD6E" w14:textId="77777777" w:rsidR="003A1E8B" w:rsidRPr="003B7029" w:rsidRDefault="003A1E8B" w:rsidP="00021085">
      <w:pPr>
        <w:pStyle w:val="Footnotes"/>
      </w:pPr>
      <w:r w:rsidRPr="003B7029">
        <w:rPr>
          <w:rStyle w:val="EndnoteReference"/>
        </w:rPr>
        <w:endnoteRef/>
      </w:r>
      <w:r w:rsidRPr="003B7029">
        <w:t xml:space="preserve"> ‘Quod paruitatis, mee consilium quamuis exiguo tytulo suffultum requivistis. discretioni uestre tamen offeram …’: Ottobeuren letter 9.</w:t>
      </w:r>
    </w:p>
  </w:endnote>
  <w:endnote w:id="108">
    <w:p w14:paraId="43BCED98" w14:textId="52A923D9" w:rsidR="003A1E8B" w:rsidRPr="003B7029" w:rsidRDefault="003A1E8B" w:rsidP="00021085">
      <w:pPr>
        <w:pStyle w:val="Footnotes"/>
      </w:pPr>
      <w:r w:rsidRPr="003B7029">
        <w:rPr>
          <w:rStyle w:val="EndnoteReference"/>
        </w:rPr>
        <w:endnoteRef/>
      </w:r>
      <w:r w:rsidRPr="003B7029">
        <w:t xml:space="preserve"> Note 4</w:t>
      </w:r>
      <w:r w:rsidR="000256FF" w:rsidRPr="003B7029">
        <w:t>7</w:t>
      </w:r>
      <w:r w:rsidRPr="003B7029">
        <w:t xml:space="preserve"> above.</w:t>
      </w:r>
    </w:p>
  </w:endnote>
  <w:endnote w:id="109">
    <w:p w14:paraId="41F3CAFE" w14:textId="77777777" w:rsidR="003A1E8B" w:rsidRPr="003B7029" w:rsidRDefault="003A1E8B" w:rsidP="00021085">
      <w:pPr>
        <w:pStyle w:val="Footnotes"/>
      </w:pPr>
      <w:r w:rsidRPr="003B7029">
        <w:rPr>
          <w:rStyle w:val="EndnoteReference"/>
        </w:rPr>
        <w:endnoteRef/>
      </w:r>
      <w:r w:rsidRPr="003B7029">
        <w:t xml:space="preserve"> </w:t>
      </w:r>
      <w:r w:rsidRPr="003B7029">
        <w:rPr>
          <w:i/>
          <w:iCs/>
        </w:rPr>
        <w:t>WUB Online</w:t>
      </w:r>
      <w:r w:rsidRPr="003B7029">
        <w:t>, 4: nos. 974–7, 982–3; 12: no. 5810. Konstanz is 120 km south of Esslingen and 90 km southwest of Ottobeuren.</w:t>
      </w:r>
    </w:p>
  </w:endnote>
  <w:endnote w:id="110">
    <w:p w14:paraId="40BF45E5" w14:textId="77777777" w:rsidR="003A1E8B" w:rsidRPr="003B7029" w:rsidRDefault="003A1E8B" w:rsidP="00021085">
      <w:pPr>
        <w:pStyle w:val="Footnotes"/>
      </w:pPr>
      <w:r w:rsidRPr="003B7029">
        <w:rPr>
          <w:rStyle w:val="EndnoteReference"/>
        </w:rPr>
        <w:endnoteRef/>
      </w:r>
      <w:r w:rsidRPr="003B7029">
        <w:t xml:space="preserve"> This figures are only intended as approximate, due to the difficulty of discerning what constitutes a connection with others and the imperfect nature of the surviving evidence.</w:t>
      </w:r>
    </w:p>
  </w:endnote>
  <w:endnote w:id="111">
    <w:p w14:paraId="04E930F2" w14:textId="549D05CF" w:rsidR="003A1E8B" w:rsidRPr="003B7029" w:rsidRDefault="003A1E8B" w:rsidP="0010683E">
      <w:pPr>
        <w:pStyle w:val="Footnotes"/>
      </w:pPr>
      <w:r w:rsidRPr="003B7029">
        <w:rPr>
          <w:rStyle w:val="EndnoteReference"/>
        </w:rPr>
        <w:endnoteRef/>
      </w:r>
      <w:r w:rsidRPr="003B7029">
        <w:t xml:space="preserve"> </w:t>
      </w:r>
      <w:r w:rsidR="0010683E" w:rsidRPr="003B7029">
        <w:t>Hanneman and Riddle, ‘Concepts and Measures’, 365</w:t>
      </w:r>
      <w:r w:rsidR="00BE53C2" w:rsidRPr="003B7029">
        <w:t>–6</w:t>
      </w:r>
      <w:r w:rsidR="0010683E" w:rsidRPr="003B7029">
        <w:t xml:space="preserve">. See also </w:t>
      </w:r>
      <w:r w:rsidRPr="003B7029">
        <w:t xml:space="preserve">Karen S. Cook et al., ‘The Distribution of Power in Exchange Networks: Theory and Experimental Results’, </w:t>
      </w:r>
      <w:r w:rsidRPr="003B7029">
        <w:rPr>
          <w:i/>
          <w:iCs/>
        </w:rPr>
        <w:t>American Journal of Sociology</w:t>
      </w:r>
      <w:r w:rsidRPr="003B7029">
        <w:t xml:space="preserve"> 89, no. 2 (1983): 275–305; Phillip Bonacich, ‘Power and Centrality: A Family of Measures’, </w:t>
      </w:r>
      <w:r w:rsidRPr="003B7029">
        <w:rPr>
          <w:i/>
          <w:iCs/>
        </w:rPr>
        <w:t>American Journal of Sociology</w:t>
      </w:r>
      <w:r w:rsidRPr="003B7029">
        <w:t xml:space="preserve"> 92, no. 5 (1987): 1170–82.</w:t>
      </w:r>
    </w:p>
  </w:endnote>
  <w:endnote w:id="112">
    <w:p w14:paraId="13895F57" w14:textId="77777777" w:rsidR="003A1E8B" w:rsidRPr="003B7029" w:rsidRDefault="003A1E8B" w:rsidP="00021085">
      <w:pPr>
        <w:pStyle w:val="Footnotes"/>
      </w:pPr>
      <w:r w:rsidRPr="003B7029">
        <w:rPr>
          <w:rStyle w:val="EndnoteReference"/>
        </w:rPr>
        <w:endnoteRef/>
      </w:r>
      <w:r w:rsidRPr="003B7029">
        <w:t xml:space="preserve"> Ottobeuren letter 10, ‘invocato nostro et omnium amicorum suorum auxilio’. Cf. Ottobeuren letter 3, ‘Cum igitur sine christianorum auxilio et omnium amicorum nostrorum ipsos superare non posse timeamus’.</w:t>
      </w:r>
    </w:p>
  </w:endnote>
  <w:endnote w:id="113">
    <w:p w14:paraId="181B49C0" w14:textId="75120FE8" w:rsidR="003A1E8B" w:rsidRPr="003B7029" w:rsidRDefault="003A1E8B" w:rsidP="00021085">
      <w:pPr>
        <w:pStyle w:val="Footnotes"/>
      </w:pPr>
      <w:r w:rsidRPr="003B7029">
        <w:rPr>
          <w:rStyle w:val="EndnoteReference"/>
        </w:rPr>
        <w:endnoteRef/>
      </w:r>
      <w:r w:rsidRPr="003B7029">
        <w:t xml:space="preserve"> </w:t>
      </w:r>
      <w:r w:rsidRPr="003B7029">
        <w:rPr>
          <w:i/>
          <w:iCs/>
        </w:rPr>
        <w:t>CM</w:t>
      </w:r>
      <w:r w:rsidRPr="003B7029">
        <w:t>, 4: 114</w:t>
      </w:r>
      <w:r w:rsidR="00CE3F8A" w:rsidRPr="003B7029">
        <w:t>–15 (here 115), ‘Secunda Boemiæ</w:t>
      </w:r>
      <w:r w:rsidRPr="003B7029">
        <w:t xml:space="preserve"> </w:t>
      </w:r>
      <w:r w:rsidR="009B49C5" w:rsidRPr="003B7029">
        <w:t xml:space="preserve">fines ingressa est et aggressa substitit, rege illius terræ cum suis conatibus viriliter occurrente’. </w:t>
      </w:r>
      <w:r w:rsidRPr="003B7029">
        <w:t>See also note 9</w:t>
      </w:r>
      <w:r w:rsidR="00F97EDB" w:rsidRPr="003B7029">
        <w:t>2</w:t>
      </w:r>
      <w:r w:rsidRPr="003B7029">
        <w:t xml:space="preserve"> above.</w:t>
      </w:r>
    </w:p>
  </w:endnote>
  <w:endnote w:id="114">
    <w:p w14:paraId="73C988A2" w14:textId="2B6FD111" w:rsidR="00EA5821" w:rsidRPr="003B7029" w:rsidRDefault="00EA5821" w:rsidP="00676703">
      <w:pPr>
        <w:pStyle w:val="Footnotes"/>
        <w:rPr>
          <w:lang w:val="en-US"/>
        </w:rPr>
      </w:pPr>
      <w:r w:rsidRPr="003B7029">
        <w:rPr>
          <w:rStyle w:val="EndnoteReference"/>
        </w:rPr>
        <w:endnoteRef/>
      </w:r>
      <w:r w:rsidRPr="003B7029">
        <w:t xml:space="preserve"> </w:t>
      </w:r>
      <w:r w:rsidR="0031705C" w:rsidRPr="003B7029">
        <w:rPr>
          <w:lang w:val="en-US"/>
        </w:rPr>
        <w:t>N</w:t>
      </w:r>
      <w:r w:rsidRPr="003B7029">
        <w:rPr>
          <w:lang w:val="en-US"/>
        </w:rPr>
        <w:t>ote</w:t>
      </w:r>
      <w:r w:rsidR="00ED7457" w:rsidRPr="003B7029">
        <w:rPr>
          <w:lang w:val="en-US"/>
        </w:rPr>
        <w:t xml:space="preserve"> 41 above.</w:t>
      </w:r>
    </w:p>
  </w:endnote>
  <w:endnote w:id="115">
    <w:p w14:paraId="2D68F668" w14:textId="7E581254" w:rsidR="003A1E8B" w:rsidRPr="003B7029" w:rsidRDefault="003A1E8B" w:rsidP="00021085">
      <w:pPr>
        <w:pStyle w:val="Footnotes"/>
      </w:pPr>
      <w:r w:rsidRPr="003B7029">
        <w:rPr>
          <w:rStyle w:val="EndnoteReference"/>
        </w:rPr>
        <w:endnoteRef/>
      </w:r>
      <w:r w:rsidR="00F42A8B" w:rsidRPr="003B7029">
        <w:t xml:space="preserve"> Giles, </w:t>
      </w:r>
      <w:r w:rsidR="00F42A8B" w:rsidRPr="003B7029">
        <w:rPr>
          <w:i/>
          <w:iCs/>
        </w:rPr>
        <w:t>Matthew Paris’s English History</w:t>
      </w:r>
      <w:r w:rsidR="00F42A8B" w:rsidRPr="003B7029">
        <w:t xml:space="preserve">, 1: </w:t>
      </w:r>
      <w:r w:rsidR="002A44B9" w:rsidRPr="003B7029">
        <w:t>339–40 (here 339)</w:t>
      </w:r>
      <w:r w:rsidR="00E546AF" w:rsidRPr="003B7029">
        <w:t>;</w:t>
      </w:r>
      <w:r w:rsidRPr="003B7029">
        <w:t xml:space="preserve"> </w:t>
      </w:r>
      <w:r w:rsidRPr="003B7029">
        <w:rPr>
          <w:i/>
          <w:iCs/>
        </w:rPr>
        <w:t>CM</w:t>
      </w:r>
      <w:r w:rsidRPr="003B7029">
        <w:t>, 4: 109–11 (here 110), ‘Super quibus tam per nuntios proprios, quam per regis Boemiae dilecti consanguinei nostri plenius certificati et vocati sumus’. Henry Raspe and Wenceslaus shared a great-grandfather in Landgrave Louis I of Thuringia (r. 1123–40), meaning that they were second cousins.</w:t>
      </w:r>
      <w:r w:rsidR="005D37F6" w:rsidRPr="003B7029">
        <w:t xml:space="preserve"> For the invasion of Poland, see Schmieder, ‘Der Einfall der Mongolen’, 77–8; Jackson, </w:t>
      </w:r>
      <w:r w:rsidR="005D37F6" w:rsidRPr="003B7029">
        <w:rPr>
          <w:i/>
          <w:iCs/>
        </w:rPr>
        <w:t>Mongols</w:t>
      </w:r>
      <w:r w:rsidR="005D37F6" w:rsidRPr="003B7029">
        <w:t>, 69–70; Pow, ‘Conquest and Withdrawal’, 40, 47, 52–3.</w:t>
      </w:r>
    </w:p>
  </w:endnote>
  <w:endnote w:id="116">
    <w:p w14:paraId="2EC1CC59" w14:textId="64CE8B70" w:rsidR="003A1E8B" w:rsidRPr="003B7029" w:rsidRDefault="003A1E8B" w:rsidP="00413138">
      <w:pPr>
        <w:pStyle w:val="Footnotes"/>
      </w:pPr>
      <w:r w:rsidRPr="003B7029">
        <w:rPr>
          <w:rStyle w:val="EndnoteReference"/>
        </w:rPr>
        <w:endnoteRef/>
      </w:r>
      <w:r w:rsidR="001879E2" w:rsidRPr="003B7029">
        <w:t xml:space="preserve"> </w:t>
      </w:r>
      <w:r w:rsidR="001879E2" w:rsidRPr="003B7029">
        <w:rPr>
          <w:i/>
          <w:iCs/>
        </w:rPr>
        <w:t>CM</w:t>
      </w:r>
      <w:r w:rsidR="001879E2" w:rsidRPr="003B7029">
        <w:t xml:space="preserve">, 4: 110, </w:t>
      </w:r>
      <w:r w:rsidRPr="003B7029">
        <w:t>‘Veraciter enim et plene nobis constat, quod eadem gens Tartarorum circiter octavas Paschae terras Boemiorum crudeliter et impetuose invadet’.</w:t>
      </w:r>
      <w:r w:rsidR="00316987" w:rsidRPr="003B7029">
        <w:t xml:space="preserve"> </w:t>
      </w:r>
      <w:r w:rsidR="004B2D43" w:rsidRPr="003B7029">
        <w:t xml:space="preserve">Dates calculated </w:t>
      </w:r>
      <w:r w:rsidR="0042329E" w:rsidRPr="003B7029">
        <w:t xml:space="preserve">using </w:t>
      </w:r>
      <w:r w:rsidR="004B2D43" w:rsidRPr="003B7029">
        <w:t xml:space="preserve">Hermann Grotefend, </w:t>
      </w:r>
      <w:r w:rsidR="004B2D43" w:rsidRPr="003B7029">
        <w:rPr>
          <w:i/>
          <w:iCs/>
        </w:rPr>
        <w:t>Zeitrechnung</w:t>
      </w:r>
      <w:r w:rsidR="000B0023" w:rsidRPr="003B7029">
        <w:rPr>
          <w:i/>
          <w:iCs/>
        </w:rPr>
        <w:t xml:space="preserve"> des deutschen Mittelalters und der Neuzeit</w:t>
      </w:r>
      <w:r w:rsidR="00E46165" w:rsidRPr="003B7029">
        <w:t>, ed. Horst Ruth, online ed.</w:t>
      </w:r>
      <w:r w:rsidR="00450E62" w:rsidRPr="003B7029">
        <w:t xml:space="preserve">, 2004, </w:t>
      </w:r>
      <w:hyperlink r:id="rId13" w:history="1">
        <w:r w:rsidR="00450E62" w:rsidRPr="003B7029">
          <w:rPr>
            <w:rStyle w:val="Hyperlink"/>
          </w:rPr>
          <w:t>http://bilder.manuscripta-mediaevalia.de/gaeste//grotefend/grotefend.htm</w:t>
        </w:r>
      </w:hyperlink>
      <w:r w:rsidR="00450E62" w:rsidRPr="003B7029">
        <w:t xml:space="preserve"> (accessed 2</w:t>
      </w:r>
      <w:r w:rsidR="00726610" w:rsidRPr="003B7029">
        <w:t>4</w:t>
      </w:r>
      <w:r w:rsidR="00450E62" w:rsidRPr="003B7029">
        <w:t xml:space="preserve"> March, 2021).</w:t>
      </w:r>
    </w:p>
  </w:endnote>
  <w:endnote w:id="117">
    <w:p w14:paraId="5BC940A1" w14:textId="77777777" w:rsidR="003A1E8B" w:rsidRPr="003B7029" w:rsidRDefault="003A1E8B" w:rsidP="00021085">
      <w:pPr>
        <w:pStyle w:val="Footnotes"/>
      </w:pPr>
      <w:r w:rsidRPr="003B7029">
        <w:rPr>
          <w:rStyle w:val="EndnoteReference"/>
        </w:rPr>
        <w:endnoteRef/>
      </w:r>
      <w:r w:rsidRPr="003B7029">
        <w:t xml:space="preserve"> Ottobeuren letter 9, ‘scilicet quod Rex Boemie qui cum quadraginta millibus armatorum et sexcentis millibus Teutonicorum uenerat obuius tartarorum genti. ex consilio Regis Hungarie secessit’.</w:t>
      </w:r>
    </w:p>
  </w:endnote>
  <w:endnote w:id="118">
    <w:p w14:paraId="52C15992" w14:textId="0A4BDF6D" w:rsidR="003A1E8B" w:rsidRPr="003B7029" w:rsidRDefault="003A1E8B" w:rsidP="00021085">
      <w:pPr>
        <w:pStyle w:val="Footnotes"/>
      </w:pPr>
      <w:r w:rsidRPr="003B7029">
        <w:rPr>
          <w:rStyle w:val="EndnoteReference"/>
        </w:rPr>
        <w:endnoteRef/>
      </w:r>
      <w:r w:rsidRPr="003B7029">
        <w:t xml:space="preserve"> Ibid., ‘quamvis nondum certa veritate confirmata’.</w:t>
      </w:r>
      <w:r w:rsidR="006E414E" w:rsidRPr="003B7029">
        <w:t xml:space="preserve"> </w:t>
      </w:r>
    </w:p>
  </w:endnote>
  <w:endnote w:id="119">
    <w:p w14:paraId="6C8C5498" w14:textId="0E83971B" w:rsidR="003A1E8B" w:rsidRPr="003B7029" w:rsidRDefault="003A1E8B" w:rsidP="00975548">
      <w:pPr>
        <w:pStyle w:val="Footnotes"/>
        <w:rPr>
          <w:sz w:val="24"/>
        </w:rPr>
      </w:pPr>
      <w:r w:rsidRPr="003B7029">
        <w:rPr>
          <w:rStyle w:val="EndnoteReference"/>
        </w:rPr>
        <w:endnoteRef/>
      </w:r>
      <w:r w:rsidRPr="003B7029">
        <w:t xml:space="preserve"> </w:t>
      </w:r>
      <w:r w:rsidRPr="003B7029">
        <w:rPr>
          <w:lang w:val="en-US"/>
        </w:rPr>
        <w:t>Ottobeuren letter 6</w:t>
      </w:r>
      <w:r w:rsidR="000B1332" w:rsidRPr="003B7029">
        <w:rPr>
          <w:lang w:val="en-US"/>
        </w:rPr>
        <w:t xml:space="preserve">, ‘De statu vero regni Hungarici et regum, quorum est exterminium et eiectio manifesta, necnon de singulis, </w:t>
      </w:r>
      <w:r w:rsidR="00225307" w:rsidRPr="003B7029">
        <w:rPr>
          <w:lang w:val="en-US"/>
        </w:rPr>
        <w:t xml:space="preserve">que rex Boemie sustinuit per Tartarorum rabiem et insultus, per ipsos principes </w:t>
      </w:r>
      <w:r w:rsidR="00615471" w:rsidRPr="003B7029">
        <w:rPr>
          <w:lang w:val="en-US"/>
        </w:rPr>
        <w:t xml:space="preserve">qui hujusmodi turbinis intermperiem sunt experti, poteritis lucidius informari, quam modo nos perpessa et illata </w:t>
      </w:r>
      <w:r w:rsidR="00917442" w:rsidRPr="003B7029">
        <w:rPr>
          <w:lang w:val="en-US"/>
        </w:rPr>
        <w:t xml:space="preserve">eisdem plenius exponere possimus </w:t>
      </w:r>
      <w:r w:rsidR="00975548" w:rsidRPr="003B7029">
        <w:rPr>
          <w:lang w:val="en-US"/>
        </w:rPr>
        <w:t>et enarrare’.</w:t>
      </w:r>
      <w:r w:rsidR="000B1332" w:rsidRPr="003B7029">
        <w:rPr>
          <w:position w:val="-2"/>
        </w:rPr>
        <w:t xml:space="preserve"> </w:t>
      </w:r>
    </w:p>
  </w:endnote>
  <w:endnote w:id="120">
    <w:p w14:paraId="4737C203" w14:textId="3828BDFF" w:rsidR="003A1E8B" w:rsidRPr="003B7029" w:rsidRDefault="003A1E8B" w:rsidP="008B5890">
      <w:pPr>
        <w:pStyle w:val="Footnotes"/>
        <w:rPr>
          <w:lang w:val="en-US"/>
        </w:rPr>
      </w:pPr>
      <w:r w:rsidRPr="003B7029">
        <w:rPr>
          <w:rStyle w:val="EndnoteReference"/>
        </w:rPr>
        <w:endnoteRef/>
      </w:r>
      <w:r w:rsidRPr="003B7029">
        <w:t xml:space="preserve"> </w:t>
      </w:r>
      <w:r w:rsidRPr="003B7029">
        <w:rPr>
          <w:i/>
          <w:iCs/>
          <w:lang w:val="en-US"/>
        </w:rPr>
        <w:t>CM</w:t>
      </w:r>
      <w:r w:rsidRPr="003B7029">
        <w:rPr>
          <w:lang w:val="en-US"/>
        </w:rPr>
        <w:t>, 4: 270–7 (here 273).</w:t>
      </w:r>
    </w:p>
  </w:endnote>
  <w:endnote w:id="121">
    <w:p w14:paraId="41013E70" w14:textId="3253B6FA" w:rsidR="003A1E8B" w:rsidRPr="003B7029" w:rsidRDefault="003A1E8B" w:rsidP="008B5890">
      <w:pPr>
        <w:pStyle w:val="Footnotes"/>
        <w:rPr>
          <w:lang w:val="en-US"/>
        </w:rPr>
      </w:pPr>
      <w:r w:rsidRPr="003B7029">
        <w:rPr>
          <w:rStyle w:val="EndnoteReference"/>
        </w:rPr>
        <w:endnoteRef/>
      </w:r>
      <w:r w:rsidRPr="003B7029">
        <w:t xml:space="preserve"> Gustav Strakosch-Grossmann, </w:t>
      </w:r>
      <w:r w:rsidRPr="003B7029">
        <w:rPr>
          <w:i/>
          <w:iCs/>
        </w:rPr>
        <w:t>Der Einfall der Mongolen in Mitteleuropa in den Jahren 1241 und 1242</w:t>
      </w:r>
      <w:r w:rsidRPr="003B7029">
        <w:t xml:space="preserve"> (Innsbruck: Universitätsverlag Wagner, 1893), 144–6; Bezzola, </w:t>
      </w:r>
      <w:r w:rsidRPr="003B7029">
        <w:rPr>
          <w:i/>
          <w:iCs/>
        </w:rPr>
        <w:t>Die Mongolen</w:t>
      </w:r>
      <w:r w:rsidRPr="003B7029">
        <w:t xml:space="preserve">, 82–6; Rudolf, ‘Die Tartaren 1241/1242’, 100–6; Segl, </w:t>
      </w:r>
      <w:r w:rsidRPr="003B7029">
        <w:rPr>
          <w:i/>
          <w:iCs/>
        </w:rPr>
        <w:t>Ketzer in Österreich</w:t>
      </w:r>
      <w:r w:rsidRPr="003B7029">
        <w:t>, 77–111; Gießauf, ‘Herzog Friedrich II.’, 188–92. See also note 18 above.</w:t>
      </w:r>
    </w:p>
  </w:endnote>
  <w:endnote w:id="122">
    <w:p w14:paraId="575E9B51" w14:textId="26D25363" w:rsidR="003A1E8B" w:rsidRPr="003B7029" w:rsidRDefault="003A1E8B" w:rsidP="004624D1">
      <w:pPr>
        <w:pStyle w:val="Footnotes"/>
        <w:rPr>
          <w:lang w:val="en-US"/>
        </w:rPr>
      </w:pPr>
      <w:r w:rsidRPr="003B7029">
        <w:rPr>
          <w:rStyle w:val="EndnoteReference"/>
        </w:rPr>
        <w:endnoteRef/>
      </w:r>
      <w:r w:rsidRPr="003B7029">
        <w:t xml:space="preserve"> </w:t>
      </w:r>
      <w:r w:rsidRPr="003B7029">
        <w:rPr>
          <w:lang w:val="en-US"/>
        </w:rPr>
        <w:t>Pow, ‘Conquest and Withdrawal’, 204–6.</w:t>
      </w:r>
    </w:p>
  </w:endnote>
  <w:endnote w:id="123">
    <w:p w14:paraId="3E737BF5" w14:textId="750AFC6A" w:rsidR="003A1E8B" w:rsidRPr="003B7029" w:rsidRDefault="003A1E8B" w:rsidP="004624D1">
      <w:pPr>
        <w:pStyle w:val="Footnotes"/>
        <w:rPr>
          <w:lang w:val="en-US"/>
        </w:rPr>
      </w:pPr>
      <w:r w:rsidRPr="003B7029">
        <w:rPr>
          <w:rStyle w:val="EndnoteReference"/>
        </w:rPr>
        <w:endnoteRef/>
      </w:r>
      <w:r w:rsidRPr="003B7029">
        <w:t xml:space="preserve"> Ibid., 206 note 515. Cf. Ottobeuren letter 5, ‘videntes cedes et scelera que faciebant et in Moravia et in Austria’.</w:t>
      </w:r>
    </w:p>
  </w:endnote>
  <w:endnote w:id="124">
    <w:p w14:paraId="0D99FD81" w14:textId="14361E3F" w:rsidR="00597D44" w:rsidRPr="003B7029" w:rsidRDefault="00597D44" w:rsidP="00597D44">
      <w:pPr>
        <w:pStyle w:val="Footnotes"/>
        <w:rPr>
          <w:lang w:val="en-US"/>
        </w:rPr>
      </w:pPr>
      <w:r w:rsidRPr="003B7029">
        <w:rPr>
          <w:rStyle w:val="EndnoteReference"/>
        </w:rPr>
        <w:endnoteRef/>
      </w:r>
      <w:r w:rsidRPr="003B7029">
        <w:t xml:space="preserve"> </w:t>
      </w:r>
      <w:r w:rsidRPr="003B7029">
        <w:rPr>
          <w:lang w:val="en-US"/>
        </w:rPr>
        <w:t xml:space="preserve">Note </w:t>
      </w:r>
      <w:r w:rsidR="00EC193D" w:rsidRPr="003B7029">
        <w:rPr>
          <w:lang w:val="en-US"/>
        </w:rPr>
        <w:t>80</w:t>
      </w:r>
      <w:r w:rsidRPr="003B7029">
        <w:rPr>
          <w:lang w:val="en-US"/>
        </w:rPr>
        <w:t xml:space="preserve"> above.</w:t>
      </w:r>
    </w:p>
  </w:endnote>
  <w:endnote w:id="125">
    <w:p w14:paraId="7057F98A" w14:textId="0B0FE1D8" w:rsidR="00597D44" w:rsidRPr="003B7029" w:rsidRDefault="00597D44" w:rsidP="004E7D51">
      <w:pPr>
        <w:pStyle w:val="Footnotes"/>
      </w:pPr>
      <w:r w:rsidRPr="003B7029">
        <w:rPr>
          <w:rStyle w:val="EndnoteReference"/>
        </w:rPr>
        <w:endnoteRef/>
      </w:r>
      <w:r w:rsidRPr="003B7029">
        <w:t xml:space="preserve"> </w:t>
      </w:r>
      <w:r w:rsidR="004D030D" w:rsidRPr="003B7029">
        <w:rPr>
          <w:i/>
          <w:iCs/>
        </w:rPr>
        <w:t>CM</w:t>
      </w:r>
      <w:r w:rsidR="004D030D" w:rsidRPr="003B7029">
        <w:t>, 4: 114</w:t>
      </w:r>
      <w:r w:rsidR="00856B4A" w:rsidRPr="003B7029">
        <w:t xml:space="preserve">–15 (here 115), </w:t>
      </w:r>
      <w:r w:rsidR="009312CF" w:rsidRPr="003B7029">
        <w:t>‘Tertia percurrit Hungariam, Austriæ finibus vicinandam’.</w:t>
      </w:r>
      <w:r w:rsidR="004E7D51" w:rsidRPr="003B7029">
        <w:t xml:space="preserve"> </w:t>
      </w:r>
      <w:r w:rsidR="00F97EDB" w:rsidRPr="003B7029">
        <w:t xml:space="preserve">See also note 92 above. </w:t>
      </w:r>
      <w:r w:rsidR="004D030D" w:rsidRPr="003B7029">
        <w:t>Cf. Ottobeuren letter 8.</w:t>
      </w:r>
    </w:p>
  </w:endnote>
  <w:endnote w:id="126">
    <w:p w14:paraId="10BEDC31" w14:textId="75A68380" w:rsidR="004D030D" w:rsidRPr="003B7029" w:rsidRDefault="004D030D" w:rsidP="004D030D">
      <w:pPr>
        <w:pStyle w:val="Footnotes"/>
        <w:rPr>
          <w:lang w:val="en-US"/>
        </w:rPr>
      </w:pPr>
      <w:r w:rsidRPr="003B7029">
        <w:rPr>
          <w:rStyle w:val="EndnoteReference"/>
        </w:rPr>
        <w:endnoteRef/>
      </w:r>
      <w:r w:rsidRPr="003B7029">
        <w:t xml:space="preserve"> </w:t>
      </w:r>
      <w:r w:rsidRPr="003B7029">
        <w:rPr>
          <w:i/>
          <w:iCs/>
          <w:lang w:val="en-US"/>
        </w:rPr>
        <w:t>MGH Epp. saec. XIII</w:t>
      </w:r>
      <w:r w:rsidRPr="003B7029">
        <w:rPr>
          <w:lang w:val="en-US"/>
        </w:rPr>
        <w:t>, 1: 722–3 (no. 822)</w:t>
      </w:r>
      <w:r w:rsidR="00B8294D" w:rsidRPr="003B7029">
        <w:rPr>
          <w:lang w:val="en-US"/>
        </w:rPr>
        <w:t>.</w:t>
      </w:r>
      <w:r w:rsidRPr="003B7029">
        <w:rPr>
          <w:lang w:val="en-US"/>
        </w:rPr>
        <w:t xml:space="preserve"> Pope Gregory’s response to Duke Bernhard’s letter can be found at 723–4 (no. 823).</w:t>
      </w:r>
    </w:p>
  </w:endnote>
  <w:endnote w:id="127">
    <w:p w14:paraId="4FD7FF89" w14:textId="24821ADC" w:rsidR="003A1E8B" w:rsidRPr="003B7029" w:rsidRDefault="003A1E8B" w:rsidP="00021085">
      <w:pPr>
        <w:pStyle w:val="Footnotes"/>
      </w:pPr>
      <w:r w:rsidRPr="003B7029">
        <w:rPr>
          <w:rStyle w:val="EndnoteReference"/>
        </w:rPr>
        <w:endnoteRef/>
      </w:r>
      <w:r w:rsidRPr="003B7029">
        <w:t xml:space="preserve"> Karl Brunner, ‘Zum Prozeß gegen Herzog Friedrich II. von 1236’, </w:t>
      </w:r>
      <w:r w:rsidRPr="003B7029">
        <w:rPr>
          <w:i/>
          <w:iCs/>
        </w:rPr>
        <w:t>Mitteilungen des Instituts für Österreichische Geschichtsforschung</w:t>
      </w:r>
      <w:r w:rsidRPr="003B7029">
        <w:t xml:space="preserve"> 58 (1970): 260–73; Karl Lechner, </w:t>
      </w:r>
      <w:r w:rsidRPr="003B7029">
        <w:rPr>
          <w:i/>
          <w:iCs/>
        </w:rPr>
        <w:t>Die Babenberger: Markgrafen und Herzöge von Österreich 976–1246</w:t>
      </w:r>
      <w:r w:rsidRPr="003B7029">
        <w:t xml:space="preserve">, Veröffentlichungen des Instituts für Österreichische Geschichtsforschung 23 (Cologne, Vienna: Böhlau, 1976), 279–87; Scheibelreiter, </w:t>
      </w:r>
      <w:r w:rsidRPr="003B7029">
        <w:rPr>
          <w:i/>
          <w:iCs/>
        </w:rPr>
        <w:t>Die Babenberger</w:t>
      </w:r>
      <w:r w:rsidRPr="003B7029">
        <w:t xml:space="preserve">, 316–30. For sources, see </w:t>
      </w:r>
      <w:r w:rsidRPr="003B7029">
        <w:rPr>
          <w:i/>
          <w:iCs/>
        </w:rPr>
        <w:t>BUB</w:t>
      </w:r>
      <w:r w:rsidRPr="003B7029">
        <w:t>, 4, no. 2: 213–30, 232–6 (nos</w:t>
      </w:r>
      <w:r w:rsidR="005A4793" w:rsidRPr="003B7029">
        <w:t>.</w:t>
      </w:r>
      <w:r w:rsidRPr="003B7029">
        <w:t xml:space="preserve"> 1188–1200, 1205–9).</w:t>
      </w:r>
    </w:p>
  </w:endnote>
  <w:endnote w:id="128">
    <w:p w14:paraId="2C730EE0" w14:textId="1DD8E84E" w:rsidR="003A1E8B" w:rsidRPr="003B7029" w:rsidRDefault="003A1E8B" w:rsidP="00021085">
      <w:pPr>
        <w:pStyle w:val="Footnotes"/>
      </w:pPr>
      <w:r w:rsidRPr="003B7029">
        <w:rPr>
          <w:rStyle w:val="EndnoteReference"/>
        </w:rPr>
        <w:endnoteRef/>
      </w:r>
      <w:r w:rsidRPr="003B7029">
        <w:t xml:space="preserve"> Note 7</w:t>
      </w:r>
      <w:r w:rsidR="002E1413" w:rsidRPr="003B7029">
        <w:t>8</w:t>
      </w:r>
      <w:r w:rsidRPr="003B7029">
        <w:t xml:space="preserve"> above.</w:t>
      </w:r>
    </w:p>
  </w:endnote>
  <w:endnote w:id="129">
    <w:p w14:paraId="550E74A0" w14:textId="6EF77B67" w:rsidR="003A1E8B" w:rsidRPr="00E26D23" w:rsidRDefault="003A1E8B" w:rsidP="00021085">
      <w:pPr>
        <w:pStyle w:val="Footnotes"/>
      </w:pPr>
      <w:r w:rsidRPr="003B7029">
        <w:rPr>
          <w:rStyle w:val="EndnoteReference"/>
        </w:rPr>
        <w:endnoteRef/>
      </w:r>
      <w:r w:rsidRPr="003B7029">
        <w:t xml:space="preserve"> </w:t>
      </w:r>
      <w:r w:rsidRPr="003B7029">
        <w:rPr>
          <w:i/>
          <w:iCs/>
        </w:rPr>
        <w:t>MGH Epp. saec. XIII</w:t>
      </w:r>
      <w:r w:rsidRPr="003B7029">
        <w:t>, 1: 722–3 (nos. 821–2), ‘non sine multarum lacrimarum effusione’. For Gregory’s correspondence with Béla</w:t>
      </w:r>
      <w:r w:rsidR="00AC0BC5" w:rsidRPr="003B7029">
        <w:t>, see</w:t>
      </w:r>
      <w:r w:rsidRPr="003B7029">
        <w:t xml:space="preserve"> note 9</w:t>
      </w:r>
      <w:r w:rsidR="001A2C8C" w:rsidRPr="003B7029">
        <w:t>3</w:t>
      </w:r>
      <w:r w:rsidRPr="003B7029">
        <w:t xml:space="preserve"> above.</w:t>
      </w:r>
      <w:r w:rsidR="00AC0BC5" w:rsidRPr="003B7029">
        <w:t xml:space="preserve"> </w:t>
      </w:r>
      <w:r w:rsidR="00B739A1" w:rsidRPr="003B7029">
        <w:t xml:space="preserve">See also </w:t>
      </w:r>
      <w:r w:rsidR="00E26D23" w:rsidRPr="003B7029">
        <w:t xml:space="preserve">Bezzola, </w:t>
      </w:r>
      <w:r w:rsidR="00E26D23" w:rsidRPr="003B7029">
        <w:rPr>
          <w:i/>
          <w:iCs/>
        </w:rPr>
        <w:t>Die Mongolen</w:t>
      </w:r>
      <w:r w:rsidR="00E26D23" w:rsidRPr="003B7029">
        <w:t>, 75–7.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3205563"/>
      <w:docPartObj>
        <w:docPartGallery w:val="Page Numbers (Bottom of Page)"/>
        <w:docPartUnique/>
      </w:docPartObj>
    </w:sdtPr>
    <w:sdtEndPr>
      <w:rPr>
        <w:rStyle w:val="PageNumber"/>
      </w:rPr>
    </w:sdtEndPr>
    <w:sdtContent>
      <w:p w14:paraId="3EA9179C" w14:textId="77777777" w:rsidR="003A1E8B" w:rsidRDefault="003A1E8B" w:rsidP="003815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FB979B" w14:textId="77777777" w:rsidR="003A1E8B" w:rsidRDefault="003A1E8B" w:rsidP="00BB67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7368305"/>
      <w:docPartObj>
        <w:docPartGallery w:val="Page Numbers (Bottom of Page)"/>
        <w:docPartUnique/>
      </w:docPartObj>
    </w:sdtPr>
    <w:sdtEndPr>
      <w:rPr>
        <w:rStyle w:val="PageNumber"/>
      </w:rPr>
    </w:sdtEndPr>
    <w:sdtContent>
      <w:p w14:paraId="0ADFABC0" w14:textId="7558230E" w:rsidR="003815B5" w:rsidRDefault="003815B5" w:rsidP="00B70A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3D0493" w14:textId="77777777" w:rsidR="003A1E8B" w:rsidRDefault="003A1E8B" w:rsidP="00BB675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5058075"/>
      <w:docPartObj>
        <w:docPartGallery w:val="Page Numbers (Bottom of Page)"/>
        <w:docPartUnique/>
      </w:docPartObj>
    </w:sdtPr>
    <w:sdtEndPr>
      <w:rPr>
        <w:rStyle w:val="PageNumber"/>
      </w:rPr>
    </w:sdtEndPr>
    <w:sdtContent>
      <w:p w14:paraId="2BB00A3D" w14:textId="6F639CA9" w:rsidR="00F242A1" w:rsidRDefault="00F242A1" w:rsidP="00B70A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F82A39" w14:textId="77777777" w:rsidR="003A1E8B" w:rsidRDefault="003A1E8B" w:rsidP="00F242A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857736"/>
      <w:docPartObj>
        <w:docPartGallery w:val="Page Numbers (Bottom of Page)"/>
        <w:docPartUnique/>
      </w:docPartObj>
    </w:sdtPr>
    <w:sdtEndPr>
      <w:rPr>
        <w:rStyle w:val="PageNumber"/>
      </w:rPr>
    </w:sdtEndPr>
    <w:sdtContent>
      <w:p w14:paraId="28646C56" w14:textId="794B1D0D" w:rsidR="00F242A1" w:rsidRDefault="00F242A1" w:rsidP="00B70A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sdtContent>
  </w:sdt>
  <w:p w14:paraId="578C6937" w14:textId="77777777" w:rsidR="003A1E8B" w:rsidRDefault="003A1E8B" w:rsidP="00F242A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9B63" w14:textId="77777777" w:rsidR="003A1E8B" w:rsidRDefault="003A1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3EF29" w14:textId="77777777" w:rsidR="00B244F2" w:rsidRDefault="00B244F2" w:rsidP="00AF2C92">
      <w:r>
        <w:separator/>
      </w:r>
    </w:p>
  </w:footnote>
  <w:footnote w:type="continuationSeparator" w:id="0">
    <w:p w14:paraId="5840BF58" w14:textId="77777777" w:rsidR="00B244F2" w:rsidRDefault="00B244F2" w:rsidP="00AF2C92">
      <w:r>
        <w:continuationSeparator/>
      </w:r>
    </w:p>
  </w:footnote>
  <w:footnote w:id="1">
    <w:p w14:paraId="48C15CE3" w14:textId="2664008F" w:rsidR="003A1E8B" w:rsidRPr="003B7029" w:rsidRDefault="003A1E8B" w:rsidP="00A97286">
      <w:pPr>
        <w:pStyle w:val="Footnotes"/>
        <w:rPr>
          <w:lang w:val="en-US"/>
        </w:rPr>
      </w:pPr>
      <w:r w:rsidRPr="003B7029">
        <w:rPr>
          <w:rStyle w:val="FootnoteReference"/>
        </w:rPr>
        <w:footnoteRef/>
      </w:r>
      <w:r w:rsidRPr="003B7029">
        <w:t xml:space="preserve"> </w:t>
      </w:r>
      <w:r w:rsidRPr="003B7029">
        <w:rPr>
          <w:lang w:val="en-US"/>
        </w:rPr>
        <w:t>[note 38].</w:t>
      </w:r>
    </w:p>
  </w:footnote>
  <w:footnote w:id="2">
    <w:p w14:paraId="68F4DA93" w14:textId="314FDD85" w:rsidR="003A1E8B" w:rsidRPr="00A97286" w:rsidRDefault="003A1E8B" w:rsidP="00A97286">
      <w:pPr>
        <w:pStyle w:val="Footnotes"/>
        <w:rPr>
          <w:lang w:val="en-US"/>
        </w:rPr>
      </w:pPr>
      <w:r w:rsidRPr="003B7029">
        <w:rPr>
          <w:rStyle w:val="FootnoteReference"/>
        </w:rPr>
        <w:footnoteRef/>
      </w:r>
      <w:r w:rsidRPr="003B7029">
        <w:t xml:space="preserve"> [note 9</w:t>
      </w:r>
      <w:r w:rsidR="00C62FC5" w:rsidRPr="003B7029">
        <w:t>1</w:t>
      </w:r>
      <w:r w:rsidRPr="003B70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D25DA" w14:textId="77777777" w:rsidR="003A1E8B" w:rsidRDefault="003A1E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A4FC" w14:textId="77777777" w:rsidR="003A1E8B" w:rsidRDefault="003A1E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CC323" w14:textId="77777777" w:rsidR="003A1E8B" w:rsidRDefault="003A1E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D96BF8"/>
    <w:multiLevelType w:val="hybridMultilevel"/>
    <w:tmpl w:val="CC64CAAC"/>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19"/>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7"/>
  </w:num>
  <w:num w:numId="14">
    <w:abstractNumId w:val="20"/>
  </w:num>
  <w:num w:numId="15">
    <w:abstractNumId w:val="14"/>
  </w:num>
  <w:num w:numId="16">
    <w:abstractNumId w:val="16"/>
  </w:num>
  <w:num w:numId="17">
    <w:abstractNumId w:val="11"/>
  </w:num>
  <w:num w:numId="18">
    <w:abstractNumId w:val="0"/>
  </w:num>
  <w:num w:numId="19">
    <w:abstractNumId w:val="12"/>
  </w:num>
  <w:num w:numId="20">
    <w:abstractNumId w:val="20"/>
  </w:num>
  <w:num w:numId="21">
    <w:abstractNumId w:val="20"/>
  </w:num>
  <w:num w:numId="22">
    <w:abstractNumId w:val="20"/>
  </w:num>
  <w:num w:numId="23">
    <w:abstractNumId w:val="20"/>
  </w:num>
  <w:num w:numId="24">
    <w:abstractNumId w:val="17"/>
  </w:num>
  <w:num w:numId="25">
    <w:abstractNumId w:val="18"/>
  </w:num>
  <w:num w:numId="26">
    <w:abstractNumId w:val="21"/>
  </w:num>
  <w:num w:numId="27">
    <w:abstractNumId w:val="22"/>
  </w:num>
  <w:num w:numId="28">
    <w:abstractNumId w:val="20"/>
  </w:num>
  <w:num w:numId="29">
    <w:abstractNumId w:val="13"/>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85"/>
    <w:rsid w:val="00000552"/>
    <w:rsid w:val="00000D51"/>
    <w:rsid w:val="00001899"/>
    <w:rsid w:val="00001A41"/>
    <w:rsid w:val="0000463F"/>
    <w:rsid w:val="000049AD"/>
    <w:rsid w:val="0000681B"/>
    <w:rsid w:val="00006CF1"/>
    <w:rsid w:val="00007512"/>
    <w:rsid w:val="0000798B"/>
    <w:rsid w:val="00010370"/>
    <w:rsid w:val="00010C32"/>
    <w:rsid w:val="00010E53"/>
    <w:rsid w:val="000133C0"/>
    <w:rsid w:val="00014C4E"/>
    <w:rsid w:val="0001556E"/>
    <w:rsid w:val="00015F95"/>
    <w:rsid w:val="000162D3"/>
    <w:rsid w:val="00017107"/>
    <w:rsid w:val="00017504"/>
    <w:rsid w:val="000202E2"/>
    <w:rsid w:val="00020B91"/>
    <w:rsid w:val="00021085"/>
    <w:rsid w:val="000212D3"/>
    <w:rsid w:val="0002171B"/>
    <w:rsid w:val="00021EA7"/>
    <w:rsid w:val="00022441"/>
    <w:rsid w:val="0002261E"/>
    <w:rsid w:val="00022930"/>
    <w:rsid w:val="00022A6B"/>
    <w:rsid w:val="0002304B"/>
    <w:rsid w:val="00023BB8"/>
    <w:rsid w:val="00024839"/>
    <w:rsid w:val="0002488B"/>
    <w:rsid w:val="00024D8F"/>
    <w:rsid w:val="000256FF"/>
    <w:rsid w:val="00025EAF"/>
    <w:rsid w:val="00026097"/>
    <w:rsid w:val="00026871"/>
    <w:rsid w:val="00026EA8"/>
    <w:rsid w:val="00027134"/>
    <w:rsid w:val="00027160"/>
    <w:rsid w:val="00027A2B"/>
    <w:rsid w:val="00027C89"/>
    <w:rsid w:val="0003039A"/>
    <w:rsid w:val="00031DB0"/>
    <w:rsid w:val="000321B5"/>
    <w:rsid w:val="000331B3"/>
    <w:rsid w:val="00033316"/>
    <w:rsid w:val="00033D4D"/>
    <w:rsid w:val="00034516"/>
    <w:rsid w:val="00036249"/>
    <w:rsid w:val="00036A3F"/>
    <w:rsid w:val="00036E9F"/>
    <w:rsid w:val="00037757"/>
    <w:rsid w:val="00037A98"/>
    <w:rsid w:val="00037ABE"/>
    <w:rsid w:val="00040EC3"/>
    <w:rsid w:val="00041AD1"/>
    <w:rsid w:val="000420C5"/>
    <w:rsid w:val="000420DB"/>
    <w:rsid w:val="00042610"/>
    <w:rsid w:val="000427FB"/>
    <w:rsid w:val="00042EA0"/>
    <w:rsid w:val="00043B47"/>
    <w:rsid w:val="0004455E"/>
    <w:rsid w:val="000457EA"/>
    <w:rsid w:val="000460F3"/>
    <w:rsid w:val="000468B7"/>
    <w:rsid w:val="00047580"/>
    <w:rsid w:val="000479F8"/>
    <w:rsid w:val="00047CB5"/>
    <w:rsid w:val="00047DF1"/>
    <w:rsid w:val="00047F10"/>
    <w:rsid w:val="00050697"/>
    <w:rsid w:val="000506E5"/>
    <w:rsid w:val="00051FAA"/>
    <w:rsid w:val="00053EFB"/>
    <w:rsid w:val="000542F5"/>
    <w:rsid w:val="000559E4"/>
    <w:rsid w:val="00056B7E"/>
    <w:rsid w:val="000572A9"/>
    <w:rsid w:val="00060135"/>
    <w:rsid w:val="00060B3E"/>
    <w:rsid w:val="00060BC2"/>
    <w:rsid w:val="0006122C"/>
    <w:rsid w:val="00061325"/>
    <w:rsid w:val="00061378"/>
    <w:rsid w:val="00061AF0"/>
    <w:rsid w:val="0006214F"/>
    <w:rsid w:val="00062700"/>
    <w:rsid w:val="00062C1A"/>
    <w:rsid w:val="00067C0D"/>
    <w:rsid w:val="00070C72"/>
    <w:rsid w:val="0007120F"/>
    <w:rsid w:val="000723E5"/>
    <w:rsid w:val="000733AC"/>
    <w:rsid w:val="000745AB"/>
    <w:rsid w:val="00074B81"/>
    <w:rsid w:val="00074B9A"/>
    <w:rsid w:val="00074D22"/>
    <w:rsid w:val="00075081"/>
    <w:rsid w:val="0007528A"/>
    <w:rsid w:val="00075567"/>
    <w:rsid w:val="00075B2E"/>
    <w:rsid w:val="00075F8C"/>
    <w:rsid w:val="00075FC7"/>
    <w:rsid w:val="00076B70"/>
    <w:rsid w:val="00076E06"/>
    <w:rsid w:val="00077A09"/>
    <w:rsid w:val="00080364"/>
    <w:rsid w:val="000804EE"/>
    <w:rsid w:val="00080A51"/>
    <w:rsid w:val="000811AB"/>
    <w:rsid w:val="000816C1"/>
    <w:rsid w:val="00082862"/>
    <w:rsid w:val="0008326B"/>
    <w:rsid w:val="00083C5F"/>
    <w:rsid w:val="000843A0"/>
    <w:rsid w:val="0008445D"/>
    <w:rsid w:val="00084E86"/>
    <w:rsid w:val="00086972"/>
    <w:rsid w:val="00087916"/>
    <w:rsid w:val="00090CD9"/>
    <w:rsid w:val="0009104B"/>
    <w:rsid w:val="0009172C"/>
    <w:rsid w:val="00091C6F"/>
    <w:rsid w:val="00092315"/>
    <w:rsid w:val="000930EC"/>
    <w:rsid w:val="00095E61"/>
    <w:rsid w:val="000966C1"/>
    <w:rsid w:val="000970AC"/>
    <w:rsid w:val="00097F53"/>
    <w:rsid w:val="000A1167"/>
    <w:rsid w:val="000A1527"/>
    <w:rsid w:val="000A2272"/>
    <w:rsid w:val="000A36A4"/>
    <w:rsid w:val="000A4428"/>
    <w:rsid w:val="000A51C3"/>
    <w:rsid w:val="000A5204"/>
    <w:rsid w:val="000A6D40"/>
    <w:rsid w:val="000A794B"/>
    <w:rsid w:val="000A7BC3"/>
    <w:rsid w:val="000A7CD8"/>
    <w:rsid w:val="000A7F7C"/>
    <w:rsid w:val="000B0023"/>
    <w:rsid w:val="000B0262"/>
    <w:rsid w:val="000B0FBB"/>
    <w:rsid w:val="000B1332"/>
    <w:rsid w:val="000B1661"/>
    <w:rsid w:val="000B1B8F"/>
    <w:rsid w:val="000B1F0B"/>
    <w:rsid w:val="000B2E88"/>
    <w:rsid w:val="000B4168"/>
    <w:rsid w:val="000B4603"/>
    <w:rsid w:val="000B4614"/>
    <w:rsid w:val="000B4B3E"/>
    <w:rsid w:val="000C087B"/>
    <w:rsid w:val="000C09BE"/>
    <w:rsid w:val="000C0A16"/>
    <w:rsid w:val="000C1380"/>
    <w:rsid w:val="000C1F63"/>
    <w:rsid w:val="000C422E"/>
    <w:rsid w:val="000C49A8"/>
    <w:rsid w:val="000C4C71"/>
    <w:rsid w:val="000C554F"/>
    <w:rsid w:val="000C624D"/>
    <w:rsid w:val="000C681B"/>
    <w:rsid w:val="000C6D0A"/>
    <w:rsid w:val="000C7707"/>
    <w:rsid w:val="000D068C"/>
    <w:rsid w:val="000D0DC5"/>
    <w:rsid w:val="000D10F8"/>
    <w:rsid w:val="000D15FF"/>
    <w:rsid w:val="000D1B07"/>
    <w:rsid w:val="000D28DF"/>
    <w:rsid w:val="000D340D"/>
    <w:rsid w:val="000D384A"/>
    <w:rsid w:val="000D488B"/>
    <w:rsid w:val="000D4D54"/>
    <w:rsid w:val="000D5A80"/>
    <w:rsid w:val="000D673B"/>
    <w:rsid w:val="000D68DF"/>
    <w:rsid w:val="000D6DAE"/>
    <w:rsid w:val="000D7308"/>
    <w:rsid w:val="000E03B6"/>
    <w:rsid w:val="000E0F50"/>
    <w:rsid w:val="000E138D"/>
    <w:rsid w:val="000E187A"/>
    <w:rsid w:val="000E2D61"/>
    <w:rsid w:val="000E2EAC"/>
    <w:rsid w:val="000E3686"/>
    <w:rsid w:val="000E36C8"/>
    <w:rsid w:val="000E3C13"/>
    <w:rsid w:val="000E3D9C"/>
    <w:rsid w:val="000E450E"/>
    <w:rsid w:val="000E4967"/>
    <w:rsid w:val="000E5895"/>
    <w:rsid w:val="000E6259"/>
    <w:rsid w:val="000F01A8"/>
    <w:rsid w:val="000F1867"/>
    <w:rsid w:val="000F2B98"/>
    <w:rsid w:val="000F3116"/>
    <w:rsid w:val="000F4677"/>
    <w:rsid w:val="000F56DE"/>
    <w:rsid w:val="000F5BE0"/>
    <w:rsid w:val="000F7C36"/>
    <w:rsid w:val="000F7FA6"/>
    <w:rsid w:val="00100153"/>
    <w:rsid w:val="00100587"/>
    <w:rsid w:val="00100ACA"/>
    <w:rsid w:val="001011B4"/>
    <w:rsid w:val="0010284E"/>
    <w:rsid w:val="00102E35"/>
    <w:rsid w:val="00103122"/>
    <w:rsid w:val="0010336A"/>
    <w:rsid w:val="00103502"/>
    <w:rsid w:val="001050F1"/>
    <w:rsid w:val="00105AEA"/>
    <w:rsid w:val="00106361"/>
    <w:rsid w:val="0010683E"/>
    <w:rsid w:val="00106CEB"/>
    <w:rsid w:val="00106D87"/>
    <w:rsid w:val="00106DAF"/>
    <w:rsid w:val="00106E40"/>
    <w:rsid w:val="0010726F"/>
    <w:rsid w:val="00107F03"/>
    <w:rsid w:val="0011083D"/>
    <w:rsid w:val="001108AE"/>
    <w:rsid w:val="001149F0"/>
    <w:rsid w:val="00114ABE"/>
    <w:rsid w:val="00114E4D"/>
    <w:rsid w:val="0011583A"/>
    <w:rsid w:val="00116023"/>
    <w:rsid w:val="001165B5"/>
    <w:rsid w:val="00116E68"/>
    <w:rsid w:val="0012023C"/>
    <w:rsid w:val="00120608"/>
    <w:rsid w:val="001209F9"/>
    <w:rsid w:val="001214F5"/>
    <w:rsid w:val="00121AA0"/>
    <w:rsid w:val="00121D13"/>
    <w:rsid w:val="001257AB"/>
    <w:rsid w:val="0012678B"/>
    <w:rsid w:val="00126B0F"/>
    <w:rsid w:val="0013040A"/>
    <w:rsid w:val="00130647"/>
    <w:rsid w:val="0013172F"/>
    <w:rsid w:val="001318F4"/>
    <w:rsid w:val="001332C5"/>
    <w:rsid w:val="001347B8"/>
    <w:rsid w:val="00134A51"/>
    <w:rsid w:val="001353BC"/>
    <w:rsid w:val="001361BE"/>
    <w:rsid w:val="001364B8"/>
    <w:rsid w:val="00136C23"/>
    <w:rsid w:val="001373BE"/>
    <w:rsid w:val="00140727"/>
    <w:rsid w:val="00140F0D"/>
    <w:rsid w:val="001415C5"/>
    <w:rsid w:val="00141A10"/>
    <w:rsid w:val="001438DF"/>
    <w:rsid w:val="00143B5F"/>
    <w:rsid w:val="001444A9"/>
    <w:rsid w:val="00145168"/>
    <w:rsid w:val="00145558"/>
    <w:rsid w:val="00147C1C"/>
    <w:rsid w:val="001504CE"/>
    <w:rsid w:val="00152735"/>
    <w:rsid w:val="00154A3C"/>
    <w:rsid w:val="00155500"/>
    <w:rsid w:val="0015633C"/>
    <w:rsid w:val="00160628"/>
    <w:rsid w:val="00160BE5"/>
    <w:rsid w:val="00160C28"/>
    <w:rsid w:val="00160E0F"/>
    <w:rsid w:val="00161344"/>
    <w:rsid w:val="00162195"/>
    <w:rsid w:val="0016228E"/>
    <w:rsid w:val="0016322A"/>
    <w:rsid w:val="00163363"/>
    <w:rsid w:val="00165631"/>
    <w:rsid w:val="0016596D"/>
    <w:rsid w:val="00165A21"/>
    <w:rsid w:val="00165DD8"/>
    <w:rsid w:val="00166582"/>
    <w:rsid w:val="001674F9"/>
    <w:rsid w:val="001705CE"/>
    <w:rsid w:val="00170EF5"/>
    <w:rsid w:val="00171D66"/>
    <w:rsid w:val="00172298"/>
    <w:rsid w:val="001729B7"/>
    <w:rsid w:val="00172E48"/>
    <w:rsid w:val="00174CEB"/>
    <w:rsid w:val="0017641C"/>
    <w:rsid w:val="0017714B"/>
    <w:rsid w:val="00177E50"/>
    <w:rsid w:val="001804DF"/>
    <w:rsid w:val="00181696"/>
    <w:rsid w:val="00181A87"/>
    <w:rsid w:val="00181BDC"/>
    <w:rsid w:val="00181DB0"/>
    <w:rsid w:val="001829E3"/>
    <w:rsid w:val="001841C4"/>
    <w:rsid w:val="00184C19"/>
    <w:rsid w:val="00186093"/>
    <w:rsid w:val="001868E1"/>
    <w:rsid w:val="001872B7"/>
    <w:rsid w:val="00187898"/>
    <w:rsid w:val="001879E2"/>
    <w:rsid w:val="0019107A"/>
    <w:rsid w:val="00191205"/>
    <w:rsid w:val="001916AB"/>
    <w:rsid w:val="00191811"/>
    <w:rsid w:val="00192412"/>
    <w:rsid w:val="001924C0"/>
    <w:rsid w:val="001927D1"/>
    <w:rsid w:val="00192DE2"/>
    <w:rsid w:val="0019357A"/>
    <w:rsid w:val="00195D1A"/>
    <w:rsid w:val="00196252"/>
    <w:rsid w:val="001969AB"/>
    <w:rsid w:val="0019731E"/>
    <w:rsid w:val="001A09FE"/>
    <w:rsid w:val="001A0A65"/>
    <w:rsid w:val="001A1258"/>
    <w:rsid w:val="001A12D7"/>
    <w:rsid w:val="001A2C8C"/>
    <w:rsid w:val="001A2FC6"/>
    <w:rsid w:val="001A3C4A"/>
    <w:rsid w:val="001A3E31"/>
    <w:rsid w:val="001A5069"/>
    <w:rsid w:val="001A67C9"/>
    <w:rsid w:val="001A69DE"/>
    <w:rsid w:val="001A713C"/>
    <w:rsid w:val="001B0472"/>
    <w:rsid w:val="001B059D"/>
    <w:rsid w:val="001B0CF6"/>
    <w:rsid w:val="001B11A9"/>
    <w:rsid w:val="001B1C7C"/>
    <w:rsid w:val="001B2031"/>
    <w:rsid w:val="001B260F"/>
    <w:rsid w:val="001B278F"/>
    <w:rsid w:val="001B3183"/>
    <w:rsid w:val="001B398F"/>
    <w:rsid w:val="001B46C6"/>
    <w:rsid w:val="001B4B48"/>
    <w:rsid w:val="001B4D1F"/>
    <w:rsid w:val="001B7322"/>
    <w:rsid w:val="001B74C0"/>
    <w:rsid w:val="001B7681"/>
    <w:rsid w:val="001B7CAE"/>
    <w:rsid w:val="001B7ED6"/>
    <w:rsid w:val="001C0552"/>
    <w:rsid w:val="001C0772"/>
    <w:rsid w:val="001C0D4F"/>
    <w:rsid w:val="001C1BA3"/>
    <w:rsid w:val="001C1DEC"/>
    <w:rsid w:val="001C33C5"/>
    <w:rsid w:val="001C409C"/>
    <w:rsid w:val="001C5292"/>
    <w:rsid w:val="001C5736"/>
    <w:rsid w:val="001C5D5F"/>
    <w:rsid w:val="001C5EA3"/>
    <w:rsid w:val="001C6BF8"/>
    <w:rsid w:val="001C6F56"/>
    <w:rsid w:val="001C79C6"/>
    <w:rsid w:val="001D0810"/>
    <w:rsid w:val="001D0DB1"/>
    <w:rsid w:val="001D2C04"/>
    <w:rsid w:val="001D2CAE"/>
    <w:rsid w:val="001D2E4F"/>
    <w:rsid w:val="001D4331"/>
    <w:rsid w:val="001D47D0"/>
    <w:rsid w:val="001D647F"/>
    <w:rsid w:val="001D6857"/>
    <w:rsid w:val="001D6B65"/>
    <w:rsid w:val="001D7313"/>
    <w:rsid w:val="001E0572"/>
    <w:rsid w:val="001E0A67"/>
    <w:rsid w:val="001E0C1B"/>
    <w:rsid w:val="001E1028"/>
    <w:rsid w:val="001E14E2"/>
    <w:rsid w:val="001E1876"/>
    <w:rsid w:val="001E2133"/>
    <w:rsid w:val="001E2643"/>
    <w:rsid w:val="001E2C46"/>
    <w:rsid w:val="001E3FA5"/>
    <w:rsid w:val="001E4431"/>
    <w:rsid w:val="001E5059"/>
    <w:rsid w:val="001E5CBF"/>
    <w:rsid w:val="001E6302"/>
    <w:rsid w:val="001E76D1"/>
    <w:rsid w:val="001E7DCB"/>
    <w:rsid w:val="001F060E"/>
    <w:rsid w:val="001F168E"/>
    <w:rsid w:val="001F172C"/>
    <w:rsid w:val="001F1752"/>
    <w:rsid w:val="001F1C72"/>
    <w:rsid w:val="001F3411"/>
    <w:rsid w:val="001F39A4"/>
    <w:rsid w:val="001F3D7A"/>
    <w:rsid w:val="001F4287"/>
    <w:rsid w:val="001F4612"/>
    <w:rsid w:val="001F475E"/>
    <w:rsid w:val="001F4B57"/>
    <w:rsid w:val="001F4DBA"/>
    <w:rsid w:val="001F56A4"/>
    <w:rsid w:val="001F60CC"/>
    <w:rsid w:val="001F6430"/>
    <w:rsid w:val="001F6F48"/>
    <w:rsid w:val="001F72E5"/>
    <w:rsid w:val="001F760A"/>
    <w:rsid w:val="002001A7"/>
    <w:rsid w:val="0020064A"/>
    <w:rsid w:val="0020133B"/>
    <w:rsid w:val="002029A9"/>
    <w:rsid w:val="00202A39"/>
    <w:rsid w:val="0020307D"/>
    <w:rsid w:val="00203CDC"/>
    <w:rsid w:val="0020415E"/>
    <w:rsid w:val="00204FB0"/>
    <w:rsid w:val="00204FF4"/>
    <w:rsid w:val="00206475"/>
    <w:rsid w:val="00206A81"/>
    <w:rsid w:val="0020775A"/>
    <w:rsid w:val="0021056E"/>
    <w:rsid w:val="0021075D"/>
    <w:rsid w:val="00211310"/>
    <w:rsid w:val="002114CD"/>
    <w:rsid w:val="0021165A"/>
    <w:rsid w:val="0021179B"/>
    <w:rsid w:val="00211BC9"/>
    <w:rsid w:val="00212939"/>
    <w:rsid w:val="00212AC2"/>
    <w:rsid w:val="00213F1E"/>
    <w:rsid w:val="00214F92"/>
    <w:rsid w:val="0021620C"/>
    <w:rsid w:val="00216C1A"/>
    <w:rsid w:val="00216E78"/>
    <w:rsid w:val="0021721A"/>
    <w:rsid w:val="00217275"/>
    <w:rsid w:val="00220882"/>
    <w:rsid w:val="002211DD"/>
    <w:rsid w:val="00221B42"/>
    <w:rsid w:val="00222884"/>
    <w:rsid w:val="0022405C"/>
    <w:rsid w:val="00225307"/>
    <w:rsid w:val="00225E0E"/>
    <w:rsid w:val="00230AD5"/>
    <w:rsid w:val="00232F4D"/>
    <w:rsid w:val="002341C8"/>
    <w:rsid w:val="00234379"/>
    <w:rsid w:val="00234D1D"/>
    <w:rsid w:val="002353F7"/>
    <w:rsid w:val="00236A25"/>
    <w:rsid w:val="00236F4B"/>
    <w:rsid w:val="00240DE6"/>
    <w:rsid w:val="00241716"/>
    <w:rsid w:val="00241C6F"/>
    <w:rsid w:val="002421B1"/>
    <w:rsid w:val="00242B0D"/>
    <w:rsid w:val="002440A2"/>
    <w:rsid w:val="002453D6"/>
    <w:rsid w:val="002467C6"/>
    <w:rsid w:val="0024692A"/>
    <w:rsid w:val="0024750E"/>
    <w:rsid w:val="00250834"/>
    <w:rsid w:val="00251163"/>
    <w:rsid w:val="00251893"/>
    <w:rsid w:val="00252462"/>
    <w:rsid w:val="00252694"/>
    <w:rsid w:val="00252BBA"/>
    <w:rsid w:val="00252D2B"/>
    <w:rsid w:val="00253123"/>
    <w:rsid w:val="0025526B"/>
    <w:rsid w:val="00255572"/>
    <w:rsid w:val="002567FE"/>
    <w:rsid w:val="00256913"/>
    <w:rsid w:val="00256DB7"/>
    <w:rsid w:val="00256E5F"/>
    <w:rsid w:val="002573D9"/>
    <w:rsid w:val="00257BC6"/>
    <w:rsid w:val="00262159"/>
    <w:rsid w:val="002623D4"/>
    <w:rsid w:val="00262EDE"/>
    <w:rsid w:val="00263D66"/>
    <w:rsid w:val="00264001"/>
    <w:rsid w:val="002648C5"/>
    <w:rsid w:val="00264D26"/>
    <w:rsid w:val="0026559B"/>
    <w:rsid w:val="00265946"/>
    <w:rsid w:val="00266354"/>
    <w:rsid w:val="00266D95"/>
    <w:rsid w:val="002678F1"/>
    <w:rsid w:val="00267A18"/>
    <w:rsid w:val="00270D5D"/>
    <w:rsid w:val="00273462"/>
    <w:rsid w:val="00273524"/>
    <w:rsid w:val="0027395B"/>
    <w:rsid w:val="00274ACE"/>
    <w:rsid w:val="00274E8A"/>
    <w:rsid w:val="002750B4"/>
    <w:rsid w:val="00275854"/>
    <w:rsid w:val="00275FF4"/>
    <w:rsid w:val="00277158"/>
    <w:rsid w:val="002810BE"/>
    <w:rsid w:val="00281D17"/>
    <w:rsid w:val="00282472"/>
    <w:rsid w:val="00283650"/>
    <w:rsid w:val="00283B41"/>
    <w:rsid w:val="00283C5B"/>
    <w:rsid w:val="00285F28"/>
    <w:rsid w:val="00286398"/>
    <w:rsid w:val="0028669D"/>
    <w:rsid w:val="002908C2"/>
    <w:rsid w:val="00291FB7"/>
    <w:rsid w:val="00293BC2"/>
    <w:rsid w:val="00294780"/>
    <w:rsid w:val="0029746A"/>
    <w:rsid w:val="002A2CD6"/>
    <w:rsid w:val="002A2FD9"/>
    <w:rsid w:val="002A3936"/>
    <w:rsid w:val="002A3C42"/>
    <w:rsid w:val="002A44B9"/>
    <w:rsid w:val="002A44DC"/>
    <w:rsid w:val="002A4CEF"/>
    <w:rsid w:val="002A5487"/>
    <w:rsid w:val="002A5A93"/>
    <w:rsid w:val="002A5D75"/>
    <w:rsid w:val="002A5F9D"/>
    <w:rsid w:val="002B021F"/>
    <w:rsid w:val="002B04F9"/>
    <w:rsid w:val="002B1B1A"/>
    <w:rsid w:val="002B2CD4"/>
    <w:rsid w:val="002B30C9"/>
    <w:rsid w:val="002B4647"/>
    <w:rsid w:val="002B7228"/>
    <w:rsid w:val="002C233E"/>
    <w:rsid w:val="002C2999"/>
    <w:rsid w:val="002C2AC8"/>
    <w:rsid w:val="002C35F0"/>
    <w:rsid w:val="002C386A"/>
    <w:rsid w:val="002C4684"/>
    <w:rsid w:val="002C53EE"/>
    <w:rsid w:val="002C5528"/>
    <w:rsid w:val="002C5F4E"/>
    <w:rsid w:val="002C7199"/>
    <w:rsid w:val="002D001E"/>
    <w:rsid w:val="002D0517"/>
    <w:rsid w:val="002D0521"/>
    <w:rsid w:val="002D1C7A"/>
    <w:rsid w:val="002D24F7"/>
    <w:rsid w:val="002D2799"/>
    <w:rsid w:val="002D2B22"/>
    <w:rsid w:val="002D2CD7"/>
    <w:rsid w:val="002D2DE3"/>
    <w:rsid w:val="002D4CAA"/>
    <w:rsid w:val="002D4DDC"/>
    <w:rsid w:val="002D4F75"/>
    <w:rsid w:val="002D54EA"/>
    <w:rsid w:val="002D6493"/>
    <w:rsid w:val="002D6C89"/>
    <w:rsid w:val="002D73FA"/>
    <w:rsid w:val="002D7A2D"/>
    <w:rsid w:val="002D7AB6"/>
    <w:rsid w:val="002D7EA7"/>
    <w:rsid w:val="002E06D0"/>
    <w:rsid w:val="002E0DC8"/>
    <w:rsid w:val="002E1413"/>
    <w:rsid w:val="002E1940"/>
    <w:rsid w:val="002E27DE"/>
    <w:rsid w:val="002E3483"/>
    <w:rsid w:val="002E3C27"/>
    <w:rsid w:val="002E403A"/>
    <w:rsid w:val="002E427F"/>
    <w:rsid w:val="002E455C"/>
    <w:rsid w:val="002E4C8E"/>
    <w:rsid w:val="002E5159"/>
    <w:rsid w:val="002E5BAA"/>
    <w:rsid w:val="002E626B"/>
    <w:rsid w:val="002E6AC5"/>
    <w:rsid w:val="002E7F3A"/>
    <w:rsid w:val="002F02EC"/>
    <w:rsid w:val="002F15E6"/>
    <w:rsid w:val="002F257F"/>
    <w:rsid w:val="002F406A"/>
    <w:rsid w:val="002F4575"/>
    <w:rsid w:val="002F4EDB"/>
    <w:rsid w:val="002F6054"/>
    <w:rsid w:val="002F637A"/>
    <w:rsid w:val="002F6BB0"/>
    <w:rsid w:val="003001BC"/>
    <w:rsid w:val="00300744"/>
    <w:rsid w:val="00302E36"/>
    <w:rsid w:val="003030D5"/>
    <w:rsid w:val="0030478B"/>
    <w:rsid w:val="00304BAA"/>
    <w:rsid w:val="0030529B"/>
    <w:rsid w:val="00306236"/>
    <w:rsid w:val="003075BE"/>
    <w:rsid w:val="003079FC"/>
    <w:rsid w:val="00310E13"/>
    <w:rsid w:val="00311DCA"/>
    <w:rsid w:val="00312981"/>
    <w:rsid w:val="00313B4F"/>
    <w:rsid w:val="0031472C"/>
    <w:rsid w:val="00315633"/>
    <w:rsid w:val="00315713"/>
    <w:rsid w:val="0031686C"/>
    <w:rsid w:val="00316987"/>
    <w:rsid w:val="00316FE0"/>
    <w:rsid w:val="0031705C"/>
    <w:rsid w:val="00317B47"/>
    <w:rsid w:val="003204D2"/>
    <w:rsid w:val="00321219"/>
    <w:rsid w:val="00323340"/>
    <w:rsid w:val="00323736"/>
    <w:rsid w:val="0032605E"/>
    <w:rsid w:val="00326C80"/>
    <w:rsid w:val="00326D13"/>
    <w:rsid w:val="0032729E"/>
    <w:rsid w:val="0032741C"/>
    <w:rsid w:val="003275D1"/>
    <w:rsid w:val="00330B2A"/>
    <w:rsid w:val="00331E17"/>
    <w:rsid w:val="00332817"/>
    <w:rsid w:val="003329AE"/>
    <w:rsid w:val="00333063"/>
    <w:rsid w:val="00333633"/>
    <w:rsid w:val="00333880"/>
    <w:rsid w:val="003339F4"/>
    <w:rsid w:val="003347B1"/>
    <w:rsid w:val="00335C45"/>
    <w:rsid w:val="00336494"/>
    <w:rsid w:val="003408E3"/>
    <w:rsid w:val="003408E6"/>
    <w:rsid w:val="00340BE6"/>
    <w:rsid w:val="00340CC8"/>
    <w:rsid w:val="003414E6"/>
    <w:rsid w:val="0034217F"/>
    <w:rsid w:val="00342A6B"/>
    <w:rsid w:val="00342EFE"/>
    <w:rsid w:val="00343480"/>
    <w:rsid w:val="00343BF3"/>
    <w:rsid w:val="00345444"/>
    <w:rsid w:val="00345997"/>
    <w:rsid w:val="00345E89"/>
    <w:rsid w:val="003460BE"/>
    <w:rsid w:val="00346AFD"/>
    <w:rsid w:val="0034728A"/>
    <w:rsid w:val="003474FF"/>
    <w:rsid w:val="00347787"/>
    <w:rsid w:val="003505A1"/>
    <w:rsid w:val="0035086C"/>
    <w:rsid w:val="00351496"/>
    <w:rsid w:val="003516EB"/>
    <w:rsid w:val="00351E09"/>
    <w:rsid w:val="00352228"/>
    <w:rsid w:val="003522A1"/>
    <w:rsid w:val="0035254B"/>
    <w:rsid w:val="00352732"/>
    <w:rsid w:val="003530AC"/>
    <w:rsid w:val="00353555"/>
    <w:rsid w:val="00353E26"/>
    <w:rsid w:val="00353E88"/>
    <w:rsid w:val="00355139"/>
    <w:rsid w:val="00355E30"/>
    <w:rsid w:val="00356201"/>
    <w:rsid w:val="003563A0"/>
    <w:rsid w:val="003565D4"/>
    <w:rsid w:val="00360610"/>
    <w:rsid w:val="003607FB"/>
    <w:rsid w:val="00360FD5"/>
    <w:rsid w:val="0036234B"/>
    <w:rsid w:val="00362412"/>
    <w:rsid w:val="0036340D"/>
    <w:rsid w:val="003634A5"/>
    <w:rsid w:val="00363920"/>
    <w:rsid w:val="0036425E"/>
    <w:rsid w:val="003652C5"/>
    <w:rsid w:val="003664AE"/>
    <w:rsid w:val="00366868"/>
    <w:rsid w:val="00367305"/>
    <w:rsid w:val="00367506"/>
    <w:rsid w:val="00367E47"/>
    <w:rsid w:val="00370085"/>
    <w:rsid w:val="00370D4F"/>
    <w:rsid w:val="00370DF9"/>
    <w:rsid w:val="00370FF2"/>
    <w:rsid w:val="003719A2"/>
    <w:rsid w:val="00372FBE"/>
    <w:rsid w:val="0037329E"/>
    <w:rsid w:val="003744A7"/>
    <w:rsid w:val="00376235"/>
    <w:rsid w:val="003772C4"/>
    <w:rsid w:val="003773AA"/>
    <w:rsid w:val="00380A1A"/>
    <w:rsid w:val="00380F15"/>
    <w:rsid w:val="003810D5"/>
    <w:rsid w:val="00381354"/>
    <w:rsid w:val="00381384"/>
    <w:rsid w:val="003815B5"/>
    <w:rsid w:val="00381FB6"/>
    <w:rsid w:val="003821F9"/>
    <w:rsid w:val="003826D4"/>
    <w:rsid w:val="00382D0B"/>
    <w:rsid w:val="003836D3"/>
    <w:rsid w:val="00383A52"/>
    <w:rsid w:val="0038433B"/>
    <w:rsid w:val="00384603"/>
    <w:rsid w:val="00384FE7"/>
    <w:rsid w:val="00385312"/>
    <w:rsid w:val="00385B5B"/>
    <w:rsid w:val="003864E6"/>
    <w:rsid w:val="003868A5"/>
    <w:rsid w:val="003901CE"/>
    <w:rsid w:val="00390BFA"/>
    <w:rsid w:val="00391652"/>
    <w:rsid w:val="00393333"/>
    <w:rsid w:val="00393645"/>
    <w:rsid w:val="0039507F"/>
    <w:rsid w:val="003951B4"/>
    <w:rsid w:val="00395F3E"/>
    <w:rsid w:val="00395F7A"/>
    <w:rsid w:val="00396C8F"/>
    <w:rsid w:val="00397724"/>
    <w:rsid w:val="00397E13"/>
    <w:rsid w:val="003A00F2"/>
    <w:rsid w:val="003A0778"/>
    <w:rsid w:val="003A1260"/>
    <w:rsid w:val="003A1E8B"/>
    <w:rsid w:val="003A233D"/>
    <w:rsid w:val="003A295F"/>
    <w:rsid w:val="003A316E"/>
    <w:rsid w:val="003A3338"/>
    <w:rsid w:val="003A335B"/>
    <w:rsid w:val="003A41DD"/>
    <w:rsid w:val="003A53F3"/>
    <w:rsid w:val="003A5A4E"/>
    <w:rsid w:val="003A6E19"/>
    <w:rsid w:val="003A7033"/>
    <w:rsid w:val="003B0009"/>
    <w:rsid w:val="003B0751"/>
    <w:rsid w:val="003B07C0"/>
    <w:rsid w:val="003B2C3B"/>
    <w:rsid w:val="003B3133"/>
    <w:rsid w:val="003B3293"/>
    <w:rsid w:val="003B38CF"/>
    <w:rsid w:val="003B46CA"/>
    <w:rsid w:val="003B47FE"/>
    <w:rsid w:val="003B5673"/>
    <w:rsid w:val="003B6287"/>
    <w:rsid w:val="003B62C9"/>
    <w:rsid w:val="003B685B"/>
    <w:rsid w:val="003B7029"/>
    <w:rsid w:val="003B7BEE"/>
    <w:rsid w:val="003C0274"/>
    <w:rsid w:val="003C19CA"/>
    <w:rsid w:val="003C1BF5"/>
    <w:rsid w:val="003C1EA3"/>
    <w:rsid w:val="003C24B5"/>
    <w:rsid w:val="003C259D"/>
    <w:rsid w:val="003C2DC6"/>
    <w:rsid w:val="003C4265"/>
    <w:rsid w:val="003C5564"/>
    <w:rsid w:val="003C6C77"/>
    <w:rsid w:val="003C7176"/>
    <w:rsid w:val="003D0929"/>
    <w:rsid w:val="003D0CE3"/>
    <w:rsid w:val="003D0FD4"/>
    <w:rsid w:val="003D1171"/>
    <w:rsid w:val="003D18F3"/>
    <w:rsid w:val="003D2E7F"/>
    <w:rsid w:val="003D3656"/>
    <w:rsid w:val="003D4028"/>
    <w:rsid w:val="003D4729"/>
    <w:rsid w:val="003D5E74"/>
    <w:rsid w:val="003D6939"/>
    <w:rsid w:val="003D6F34"/>
    <w:rsid w:val="003D71FD"/>
    <w:rsid w:val="003D74E7"/>
    <w:rsid w:val="003D7504"/>
    <w:rsid w:val="003D7AC6"/>
    <w:rsid w:val="003D7DD6"/>
    <w:rsid w:val="003D7F4A"/>
    <w:rsid w:val="003E0A13"/>
    <w:rsid w:val="003E2D7C"/>
    <w:rsid w:val="003E2E8C"/>
    <w:rsid w:val="003E3681"/>
    <w:rsid w:val="003E3E23"/>
    <w:rsid w:val="003E42F5"/>
    <w:rsid w:val="003E49F5"/>
    <w:rsid w:val="003E5567"/>
    <w:rsid w:val="003E5AAF"/>
    <w:rsid w:val="003E600D"/>
    <w:rsid w:val="003E64DF"/>
    <w:rsid w:val="003E6A5D"/>
    <w:rsid w:val="003E71DE"/>
    <w:rsid w:val="003F090F"/>
    <w:rsid w:val="003F193A"/>
    <w:rsid w:val="003F1C92"/>
    <w:rsid w:val="003F1DA0"/>
    <w:rsid w:val="003F1EA9"/>
    <w:rsid w:val="003F4207"/>
    <w:rsid w:val="003F504A"/>
    <w:rsid w:val="003F50BC"/>
    <w:rsid w:val="003F5C46"/>
    <w:rsid w:val="003F5E93"/>
    <w:rsid w:val="003F6090"/>
    <w:rsid w:val="003F7CBB"/>
    <w:rsid w:val="003F7D34"/>
    <w:rsid w:val="00401DB4"/>
    <w:rsid w:val="004021F6"/>
    <w:rsid w:val="0040232A"/>
    <w:rsid w:val="00402B92"/>
    <w:rsid w:val="004031AD"/>
    <w:rsid w:val="004036A7"/>
    <w:rsid w:val="00403710"/>
    <w:rsid w:val="004043F4"/>
    <w:rsid w:val="00406A24"/>
    <w:rsid w:val="0040763D"/>
    <w:rsid w:val="00407BEA"/>
    <w:rsid w:val="00407D54"/>
    <w:rsid w:val="0041000D"/>
    <w:rsid w:val="004101C9"/>
    <w:rsid w:val="0041025B"/>
    <w:rsid w:val="00410E90"/>
    <w:rsid w:val="00411C28"/>
    <w:rsid w:val="004126D1"/>
    <w:rsid w:val="00412C8E"/>
    <w:rsid w:val="00413138"/>
    <w:rsid w:val="00413979"/>
    <w:rsid w:val="00413D52"/>
    <w:rsid w:val="00413F20"/>
    <w:rsid w:val="004141B3"/>
    <w:rsid w:val="0041518D"/>
    <w:rsid w:val="004153DD"/>
    <w:rsid w:val="004165D8"/>
    <w:rsid w:val="00417574"/>
    <w:rsid w:val="00420012"/>
    <w:rsid w:val="004211CC"/>
    <w:rsid w:val="0042221D"/>
    <w:rsid w:val="00422C2C"/>
    <w:rsid w:val="00422C7B"/>
    <w:rsid w:val="0042329E"/>
    <w:rsid w:val="00424DD3"/>
    <w:rsid w:val="00425D84"/>
    <w:rsid w:val="004269C5"/>
    <w:rsid w:val="00432091"/>
    <w:rsid w:val="00433808"/>
    <w:rsid w:val="00434696"/>
    <w:rsid w:val="00435939"/>
    <w:rsid w:val="00437495"/>
    <w:rsid w:val="00437CC7"/>
    <w:rsid w:val="00442589"/>
    <w:rsid w:val="00442791"/>
    <w:rsid w:val="00442B9C"/>
    <w:rsid w:val="00442E30"/>
    <w:rsid w:val="004432C1"/>
    <w:rsid w:val="004439BA"/>
    <w:rsid w:val="004443A1"/>
    <w:rsid w:val="0044497A"/>
    <w:rsid w:val="00445EFA"/>
    <w:rsid w:val="00446249"/>
    <w:rsid w:val="00446BE8"/>
    <w:rsid w:val="0044738A"/>
    <w:rsid w:val="004473D3"/>
    <w:rsid w:val="004473EF"/>
    <w:rsid w:val="00450969"/>
    <w:rsid w:val="00450E62"/>
    <w:rsid w:val="004510C9"/>
    <w:rsid w:val="00451226"/>
    <w:rsid w:val="00451F90"/>
    <w:rsid w:val="00452231"/>
    <w:rsid w:val="0045250C"/>
    <w:rsid w:val="00452B73"/>
    <w:rsid w:val="0045318D"/>
    <w:rsid w:val="004536C0"/>
    <w:rsid w:val="00455D80"/>
    <w:rsid w:val="0045722C"/>
    <w:rsid w:val="004572A8"/>
    <w:rsid w:val="00457E62"/>
    <w:rsid w:val="0046031D"/>
    <w:rsid w:val="00460C13"/>
    <w:rsid w:val="004624D1"/>
    <w:rsid w:val="00463228"/>
    <w:rsid w:val="00463782"/>
    <w:rsid w:val="00465249"/>
    <w:rsid w:val="004654ED"/>
    <w:rsid w:val="004667E0"/>
    <w:rsid w:val="0046760E"/>
    <w:rsid w:val="00470C9B"/>
    <w:rsid w:val="00470E10"/>
    <w:rsid w:val="00471193"/>
    <w:rsid w:val="004713F4"/>
    <w:rsid w:val="004743F1"/>
    <w:rsid w:val="004752FE"/>
    <w:rsid w:val="004764E3"/>
    <w:rsid w:val="00476C2D"/>
    <w:rsid w:val="00477A97"/>
    <w:rsid w:val="00477BD3"/>
    <w:rsid w:val="0048002F"/>
    <w:rsid w:val="004808A9"/>
    <w:rsid w:val="00480E2D"/>
    <w:rsid w:val="00481343"/>
    <w:rsid w:val="004818D2"/>
    <w:rsid w:val="0048198F"/>
    <w:rsid w:val="00481F61"/>
    <w:rsid w:val="00484489"/>
    <w:rsid w:val="004846E6"/>
    <w:rsid w:val="004849B9"/>
    <w:rsid w:val="00484CDE"/>
    <w:rsid w:val="00484D1D"/>
    <w:rsid w:val="00484EFD"/>
    <w:rsid w:val="0048549E"/>
    <w:rsid w:val="004869CC"/>
    <w:rsid w:val="00487273"/>
    <w:rsid w:val="00487AD1"/>
    <w:rsid w:val="0049002E"/>
    <w:rsid w:val="004908E3"/>
    <w:rsid w:val="00491F45"/>
    <w:rsid w:val="00492AA2"/>
    <w:rsid w:val="00492FE7"/>
    <w:rsid w:val="004930C6"/>
    <w:rsid w:val="00493347"/>
    <w:rsid w:val="004944FC"/>
    <w:rsid w:val="0049476B"/>
    <w:rsid w:val="00495C00"/>
    <w:rsid w:val="00496092"/>
    <w:rsid w:val="004A08DB"/>
    <w:rsid w:val="004A1525"/>
    <w:rsid w:val="004A1C14"/>
    <w:rsid w:val="004A25D0"/>
    <w:rsid w:val="004A31AC"/>
    <w:rsid w:val="004A37E8"/>
    <w:rsid w:val="004A5A74"/>
    <w:rsid w:val="004A6B31"/>
    <w:rsid w:val="004A6F41"/>
    <w:rsid w:val="004A7549"/>
    <w:rsid w:val="004B018E"/>
    <w:rsid w:val="004B09D4"/>
    <w:rsid w:val="004B133C"/>
    <w:rsid w:val="004B2D43"/>
    <w:rsid w:val="004B309D"/>
    <w:rsid w:val="004B330A"/>
    <w:rsid w:val="004B506D"/>
    <w:rsid w:val="004B5916"/>
    <w:rsid w:val="004B5AEA"/>
    <w:rsid w:val="004B5EF3"/>
    <w:rsid w:val="004B618B"/>
    <w:rsid w:val="004B63D9"/>
    <w:rsid w:val="004B672F"/>
    <w:rsid w:val="004B6879"/>
    <w:rsid w:val="004B69BB"/>
    <w:rsid w:val="004B6CF6"/>
    <w:rsid w:val="004B6D07"/>
    <w:rsid w:val="004B7C8E"/>
    <w:rsid w:val="004B7EDA"/>
    <w:rsid w:val="004C1417"/>
    <w:rsid w:val="004C1AF8"/>
    <w:rsid w:val="004C1CF9"/>
    <w:rsid w:val="004C3D3C"/>
    <w:rsid w:val="004C4A30"/>
    <w:rsid w:val="004C5B18"/>
    <w:rsid w:val="004C7050"/>
    <w:rsid w:val="004D030D"/>
    <w:rsid w:val="004D0557"/>
    <w:rsid w:val="004D060B"/>
    <w:rsid w:val="004D0C60"/>
    <w:rsid w:val="004D0EDC"/>
    <w:rsid w:val="004D1220"/>
    <w:rsid w:val="004D14B3"/>
    <w:rsid w:val="004D1529"/>
    <w:rsid w:val="004D1F2D"/>
    <w:rsid w:val="004D2253"/>
    <w:rsid w:val="004D32E2"/>
    <w:rsid w:val="004D36F6"/>
    <w:rsid w:val="004D42EA"/>
    <w:rsid w:val="004D5514"/>
    <w:rsid w:val="004D566A"/>
    <w:rsid w:val="004D56C3"/>
    <w:rsid w:val="004D5B44"/>
    <w:rsid w:val="004D5EE3"/>
    <w:rsid w:val="004D6DAB"/>
    <w:rsid w:val="004D7350"/>
    <w:rsid w:val="004E005D"/>
    <w:rsid w:val="004E0338"/>
    <w:rsid w:val="004E0BEE"/>
    <w:rsid w:val="004E0EF7"/>
    <w:rsid w:val="004E154E"/>
    <w:rsid w:val="004E34D5"/>
    <w:rsid w:val="004E4FF3"/>
    <w:rsid w:val="004E506D"/>
    <w:rsid w:val="004E50FC"/>
    <w:rsid w:val="004E53E8"/>
    <w:rsid w:val="004E56A8"/>
    <w:rsid w:val="004E59F4"/>
    <w:rsid w:val="004E5AFE"/>
    <w:rsid w:val="004E705D"/>
    <w:rsid w:val="004E71D2"/>
    <w:rsid w:val="004E752B"/>
    <w:rsid w:val="004E7D51"/>
    <w:rsid w:val="004E7EB4"/>
    <w:rsid w:val="004F058A"/>
    <w:rsid w:val="004F11D7"/>
    <w:rsid w:val="004F1524"/>
    <w:rsid w:val="004F2032"/>
    <w:rsid w:val="004F2113"/>
    <w:rsid w:val="004F3761"/>
    <w:rsid w:val="004F3B55"/>
    <w:rsid w:val="004F428E"/>
    <w:rsid w:val="004F43F5"/>
    <w:rsid w:val="004F4973"/>
    <w:rsid w:val="004F4E46"/>
    <w:rsid w:val="004F50E7"/>
    <w:rsid w:val="004F597E"/>
    <w:rsid w:val="004F6B7D"/>
    <w:rsid w:val="00500365"/>
    <w:rsid w:val="00500765"/>
    <w:rsid w:val="005015F6"/>
    <w:rsid w:val="005027E2"/>
    <w:rsid w:val="00502A02"/>
    <w:rsid w:val="00502A65"/>
    <w:rsid w:val="00502D91"/>
    <w:rsid w:val="005030C4"/>
    <w:rsid w:val="005031C5"/>
    <w:rsid w:val="00504CBB"/>
    <w:rsid w:val="00504FDC"/>
    <w:rsid w:val="0050537F"/>
    <w:rsid w:val="0050541E"/>
    <w:rsid w:val="00505AC2"/>
    <w:rsid w:val="0050764A"/>
    <w:rsid w:val="00507803"/>
    <w:rsid w:val="0051099E"/>
    <w:rsid w:val="00510A09"/>
    <w:rsid w:val="0051101F"/>
    <w:rsid w:val="005114D2"/>
    <w:rsid w:val="00511CEE"/>
    <w:rsid w:val="005120CC"/>
    <w:rsid w:val="00512B7B"/>
    <w:rsid w:val="00513564"/>
    <w:rsid w:val="00514364"/>
    <w:rsid w:val="00514BAD"/>
    <w:rsid w:val="00514EA1"/>
    <w:rsid w:val="00515964"/>
    <w:rsid w:val="0051597B"/>
    <w:rsid w:val="00516E25"/>
    <w:rsid w:val="0051797F"/>
    <w:rsid w:val="0051798B"/>
    <w:rsid w:val="00517A50"/>
    <w:rsid w:val="005202EA"/>
    <w:rsid w:val="005203D1"/>
    <w:rsid w:val="005204DE"/>
    <w:rsid w:val="00520898"/>
    <w:rsid w:val="00521406"/>
    <w:rsid w:val="00521A78"/>
    <w:rsid w:val="00521D25"/>
    <w:rsid w:val="00521F5A"/>
    <w:rsid w:val="0052339E"/>
    <w:rsid w:val="00524419"/>
    <w:rsid w:val="00525E06"/>
    <w:rsid w:val="00526454"/>
    <w:rsid w:val="00527B69"/>
    <w:rsid w:val="005300C2"/>
    <w:rsid w:val="00530DD9"/>
    <w:rsid w:val="00531823"/>
    <w:rsid w:val="00531C93"/>
    <w:rsid w:val="00532A6E"/>
    <w:rsid w:val="00532E3E"/>
    <w:rsid w:val="0053334F"/>
    <w:rsid w:val="005339DC"/>
    <w:rsid w:val="00534512"/>
    <w:rsid w:val="00534ECC"/>
    <w:rsid w:val="0053528E"/>
    <w:rsid w:val="00535AE8"/>
    <w:rsid w:val="0053720D"/>
    <w:rsid w:val="00537ECA"/>
    <w:rsid w:val="00540EF5"/>
    <w:rsid w:val="0054136C"/>
    <w:rsid w:val="00541BF3"/>
    <w:rsid w:val="00541CD3"/>
    <w:rsid w:val="00542AF4"/>
    <w:rsid w:val="00543C78"/>
    <w:rsid w:val="005444A4"/>
    <w:rsid w:val="005444FD"/>
    <w:rsid w:val="00544E29"/>
    <w:rsid w:val="0054523E"/>
    <w:rsid w:val="0054596A"/>
    <w:rsid w:val="00545E38"/>
    <w:rsid w:val="00547307"/>
    <w:rsid w:val="005476FA"/>
    <w:rsid w:val="0054773C"/>
    <w:rsid w:val="00547B02"/>
    <w:rsid w:val="00553DE5"/>
    <w:rsid w:val="005542D6"/>
    <w:rsid w:val="0055595E"/>
    <w:rsid w:val="00556899"/>
    <w:rsid w:val="00556C2C"/>
    <w:rsid w:val="00557721"/>
    <w:rsid w:val="00557988"/>
    <w:rsid w:val="0056087F"/>
    <w:rsid w:val="0056155F"/>
    <w:rsid w:val="005623CA"/>
    <w:rsid w:val="00562545"/>
    <w:rsid w:val="005628A0"/>
    <w:rsid w:val="00562A4F"/>
    <w:rsid w:val="00562C49"/>
    <w:rsid w:val="00562DEF"/>
    <w:rsid w:val="0056321A"/>
    <w:rsid w:val="00563283"/>
    <w:rsid w:val="00563A35"/>
    <w:rsid w:val="005649C5"/>
    <w:rsid w:val="0056515F"/>
    <w:rsid w:val="00565742"/>
    <w:rsid w:val="00566596"/>
    <w:rsid w:val="00566B72"/>
    <w:rsid w:val="00566CA2"/>
    <w:rsid w:val="00570045"/>
    <w:rsid w:val="005707E4"/>
    <w:rsid w:val="00570EE4"/>
    <w:rsid w:val="00570F78"/>
    <w:rsid w:val="00571ADC"/>
    <w:rsid w:val="00571BB7"/>
    <w:rsid w:val="00571D7B"/>
    <w:rsid w:val="005726BC"/>
    <w:rsid w:val="00572AA3"/>
    <w:rsid w:val="005741E9"/>
    <w:rsid w:val="00574425"/>
    <w:rsid w:val="005748CF"/>
    <w:rsid w:val="00575E59"/>
    <w:rsid w:val="00577139"/>
    <w:rsid w:val="005801CC"/>
    <w:rsid w:val="00583926"/>
    <w:rsid w:val="00584270"/>
    <w:rsid w:val="00584470"/>
    <w:rsid w:val="005845A2"/>
    <w:rsid w:val="00584738"/>
    <w:rsid w:val="005851E0"/>
    <w:rsid w:val="00585581"/>
    <w:rsid w:val="005863CC"/>
    <w:rsid w:val="00586408"/>
    <w:rsid w:val="00586CF4"/>
    <w:rsid w:val="00587F20"/>
    <w:rsid w:val="00591292"/>
    <w:rsid w:val="00591635"/>
    <w:rsid w:val="005920B0"/>
    <w:rsid w:val="005927F2"/>
    <w:rsid w:val="00592B13"/>
    <w:rsid w:val="0059380D"/>
    <w:rsid w:val="0059411C"/>
    <w:rsid w:val="00595A75"/>
    <w:rsid w:val="00595A8F"/>
    <w:rsid w:val="00595CE1"/>
    <w:rsid w:val="00596E85"/>
    <w:rsid w:val="00597127"/>
    <w:rsid w:val="00597478"/>
    <w:rsid w:val="005977C2"/>
    <w:rsid w:val="005979AA"/>
    <w:rsid w:val="00597BF2"/>
    <w:rsid w:val="00597D44"/>
    <w:rsid w:val="005A0CB7"/>
    <w:rsid w:val="005A1AA4"/>
    <w:rsid w:val="005A1F54"/>
    <w:rsid w:val="005A2468"/>
    <w:rsid w:val="005A2768"/>
    <w:rsid w:val="005A3020"/>
    <w:rsid w:val="005A32C0"/>
    <w:rsid w:val="005A3541"/>
    <w:rsid w:val="005A4793"/>
    <w:rsid w:val="005A4964"/>
    <w:rsid w:val="005A4E0F"/>
    <w:rsid w:val="005A4E7C"/>
    <w:rsid w:val="005A5AE3"/>
    <w:rsid w:val="005A71F2"/>
    <w:rsid w:val="005A7441"/>
    <w:rsid w:val="005A7DD6"/>
    <w:rsid w:val="005A7EEB"/>
    <w:rsid w:val="005B0CB9"/>
    <w:rsid w:val="005B1102"/>
    <w:rsid w:val="005B134E"/>
    <w:rsid w:val="005B1FD8"/>
    <w:rsid w:val="005B2039"/>
    <w:rsid w:val="005B344F"/>
    <w:rsid w:val="005B3CB6"/>
    <w:rsid w:val="005B3F70"/>
    <w:rsid w:val="005B3FBA"/>
    <w:rsid w:val="005B4976"/>
    <w:rsid w:val="005B4A1D"/>
    <w:rsid w:val="005B5725"/>
    <w:rsid w:val="005B598E"/>
    <w:rsid w:val="005B5B2F"/>
    <w:rsid w:val="005B649F"/>
    <w:rsid w:val="005B66D6"/>
    <w:rsid w:val="005B674D"/>
    <w:rsid w:val="005B6E66"/>
    <w:rsid w:val="005C056D"/>
    <w:rsid w:val="005C0BCE"/>
    <w:rsid w:val="005C0CBE"/>
    <w:rsid w:val="005C0EB2"/>
    <w:rsid w:val="005C13C1"/>
    <w:rsid w:val="005C1FCF"/>
    <w:rsid w:val="005C2542"/>
    <w:rsid w:val="005C3F41"/>
    <w:rsid w:val="005C442E"/>
    <w:rsid w:val="005C6518"/>
    <w:rsid w:val="005C70CB"/>
    <w:rsid w:val="005C734F"/>
    <w:rsid w:val="005C73F8"/>
    <w:rsid w:val="005C7B53"/>
    <w:rsid w:val="005D08A3"/>
    <w:rsid w:val="005D1885"/>
    <w:rsid w:val="005D269F"/>
    <w:rsid w:val="005D3238"/>
    <w:rsid w:val="005D37F6"/>
    <w:rsid w:val="005D441B"/>
    <w:rsid w:val="005D4A38"/>
    <w:rsid w:val="005D4C28"/>
    <w:rsid w:val="005D55C7"/>
    <w:rsid w:val="005D6281"/>
    <w:rsid w:val="005E2EEA"/>
    <w:rsid w:val="005E3708"/>
    <w:rsid w:val="005E3CCD"/>
    <w:rsid w:val="005E3D6B"/>
    <w:rsid w:val="005E48D8"/>
    <w:rsid w:val="005E52E5"/>
    <w:rsid w:val="005E5B55"/>
    <w:rsid w:val="005E5E4A"/>
    <w:rsid w:val="005E693D"/>
    <w:rsid w:val="005E75BF"/>
    <w:rsid w:val="005F2A75"/>
    <w:rsid w:val="005F521C"/>
    <w:rsid w:val="005F57BA"/>
    <w:rsid w:val="005F5954"/>
    <w:rsid w:val="005F61E6"/>
    <w:rsid w:val="005F6A28"/>
    <w:rsid w:val="005F6C45"/>
    <w:rsid w:val="005F7158"/>
    <w:rsid w:val="006014B5"/>
    <w:rsid w:val="00601510"/>
    <w:rsid w:val="006017F0"/>
    <w:rsid w:val="00601F36"/>
    <w:rsid w:val="0060244C"/>
    <w:rsid w:val="006027F4"/>
    <w:rsid w:val="006028DA"/>
    <w:rsid w:val="0060436D"/>
    <w:rsid w:val="006050D4"/>
    <w:rsid w:val="00605A69"/>
    <w:rsid w:val="00606C54"/>
    <w:rsid w:val="00607149"/>
    <w:rsid w:val="00607352"/>
    <w:rsid w:val="00607ACB"/>
    <w:rsid w:val="00610315"/>
    <w:rsid w:val="0061070C"/>
    <w:rsid w:val="00611A27"/>
    <w:rsid w:val="00612EC4"/>
    <w:rsid w:val="00614375"/>
    <w:rsid w:val="006146CB"/>
    <w:rsid w:val="00615471"/>
    <w:rsid w:val="00615B0A"/>
    <w:rsid w:val="006162CD"/>
    <w:rsid w:val="006168CF"/>
    <w:rsid w:val="0061721B"/>
    <w:rsid w:val="00617432"/>
    <w:rsid w:val="0062011B"/>
    <w:rsid w:val="00620FDB"/>
    <w:rsid w:val="00621460"/>
    <w:rsid w:val="0062265F"/>
    <w:rsid w:val="0062355B"/>
    <w:rsid w:val="00625027"/>
    <w:rsid w:val="0062543D"/>
    <w:rsid w:val="00625A06"/>
    <w:rsid w:val="0062641E"/>
    <w:rsid w:val="00626DE0"/>
    <w:rsid w:val="00630654"/>
    <w:rsid w:val="006306E6"/>
    <w:rsid w:val="00630901"/>
    <w:rsid w:val="00631F8E"/>
    <w:rsid w:val="00632304"/>
    <w:rsid w:val="0063530E"/>
    <w:rsid w:val="00636EE9"/>
    <w:rsid w:val="00637096"/>
    <w:rsid w:val="00637EF9"/>
    <w:rsid w:val="00640950"/>
    <w:rsid w:val="00640DE3"/>
    <w:rsid w:val="00640F1F"/>
    <w:rsid w:val="0064148A"/>
    <w:rsid w:val="00641AE7"/>
    <w:rsid w:val="00641D6E"/>
    <w:rsid w:val="00641F89"/>
    <w:rsid w:val="00642629"/>
    <w:rsid w:val="00642D51"/>
    <w:rsid w:val="006430EF"/>
    <w:rsid w:val="00643F5C"/>
    <w:rsid w:val="006446C0"/>
    <w:rsid w:val="00644BB2"/>
    <w:rsid w:val="00645AAF"/>
    <w:rsid w:val="00645D7F"/>
    <w:rsid w:val="00647829"/>
    <w:rsid w:val="0064782B"/>
    <w:rsid w:val="00647E49"/>
    <w:rsid w:val="0065293D"/>
    <w:rsid w:val="00652CA3"/>
    <w:rsid w:val="00653805"/>
    <w:rsid w:val="00653EFC"/>
    <w:rsid w:val="00654021"/>
    <w:rsid w:val="0065443F"/>
    <w:rsid w:val="00654AA0"/>
    <w:rsid w:val="00654DCC"/>
    <w:rsid w:val="006560E1"/>
    <w:rsid w:val="00656186"/>
    <w:rsid w:val="00657A1A"/>
    <w:rsid w:val="00660E52"/>
    <w:rsid w:val="00661045"/>
    <w:rsid w:val="00662804"/>
    <w:rsid w:val="006646D0"/>
    <w:rsid w:val="00666308"/>
    <w:rsid w:val="00666DA8"/>
    <w:rsid w:val="006679CD"/>
    <w:rsid w:val="00671057"/>
    <w:rsid w:val="00671E70"/>
    <w:rsid w:val="006726BF"/>
    <w:rsid w:val="00672EA7"/>
    <w:rsid w:val="00674D9F"/>
    <w:rsid w:val="00675AAF"/>
    <w:rsid w:val="00676161"/>
    <w:rsid w:val="0067622E"/>
    <w:rsid w:val="00676703"/>
    <w:rsid w:val="00676AFE"/>
    <w:rsid w:val="0067738A"/>
    <w:rsid w:val="0068031A"/>
    <w:rsid w:val="00681B2F"/>
    <w:rsid w:val="0068335F"/>
    <w:rsid w:val="0068353E"/>
    <w:rsid w:val="00684708"/>
    <w:rsid w:val="00684B7E"/>
    <w:rsid w:val="006853C1"/>
    <w:rsid w:val="00686932"/>
    <w:rsid w:val="00687217"/>
    <w:rsid w:val="006877A9"/>
    <w:rsid w:val="006913C7"/>
    <w:rsid w:val="0069186A"/>
    <w:rsid w:val="00692143"/>
    <w:rsid w:val="0069217D"/>
    <w:rsid w:val="00693302"/>
    <w:rsid w:val="00693F3B"/>
    <w:rsid w:val="006952AA"/>
    <w:rsid w:val="006952EF"/>
    <w:rsid w:val="0069640B"/>
    <w:rsid w:val="0069700F"/>
    <w:rsid w:val="0069781C"/>
    <w:rsid w:val="006A0503"/>
    <w:rsid w:val="006A1349"/>
    <w:rsid w:val="006A18CF"/>
    <w:rsid w:val="006A1B83"/>
    <w:rsid w:val="006A21CD"/>
    <w:rsid w:val="006A2214"/>
    <w:rsid w:val="006A4AE9"/>
    <w:rsid w:val="006A57C4"/>
    <w:rsid w:val="006A5918"/>
    <w:rsid w:val="006A750B"/>
    <w:rsid w:val="006B0192"/>
    <w:rsid w:val="006B187E"/>
    <w:rsid w:val="006B1D48"/>
    <w:rsid w:val="006B21B2"/>
    <w:rsid w:val="006B4A4A"/>
    <w:rsid w:val="006B4D4B"/>
    <w:rsid w:val="006B65C4"/>
    <w:rsid w:val="006B78D0"/>
    <w:rsid w:val="006B7D26"/>
    <w:rsid w:val="006C19B2"/>
    <w:rsid w:val="006C1F4B"/>
    <w:rsid w:val="006C2231"/>
    <w:rsid w:val="006C24DD"/>
    <w:rsid w:val="006C3342"/>
    <w:rsid w:val="006C4409"/>
    <w:rsid w:val="006C4566"/>
    <w:rsid w:val="006C537A"/>
    <w:rsid w:val="006C5BB8"/>
    <w:rsid w:val="006C6412"/>
    <w:rsid w:val="006C6936"/>
    <w:rsid w:val="006C77AA"/>
    <w:rsid w:val="006C7AD1"/>
    <w:rsid w:val="006C7B01"/>
    <w:rsid w:val="006C7C9B"/>
    <w:rsid w:val="006C7DE3"/>
    <w:rsid w:val="006C7F32"/>
    <w:rsid w:val="006D0FE8"/>
    <w:rsid w:val="006D1C18"/>
    <w:rsid w:val="006D1CFD"/>
    <w:rsid w:val="006D319D"/>
    <w:rsid w:val="006D3B68"/>
    <w:rsid w:val="006D41B5"/>
    <w:rsid w:val="006D498B"/>
    <w:rsid w:val="006D4A0A"/>
    <w:rsid w:val="006D4B2B"/>
    <w:rsid w:val="006D4F3C"/>
    <w:rsid w:val="006D5776"/>
    <w:rsid w:val="006D5C66"/>
    <w:rsid w:val="006D6DCA"/>
    <w:rsid w:val="006D7002"/>
    <w:rsid w:val="006D7405"/>
    <w:rsid w:val="006E0EB2"/>
    <w:rsid w:val="006E0EEA"/>
    <w:rsid w:val="006E1B3C"/>
    <w:rsid w:val="006E2314"/>
    <w:rsid w:val="006E23FB"/>
    <w:rsid w:val="006E325A"/>
    <w:rsid w:val="006E33EC"/>
    <w:rsid w:val="006E3802"/>
    <w:rsid w:val="006E414E"/>
    <w:rsid w:val="006E4D49"/>
    <w:rsid w:val="006E54C1"/>
    <w:rsid w:val="006E5878"/>
    <w:rsid w:val="006E59B5"/>
    <w:rsid w:val="006E6C02"/>
    <w:rsid w:val="006E6C3B"/>
    <w:rsid w:val="006E6CDD"/>
    <w:rsid w:val="006E7028"/>
    <w:rsid w:val="006E791C"/>
    <w:rsid w:val="006F038B"/>
    <w:rsid w:val="006F0473"/>
    <w:rsid w:val="006F0BEF"/>
    <w:rsid w:val="006F0F7F"/>
    <w:rsid w:val="006F0FDB"/>
    <w:rsid w:val="006F120B"/>
    <w:rsid w:val="006F12BF"/>
    <w:rsid w:val="006F2090"/>
    <w:rsid w:val="006F231A"/>
    <w:rsid w:val="006F2846"/>
    <w:rsid w:val="006F399B"/>
    <w:rsid w:val="006F48BF"/>
    <w:rsid w:val="006F6B55"/>
    <w:rsid w:val="006F788D"/>
    <w:rsid w:val="006F78E1"/>
    <w:rsid w:val="006F79D9"/>
    <w:rsid w:val="0070016B"/>
    <w:rsid w:val="0070058A"/>
    <w:rsid w:val="00701072"/>
    <w:rsid w:val="00701AC4"/>
    <w:rsid w:val="00701F26"/>
    <w:rsid w:val="00702054"/>
    <w:rsid w:val="00702405"/>
    <w:rsid w:val="00702D8C"/>
    <w:rsid w:val="0070318A"/>
    <w:rsid w:val="00703525"/>
    <w:rsid w:val="0070358C"/>
    <w:rsid w:val="007035A4"/>
    <w:rsid w:val="007035BD"/>
    <w:rsid w:val="0070428A"/>
    <w:rsid w:val="00704665"/>
    <w:rsid w:val="0070712F"/>
    <w:rsid w:val="00707983"/>
    <w:rsid w:val="00711799"/>
    <w:rsid w:val="007117EE"/>
    <w:rsid w:val="007120E1"/>
    <w:rsid w:val="00712425"/>
    <w:rsid w:val="00712B78"/>
    <w:rsid w:val="00713448"/>
    <w:rsid w:val="00713549"/>
    <w:rsid w:val="0071393B"/>
    <w:rsid w:val="00713EE2"/>
    <w:rsid w:val="00715794"/>
    <w:rsid w:val="00715C0B"/>
    <w:rsid w:val="00715E85"/>
    <w:rsid w:val="00717550"/>
    <w:rsid w:val="0071767E"/>
    <w:rsid w:val="007177FC"/>
    <w:rsid w:val="00720C5E"/>
    <w:rsid w:val="00721701"/>
    <w:rsid w:val="00722277"/>
    <w:rsid w:val="007239A9"/>
    <w:rsid w:val="00723B75"/>
    <w:rsid w:val="00724779"/>
    <w:rsid w:val="00724CEF"/>
    <w:rsid w:val="00725188"/>
    <w:rsid w:val="00726610"/>
    <w:rsid w:val="00726ACF"/>
    <w:rsid w:val="00727037"/>
    <w:rsid w:val="007312EF"/>
    <w:rsid w:val="00731835"/>
    <w:rsid w:val="00731A6E"/>
    <w:rsid w:val="00731C2F"/>
    <w:rsid w:val="00732109"/>
    <w:rsid w:val="00732D87"/>
    <w:rsid w:val="007332D0"/>
    <w:rsid w:val="007341F8"/>
    <w:rsid w:val="00734372"/>
    <w:rsid w:val="00734EB8"/>
    <w:rsid w:val="00734FF5"/>
    <w:rsid w:val="00735F8B"/>
    <w:rsid w:val="0074060D"/>
    <w:rsid w:val="0074090B"/>
    <w:rsid w:val="00740F25"/>
    <w:rsid w:val="007410BD"/>
    <w:rsid w:val="007423EA"/>
    <w:rsid w:val="00742D1F"/>
    <w:rsid w:val="00742E69"/>
    <w:rsid w:val="0074327A"/>
    <w:rsid w:val="00743926"/>
    <w:rsid w:val="00743EBA"/>
    <w:rsid w:val="00744C8E"/>
    <w:rsid w:val="007454C7"/>
    <w:rsid w:val="007458AC"/>
    <w:rsid w:val="007458CB"/>
    <w:rsid w:val="00745F7E"/>
    <w:rsid w:val="00746715"/>
    <w:rsid w:val="00746E23"/>
    <w:rsid w:val="0074707E"/>
    <w:rsid w:val="0074707F"/>
    <w:rsid w:val="007516DC"/>
    <w:rsid w:val="00751B32"/>
    <w:rsid w:val="00751D98"/>
    <w:rsid w:val="007523DC"/>
    <w:rsid w:val="00752E58"/>
    <w:rsid w:val="00753B31"/>
    <w:rsid w:val="00754B80"/>
    <w:rsid w:val="00755523"/>
    <w:rsid w:val="007559F4"/>
    <w:rsid w:val="00755B6F"/>
    <w:rsid w:val="0075611D"/>
    <w:rsid w:val="00756553"/>
    <w:rsid w:val="00756C7B"/>
    <w:rsid w:val="0075751F"/>
    <w:rsid w:val="00757F22"/>
    <w:rsid w:val="00760ACE"/>
    <w:rsid w:val="00760C38"/>
    <w:rsid w:val="007616CC"/>
    <w:rsid w:val="00761918"/>
    <w:rsid w:val="00762211"/>
    <w:rsid w:val="007622C6"/>
    <w:rsid w:val="00762F03"/>
    <w:rsid w:val="0076364E"/>
    <w:rsid w:val="0076413B"/>
    <w:rsid w:val="0076475E"/>
    <w:rsid w:val="00764787"/>
    <w:rsid w:val="007648AE"/>
    <w:rsid w:val="007649A7"/>
    <w:rsid w:val="00764A0A"/>
    <w:rsid w:val="00764BF8"/>
    <w:rsid w:val="00764DB2"/>
    <w:rsid w:val="0076514D"/>
    <w:rsid w:val="007657C7"/>
    <w:rsid w:val="007667C3"/>
    <w:rsid w:val="007700C9"/>
    <w:rsid w:val="00770DFC"/>
    <w:rsid w:val="00770F43"/>
    <w:rsid w:val="00771770"/>
    <w:rsid w:val="007717C2"/>
    <w:rsid w:val="007725CC"/>
    <w:rsid w:val="00773A76"/>
    <w:rsid w:val="00773C8F"/>
    <w:rsid w:val="00773D59"/>
    <w:rsid w:val="00774109"/>
    <w:rsid w:val="00774EDE"/>
    <w:rsid w:val="007750B4"/>
    <w:rsid w:val="007753FD"/>
    <w:rsid w:val="00775BD4"/>
    <w:rsid w:val="00776450"/>
    <w:rsid w:val="00777B75"/>
    <w:rsid w:val="00777DFD"/>
    <w:rsid w:val="0078003B"/>
    <w:rsid w:val="00780177"/>
    <w:rsid w:val="007809F0"/>
    <w:rsid w:val="00780DAA"/>
    <w:rsid w:val="00781003"/>
    <w:rsid w:val="00787B61"/>
    <w:rsid w:val="007911FD"/>
    <w:rsid w:val="0079135B"/>
    <w:rsid w:val="00791929"/>
    <w:rsid w:val="00793930"/>
    <w:rsid w:val="00793DD1"/>
    <w:rsid w:val="00794176"/>
    <w:rsid w:val="00794FEC"/>
    <w:rsid w:val="00795EB4"/>
    <w:rsid w:val="00797BF0"/>
    <w:rsid w:val="00797DD7"/>
    <w:rsid w:val="00797ED1"/>
    <w:rsid w:val="007A003E"/>
    <w:rsid w:val="007A0655"/>
    <w:rsid w:val="007A0A58"/>
    <w:rsid w:val="007A149F"/>
    <w:rsid w:val="007A16A5"/>
    <w:rsid w:val="007A1965"/>
    <w:rsid w:val="007A1BC2"/>
    <w:rsid w:val="007A2ED1"/>
    <w:rsid w:val="007A3BD7"/>
    <w:rsid w:val="007A3FD8"/>
    <w:rsid w:val="007A41BC"/>
    <w:rsid w:val="007A4333"/>
    <w:rsid w:val="007A4A45"/>
    <w:rsid w:val="007A4BE6"/>
    <w:rsid w:val="007A51A5"/>
    <w:rsid w:val="007A520E"/>
    <w:rsid w:val="007A6644"/>
    <w:rsid w:val="007A7B6A"/>
    <w:rsid w:val="007B0DC6"/>
    <w:rsid w:val="007B1094"/>
    <w:rsid w:val="007B1762"/>
    <w:rsid w:val="007B3320"/>
    <w:rsid w:val="007B334B"/>
    <w:rsid w:val="007B465D"/>
    <w:rsid w:val="007B49AC"/>
    <w:rsid w:val="007B4CF4"/>
    <w:rsid w:val="007B50A5"/>
    <w:rsid w:val="007B5E8F"/>
    <w:rsid w:val="007B5FC5"/>
    <w:rsid w:val="007B62EB"/>
    <w:rsid w:val="007B6BE3"/>
    <w:rsid w:val="007B6D88"/>
    <w:rsid w:val="007B792B"/>
    <w:rsid w:val="007C08C4"/>
    <w:rsid w:val="007C08D9"/>
    <w:rsid w:val="007C1E1B"/>
    <w:rsid w:val="007C2402"/>
    <w:rsid w:val="007C301F"/>
    <w:rsid w:val="007C303A"/>
    <w:rsid w:val="007C40DE"/>
    <w:rsid w:val="007C4540"/>
    <w:rsid w:val="007C4801"/>
    <w:rsid w:val="007C4DC1"/>
    <w:rsid w:val="007C5607"/>
    <w:rsid w:val="007C627B"/>
    <w:rsid w:val="007C65AF"/>
    <w:rsid w:val="007C7ACF"/>
    <w:rsid w:val="007D0A5E"/>
    <w:rsid w:val="007D1025"/>
    <w:rsid w:val="007D135D"/>
    <w:rsid w:val="007D353C"/>
    <w:rsid w:val="007D3C28"/>
    <w:rsid w:val="007D4DEF"/>
    <w:rsid w:val="007D6DDA"/>
    <w:rsid w:val="007D730F"/>
    <w:rsid w:val="007D736B"/>
    <w:rsid w:val="007D7CD8"/>
    <w:rsid w:val="007E0FA2"/>
    <w:rsid w:val="007E18DE"/>
    <w:rsid w:val="007E24C9"/>
    <w:rsid w:val="007E3AA7"/>
    <w:rsid w:val="007E3B78"/>
    <w:rsid w:val="007E533F"/>
    <w:rsid w:val="007E6C31"/>
    <w:rsid w:val="007E7624"/>
    <w:rsid w:val="007F0338"/>
    <w:rsid w:val="007F0390"/>
    <w:rsid w:val="007F0B5B"/>
    <w:rsid w:val="007F0CF2"/>
    <w:rsid w:val="007F1A5B"/>
    <w:rsid w:val="007F2017"/>
    <w:rsid w:val="007F2301"/>
    <w:rsid w:val="007F5272"/>
    <w:rsid w:val="007F5D52"/>
    <w:rsid w:val="007F67DF"/>
    <w:rsid w:val="007F737D"/>
    <w:rsid w:val="007F7ED3"/>
    <w:rsid w:val="0080024A"/>
    <w:rsid w:val="008014B2"/>
    <w:rsid w:val="0080308E"/>
    <w:rsid w:val="008045F9"/>
    <w:rsid w:val="00804F93"/>
    <w:rsid w:val="00805303"/>
    <w:rsid w:val="00805D2F"/>
    <w:rsid w:val="0080612B"/>
    <w:rsid w:val="00806705"/>
    <w:rsid w:val="00806738"/>
    <w:rsid w:val="008071B0"/>
    <w:rsid w:val="00815802"/>
    <w:rsid w:val="00815B90"/>
    <w:rsid w:val="008165EF"/>
    <w:rsid w:val="00816ADB"/>
    <w:rsid w:val="00817505"/>
    <w:rsid w:val="00817E69"/>
    <w:rsid w:val="008207AA"/>
    <w:rsid w:val="008216D5"/>
    <w:rsid w:val="008234CE"/>
    <w:rsid w:val="008243F4"/>
    <w:rsid w:val="0082453D"/>
    <w:rsid w:val="0082469C"/>
    <w:rsid w:val="008249CE"/>
    <w:rsid w:val="00824DB9"/>
    <w:rsid w:val="00826338"/>
    <w:rsid w:val="008269D2"/>
    <w:rsid w:val="00827073"/>
    <w:rsid w:val="00827134"/>
    <w:rsid w:val="0083011A"/>
    <w:rsid w:val="008303B3"/>
    <w:rsid w:val="00831A50"/>
    <w:rsid w:val="00831B3C"/>
    <w:rsid w:val="00831C89"/>
    <w:rsid w:val="00832114"/>
    <w:rsid w:val="00833318"/>
    <w:rsid w:val="0083414F"/>
    <w:rsid w:val="00834C46"/>
    <w:rsid w:val="00834F4F"/>
    <w:rsid w:val="00835F3F"/>
    <w:rsid w:val="00836208"/>
    <w:rsid w:val="00836527"/>
    <w:rsid w:val="00836C0F"/>
    <w:rsid w:val="008408B5"/>
    <w:rsid w:val="0084093E"/>
    <w:rsid w:val="00841CE1"/>
    <w:rsid w:val="00841FE8"/>
    <w:rsid w:val="0084282A"/>
    <w:rsid w:val="00842AA1"/>
    <w:rsid w:val="00843547"/>
    <w:rsid w:val="008446BF"/>
    <w:rsid w:val="00845A3F"/>
    <w:rsid w:val="0084655A"/>
    <w:rsid w:val="00846D1E"/>
    <w:rsid w:val="008473D8"/>
    <w:rsid w:val="00850AD3"/>
    <w:rsid w:val="008522AE"/>
    <w:rsid w:val="008528DC"/>
    <w:rsid w:val="00852B8C"/>
    <w:rsid w:val="00853B04"/>
    <w:rsid w:val="00854981"/>
    <w:rsid w:val="0085533E"/>
    <w:rsid w:val="00855667"/>
    <w:rsid w:val="00856B4A"/>
    <w:rsid w:val="00856F8B"/>
    <w:rsid w:val="008603FE"/>
    <w:rsid w:val="00861176"/>
    <w:rsid w:val="008611FB"/>
    <w:rsid w:val="0086262F"/>
    <w:rsid w:val="008631FD"/>
    <w:rsid w:val="008634A9"/>
    <w:rsid w:val="008648A9"/>
    <w:rsid w:val="00864B2E"/>
    <w:rsid w:val="008652B3"/>
    <w:rsid w:val="00865963"/>
    <w:rsid w:val="008668A1"/>
    <w:rsid w:val="00871536"/>
    <w:rsid w:val="00871C1D"/>
    <w:rsid w:val="00872F7E"/>
    <w:rsid w:val="00874402"/>
    <w:rsid w:val="008744DD"/>
    <w:rsid w:val="0087450E"/>
    <w:rsid w:val="008751E9"/>
    <w:rsid w:val="00875A34"/>
    <w:rsid w:val="00875A82"/>
    <w:rsid w:val="0087601C"/>
    <w:rsid w:val="008764A1"/>
    <w:rsid w:val="00876CA3"/>
    <w:rsid w:val="008772FE"/>
    <w:rsid w:val="008775F1"/>
    <w:rsid w:val="00877A41"/>
    <w:rsid w:val="00877A44"/>
    <w:rsid w:val="0088019C"/>
    <w:rsid w:val="00880CEB"/>
    <w:rsid w:val="00881F47"/>
    <w:rsid w:val="008821AE"/>
    <w:rsid w:val="00882D6C"/>
    <w:rsid w:val="00883157"/>
    <w:rsid w:val="008838D0"/>
    <w:rsid w:val="008839FF"/>
    <w:rsid w:val="00883D3A"/>
    <w:rsid w:val="00884137"/>
    <w:rsid w:val="00884163"/>
    <w:rsid w:val="008842DE"/>
    <w:rsid w:val="00884DEA"/>
    <w:rsid w:val="00885417"/>
    <w:rsid w:val="008854F7"/>
    <w:rsid w:val="008858B2"/>
    <w:rsid w:val="00885A9D"/>
    <w:rsid w:val="00886509"/>
    <w:rsid w:val="00886F3B"/>
    <w:rsid w:val="008921C3"/>
    <w:rsid w:val="008923C6"/>
    <w:rsid w:val="008929D2"/>
    <w:rsid w:val="00893636"/>
    <w:rsid w:val="00893B94"/>
    <w:rsid w:val="00895562"/>
    <w:rsid w:val="00896256"/>
    <w:rsid w:val="00896E9D"/>
    <w:rsid w:val="00896F11"/>
    <w:rsid w:val="008972CB"/>
    <w:rsid w:val="00897750"/>
    <w:rsid w:val="00897F00"/>
    <w:rsid w:val="008A04C1"/>
    <w:rsid w:val="008A1049"/>
    <w:rsid w:val="008A1C98"/>
    <w:rsid w:val="008A322D"/>
    <w:rsid w:val="008A333B"/>
    <w:rsid w:val="008A3EED"/>
    <w:rsid w:val="008A4D72"/>
    <w:rsid w:val="008A5180"/>
    <w:rsid w:val="008A51B8"/>
    <w:rsid w:val="008A56BA"/>
    <w:rsid w:val="008A5B80"/>
    <w:rsid w:val="008A6285"/>
    <w:rsid w:val="008A62C9"/>
    <w:rsid w:val="008A63B2"/>
    <w:rsid w:val="008A6507"/>
    <w:rsid w:val="008A7A3E"/>
    <w:rsid w:val="008B2299"/>
    <w:rsid w:val="008B345D"/>
    <w:rsid w:val="008B38B8"/>
    <w:rsid w:val="008B5890"/>
    <w:rsid w:val="008B5ECA"/>
    <w:rsid w:val="008B62FB"/>
    <w:rsid w:val="008B7E45"/>
    <w:rsid w:val="008C00BB"/>
    <w:rsid w:val="008C0770"/>
    <w:rsid w:val="008C129B"/>
    <w:rsid w:val="008C1FB5"/>
    <w:rsid w:val="008C1FC2"/>
    <w:rsid w:val="008C2980"/>
    <w:rsid w:val="008C2BE9"/>
    <w:rsid w:val="008C2D1D"/>
    <w:rsid w:val="008C3BB6"/>
    <w:rsid w:val="008C4DD6"/>
    <w:rsid w:val="008C4E4B"/>
    <w:rsid w:val="008C5AFB"/>
    <w:rsid w:val="008C5D7E"/>
    <w:rsid w:val="008C6209"/>
    <w:rsid w:val="008C6C20"/>
    <w:rsid w:val="008C6CA7"/>
    <w:rsid w:val="008C7417"/>
    <w:rsid w:val="008C77F1"/>
    <w:rsid w:val="008D07FB"/>
    <w:rsid w:val="008D0C02"/>
    <w:rsid w:val="008D10CF"/>
    <w:rsid w:val="008D1306"/>
    <w:rsid w:val="008D140C"/>
    <w:rsid w:val="008D3435"/>
    <w:rsid w:val="008D3472"/>
    <w:rsid w:val="008D357D"/>
    <w:rsid w:val="008D435A"/>
    <w:rsid w:val="008D570E"/>
    <w:rsid w:val="008D623B"/>
    <w:rsid w:val="008D76EF"/>
    <w:rsid w:val="008D77EE"/>
    <w:rsid w:val="008E15FB"/>
    <w:rsid w:val="008E387B"/>
    <w:rsid w:val="008E4FC8"/>
    <w:rsid w:val="008E576D"/>
    <w:rsid w:val="008E6087"/>
    <w:rsid w:val="008E6DB4"/>
    <w:rsid w:val="008E73C7"/>
    <w:rsid w:val="008E74E4"/>
    <w:rsid w:val="008E758D"/>
    <w:rsid w:val="008F0ECC"/>
    <w:rsid w:val="008F10A7"/>
    <w:rsid w:val="008F13A4"/>
    <w:rsid w:val="008F2CD0"/>
    <w:rsid w:val="008F2EE5"/>
    <w:rsid w:val="008F36BA"/>
    <w:rsid w:val="008F4E57"/>
    <w:rsid w:val="008F6A35"/>
    <w:rsid w:val="008F6DD0"/>
    <w:rsid w:val="008F755D"/>
    <w:rsid w:val="008F7966"/>
    <w:rsid w:val="008F7A39"/>
    <w:rsid w:val="008F7F5A"/>
    <w:rsid w:val="009001B8"/>
    <w:rsid w:val="009019A5"/>
    <w:rsid w:val="009021E8"/>
    <w:rsid w:val="00903251"/>
    <w:rsid w:val="00904677"/>
    <w:rsid w:val="00904E6F"/>
    <w:rsid w:val="00905EE2"/>
    <w:rsid w:val="00906BA2"/>
    <w:rsid w:val="009108E5"/>
    <w:rsid w:val="0091136C"/>
    <w:rsid w:val="00911440"/>
    <w:rsid w:val="00911712"/>
    <w:rsid w:val="00911B27"/>
    <w:rsid w:val="00912DCA"/>
    <w:rsid w:val="00912E62"/>
    <w:rsid w:val="00912FD5"/>
    <w:rsid w:val="00913193"/>
    <w:rsid w:val="00913294"/>
    <w:rsid w:val="0091336F"/>
    <w:rsid w:val="00913D11"/>
    <w:rsid w:val="00913ECF"/>
    <w:rsid w:val="009143FA"/>
    <w:rsid w:val="0091523F"/>
    <w:rsid w:val="00915E5F"/>
    <w:rsid w:val="00916525"/>
    <w:rsid w:val="009170BE"/>
    <w:rsid w:val="00917245"/>
    <w:rsid w:val="00917442"/>
    <w:rsid w:val="00917D80"/>
    <w:rsid w:val="00920B55"/>
    <w:rsid w:val="00920BEB"/>
    <w:rsid w:val="00920DE7"/>
    <w:rsid w:val="009213ED"/>
    <w:rsid w:val="009215CA"/>
    <w:rsid w:val="0092241A"/>
    <w:rsid w:val="009226A6"/>
    <w:rsid w:val="009229D1"/>
    <w:rsid w:val="009232FB"/>
    <w:rsid w:val="00923782"/>
    <w:rsid w:val="00923A0E"/>
    <w:rsid w:val="00924ABB"/>
    <w:rsid w:val="00925B53"/>
    <w:rsid w:val="00925C5E"/>
    <w:rsid w:val="009262C9"/>
    <w:rsid w:val="0092700E"/>
    <w:rsid w:val="00927403"/>
    <w:rsid w:val="00927623"/>
    <w:rsid w:val="009276B4"/>
    <w:rsid w:val="00927B8E"/>
    <w:rsid w:val="00927F17"/>
    <w:rsid w:val="00930843"/>
    <w:rsid w:val="00930EB9"/>
    <w:rsid w:val="009312CF"/>
    <w:rsid w:val="009323D6"/>
    <w:rsid w:val="00932B05"/>
    <w:rsid w:val="00933162"/>
    <w:rsid w:val="00933852"/>
    <w:rsid w:val="00933DC7"/>
    <w:rsid w:val="00935CEF"/>
    <w:rsid w:val="00936126"/>
    <w:rsid w:val="009363D9"/>
    <w:rsid w:val="009375BE"/>
    <w:rsid w:val="00937654"/>
    <w:rsid w:val="009379BF"/>
    <w:rsid w:val="00937A84"/>
    <w:rsid w:val="00937ACC"/>
    <w:rsid w:val="0094085D"/>
    <w:rsid w:val="00940EF5"/>
    <w:rsid w:val="009412B0"/>
    <w:rsid w:val="009418F4"/>
    <w:rsid w:val="0094281F"/>
    <w:rsid w:val="00942BBC"/>
    <w:rsid w:val="00942C33"/>
    <w:rsid w:val="00943A79"/>
    <w:rsid w:val="00943AC2"/>
    <w:rsid w:val="00943EA8"/>
    <w:rsid w:val="00944180"/>
    <w:rsid w:val="00944AA0"/>
    <w:rsid w:val="009454AA"/>
    <w:rsid w:val="009469D7"/>
    <w:rsid w:val="00946BCD"/>
    <w:rsid w:val="00947DA2"/>
    <w:rsid w:val="00947FAF"/>
    <w:rsid w:val="0095026A"/>
    <w:rsid w:val="00950D74"/>
    <w:rsid w:val="00951177"/>
    <w:rsid w:val="0095147D"/>
    <w:rsid w:val="009525BF"/>
    <w:rsid w:val="0095269D"/>
    <w:rsid w:val="00952A53"/>
    <w:rsid w:val="00953122"/>
    <w:rsid w:val="00953C57"/>
    <w:rsid w:val="00954208"/>
    <w:rsid w:val="00956563"/>
    <w:rsid w:val="00957332"/>
    <w:rsid w:val="00957588"/>
    <w:rsid w:val="00957DC9"/>
    <w:rsid w:val="00960723"/>
    <w:rsid w:val="00960CC1"/>
    <w:rsid w:val="00960CDE"/>
    <w:rsid w:val="00961039"/>
    <w:rsid w:val="0096200D"/>
    <w:rsid w:val="00963542"/>
    <w:rsid w:val="00965406"/>
    <w:rsid w:val="00965869"/>
    <w:rsid w:val="00966A3D"/>
    <w:rsid w:val="00966E0C"/>
    <w:rsid w:val="00967121"/>
    <w:rsid w:val="009673E8"/>
    <w:rsid w:val="009705BB"/>
    <w:rsid w:val="00970C7A"/>
    <w:rsid w:val="00971062"/>
    <w:rsid w:val="009723FF"/>
    <w:rsid w:val="00973160"/>
    <w:rsid w:val="009736A5"/>
    <w:rsid w:val="009742B0"/>
    <w:rsid w:val="00974DB8"/>
    <w:rsid w:val="00975503"/>
    <w:rsid w:val="00975548"/>
    <w:rsid w:val="00975FBD"/>
    <w:rsid w:val="009768A6"/>
    <w:rsid w:val="00976A57"/>
    <w:rsid w:val="00977832"/>
    <w:rsid w:val="00980661"/>
    <w:rsid w:val="0098093B"/>
    <w:rsid w:val="00981BB2"/>
    <w:rsid w:val="00981E2A"/>
    <w:rsid w:val="00982373"/>
    <w:rsid w:val="00982F55"/>
    <w:rsid w:val="0098318C"/>
    <w:rsid w:val="00983372"/>
    <w:rsid w:val="00983C9B"/>
    <w:rsid w:val="0098551B"/>
    <w:rsid w:val="00985B0F"/>
    <w:rsid w:val="00985CEE"/>
    <w:rsid w:val="00986B61"/>
    <w:rsid w:val="009876D4"/>
    <w:rsid w:val="0099070E"/>
    <w:rsid w:val="009914A5"/>
    <w:rsid w:val="00991C9B"/>
    <w:rsid w:val="00991F2E"/>
    <w:rsid w:val="0099217E"/>
    <w:rsid w:val="009921CE"/>
    <w:rsid w:val="00993437"/>
    <w:rsid w:val="00993479"/>
    <w:rsid w:val="009934A8"/>
    <w:rsid w:val="00993B18"/>
    <w:rsid w:val="009946ED"/>
    <w:rsid w:val="00995136"/>
    <w:rsid w:val="0099548E"/>
    <w:rsid w:val="00995F04"/>
    <w:rsid w:val="00996456"/>
    <w:rsid w:val="00996A12"/>
    <w:rsid w:val="00996EC1"/>
    <w:rsid w:val="00997B0F"/>
    <w:rsid w:val="009A0CC3"/>
    <w:rsid w:val="009A1CAD"/>
    <w:rsid w:val="009A2AC4"/>
    <w:rsid w:val="009A30EA"/>
    <w:rsid w:val="009A3440"/>
    <w:rsid w:val="009A3473"/>
    <w:rsid w:val="009A3D97"/>
    <w:rsid w:val="009A4A31"/>
    <w:rsid w:val="009A4FE0"/>
    <w:rsid w:val="009A552A"/>
    <w:rsid w:val="009A5832"/>
    <w:rsid w:val="009A59E8"/>
    <w:rsid w:val="009A5C76"/>
    <w:rsid w:val="009A6838"/>
    <w:rsid w:val="009B0734"/>
    <w:rsid w:val="009B0B25"/>
    <w:rsid w:val="009B1525"/>
    <w:rsid w:val="009B1F3D"/>
    <w:rsid w:val="009B24B5"/>
    <w:rsid w:val="009B3739"/>
    <w:rsid w:val="009B3896"/>
    <w:rsid w:val="009B49C5"/>
    <w:rsid w:val="009B4A39"/>
    <w:rsid w:val="009B4EBC"/>
    <w:rsid w:val="009B529C"/>
    <w:rsid w:val="009B59C6"/>
    <w:rsid w:val="009B5ABB"/>
    <w:rsid w:val="009B698D"/>
    <w:rsid w:val="009B6DF2"/>
    <w:rsid w:val="009B7172"/>
    <w:rsid w:val="009B73CE"/>
    <w:rsid w:val="009C0360"/>
    <w:rsid w:val="009C0E80"/>
    <w:rsid w:val="009C224C"/>
    <w:rsid w:val="009C2461"/>
    <w:rsid w:val="009C35FC"/>
    <w:rsid w:val="009C36C1"/>
    <w:rsid w:val="009C3848"/>
    <w:rsid w:val="009C38B4"/>
    <w:rsid w:val="009C3F77"/>
    <w:rsid w:val="009C4354"/>
    <w:rsid w:val="009C5A15"/>
    <w:rsid w:val="009C6E0B"/>
    <w:rsid w:val="009C6FE2"/>
    <w:rsid w:val="009C7674"/>
    <w:rsid w:val="009C794D"/>
    <w:rsid w:val="009D004A"/>
    <w:rsid w:val="009D0C90"/>
    <w:rsid w:val="009D20D5"/>
    <w:rsid w:val="009D2228"/>
    <w:rsid w:val="009D4055"/>
    <w:rsid w:val="009D5880"/>
    <w:rsid w:val="009D6C1E"/>
    <w:rsid w:val="009D6DAC"/>
    <w:rsid w:val="009D73B6"/>
    <w:rsid w:val="009D777D"/>
    <w:rsid w:val="009E0259"/>
    <w:rsid w:val="009E04C0"/>
    <w:rsid w:val="009E0A70"/>
    <w:rsid w:val="009E1FD4"/>
    <w:rsid w:val="009E2789"/>
    <w:rsid w:val="009E3B07"/>
    <w:rsid w:val="009E40F8"/>
    <w:rsid w:val="009E41D5"/>
    <w:rsid w:val="009E48AA"/>
    <w:rsid w:val="009E514A"/>
    <w:rsid w:val="009E51D1"/>
    <w:rsid w:val="009E5322"/>
    <w:rsid w:val="009E5531"/>
    <w:rsid w:val="009E569E"/>
    <w:rsid w:val="009E5A27"/>
    <w:rsid w:val="009E5E57"/>
    <w:rsid w:val="009E7A75"/>
    <w:rsid w:val="009E7A8E"/>
    <w:rsid w:val="009F1581"/>
    <w:rsid w:val="009F171E"/>
    <w:rsid w:val="009F183C"/>
    <w:rsid w:val="009F2868"/>
    <w:rsid w:val="009F2A78"/>
    <w:rsid w:val="009F2CB7"/>
    <w:rsid w:val="009F30F3"/>
    <w:rsid w:val="009F316B"/>
    <w:rsid w:val="009F3D2F"/>
    <w:rsid w:val="009F3E9B"/>
    <w:rsid w:val="009F5F99"/>
    <w:rsid w:val="009F60A7"/>
    <w:rsid w:val="009F65C4"/>
    <w:rsid w:val="009F6D99"/>
    <w:rsid w:val="009F7052"/>
    <w:rsid w:val="009F749C"/>
    <w:rsid w:val="00A02304"/>
    <w:rsid w:val="00A02668"/>
    <w:rsid w:val="00A02801"/>
    <w:rsid w:val="00A02A06"/>
    <w:rsid w:val="00A02F31"/>
    <w:rsid w:val="00A0308D"/>
    <w:rsid w:val="00A03768"/>
    <w:rsid w:val="00A04D00"/>
    <w:rsid w:val="00A05546"/>
    <w:rsid w:val="00A05A0A"/>
    <w:rsid w:val="00A06A39"/>
    <w:rsid w:val="00A07F58"/>
    <w:rsid w:val="00A105CC"/>
    <w:rsid w:val="00A110D6"/>
    <w:rsid w:val="00A11F33"/>
    <w:rsid w:val="00A12886"/>
    <w:rsid w:val="00A131CB"/>
    <w:rsid w:val="00A1387A"/>
    <w:rsid w:val="00A13C62"/>
    <w:rsid w:val="00A1421B"/>
    <w:rsid w:val="00A14247"/>
    <w:rsid w:val="00A1433B"/>
    <w:rsid w:val="00A1474D"/>
    <w:rsid w:val="00A14847"/>
    <w:rsid w:val="00A16965"/>
    <w:rsid w:val="00A16CD5"/>
    <w:rsid w:val="00A16D6D"/>
    <w:rsid w:val="00A174C1"/>
    <w:rsid w:val="00A17B0D"/>
    <w:rsid w:val="00A21383"/>
    <w:rsid w:val="00A21554"/>
    <w:rsid w:val="00A2199F"/>
    <w:rsid w:val="00A21B31"/>
    <w:rsid w:val="00A2360E"/>
    <w:rsid w:val="00A238B4"/>
    <w:rsid w:val="00A23B3A"/>
    <w:rsid w:val="00A241D5"/>
    <w:rsid w:val="00A243CC"/>
    <w:rsid w:val="00A24C4C"/>
    <w:rsid w:val="00A26E0C"/>
    <w:rsid w:val="00A276D1"/>
    <w:rsid w:val="00A277FD"/>
    <w:rsid w:val="00A27F7D"/>
    <w:rsid w:val="00A30DE6"/>
    <w:rsid w:val="00A31BB4"/>
    <w:rsid w:val="00A329F9"/>
    <w:rsid w:val="00A32FCB"/>
    <w:rsid w:val="00A33EB2"/>
    <w:rsid w:val="00A34778"/>
    <w:rsid w:val="00A34C25"/>
    <w:rsid w:val="00A3507D"/>
    <w:rsid w:val="00A359E3"/>
    <w:rsid w:val="00A35A1F"/>
    <w:rsid w:val="00A35F8E"/>
    <w:rsid w:val="00A368A5"/>
    <w:rsid w:val="00A3717A"/>
    <w:rsid w:val="00A40598"/>
    <w:rsid w:val="00A4088C"/>
    <w:rsid w:val="00A422DF"/>
    <w:rsid w:val="00A42927"/>
    <w:rsid w:val="00A42A25"/>
    <w:rsid w:val="00A43643"/>
    <w:rsid w:val="00A43A1D"/>
    <w:rsid w:val="00A4456B"/>
    <w:rsid w:val="00A448D4"/>
    <w:rsid w:val="00A44C23"/>
    <w:rsid w:val="00A452E0"/>
    <w:rsid w:val="00A45435"/>
    <w:rsid w:val="00A4625D"/>
    <w:rsid w:val="00A464B3"/>
    <w:rsid w:val="00A467FA"/>
    <w:rsid w:val="00A506DF"/>
    <w:rsid w:val="00A5080B"/>
    <w:rsid w:val="00A50EE2"/>
    <w:rsid w:val="00A50FAB"/>
    <w:rsid w:val="00A51EA5"/>
    <w:rsid w:val="00A52391"/>
    <w:rsid w:val="00A53742"/>
    <w:rsid w:val="00A55229"/>
    <w:rsid w:val="00A557A1"/>
    <w:rsid w:val="00A55EA9"/>
    <w:rsid w:val="00A56787"/>
    <w:rsid w:val="00A57E7E"/>
    <w:rsid w:val="00A60655"/>
    <w:rsid w:val="00A60D01"/>
    <w:rsid w:val="00A61799"/>
    <w:rsid w:val="00A61FDE"/>
    <w:rsid w:val="00A62EAF"/>
    <w:rsid w:val="00A63059"/>
    <w:rsid w:val="00A630EE"/>
    <w:rsid w:val="00A63161"/>
    <w:rsid w:val="00A63AE3"/>
    <w:rsid w:val="00A6511E"/>
    <w:rsid w:val="00A651A4"/>
    <w:rsid w:val="00A6539F"/>
    <w:rsid w:val="00A65D8C"/>
    <w:rsid w:val="00A65F4C"/>
    <w:rsid w:val="00A67411"/>
    <w:rsid w:val="00A7006D"/>
    <w:rsid w:val="00A70475"/>
    <w:rsid w:val="00A707F9"/>
    <w:rsid w:val="00A71361"/>
    <w:rsid w:val="00A72811"/>
    <w:rsid w:val="00A746E2"/>
    <w:rsid w:val="00A75062"/>
    <w:rsid w:val="00A760F3"/>
    <w:rsid w:val="00A77852"/>
    <w:rsid w:val="00A77910"/>
    <w:rsid w:val="00A77B0F"/>
    <w:rsid w:val="00A77C7E"/>
    <w:rsid w:val="00A8035C"/>
    <w:rsid w:val="00A80D62"/>
    <w:rsid w:val="00A81FF2"/>
    <w:rsid w:val="00A8272A"/>
    <w:rsid w:val="00A8316F"/>
    <w:rsid w:val="00A835EA"/>
    <w:rsid w:val="00A83904"/>
    <w:rsid w:val="00A8500B"/>
    <w:rsid w:val="00A856C5"/>
    <w:rsid w:val="00A863D2"/>
    <w:rsid w:val="00A90A79"/>
    <w:rsid w:val="00A9106C"/>
    <w:rsid w:val="00A93091"/>
    <w:rsid w:val="00A95130"/>
    <w:rsid w:val="00A96B30"/>
    <w:rsid w:val="00A96B7F"/>
    <w:rsid w:val="00A97286"/>
    <w:rsid w:val="00AA0498"/>
    <w:rsid w:val="00AA0547"/>
    <w:rsid w:val="00AA0805"/>
    <w:rsid w:val="00AA0933"/>
    <w:rsid w:val="00AA10A9"/>
    <w:rsid w:val="00AA1E93"/>
    <w:rsid w:val="00AA2141"/>
    <w:rsid w:val="00AA23ED"/>
    <w:rsid w:val="00AA2D6A"/>
    <w:rsid w:val="00AA2F04"/>
    <w:rsid w:val="00AA3D96"/>
    <w:rsid w:val="00AA4156"/>
    <w:rsid w:val="00AA442D"/>
    <w:rsid w:val="00AA5540"/>
    <w:rsid w:val="00AA59B5"/>
    <w:rsid w:val="00AA64D2"/>
    <w:rsid w:val="00AA6DEF"/>
    <w:rsid w:val="00AA7550"/>
    <w:rsid w:val="00AA7777"/>
    <w:rsid w:val="00AA78F5"/>
    <w:rsid w:val="00AA7B84"/>
    <w:rsid w:val="00AA7F5C"/>
    <w:rsid w:val="00AB03AF"/>
    <w:rsid w:val="00AB075C"/>
    <w:rsid w:val="00AB0C69"/>
    <w:rsid w:val="00AB2BAE"/>
    <w:rsid w:val="00AB2F01"/>
    <w:rsid w:val="00AB51FD"/>
    <w:rsid w:val="00AB6109"/>
    <w:rsid w:val="00AB631D"/>
    <w:rsid w:val="00AB6758"/>
    <w:rsid w:val="00AB7CEA"/>
    <w:rsid w:val="00AC037A"/>
    <w:rsid w:val="00AC068F"/>
    <w:rsid w:val="00AC074E"/>
    <w:rsid w:val="00AC0B4C"/>
    <w:rsid w:val="00AC0BC5"/>
    <w:rsid w:val="00AC0BDF"/>
    <w:rsid w:val="00AC1164"/>
    <w:rsid w:val="00AC2296"/>
    <w:rsid w:val="00AC2754"/>
    <w:rsid w:val="00AC3468"/>
    <w:rsid w:val="00AC3C57"/>
    <w:rsid w:val="00AC4496"/>
    <w:rsid w:val="00AC48B0"/>
    <w:rsid w:val="00AC4ACD"/>
    <w:rsid w:val="00AC504D"/>
    <w:rsid w:val="00AC50B9"/>
    <w:rsid w:val="00AC51EA"/>
    <w:rsid w:val="00AC5DFB"/>
    <w:rsid w:val="00AC745F"/>
    <w:rsid w:val="00AC7D9C"/>
    <w:rsid w:val="00AD004C"/>
    <w:rsid w:val="00AD007A"/>
    <w:rsid w:val="00AD0B91"/>
    <w:rsid w:val="00AD13DC"/>
    <w:rsid w:val="00AD1D91"/>
    <w:rsid w:val="00AD2884"/>
    <w:rsid w:val="00AD3F1B"/>
    <w:rsid w:val="00AD4E6C"/>
    <w:rsid w:val="00AD5303"/>
    <w:rsid w:val="00AD5D4E"/>
    <w:rsid w:val="00AD6592"/>
    <w:rsid w:val="00AD6A70"/>
    <w:rsid w:val="00AD6DE2"/>
    <w:rsid w:val="00AD6EB1"/>
    <w:rsid w:val="00AE06F6"/>
    <w:rsid w:val="00AE0A40"/>
    <w:rsid w:val="00AE0EF0"/>
    <w:rsid w:val="00AE1252"/>
    <w:rsid w:val="00AE153B"/>
    <w:rsid w:val="00AE1ED4"/>
    <w:rsid w:val="00AE21E1"/>
    <w:rsid w:val="00AE2F8D"/>
    <w:rsid w:val="00AE310A"/>
    <w:rsid w:val="00AE3BAE"/>
    <w:rsid w:val="00AE41FD"/>
    <w:rsid w:val="00AE4C51"/>
    <w:rsid w:val="00AE5488"/>
    <w:rsid w:val="00AE583F"/>
    <w:rsid w:val="00AE592F"/>
    <w:rsid w:val="00AE5AE1"/>
    <w:rsid w:val="00AE675F"/>
    <w:rsid w:val="00AE6A21"/>
    <w:rsid w:val="00AE6C44"/>
    <w:rsid w:val="00AE6EAA"/>
    <w:rsid w:val="00AF1ABC"/>
    <w:rsid w:val="00AF1BE8"/>
    <w:rsid w:val="00AF1C8F"/>
    <w:rsid w:val="00AF1FA2"/>
    <w:rsid w:val="00AF2784"/>
    <w:rsid w:val="00AF2B68"/>
    <w:rsid w:val="00AF2C92"/>
    <w:rsid w:val="00AF3A10"/>
    <w:rsid w:val="00AF3D71"/>
    <w:rsid w:val="00AF3EC1"/>
    <w:rsid w:val="00AF45DE"/>
    <w:rsid w:val="00AF5025"/>
    <w:rsid w:val="00AF519F"/>
    <w:rsid w:val="00AF5387"/>
    <w:rsid w:val="00AF55F5"/>
    <w:rsid w:val="00AF6FE0"/>
    <w:rsid w:val="00AF7E86"/>
    <w:rsid w:val="00B01444"/>
    <w:rsid w:val="00B024B9"/>
    <w:rsid w:val="00B025CA"/>
    <w:rsid w:val="00B02C13"/>
    <w:rsid w:val="00B03971"/>
    <w:rsid w:val="00B04256"/>
    <w:rsid w:val="00B05651"/>
    <w:rsid w:val="00B0595D"/>
    <w:rsid w:val="00B06352"/>
    <w:rsid w:val="00B07710"/>
    <w:rsid w:val="00B07743"/>
    <w:rsid w:val="00B077FA"/>
    <w:rsid w:val="00B105C4"/>
    <w:rsid w:val="00B11975"/>
    <w:rsid w:val="00B127D7"/>
    <w:rsid w:val="00B13B0C"/>
    <w:rsid w:val="00B13F80"/>
    <w:rsid w:val="00B14408"/>
    <w:rsid w:val="00B1453A"/>
    <w:rsid w:val="00B14F72"/>
    <w:rsid w:val="00B162F3"/>
    <w:rsid w:val="00B1646E"/>
    <w:rsid w:val="00B1754D"/>
    <w:rsid w:val="00B20F82"/>
    <w:rsid w:val="00B22418"/>
    <w:rsid w:val="00B227CE"/>
    <w:rsid w:val="00B2282F"/>
    <w:rsid w:val="00B241EA"/>
    <w:rsid w:val="00B244F2"/>
    <w:rsid w:val="00B24B2A"/>
    <w:rsid w:val="00B25A33"/>
    <w:rsid w:val="00B25BD5"/>
    <w:rsid w:val="00B25E6E"/>
    <w:rsid w:val="00B27696"/>
    <w:rsid w:val="00B27ED7"/>
    <w:rsid w:val="00B30B4C"/>
    <w:rsid w:val="00B3269B"/>
    <w:rsid w:val="00B33B84"/>
    <w:rsid w:val="00B34079"/>
    <w:rsid w:val="00B35AB8"/>
    <w:rsid w:val="00B36C33"/>
    <w:rsid w:val="00B3774D"/>
    <w:rsid w:val="00B3793A"/>
    <w:rsid w:val="00B401BA"/>
    <w:rsid w:val="00B4056F"/>
    <w:rsid w:val="00B407E4"/>
    <w:rsid w:val="00B425B6"/>
    <w:rsid w:val="00B42A72"/>
    <w:rsid w:val="00B43CC0"/>
    <w:rsid w:val="00B441AE"/>
    <w:rsid w:val="00B44510"/>
    <w:rsid w:val="00B45855"/>
    <w:rsid w:val="00B45A65"/>
    <w:rsid w:val="00B45F33"/>
    <w:rsid w:val="00B46279"/>
    <w:rsid w:val="00B46CB9"/>
    <w:rsid w:val="00B46D50"/>
    <w:rsid w:val="00B508E0"/>
    <w:rsid w:val="00B51AB1"/>
    <w:rsid w:val="00B52495"/>
    <w:rsid w:val="00B5300C"/>
    <w:rsid w:val="00B53170"/>
    <w:rsid w:val="00B53B99"/>
    <w:rsid w:val="00B5404F"/>
    <w:rsid w:val="00B54413"/>
    <w:rsid w:val="00B548B9"/>
    <w:rsid w:val="00B55D0C"/>
    <w:rsid w:val="00B56C49"/>
    <w:rsid w:val="00B56DBE"/>
    <w:rsid w:val="00B6190E"/>
    <w:rsid w:val="00B61E9E"/>
    <w:rsid w:val="00B62999"/>
    <w:rsid w:val="00B62AB0"/>
    <w:rsid w:val="00B62C68"/>
    <w:rsid w:val="00B6300F"/>
    <w:rsid w:val="00B6304C"/>
    <w:rsid w:val="00B63B24"/>
    <w:rsid w:val="00B63BE3"/>
    <w:rsid w:val="00B641A7"/>
    <w:rsid w:val="00B64885"/>
    <w:rsid w:val="00B64FA3"/>
    <w:rsid w:val="00B64FB0"/>
    <w:rsid w:val="00B6521B"/>
    <w:rsid w:val="00B66353"/>
    <w:rsid w:val="00B66810"/>
    <w:rsid w:val="00B67312"/>
    <w:rsid w:val="00B67509"/>
    <w:rsid w:val="00B67700"/>
    <w:rsid w:val="00B67D36"/>
    <w:rsid w:val="00B67EA2"/>
    <w:rsid w:val="00B70912"/>
    <w:rsid w:val="00B728B1"/>
    <w:rsid w:val="00B72BE3"/>
    <w:rsid w:val="00B72DAA"/>
    <w:rsid w:val="00B739A1"/>
    <w:rsid w:val="00B73B80"/>
    <w:rsid w:val="00B73EBD"/>
    <w:rsid w:val="00B73EED"/>
    <w:rsid w:val="00B74CAF"/>
    <w:rsid w:val="00B750A6"/>
    <w:rsid w:val="00B75383"/>
    <w:rsid w:val="00B75838"/>
    <w:rsid w:val="00B765F1"/>
    <w:rsid w:val="00B770C7"/>
    <w:rsid w:val="00B774B4"/>
    <w:rsid w:val="00B806E6"/>
    <w:rsid w:val="00B80F26"/>
    <w:rsid w:val="00B81416"/>
    <w:rsid w:val="00B822BD"/>
    <w:rsid w:val="00B825D5"/>
    <w:rsid w:val="00B8294D"/>
    <w:rsid w:val="00B82B11"/>
    <w:rsid w:val="00B837B0"/>
    <w:rsid w:val="00B842F4"/>
    <w:rsid w:val="00B84B66"/>
    <w:rsid w:val="00B8663D"/>
    <w:rsid w:val="00B86E6F"/>
    <w:rsid w:val="00B87882"/>
    <w:rsid w:val="00B9007C"/>
    <w:rsid w:val="00B91016"/>
    <w:rsid w:val="00B917F4"/>
    <w:rsid w:val="00B91A7B"/>
    <w:rsid w:val="00B92021"/>
    <w:rsid w:val="00B9238F"/>
    <w:rsid w:val="00B929DD"/>
    <w:rsid w:val="00B9372F"/>
    <w:rsid w:val="00B93AF6"/>
    <w:rsid w:val="00B94D9A"/>
    <w:rsid w:val="00B94DDC"/>
    <w:rsid w:val="00B95405"/>
    <w:rsid w:val="00B95A06"/>
    <w:rsid w:val="00B963F1"/>
    <w:rsid w:val="00BA020A"/>
    <w:rsid w:val="00BA075F"/>
    <w:rsid w:val="00BA1DE0"/>
    <w:rsid w:val="00BA2126"/>
    <w:rsid w:val="00BA4589"/>
    <w:rsid w:val="00BA4DBD"/>
    <w:rsid w:val="00BA50DC"/>
    <w:rsid w:val="00BA63B0"/>
    <w:rsid w:val="00BA7197"/>
    <w:rsid w:val="00BB025A"/>
    <w:rsid w:val="00BB02A4"/>
    <w:rsid w:val="00BB1270"/>
    <w:rsid w:val="00BB129F"/>
    <w:rsid w:val="00BB16DA"/>
    <w:rsid w:val="00BB1E44"/>
    <w:rsid w:val="00BB23B5"/>
    <w:rsid w:val="00BB2D12"/>
    <w:rsid w:val="00BB4E78"/>
    <w:rsid w:val="00BB5181"/>
    <w:rsid w:val="00BB5267"/>
    <w:rsid w:val="00BB52B8"/>
    <w:rsid w:val="00BB59D8"/>
    <w:rsid w:val="00BB5A08"/>
    <w:rsid w:val="00BB5A30"/>
    <w:rsid w:val="00BB6751"/>
    <w:rsid w:val="00BB6868"/>
    <w:rsid w:val="00BB6C8A"/>
    <w:rsid w:val="00BB6FC9"/>
    <w:rsid w:val="00BB7E69"/>
    <w:rsid w:val="00BC0B17"/>
    <w:rsid w:val="00BC0E51"/>
    <w:rsid w:val="00BC1013"/>
    <w:rsid w:val="00BC101C"/>
    <w:rsid w:val="00BC1BB7"/>
    <w:rsid w:val="00BC3263"/>
    <w:rsid w:val="00BC35D1"/>
    <w:rsid w:val="00BC3C1F"/>
    <w:rsid w:val="00BC413A"/>
    <w:rsid w:val="00BC42F0"/>
    <w:rsid w:val="00BC4A53"/>
    <w:rsid w:val="00BC4B14"/>
    <w:rsid w:val="00BC4E73"/>
    <w:rsid w:val="00BC690F"/>
    <w:rsid w:val="00BC7CE7"/>
    <w:rsid w:val="00BD186F"/>
    <w:rsid w:val="00BD262C"/>
    <w:rsid w:val="00BD2768"/>
    <w:rsid w:val="00BD295E"/>
    <w:rsid w:val="00BD2D8A"/>
    <w:rsid w:val="00BD390D"/>
    <w:rsid w:val="00BD4664"/>
    <w:rsid w:val="00BD47D4"/>
    <w:rsid w:val="00BD4B40"/>
    <w:rsid w:val="00BD5605"/>
    <w:rsid w:val="00BD56EC"/>
    <w:rsid w:val="00BD5D00"/>
    <w:rsid w:val="00BD61A7"/>
    <w:rsid w:val="00BD6465"/>
    <w:rsid w:val="00BD6EDE"/>
    <w:rsid w:val="00BD6F4F"/>
    <w:rsid w:val="00BD7210"/>
    <w:rsid w:val="00BD729D"/>
    <w:rsid w:val="00BD7395"/>
    <w:rsid w:val="00BE02F2"/>
    <w:rsid w:val="00BE10D7"/>
    <w:rsid w:val="00BE1193"/>
    <w:rsid w:val="00BE167D"/>
    <w:rsid w:val="00BE53C2"/>
    <w:rsid w:val="00BE5BAA"/>
    <w:rsid w:val="00BE6604"/>
    <w:rsid w:val="00BE7237"/>
    <w:rsid w:val="00BE7306"/>
    <w:rsid w:val="00BF021A"/>
    <w:rsid w:val="00BF021D"/>
    <w:rsid w:val="00BF0FB0"/>
    <w:rsid w:val="00BF2662"/>
    <w:rsid w:val="00BF31FE"/>
    <w:rsid w:val="00BF32A9"/>
    <w:rsid w:val="00BF36C8"/>
    <w:rsid w:val="00BF4849"/>
    <w:rsid w:val="00BF4EA7"/>
    <w:rsid w:val="00BF53B7"/>
    <w:rsid w:val="00BF595E"/>
    <w:rsid w:val="00BF6525"/>
    <w:rsid w:val="00BF72BD"/>
    <w:rsid w:val="00BF799D"/>
    <w:rsid w:val="00C004C5"/>
    <w:rsid w:val="00C00EDB"/>
    <w:rsid w:val="00C01695"/>
    <w:rsid w:val="00C01ECE"/>
    <w:rsid w:val="00C020E3"/>
    <w:rsid w:val="00C02863"/>
    <w:rsid w:val="00C0383A"/>
    <w:rsid w:val="00C04B7B"/>
    <w:rsid w:val="00C050F4"/>
    <w:rsid w:val="00C067FF"/>
    <w:rsid w:val="00C06CC6"/>
    <w:rsid w:val="00C07131"/>
    <w:rsid w:val="00C07BA3"/>
    <w:rsid w:val="00C07C5D"/>
    <w:rsid w:val="00C1006C"/>
    <w:rsid w:val="00C10634"/>
    <w:rsid w:val="00C10C46"/>
    <w:rsid w:val="00C12862"/>
    <w:rsid w:val="00C128A2"/>
    <w:rsid w:val="00C12AC9"/>
    <w:rsid w:val="00C13423"/>
    <w:rsid w:val="00C13D28"/>
    <w:rsid w:val="00C14585"/>
    <w:rsid w:val="00C14781"/>
    <w:rsid w:val="00C14C4D"/>
    <w:rsid w:val="00C14E1C"/>
    <w:rsid w:val="00C15181"/>
    <w:rsid w:val="00C159B0"/>
    <w:rsid w:val="00C165A0"/>
    <w:rsid w:val="00C16960"/>
    <w:rsid w:val="00C17B4E"/>
    <w:rsid w:val="00C17F82"/>
    <w:rsid w:val="00C204EA"/>
    <w:rsid w:val="00C216CE"/>
    <w:rsid w:val="00C2184F"/>
    <w:rsid w:val="00C2185C"/>
    <w:rsid w:val="00C22096"/>
    <w:rsid w:val="00C22204"/>
    <w:rsid w:val="00C22A78"/>
    <w:rsid w:val="00C23252"/>
    <w:rsid w:val="00C234BD"/>
    <w:rsid w:val="00C23701"/>
    <w:rsid w:val="00C23C7E"/>
    <w:rsid w:val="00C246C5"/>
    <w:rsid w:val="00C2521F"/>
    <w:rsid w:val="00C25A82"/>
    <w:rsid w:val="00C26643"/>
    <w:rsid w:val="00C272C5"/>
    <w:rsid w:val="00C2789D"/>
    <w:rsid w:val="00C300A2"/>
    <w:rsid w:val="00C3081F"/>
    <w:rsid w:val="00C30A2A"/>
    <w:rsid w:val="00C31689"/>
    <w:rsid w:val="00C3182D"/>
    <w:rsid w:val="00C3187D"/>
    <w:rsid w:val="00C31C83"/>
    <w:rsid w:val="00C32A61"/>
    <w:rsid w:val="00C32AD4"/>
    <w:rsid w:val="00C3351D"/>
    <w:rsid w:val="00C33993"/>
    <w:rsid w:val="00C343B1"/>
    <w:rsid w:val="00C348CC"/>
    <w:rsid w:val="00C34E01"/>
    <w:rsid w:val="00C35AFD"/>
    <w:rsid w:val="00C3649F"/>
    <w:rsid w:val="00C376FB"/>
    <w:rsid w:val="00C4069E"/>
    <w:rsid w:val="00C41ADC"/>
    <w:rsid w:val="00C43585"/>
    <w:rsid w:val="00C436F8"/>
    <w:rsid w:val="00C43D17"/>
    <w:rsid w:val="00C43E42"/>
    <w:rsid w:val="00C44149"/>
    <w:rsid w:val="00C44410"/>
    <w:rsid w:val="00C44A15"/>
    <w:rsid w:val="00C44B1F"/>
    <w:rsid w:val="00C45400"/>
    <w:rsid w:val="00C4546B"/>
    <w:rsid w:val="00C45576"/>
    <w:rsid w:val="00C4630A"/>
    <w:rsid w:val="00C46629"/>
    <w:rsid w:val="00C46E9E"/>
    <w:rsid w:val="00C50408"/>
    <w:rsid w:val="00C50ABF"/>
    <w:rsid w:val="00C513AC"/>
    <w:rsid w:val="00C51B49"/>
    <w:rsid w:val="00C523F0"/>
    <w:rsid w:val="00C526D2"/>
    <w:rsid w:val="00C52F42"/>
    <w:rsid w:val="00C53A91"/>
    <w:rsid w:val="00C53C32"/>
    <w:rsid w:val="00C5448D"/>
    <w:rsid w:val="00C551D3"/>
    <w:rsid w:val="00C5529B"/>
    <w:rsid w:val="00C5533A"/>
    <w:rsid w:val="00C5661B"/>
    <w:rsid w:val="00C56974"/>
    <w:rsid w:val="00C576AF"/>
    <w:rsid w:val="00C5794E"/>
    <w:rsid w:val="00C60968"/>
    <w:rsid w:val="00C6222E"/>
    <w:rsid w:val="00C62FC5"/>
    <w:rsid w:val="00C63D39"/>
    <w:rsid w:val="00C63EDD"/>
    <w:rsid w:val="00C646CB"/>
    <w:rsid w:val="00C65770"/>
    <w:rsid w:val="00C657A6"/>
    <w:rsid w:val="00C65B36"/>
    <w:rsid w:val="00C66074"/>
    <w:rsid w:val="00C661E8"/>
    <w:rsid w:val="00C6752D"/>
    <w:rsid w:val="00C71655"/>
    <w:rsid w:val="00C722CB"/>
    <w:rsid w:val="00C7292E"/>
    <w:rsid w:val="00C72B6B"/>
    <w:rsid w:val="00C733F9"/>
    <w:rsid w:val="00C743F3"/>
    <w:rsid w:val="00C74E88"/>
    <w:rsid w:val="00C75C99"/>
    <w:rsid w:val="00C76AED"/>
    <w:rsid w:val="00C7712A"/>
    <w:rsid w:val="00C7723E"/>
    <w:rsid w:val="00C776D5"/>
    <w:rsid w:val="00C77F54"/>
    <w:rsid w:val="00C8049A"/>
    <w:rsid w:val="00C80924"/>
    <w:rsid w:val="00C80BAF"/>
    <w:rsid w:val="00C81265"/>
    <w:rsid w:val="00C82719"/>
    <w:rsid w:val="00C8286B"/>
    <w:rsid w:val="00C82983"/>
    <w:rsid w:val="00C8324A"/>
    <w:rsid w:val="00C86EA5"/>
    <w:rsid w:val="00C87665"/>
    <w:rsid w:val="00C877DA"/>
    <w:rsid w:val="00C87C1E"/>
    <w:rsid w:val="00C91751"/>
    <w:rsid w:val="00C93B52"/>
    <w:rsid w:val="00C93E2C"/>
    <w:rsid w:val="00C947F8"/>
    <w:rsid w:val="00C9486A"/>
    <w:rsid w:val="00C9515F"/>
    <w:rsid w:val="00C963C5"/>
    <w:rsid w:val="00C96AA1"/>
    <w:rsid w:val="00C97758"/>
    <w:rsid w:val="00CA030C"/>
    <w:rsid w:val="00CA0EC0"/>
    <w:rsid w:val="00CA10EA"/>
    <w:rsid w:val="00CA1F41"/>
    <w:rsid w:val="00CA1FBB"/>
    <w:rsid w:val="00CA29E6"/>
    <w:rsid w:val="00CA2A05"/>
    <w:rsid w:val="00CA3237"/>
    <w:rsid w:val="00CA32EE"/>
    <w:rsid w:val="00CA3409"/>
    <w:rsid w:val="00CA4368"/>
    <w:rsid w:val="00CA539D"/>
    <w:rsid w:val="00CA5771"/>
    <w:rsid w:val="00CA592D"/>
    <w:rsid w:val="00CA6608"/>
    <w:rsid w:val="00CA6797"/>
    <w:rsid w:val="00CA6A1A"/>
    <w:rsid w:val="00CA6F09"/>
    <w:rsid w:val="00CA7A92"/>
    <w:rsid w:val="00CB202F"/>
    <w:rsid w:val="00CB2A9C"/>
    <w:rsid w:val="00CB2B7E"/>
    <w:rsid w:val="00CB2C09"/>
    <w:rsid w:val="00CB315A"/>
    <w:rsid w:val="00CB373D"/>
    <w:rsid w:val="00CB4913"/>
    <w:rsid w:val="00CB5294"/>
    <w:rsid w:val="00CB5F8D"/>
    <w:rsid w:val="00CB7A20"/>
    <w:rsid w:val="00CC109B"/>
    <w:rsid w:val="00CC1E75"/>
    <w:rsid w:val="00CC2E0E"/>
    <w:rsid w:val="00CC2F8C"/>
    <w:rsid w:val="00CC361C"/>
    <w:rsid w:val="00CC3884"/>
    <w:rsid w:val="00CC474B"/>
    <w:rsid w:val="00CC5609"/>
    <w:rsid w:val="00CC658C"/>
    <w:rsid w:val="00CC67BF"/>
    <w:rsid w:val="00CC6E97"/>
    <w:rsid w:val="00CD0843"/>
    <w:rsid w:val="00CD1864"/>
    <w:rsid w:val="00CD2CB8"/>
    <w:rsid w:val="00CD3DBB"/>
    <w:rsid w:val="00CD4B10"/>
    <w:rsid w:val="00CD4E31"/>
    <w:rsid w:val="00CD532A"/>
    <w:rsid w:val="00CD5624"/>
    <w:rsid w:val="00CD5A78"/>
    <w:rsid w:val="00CD6054"/>
    <w:rsid w:val="00CD7148"/>
    <w:rsid w:val="00CD7345"/>
    <w:rsid w:val="00CE083F"/>
    <w:rsid w:val="00CE1F81"/>
    <w:rsid w:val="00CE2083"/>
    <w:rsid w:val="00CE372E"/>
    <w:rsid w:val="00CE39D9"/>
    <w:rsid w:val="00CE3F8A"/>
    <w:rsid w:val="00CE40BC"/>
    <w:rsid w:val="00CE425E"/>
    <w:rsid w:val="00CE4D0D"/>
    <w:rsid w:val="00CE50DF"/>
    <w:rsid w:val="00CE7112"/>
    <w:rsid w:val="00CF0A1B"/>
    <w:rsid w:val="00CF0B83"/>
    <w:rsid w:val="00CF0FDF"/>
    <w:rsid w:val="00CF168D"/>
    <w:rsid w:val="00CF19F6"/>
    <w:rsid w:val="00CF1AAD"/>
    <w:rsid w:val="00CF21B3"/>
    <w:rsid w:val="00CF26CB"/>
    <w:rsid w:val="00CF2F4F"/>
    <w:rsid w:val="00CF3CCD"/>
    <w:rsid w:val="00CF536D"/>
    <w:rsid w:val="00CF5D22"/>
    <w:rsid w:val="00CF7D0C"/>
    <w:rsid w:val="00D00C87"/>
    <w:rsid w:val="00D018F7"/>
    <w:rsid w:val="00D02A6D"/>
    <w:rsid w:val="00D02E9D"/>
    <w:rsid w:val="00D0357C"/>
    <w:rsid w:val="00D045AF"/>
    <w:rsid w:val="00D04FC9"/>
    <w:rsid w:val="00D0781B"/>
    <w:rsid w:val="00D10784"/>
    <w:rsid w:val="00D10CB8"/>
    <w:rsid w:val="00D12806"/>
    <w:rsid w:val="00D12C0F"/>
    <w:rsid w:val="00D12D44"/>
    <w:rsid w:val="00D13E22"/>
    <w:rsid w:val="00D14C8E"/>
    <w:rsid w:val="00D14F69"/>
    <w:rsid w:val="00D14FA4"/>
    <w:rsid w:val="00D15018"/>
    <w:rsid w:val="00D1545D"/>
    <w:rsid w:val="00D158AC"/>
    <w:rsid w:val="00D16765"/>
    <w:rsid w:val="00D1694C"/>
    <w:rsid w:val="00D2096A"/>
    <w:rsid w:val="00D20F5E"/>
    <w:rsid w:val="00D23356"/>
    <w:rsid w:val="00D23A02"/>
    <w:rsid w:val="00D23B76"/>
    <w:rsid w:val="00D24B4A"/>
    <w:rsid w:val="00D24D73"/>
    <w:rsid w:val="00D26237"/>
    <w:rsid w:val="00D27452"/>
    <w:rsid w:val="00D27CAE"/>
    <w:rsid w:val="00D30915"/>
    <w:rsid w:val="00D31746"/>
    <w:rsid w:val="00D32756"/>
    <w:rsid w:val="00D33B13"/>
    <w:rsid w:val="00D34153"/>
    <w:rsid w:val="00D3495B"/>
    <w:rsid w:val="00D34CE6"/>
    <w:rsid w:val="00D355FE"/>
    <w:rsid w:val="00D367F5"/>
    <w:rsid w:val="00D379A3"/>
    <w:rsid w:val="00D4066C"/>
    <w:rsid w:val="00D4070D"/>
    <w:rsid w:val="00D42822"/>
    <w:rsid w:val="00D45FF3"/>
    <w:rsid w:val="00D463C6"/>
    <w:rsid w:val="00D50AC8"/>
    <w:rsid w:val="00D50B83"/>
    <w:rsid w:val="00D512CF"/>
    <w:rsid w:val="00D513D2"/>
    <w:rsid w:val="00D5191E"/>
    <w:rsid w:val="00D528B9"/>
    <w:rsid w:val="00D52DD5"/>
    <w:rsid w:val="00D53186"/>
    <w:rsid w:val="00D5487D"/>
    <w:rsid w:val="00D56051"/>
    <w:rsid w:val="00D5663F"/>
    <w:rsid w:val="00D56C70"/>
    <w:rsid w:val="00D56F00"/>
    <w:rsid w:val="00D57747"/>
    <w:rsid w:val="00D60140"/>
    <w:rsid w:val="00D6024A"/>
    <w:rsid w:val="00D608B5"/>
    <w:rsid w:val="00D60B18"/>
    <w:rsid w:val="00D61278"/>
    <w:rsid w:val="00D61427"/>
    <w:rsid w:val="00D61A78"/>
    <w:rsid w:val="00D61DF2"/>
    <w:rsid w:val="00D61E1C"/>
    <w:rsid w:val="00D6216C"/>
    <w:rsid w:val="00D63E6B"/>
    <w:rsid w:val="00D64739"/>
    <w:rsid w:val="00D71F99"/>
    <w:rsid w:val="00D7209B"/>
    <w:rsid w:val="00D721FA"/>
    <w:rsid w:val="00D72FD4"/>
    <w:rsid w:val="00D731A2"/>
    <w:rsid w:val="00D73509"/>
    <w:rsid w:val="00D736E4"/>
    <w:rsid w:val="00D73CA4"/>
    <w:rsid w:val="00D73D71"/>
    <w:rsid w:val="00D74396"/>
    <w:rsid w:val="00D750A0"/>
    <w:rsid w:val="00D760C8"/>
    <w:rsid w:val="00D76473"/>
    <w:rsid w:val="00D76A74"/>
    <w:rsid w:val="00D779F1"/>
    <w:rsid w:val="00D80284"/>
    <w:rsid w:val="00D80390"/>
    <w:rsid w:val="00D80D43"/>
    <w:rsid w:val="00D80F76"/>
    <w:rsid w:val="00D81F71"/>
    <w:rsid w:val="00D82812"/>
    <w:rsid w:val="00D82970"/>
    <w:rsid w:val="00D836C7"/>
    <w:rsid w:val="00D84563"/>
    <w:rsid w:val="00D85E1B"/>
    <w:rsid w:val="00D8642D"/>
    <w:rsid w:val="00D87507"/>
    <w:rsid w:val="00D877DE"/>
    <w:rsid w:val="00D87E60"/>
    <w:rsid w:val="00D90402"/>
    <w:rsid w:val="00D90A5E"/>
    <w:rsid w:val="00D91A68"/>
    <w:rsid w:val="00D93B11"/>
    <w:rsid w:val="00D93CAC"/>
    <w:rsid w:val="00D94C61"/>
    <w:rsid w:val="00D95A68"/>
    <w:rsid w:val="00D95F97"/>
    <w:rsid w:val="00D96218"/>
    <w:rsid w:val="00D9720E"/>
    <w:rsid w:val="00D973FA"/>
    <w:rsid w:val="00D97D99"/>
    <w:rsid w:val="00DA0B5E"/>
    <w:rsid w:val="00DA17C7"/>
    <w:rsid w:val="00DA4525"/>
    <w:rsid w:val="00DA4961"/>
    <w:rsid w:val="00DA5766"/>
    <w:rsid w:val="00DA6178"/>
    <w:rsid w:val="00DA6A9A"/>
    <w:rsid w:val="00DA6F5C"/>
    <w:rsid w:val="00DA70D2"/>
    <w:rsid w:val="00DA7B42"/>
    <w:rsid w:val="00DB0046"/>
    <w:rsid w:val="00DB1144"/>
    <w:rsid w:val="00DB14D6"/>
    <w:rsid w:val="00DB1EFD"/>
    <w:rsid w:val="00DB3B14"/>
    <w:rsid w:val="00DB3EAF"/>
    <w:rsid w:val="00DB46C6"/>
    <w:rsid w:val="00DB48F5"/>
    <w:rsid w:val="00DB4BE3"/>
    <w:rsid w:val="00DB5643"/>
    <w:rsid w:val="00DB7C05"/>
    <w:rsid w:val="00DC1F80"/>
    <w:rsid w:val="00DC2B31"/>
    <w:rsid w:val="00DC3203"/>
    <w:rsid w:val="00DC3C99"/>
    <w:rsid w:val="00DC423A"/>
    <w:rsid w:val="00DC52F5"/>
    <w:rsid w:val="00DC5FD0"/>
    <w:rsid w:val="00DC7555"/>
    <w:rsid w:val="00DC7ACF"/>
    <w:rsid w:val="00DC7EBA"/>
    <w:rsid w:val="00DD0354"/>
    <w:rsid w:val="00DD03B2"/>
    <w:rsid w:val="00DD0786"/>
    <w:rsid w:val="00DD1ED3"/>
    <w:rsid w:val="00DD1FC6"/>
    <w:rsid w:val="00DD252F"/>
    <w:rsid w:val="00DD27D7"/>
    <w:rsid w:val="00DD296B"/>
    <w:rsid w:val="00DD4463"/>
    <w:rsid w:val="00DD458C"/>
    <w:rsid w:val="00DD4668"/>
    <w:rsid w:val="00DD5316"/>
    <w:rsid w:val="00DD72E9"/>
    <w:rsid w:val="00DD7605"/>
    <w:rsid w:val="00DD7A04"/>
    <w:rsid w:val="00DE05FA"/>
    <w:rsid w:val="00DE2020"/>
    <w:rsid w:val="00DE2EA6"/>
    <w:rsid w:val="00DE3476"/>
    <w:rsid w:val="00DE42C3"/>
    <w:rsid w:val="00DE5111"/>
    <w:rsid w:val="00DE51CA"/>
    <w:rsid w:val="00DE51F3"/>
    <w:rsid w:val="00DE5EA8"/>
    <w:rsid w:val="00DE604F"/>
    <w:rsid w:val="00DE66B9"/>
    <w:rsid w:val="00DE6CEC"/>
    <w:rsid w:val="00DE7BEA"/>
    <w:rsid w:val="00DF05E4"/>
    <w:rsid w:val="00DF18CF"/>
    <w:rsid w:val="00DF1AD9"/>
    <w:rsid w:val="00DF1EAF"/>
    <w:rsid w:val="00DF2669"/>
    <w:rsid w:val="00DF401B"/>
    <w:rsid w:val="00DF4CD0"/>
    <w:rsid w:val="00DF4DBC"/>
    <w:rsid w:val="00DF5145"/>
    <w:rsid w:val="00DF59F0"/>
    <w:rsid w:val="00DF5B84"/>
    <w:rsid w:val="00DF64B8"/>
    <w:rsid w:val="00DF6D5B"/>
    <w:rsid w:val="00DF771B"/>
    <w:rsid w:val="00DF7812"/>
    <w:rsid w:val="00DF7EE2"/>
    <w:rsid w:val="00E00451"/>
    <w:rsid w:val="00E017C6"/>
    <w:rsid w:val="00E01BAA"/>
    <w:rsid w:val="00E023F6"/>
    <w:rsid w:val="00E0282A"/>
    <w:rsid w:val="00E02F9B"/>
    <w:rsid w:val="00E05CDE"/>
    <w:rsid w:val="00E07E14"/>
    <w:rsid w:val="00E111A0"/>
    <w:rsid w:val="00E11B2D"/>
    <w:rsid w:val="00E11E55"/>
    <w:rsid w:val="00E123A6"/>
    <w:rsid w:val="00E12D63"/>
    <w:rsid w:val="00E139EF"/>
    <w:rsid w:val="00E14CAE"/>
    <w:rsid w:val="00E14F94"/>
    <w:rsid w:val="00E16628"/>
    <w:rsid w:val="00E17336"/>
    <w:rsid w:val="00E17D15"/>
    <w:rsid w:val="00E205A8"/>
    <w:rsid w:val="00E208F8"/>
    <w:rsid w:val="00E20FFB"/>
    <w:rsid w:val="00E21724"/>
    <w:rsid w:val="00E21C73"/>
    <w:rsid w:val="00E21D89"/>
    <w:rsid w:val="00E21F41"/>
    <w:rsid w:val="00E22224"/>
    <w:rsid w:val="00E22B95"/>
    <w:rsid w:val="00E22C89"/>
    <w:rsid w:val="00E23490"/>
    <w:rsid w:val="00E25844"/>
    <w:rsid w:val="00E25911"/>
    <w:rsid w:val="00E26D23"/>
    <w:rsid w:val="00E275A1"/>
    <w:rsid w:val="00E30331"/>
    <w:rsid w:val="00E3033C"/>
    <w:rsid w:val="00E303D9"/>
    <w:rsid w:val="00E30BB8"/>
    <w:rsid w:val="00E31F9C"/>
    <w:rsid w:val="00E32502"/>
    <w:rsid w:val="00E3367F"/>
    <w:rsid w:val="00E340F3"/>
    <w:rsid w:val="00E3525D"/>
    <w:rsid w:val="00E36CA2"/>
    <w:rsid w:val="00E37DD8"/>
    <w:rsid w:val="00E40488"/>
    <w:rsid w:val="00E40A72"/>
    <w:rsid w:val="00E40AF7"/>
    <w:rsid w:val="00E412E9"/>
    <w:rsid w:val="00E41A89"/>
    <w:rsid w:val="00E42361"/>
    <w:rsid w:val="00E42550"/>
    <w:rsid w:val="00E42728"/>
    <w:rsid w:val="00E4283F"/>
    <w:rsid w:val="00E42A9C"/>
    <w:rsid w:val="00E43841"/>
    <w:rsid w:val="00E44758"/>
    <w:rsid w:val="00E448A2"/>
    <w:rsid w:val="00E456C6"/>
    <w:rsid w:val="00E45A63"/>
    <w:rsid w:val="00E45FB8"/>
    <w:rsid w:val="00E46165"/>
    <w:rsid w:val="00E47583"/>
    <w:rsid w:val="00E4773E"/>
    <w:rsid w:val="00E50367"/>
    <w:rsid w:val="00E503F9"/>
    <w:rsid w:val="00E50F59"/>
    <w:rsid w:val="00E5114E"/>
    <w:rsid w:val="00E51581"/>
    <w:rsid w:val="00E51ABA"/>
    <w:rsid w:val="00E52168"/>
    <w:rsid w:val="00E524CB"/>
    <w:rsid w:val="00E546AF"/>
    <w:rsid w:val="00E56400"/>
    <w:rsid w:val="00E56A02"/>
    <w:rsid w:val="00E56A96"/>
    <w:rsid w:val="00E5743F"/>
    <w:rsid w:val="00E60CFE"/>
    <w:rsid w:val="00E60F1E"/>
    <w:rsid w:val="00E61473"/>
    <w:rsid w:val="00E6180F"/>
    <w:rsid w:val="00E6193E"/>
    <w:rsid w:val="00E61F8E"/>
    <w:rsid w:val="00E62359"/>
    <w:rsid w:val="00E62F37"/>
    <w:rsid w:val="00E63431"/>
    <w:rsid w:val="00E65456"/>
    <w:rsid w:val="00E65547"/>
    <w:rsid w:val="00E65A76"/>
    <w:rsid w:val="00E65A91"/>
    <w:rsid w:val="00E66188"/>
    <w:rsid w:val="00E664FB"/>
    <w:rsid w:val="00E670A6"/>
    <w:rsid w:val="00E672F0"/>
    <w:rsid w:val="00E67CC4"/>
    <w:rsid w:val="00E700D8"/>
    <w:rsid w:val="00E7010D"/>
    <w:rsid w:val="00E70373"/>
    <w:rsid w:val="00E705B8"/>
    <w:rsid w:val="00E709CA"/>
    <w:rsid w:val="00E72E40"/>
    <w:rsid w:val="00E73665"/>
    <w:rsid w:val="00E73999"/>
    <w:rsid w:val="00E73BDC"/>
    <w:rsid w:val="00E73DF7"/>
    <w:rsid w:val="00E73E9E"/>
    <w:rsid w:val="00E74333"/>
    <w:rsid w:val="00E756C3"/>
    <w:rsid w:val="00E76449"/>
    <w:rsid w:val="00E76510"/>
    <w:rsid w:val="00E76D35"/>
    <w:rsid w:val="00E76EB6"/>
    <w:rsid w:val="00E779F4"/>
    <w:rsid w:val="00E77AFA"/>
    <w:rsid w:val="00E812C1"/>
    <w:rsid w:val="00E81660"/>
    <w:rsid w:val="00E816F8"/>
    <w:rsid w:val="00E82963"/>
    <w:rsid w:val="00E854FE"/>
    <w:rsid w:val="00E85EDE"/>
    <w:rsid w:val="00E864FB"/>
    <w:rsid w:val="00E86F39"/>
    <w:rsid w:val="00E8724C"/>
    <w:rsid w:val="00E906CC"/>
    <w:rsid w:val="00E91865"/>
    <w:rsid w:val="00E939A0"/>
    <w:rsid w:val="00E94AAF"/>
    <w:rsid w:val="00E95E9C"/>
    <w:rsid w:val="00E95F28"/>
    <w:rsid w:val="00E9708C"/>
    <w:rsid w:val="00E97187"/>
    <w:rsid w:val="00E97386"/>
    <w:rsid w:val="00E97E4E"/>
    <w:rsid w:val="00EA03F6"/>
    <w:rsid w:val="00EA076A"/>
    <w:rsid w:val="00EA17C7"/>
    <w:rsid w:val="00EA1CC2"/>
    <w:rsid w:val="00EA22CA"/>
    <w:rsid w:val="00EA2D76"/>
    <w:rsid w:val="00EA3773"/>
    <w:rsid w:val="00EA40C9"/>
    <w:rsid w:val="00EA4416"/>
    <w:rsid w:val="00EA4644"/>
    <w:rsid w:val="00EA4D80"/>
    <w:rsid w:val="00EA535B"/>
    <w:rsid w:val="00EA5821"/>
    <w:rsid w:val="00EA5CC0"/>
    <w:rsid w:val="00EA6098"/>
    <w:rsid w:val="00EA617B"/>
    <w:rsid w:val="00EA67F0"/>
    <w:rsid w:val="00EA758A"/>
    <w:rsid w:val="00EA7E65"/>
    <w:rsid w:val="00EB0192"/>
    <w:rsid w:val="00EB0884"/>
    <w:rsid w:val="00EB096F"/>
    <w:rsid w:val="00EB1448"/>
    <w:rsid w:val="00EB199F"/>
    <w:rsid w:val="00EB1AFC"/>
    <w:rsid w:val="00EB1F6D"/>
    <w:rsid w:val="00EB21A4"/>
    <w:rsid w:val="00EB26AD"/>
    <w:rsid w:val="00EB27C4"/>
    <w:rsid w:val="00EB4837"/>
    <w:rsid w:val="00EB5009"/>
    <w:rsid w:val="00EB5387"/>
    <w:rsid w:val="00EB5BAD"/>
    <w:rsid w:val="00EB5C10"/>
    <w:rsid w:val="00EB6761"/>
    <w:rsid w:val="00EB6FCA"/>
    <w:rsid w:val="00EB70F8"/>
    <w:rsid w:val="00EB7322"/>
    <w:rsid w:val="00EB7EAA"/>
    <w:rsid w:val="00EC0253"/>
    <w:rsid w:val="00EC0FE9"/>
    <w:rsid w:val="00EC1754"/>
    <w:rsid w:val="00EC193D"/>
    <w:rsid w:val="00EC198B"/>
    <w:rsid w:val="00EC284C"/>
    <w:rsid w:val="00EC2C8A"/>
    <w:rsid w:val="00EC3785"/>
    <w:rsid w:val="00EC3D28"/>
    <w:rsid w:val="00EC426D"/>
    <w:rsid w:val="00EC50ED"/>
    <w:rsid w:val="00EC571B"/>
    <w:rsid w:val="00EC57D7"/>
    <w:rsid w:val="00EC6385"/>
    <w:rsid w:val="00EC684A"/>
    <w:rsid w:val="00ED06ED"/>
    <w:rsid w:val="00ED0B3A"/>
    <w:rsid w:val="00ED1212"/>
    <w:rsid w:val="00ED1DE9"/>
    <w:rsid w:val="00ED23D4"/>
    <w:rsid w:val="00ED25C2"/>
    <w:rsid w:val="00ED281B"/>
    <w:rsid w:val="00ED2AD6"/>
    <w:rsid w:val="00ED3362"/>
    <w:rsid w:val="00ED3B3E"/>
    <w:rsid w:val="00ED462E"/>
    <w:rsid w:val="00ED4AEF"/>
    <w:rsid w:val="00ED5E0B"/>
    <w:rsid w:val="00ED6BD6"/>
    <w:rsid w:val="00ED7457"/>
    <w:rsid w:val="00EE05BC"/>
    <w:rsid w:val="00EE1829"/>
    <w:rsid w:val="00EE3735"/>
    <w:rsid w:val="00EE37B6"/>
    <w:rsid w:val="00EE39EF"/>
    <w:rsid w:val="00EE3B79"/>
    <w:rsid w:val="00EE4E00"/>
    <w:rsid w:val="00EE4E64"/>
    <w:rsid w:val="00EE5A1E"/>
    <w:rsid w:val="00EE612A"/>
    <w:rsid w:val="00EE74DD"/>
    <w:rsid w:val="00EE79CE"/>
    <w:rsid w:val="00EF0F45"/>
    <w:rsid w:val="00EF1159"/>
    <w:rsid w:val="00EF11F7"/>
    <w:rsid w:val="00EF2EBB"/>
    <w:rsid w:val="00EF5030"/>
    <w:rsid w:val="00EF549A"/>
    <w:rsid w:val="00EF7214"/>
    <w:rsid w:val="00EF7463"/>
    <w:rsid w:val="00EF746F"/>
    <w:rsid w:val="00EF7971"/>
    <w:rsid w:val="00F00119"/>
    <w:rsid w:val="00F002EF"/>
    <w:rsid w:val="00F00471"/>
    <w:rsid w:val="00F00945"/>
    <w:rsid w:val="00F01CDE"/>
    <w:rsid w:val="00F01EE9"/>
    <w:rsid w:val="00F04390"/>
    <w:rsid w:val="00F04900"/>
    <w:rsid w:val="00F065A4"/>
    <w:rsid w:val="00F0754C"/>
    <w:rsid w:val="00F07579"/>
    <w:rsid w:val="00F07631"/>
    <w:rsid w:val="00F07BDB"/>
    <w:rsid w:val="00F10818"/>
    <w:rsid w:val="00F11963"/>
    <w:rsid w:val="00F126B9"/>
    <w:rsid w:val="00F12715"/>
    <w:rsid w:val="00F144D5"/>
    <w:rsid w:val="00F146F0"/>
    <w:rsid w:val="00F15039"/>
    <w:rsid w:val="00F1593B"/>
    <w:rsid w:val="00F16329"/>
    <w:rsid w:val="00F1696F"/>
    <w:rsid w:val="00F17F86"/>
    <w:rsid w:val="00F20612"/>
    <w:rsid w:val="00F20FF3"/>
    <w:rsid w:val="00F21530"/>
    <w:rsid w:val="00F2178E"/>
    <w:rsid w:val="00F2190B"/>
    <w:rsid w:val="00F21B2F"/>
    <w:rsid w:val="00F22101"/>
    <w:rsid w:val="00F2240F"/>
    <w:rsid w:val="00F228B5"/>
    <w:rsid w:val="00F228D1"/>
    <w:rsid w:val="00F22AE2"/>
    <w:rsid w:val="00F232DE"/>
    <w:rsid w:val="00F2389C"/>
    <w:rsid w:val="00F23B43"/>
    <w:rsid w:val="00F242A1"/>
    <w:rsid w:val="00F24699"/>
    <w:rsid w:val="00F24776"/>
    <w:rsid w:val="00F257E1"/>
    <w:rsid w:val="00F25C67"/>
    <w:rsid w:val="00F2644C"/>
    <w:rsid w:val="00F27E31"/>
    <w:rsid w:val="00F3029B"/>
    <w:rsid w:val="00F30DFF"/>
    <w:rsid w:val="00F324EE"/>
    <w:rsid w:val="00F32B80"/>
    <w:rsid w:val="00F32D28"/>
    <w:rsid w:val="00F3311B"/>
    <w:rsid w:val="00F340EB"/>
    <w:rsid w:val="00F34919"/>
    <w:rsid w:val="00F34D8C"/>
    <w:rsid w:val="00F35285"/>
    <w:rsid w:val="00F3570A"/>
    <w:rsid w:val="00F35A4A"/>
    <w:rsid w:val="00F372AB"/>
    <w:rsid w:val="00F373F1"/>
    <w:rsid w:val="00F37ACF"/>
    <w:rsid w:val="00F404A5"/>
    <w:rsid w:val="00F411C9"/>
    <w:rsid w:val="00F420B6"/>
    <w:rsid w:val="00F42A8B"/>
    <w:rsid w:val="00F4373C"/>
    <w:rsid w:val="00F4374C"/>
    <w:rsid w:val="00F43B9D"/>
    <w:rsid w:val="00F44D5E"/>
    <w:rsid w:val="00F44E1B"/>
    <w:rsid w:val="00F4751D"/>
    <w:rsid w:val="00F50B29"/>
    <w:rsid w:val="00F51251"/>
    <w:rsid w:val="00F531F2"/>
    <w:rsid w:val="00F53A35"/>
    <w:rsid w:val="00F55185"/>
    <w:rsid w:val="00F5553D"/>
    <w:rsid w:val="00F558F2"/>
    <w:rsid w:val="00F55A3D"/>
    <w:rsid w:val="00F55F78"/>
    <w:rsid w:val="00F5629D"/>
    <w:rsid w:val="00F5744B"/>
    <w:rsid w:val="00F609EF"/>
    <w:rsid w:val="00F61209"/>
    <w:rsid w:val="00F613EA"/>
    <w:rsid w:val="00F619EC"/>
    <w:rsid w:val="00F6239D"/>
    <w:rsid w:val="00F6259E"/>
    <w:rsid w:val="00F63878"/>
    <w:rsid w:val="00F63F27"/>
    <w:rsid w:val="00F6528F"/>
    <w:rsid w:val="00F65DD4"/>
    <w:rsid w:val="00F65F68"/>
    <w:rsid w:val="00F66538"/>
    <w:rsid w:val="00F66DE7"/>
    <w:rsid w:val="00F6700C"/>
    <w:rsid w:val="00F672B2"/>
    <w:rsid w:val="00F672B3"/>
    <w:rsid w:val="00F67E9A"/>
    <w:rsid w:val="00F67FAA"/>
    <w:rsid w:val="00F707DD"/>
    <w:rsid w:val="00F71522"/>
    <w:rsid w:val="00F71853"/>
    <w:rsid w:val="00F74568"/>
    <w:rsid w:val="00F74879"/>
    <w:rsid w:val="00F7505A"/>
    <w:rsid w:val="00F752E2"/>
    <w:rsid w:val="00F7599B"/>
    <w:rsid w:val="00F76D77"/>
    <w:rsid w:val="00F77007"/>
    <w:rsid w:val="00F779BB"/>
    <w:rsid w:val="00F77FBA"/>
    <w:rsid w:val="00F83472"/>
    <w:rsid w:val="00F83973"/>
    <w:rsid w:val="00F83BB7"/>
    <w:rsid w:val="00F83CC1"/>
    <w:rsid w:val="00F84D6A"/>
    <w:rsid w:val="00F853C4"/>
    <w:rsid w:val="00F85A66"/>
    <w:rsid w:val="00F86902"/>
    <w:rsid w:val="00F87523"/>
    <w:rsid w:val="00F87931"/>
    <w:rsid w:val="00F87FA3"/>
    <w:rsid w:val="00F90BA9"/>
    <w:rsid w:val="00F90E4D"/>
    <w:rsid w:val="00F919A8"/>
    <w:rsid w:val="00F92693"/>
    <w:rsid w:val="00F92EAA"/>
    <w:rsid w:val="00F93CB0"/>
    <w:rsid w:val="00F93D8C"/>
    <w:rsid w:val="00F97B68"/>
    <w:rsid w:val="00F97C61"/>
    <w:rsid w:val="00F97EDB"/>
    <w:rsid w:val="00FA169A"/>
    <w:rsid w:val="00FA2589"/>
    <w:rsid w:val="00FA3102"/>
    <w:rsid w:val="00FA4201"/>
    <w:rsid w:val="00FA44FE"/>
    <w:rsid w:val="00FA48D4"/>
    <w:rsid w:val="00FA4D42"/>
    <w:rsid w:val="00FA54FA"/>
    <w:rsid w:val="00FA58CE"/>
    <w:rsid w:val="00FA64CC"/>
    <w:rsid w:val="00FA6BA2"/>
    <w:rsid w:val="00FA6D39"/>
    <w:rsid w:val="00FA74AC"/>
    <w:rsid w:val="00FB0940"/>
    <w:rsid w:val="00FB0A8D"/>
    <w:rsid w:val="00FB0D04"/>
    <w:rsid w:val="00FB227E"/>
    <w:rsid w:val="00FB2F9A"/>
    <w:rsid w:val="00FB38E4"/>
    <w:rsid w:val="00FB3ACA"/>
    <w:rsid w:val="00FB3D61"/>
    <w:rsid w:val="00FB400D"/>
    <w:rsid w:val="00FB44CE"/>
    <w:rsid w:val="00FB4F30"/>
    <w:rsid w:val="00FB5009"/>
    <w:rsid w:val="00FB5277"/>
    <w:rsid w:val="00FB58EE"/>
    <w:rsid w:val="00FB5B41"/>
    <w:rsid w:val="00FB76AB"/>
    <w:rsid w:val="00FB7CD3"/>
    <w:rsid w:val="00FC04DC"/>
    <w:rsid w:val="00FC06FC"/>
    <w:rsid w:val="00FC22BD"/>
    <w:rsid w:val="00FC24A0"/>
    <w:rsid w:val="00FC3A7B"/>
    <w:rsid w:val="00FC4F6F"/>
    <w:rsid w:val="00FC5639"/>
    <w:rsid w:val="00FC5F92"/>
    <w:rsid w:val="00FC6606"/>
    <w:rsid w:val="00FC6D63"/>
    <w:rsid w:val="00FC6DD1"/>
    <w:rsid w:val="00FC7453"/>
    <w:rsid w:val="00FC7AA3"/>
    <w:rsid w:val="00FD020D"/>
    <w:rsid w:val="00FD03FE"/>
    <w:rsid w:val="00FD126E"/>
    <w:rsid w:val="00FD151A"/>
    <w:rsid w:val="00FD2A22"/>
    <w:rsid w:val="00FD2CB9"/>
    <w:rsid w:val="00FD372A"/>
    <w:rsid w:val="00FD3C36"/>
    <w:rsid w:val="00FD3E6F"/>
    <w:rsid w:val="00FD4310"/>
    <w:rsid w:val="00FD46BA"/>
    <w:rsid w:val="00FD4A1F"/>
    <w:rsid w:val="00FD4D81"/>
    <w:rsid w:val="00FD512C"/>
    <w:rsid w:val="00FD5175"/>
    <w:rsid w:val="00FD540D"/>
    <w:rsid w:val="00FD5D75"/>
    <w:rsid w:val="00FD7498"/>
    <w:rsid w:val="00FD79C8"/>
    <w:rsid w:val="00FD7FB3"/>
    <w:rsid w:val="00FE2677"/>
    <w:rsid w:val="00FE4016"/>
    <w:rsid w:val="00FE4475"/>
    <w:rsid w:val="00FE4713"/>
    <w:rsid w:val="00FE4E00"/>
    <w:rsid w:val="00FE65A3"/>
    <w:rsid w:val="00FE6691"/>
    <w:rsid w:val="00FE6F79"/>
    <w:rsid w:val="00FE79BD"/>
    <w:rsid w:val="00FF1241"/>
    <w:rsid w:val="00FF1312"/>
    <w:rsid w:val="00FF1F44"/>
    <w:rsid w:val="00FF225E"/>
    <w:rsid w:val="00FF22DC"/>
    <w:rsid w:val="00FF31ED"/>
    <w:rsid w:val="00FF4FFF"/>
    <w:rsid w:val="00FF5147"/>
    <w:rsid w:val="00FF5297"/>
    <w:rsid w:val="00FF5DEA"/>
    <w:rsid w:val="00FF6496"/>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FB7AE0"/>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1085"/>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14"/>
      </w:numPr>
      <w:spacing w:after="240"/>
      <w:contextualSpacing/>
    </w:pPr>
  </w:style>
  <w:style w:type="paragraph" w:styleId="FootnoteText">
    <w:name w:val="footnote text"/>
    <w:basedOn w:val="Normal"/>
    <w:link w:val="FootnoteTextChar"/>
    <w:autoRedefine/>
    <w:rsid w:val="00E62359"/>
    <w:pPr>
      <w:ind w:left="284" w:hanging="284"/>
    </w:pPr>
    <w:rPr>
      <w:sz w:val="22"/>
      <w:szCs w:val="20"/>
    </w:rPr>
  </w:style>
  <w:style w:type="character" w:customStyle="1" w:styleId="FootnoteTextChar">
    <w:name w:val="Footnote Text Char"/>
    <w:basedOn w:val="DefaultParagraphFont"/>
    <w:link w:val="FootnoteText"/>
    <w:rsid w:val="00E62359"/>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Hyperlink">
    <w:name w:val="Hyperlink"/>
    <w:basedOn w:val="DefaultParagraphFont"/>
    <w:unhideWhenUsed/>
    <w:rsid w:val="00021085"/>
    <w:rPr>
      <w:color w:val="0000FF" w:themeColor="hyperlink"/>
      <w:u w:val="single"/>
    </w:rPr>
  </w:style>
  <w:style w:type="table" w:styleId="TableGrid">
    <w:name w:val="Table Grid"/>
    <w:basedOn w:val="TableNormal"/>
    <w:uiPriority w:val="39"/>
    <w:rsid w:val="00021085"/>
    <w:rPr>
      <w:rFonts w:ascii="Helvetica" w:eastAsiaTheme="majorEastAsia" w:hAnsi="Helvetica" w:cstheme="maj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emiHidden/>
    <w:unhideWhenUsed/>
    <w:rsid w:val="00021085"/>
  </w:style>
  <w:style w:type="character" w:styleId="CommentReference">
    <w:name w:val="annotation reference"/>
    <w:basedOn w:val="DefaultParagraphFont"/>
    <w:semiHidden/>
    <w:unhideWhenUsed/>
    <w:rsid w:val="00021085"/>
    <w:rPr>
      <w:sz w:val="16"/>
      <w:szCs w:val="16"/>
    </w:rPr>
  </w:style>
  <w:style w:type="paragraph" w:styleId="CommentText">
    <w:name w:val="annotation text"/>
    <w:basedOn w:val="Normal"/>
    <w:link w:val="CommentTextChar"/>
    <w:semiHidden/>
    <w:unhideWhenUsed/>
    <w:rsid w:val="00021085"/>
    <w:pPr>
      <w:spacing w:line="240" w:lineRule="auto"/>
    </w:pPr>
    <w:rPr>
      <w:sz w:val="20"/>
      <w:szCs w:val="20"/>
    </w:rPr>
  </w:style>
  <w:style w:type="character" w:customStyle="1" w:styleId="CommentTextChar">
    <w:name w:val="Comment Text Char"/>
    <w:basedOn w:val="DefaultParagraphFont"/>
    <w:link w:val="CommentText"/>
    <w:semiHidden/>
    <w:rsid w:val="00021085"/>
  </w:style>
  <w:style w:type="paragraph" w:styleId="CommentSubject">
    <w:name w:val="annotation subject"/>
    <w:basedOn w:val="CommentText"/>
    <w:next w:val="CommentText"/>
    <w:link w:val="CommentSubjectChar"/>
    <w:semiHidden/>
    <w:unhideWhenUsed/>
    <w:rsid w:val="00FD372A"/>
    <w:rPr>
      <w:b/>
      <w:bCs/>
    </w:rPr>
  </w:style>
  <w:style w:type="character" w:customStyle="1" w:styleId="CommentSubjectChar">
    <w:name w:val="Comment Subject Char"/>
    <w:basedOn w:val="CommentTextChar"/>
    <w:link w:val="CommentSubject"/>
    <w:semiHidden/>
    <w:rsid w:val="00FD372A"/>
    <w:rPr>
      <w:b/>
      <w:bCs/>
    </w:rPr>
  </w:style>
  <w:style w:type="character" w:styleId="FollowedHyperlink">
    <w:name w:val="FollowedHyperlink"/>
    <w:basedOn w:val="DefaultParagraphFont"/>
    <w:semiHidden/>
    <w:unhideWhenUsed/>
    <w:rsid w:val="00A863D2"/>
    <w:rPr>
      <w:color w:val="800080" w:themeColor="followedHyperlink"/>
      <w:u w:val="single"/>
    </w:rPr>
  </w:style>
  <w:style w:type="character" w:styleId="UnresolvedMention">
    <w:name w:val="Unresolved Mention"/>
    <w:basedOn w:val="DefaultParagraphFont"/>
    <w:uiPriority w:val="99"/>
    <w:semiHidden/>
    <w:unhideWhenUsed/>
    <w:rsid w:val="0016596D"/>
    <w:rPr>
      <w:color w:val="605E5C"/>
      <w:shd w:val="clear" w:color="auto" w:fill="E1DFDD"/>
    </w:rPr>
  </w:style>
  <w:style w:type="paragraph" w:styleId="Revision">
    <w:name w:val="Revision"/>
    <w:hidden/>
    <w:semiHidden/>
    <w:rsid w:val="00091C6F"/>
    <w:rPr>
      <w:sz w:val="24"/>
      <w:szCs w:val="24"/>
    </w:rPr>
  </w:style>
  <w:style w:type="paragraph" w:styleId="NormalWeb">
    <w:name w:val="Normal (Web)"/>
    <w:basedOn w:val="Normal"/>
    <w:uiPriority w:val="99"/>
    <w:semiHidden/>
    <w:unhideWhenUsed/>
    <w:rsid w:val="000B1332"/>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 w:id="1874074975">
      <w:bodyDiv w:val="1"/>
      <w:marLeft w:val="0"/>
      <w:marRight w:val="0"/>
      <w:marTop w:val="0"/>
      <w:marBottom w:val="0"/>
      <w:divBdr>
        <w:top w:val="none" w:sz="0" w:space="0" w:color="auto"/>
        <w:left w:val="none" w:sz="0" w:space="0" w:color="auto"/>
        <w:bottom w:val="none" w:sz="0" w:space="0" w:color="auto"/>
        <w:right w:val="none" w:sz="0" w:space="0" w:color="auto"/>
      </w:divBdr>
      <w:divsChild>
        <w:div w:id="1444962881">
          <w:marLeft w:val="0"/>
          <w:marRight w:val="0"/>
          <w:marTop w:val="0"/>
          <w:marBottom w:val="0"/>
          <w:divBdr>
            <w:top w:val="none" w:sz="0" w:space="0" w:color="auto"/>
            <w:left w:val="none" w:sz="0" w:space="0" w:color="auto"/>
            <w:bottom w:val="none" w:sz="0" w:space="0" w:color="auto"/>
            <w:right w:val="none" w:sz="0" w:space="0" w:color="auto"/>
          </w:divBdr>
          <w:divsChild>
            <w:div w:id="1153570009">
              <w:marLeft w:val="0"/>
              <w:marRight w:val="0"/>
              <w:marTop w:val="0"/>
              <w:marBottom w:val="0"/>
              <w:divBdr>
                <w:top w:val="none" w:sz="0" w:space="0" w:color="auto"/>
                <w:left w:val="none" w:sz="0" w:space="0" w:color="auto"/>
                <w:bottom w:val="none" w:sz="0" w:space="0" w:color="auto"/>
                <w:right w:val="none" w:sz="0" w:space="0" w:color="auto"/>
              </w:divBdr>
              <w:divsChild>
                <w:div w:id="3577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80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jc283@cam.ac.uk" TargetMode="Externa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7863/CAM.61487"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7863/CAM.61487"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8" Type="http://schemas.openxmlformats.org/officeDocument/2006/relationships/hyperlink" Target="https://doi.org/10.7910/DVN/TI0KAU" TargetMode="External"/><Relationship Id="rId13" Type="http://schemas.openxmlformats.org/officeDocument/2006/relationships/hyperlink" Target="http://bilder.manuscripta-mediaevalia.de/gaeste//grotefend/grotefend.htm" TargetMode="External"/><Relationship Id="rId3" Type="http://schemas.openxmlformats.org/officeDocument/2006/relationships/hyperlink" Target="https://gephi.org/publications/gephi-bastian-feb09.pdf" TargetMode="External"/><Relationship Id="rId7" Type="http://schemas.openxmlformats.org/officeDocument/2006/relationships/hyperlink" Target="http://www.altwege.de/kaiser-pfalzen/home-pfalzen.html?Pfalzen=K%F6nigspfalzen" TargetMode="External"/><Relationship Id="rId12" Type="http://schemas.openxmlformats.org/officeDocument/2006/relationships/hyperlink" Target="https://doi.org/10.1371/journal.pone.0098679" TargetMode="External"/><Relationship Id="rId2" Type="http://schemas.openxmlformats.org/officeDocument/2006/relationships/hyperlink" Target="https://manuscripta.at/_scripts/php/cat2pdf.php?cat=INN2&amp;ID=7768" TargetMode="External"/><Relationship Id="rId1" Type="http://schemas.openxmlformats.org/officeDocument/2006/relationships/hyperlink" Target="https://www.wubonline.de/" TargetMode="External"/><Relationship Id="rId6" Type="http://schemas.openxmlformats.org/officeDocument/2006/relationships/hyperlink" Target="https://www.leo-bw.de/media/kgl_atlas/current/delivered/pdf/HABW_10_1.pdf" TargetMode="External"/><Relationship Id="rId11" Type="http://schemas.openxmlformats.org/officeDocument/2006/relationships/hyperlink" Target="https://www.leo-bw.de/detail-gis/-/Detail/details/DOKUMENT/kgl_atlas/HABW_05_04/Besitz+der+Staufer+%28bis+1250%29" TargetMode="External"/><Relationship Id="rId5" Type="http://schemas.openxmlformats.org/officeDocument/2006/relationships/hyperlink" Target="https://www.arcanum.hu/hu/online-kiadvanyok/OsterreichischerStadtatlas-osterreichischer-stadteatlas-1/lienz-2C9A/" TargetMode="External"/><Relationship Id="rId10" Type="http://schemas.openxmlformats.org/officeDocument/2006/relationships/hyperlink" Target="https://www.deutsche-biographie.de/" TargetMode="External"/><Relationship Id="rId4" Type="http://schemas.openxmlformats.org/officeDocument/2006/relationships/hyperlink" Target="https://www.google.com/maps/@47.3618117,10.6937371,8.42z/data=!5m1!1e4" TargetMode="External"/><Relationship Id="rId9" Type="http://schemas.openxmlformats.org/officeDocument/2006/relationships/hyperlink" Target="https://digital.tessmann.it/tessmannDigital/Buch/2252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ttcoulter/Library/Group%20Containers/UBF8T346G9.Office/User%20Content.localized/Templates.localized/Journal%20of%20Medieval%20Histor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2914E-4C3A-4163-A6C9-332A453E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Journal of Medieval History.dotx</Template>
  <TotalTime>2207</TotalTime>
  <Pages>48</Pages>
  <Words>9613</Words>
  <Characters>54796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TF_Template_Word_Windows_2016</vt:lpstr>
    </vt:vector>
  </TitlesOfParts>
  <Manager/>
  <Company/>
  <LinksUpToDate>false</LinksUpToDate>
  <CharactersWithSpaces>64281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TF_Template_Word_Windows_2016</dc:title>
  <dc:creator/>
  <cp:lastModifiedBy/>
  <cp:revision>2101</cp:revision>
  <cp:lastPrinted>2021-03-04T17:21:00Z</cp:lastPrinted>
  <dcterms:created xsi:type="dcterms:W3CDTF">2021-03-04T12:08:00Z</dcterms:created>
  <dcterms:modified xsi:type="dcterms:W3CDTF">2021-12-15T12:39:00Z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zotero-version="5.0.96.1"&gt;&lt;session id="kiI2f51y"/&gt;&lt;style id="" hasBibliography="0" bibliographyStyleHasBeenSet="0"/&gt;&lt;prefs/&gt;&lt;/data&gt;</vt:lpwstr>
  </property>
</Properties>
</file>