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271729" w14:textId="77777777" w:rsidR="003B40A2" w:rsidRPr="00764457" w:rsidRDefault="003B40A2" w:rsidP="003B40A2">
      <w:pPr>
        <w:adjustRightInd w:val="0"/>
        <w:snapToGrid w:val="0"/>
        <w:rPr>
          <w:rFonts w:ascii="Arial" w:eastAsia="Times New Roman" w:hAnsi="Arial" w:cs="Arial"/>
          <w:b/>
          <w:bCs/>
          <w:iCs/>
          <w:color w:val="000000"/>
          <w:lang w:val="en-GB" w:eastAsia="de-DE" w:bidi="en-US"/>
        </w:rPr>
      </w:pPr>
      <w:r w:rsidRPr="00764457">
        <w:rPr>
          <w:rFonts w:ascii="Arial" w:eastAsia="Times New Roman" w:hAnsi="Arial" w:cs="Arial"/>
          <w:b/>
          <w:bCs/>
          <w:color w:val="000000"/>
          <w:shd w:val="clear" w:color="auto" w:fill="FFFFFF"/>
          <w:lang w:val="en-GB" w:eastAsia="de-DE" w:bidi="en-US"/>
        </w:rPr>
        <w:t>T</w:t>
      </w:r>
      <w:r>
        <w:rPr>
          <w:rFonts w:ascii="Arial" w:eastAsia="Times New Roman" w:hAnsi="Arial" w:cs="Arial"/>
          <w:b/>
          <w:bCs/>
          <w:color w:val="000000"/>
          <w:shd w:val="clear" w:color="auto" w:fill="FFFFFF"/>
          <w:lang w:val="en-GB" w:eastAsia="de-DE" w:bidi="en-US"/>
        </w:rPr>
        <w:t xml:space="preserve">itle: </w:t>
      </w:r>
      <w:r w:rsidRPr="00764457">
        <w:rPr>
          <w:rFonts w:ascii="Arial" w:eastAsia="Times New Roman" w:hAnsi="Arial" w:cs="Arial"/>
          <w:b/>
          <w:bCs/>
          <w:color w:val="000000"/>
          <w:shd w:val="clear" w:color="auto" w:fill="FFFFFF"/>
          <w:lang w:val="en-GB" w:eastAsia="de-DE" w:bidi="en-US"/>
        </w:rPr>
        <w:t xml:space="preserve">The best type of inoculum for testing the antifungal drug susceptibility of </w:t>
      </w:r>
      <w:r w:rsidRPr="00764457">
        <w:rPr>
          <w:rFonts w:ascii="Arial" w:eastAsia="Times New Roman" w:hAnsi="Arial" w:cs="Arial"/>
          <w:b/>
          <w:bCs/>
          <w:i/>
          <w:iCs/>
          <w:color w:val="000000"/>
          <w:lang w:val="en-GB" w:eastAsia="de-DE" w:bidi="en-US"/>
        </w:rPr>
        <w:t xml:space="preserve">Microsporum canis: in vivo and in vitro </w:t>
      </w:r>
      <w:r w:rsidRPr="00764457">
        <w:rPr>
          <w:rFonts w:ascii="Arial" w:eastAsia="Times New Roman" w:hAnsi="Arial" w:cs="Arial"/>
          <w:b/>
          <w:bCs/>
          <w:iCs/>
          <w:color w:val="000000"/>
          <w:lang w:val="en-GB" w:eastAsia="de-DE" w:bidi="en-US"/>
        </w:rPr>
        <w:t>results</w:t>
      </w:r>
    </w:p>
    <w:p w14:paraId="18B02A15" w14:textId="77777777" w:rsidR="003B40A2" w:rsidRPr="00CB6DC2" w:rsidRDefault="003B40A2" w:rsidP="003B40A2">
      <w:pPr>
        <w:adjustRightInd w:val="0"/>
        <w:snapToGrid w:val="0"/>
        <w:rPr>
          <w:rFonts w:ascii="Arial" w:eastAsia="Cambria" w:hAnsi="Arial" w:cs="Arial"/>
          <w:b/>
          <w:bCs/>
          <w:shd w:val="clear" w:color="auto" w:fill="FFFFFF"/>
          <w:lang w:val="en-US"/>
        </w:rPr>
      </w:pPr>
      <w:r w:rsidRPr="00CB6DC2">
        <w:rPr>
          <w:rFonts w:ascii="Arial" w:eastAsia="Times New Roman" w:hAnsi="Arial" w:cs="Arial"/>
          <w:b/>
          <w:bCs/>
          <w:iCs/>
          <w:color w:val="000000"/>
          <w:lang w:val="en-GB" w:eastAsia="de-DE" w:bidi="en-US"/>
        </w:rPr>
        <w:t>Short title: The</w:t>
      </w:r>
      <w:r w:rsidRPr="00CB6DC2">
        <w:rPr>
          <w:rFonts w:ascii="Arial" w:eastAsia="Times New Roman" w:hAnsi="Arial" w:cs="Arial"/>
          <w:b/>
          <w:bCs/>
          <w:i/>
          <w:iCs/>
          <w:color w:val="000000"/>
          <w:lang w:val="en-GB" w:eastAsia="de-DE" w:bidi="en-US"/>
        </w:rPr>
        <w:t xml:space="preserve"> </w:t>
      </w:r>
      <w:r w:rsidRPr="00CB6DC2">
        <w:rPr>
          <w:rFonts w:ascii="Arial" w:eastAsia="Times New Roman" w:hAnsi="Arial" w:cs="Arial"/>
          <w:b/>
          <w:bCs/>
          <w:color w:val="000000"/>
          <w:shd w:val="clear" w:color="auto" w:fill="FFFFFF"/>
          <w:lang w:val="en-GB" w:eastAsia="de-DE" w:bidi="en-US"/>
        </w:rPr>
        <w:t xml:space="preserve">antifungal drug susceptibility of </w:t>
      </w:r>
      <w:r w:rsidRPr="00CB6DC2">
        <w:rPr>
          <w:rFonts w:ascii="Arial" w:eastAsia="Times New Roman" w:hAnsi="Arial" w:cs="Arial"/>
          <w:b/>
          <w:bCs/>
          <w:i/>
          <w:iCs/>
          <w:color w:val="000000"/>
          <w:lang w:val="en-GB" w:eastAsia="de-DE" w:bidi="en-US"/>
        </w:rPr>
        <w:t>Microsporum canis</w:t>
      </w:r>
      <w:r w:rsidRPr="00CB6DC2">
        <w:rPr>
          <w:rFonts w:ascii="Arial" w:eastAsia="Times New Roman" w:hAnsi="Arial" w:cs="Arial"/>
          <w:b/>
          <w:bCs/>
          <w:color w:val="000000"/>
          <w:shd w:val="clear" w:color="auto" w:fill="FFFFFF"/>
          <w:lang w:val="en-GB" w:eastAsia="de-DE" w:bidi="en-US"/>
        </w:rPr>
        <w:t xml:space="preserve">: </w:t>
      </w:r>
      <w:r w:rsidRPr="00CB6DC2">
        <w:rPr>
          <w:rFonts w:ascii="Arial" w:eastAsia="Times New Roman" w:hAnsi="Arial" w:cs="Arial"/>
          <w:b/>
          <w:bCs/>
          <w:lang w:val="en-GB"/>
        </w:rPr>
        <w:t xml:space="preserve">clinical outcomes and </w:t>
      </w:r>
      <w:r w:rsidRPr="00CB6DC2">
        <w:rPr>
          <w:rFonts w:ascii="Arial" w:eastAsia="Times New Roman" w:hAnsi="Arial" w:cs="Arial"/>
          <w:b/>
          <w:bCs/>
          <w:i/>
          <w:lang w:val="en-GB"/>
        </w:rPr>
        <w:t>in vitro</w:t>
      </w:r>
      <w:r w:rsidRPr="00CB6DC2">
        <w:rPr>
          <w:rFonts w:ascii="Arial" w:eastAsia="Times New Roman" w:hAnsi="Arial" w:cs="Arial"/>
          <w:b/>
          <w:bCs/>
          <w:lang w:val="en-GB"/>
        </w:rPr>
        <w:t xml:space="preserve"> results</w:t>
      </w:r>
    </w:p>
    <w:p w14:paraId="394B2538" w14:textId="37E7DFEA" w:rsidR="003B40A2" w:rsidRPr="00DF12E5" w:rsidRDefault="003B40A2" w:rsidP="003B40A2">
      <w:pPr>
        <w:rPr>
          <w:rFonts w:ascii="Arial" w:eastAsia="Times New Roman" w:hAnsi="Arial" w:cs="Arial"/>
          <w:shd w:val="clear" w:color="auto" w:fill="FFFFFF"/>
        </w:rPr>
      </w:pPr>
      <w:r w:rsidRPr="00DF12E5">
        <w:rPr>
          <w:rFonts w:ascii="Arial" w:eastAsia="Times New Roman" w:hAnsi="Arial" w:cs="Arial"/>
          <w:shd w:val="clear" w:color="auto" w:fill="FFFFFF"/>
        </w:rPr>
        <w:t>Chioma I</w:t>
      </w:r>
      <w:r w:rsidR="00AE69E9">
        <w:rPr>
          <w:rFonts w:ascii="Arial" w:eastAsia="Times New Roman" w:hAnsi="Arial" w:cs="Arial"/>
          <w:shd w:val="clear" w:color="auto" w:fill="FFFFFF"/>
        </w:rPr>
        <w:t>nyang</w:t>
      </w:r>
      <w:r>
        <w:rPr>
          <w:rFonts w:ascii="Arial" w:eastAsia="Times New Roman" w:hAnsi="Arial" w:cs="Arial"/>
          <w:shd w:val="clear" w:color="auto" w:fill="FFFFFF"/>
        </w:rPr>
        <w:t xml:space="preserve"> </w:t>
      </w:r>
      <w:r w:rsidRPr="002D5173">
        <w:rPr>
          <w:rFonts w:ascii="Arial" w:eastAsia="Times New Roman" w:hAnsi="Arial" w:cs="Arial"/>
          <w:shd w:val="clear" w:color="auto" w:fill="FFFFFF"/>
        </w:rPr>
        <w:t>Aneke</w:t>
      </w:r>
      <w:r>
        <w:rPr>
          <w:rFonts w:ascii="Arial" w:eastAsia="Times New Roman" w:hAnsi="Arial" w:cs="Arial"/>
          <w:shd w:val="clear" w:color="auto" w:fill="FFFFFF"/>
        </w:rPr>
        <w:t>§‡</w:t>
      </w:r>
      <w:r w:rsidRPr="00DF12E5">
        <w:rPr>
          <w:rFonts w:ascii="Arial" w:eastAsia="Times New Roman" w:hAnsi="Arial" w:cs="Arial"/>
          <w:shd w:val="clear" w:color="auto" w:fill="FFFFFF"/>
        </w:rPr>
        <w:t>, Wafa Rhimi</w:t>
      </w:r>
      <w:r>
        <w:rPr>
          <w:rFonts w:ascii="Arial" w:eastAsia="Times New Roman" w:hAnsi="Arial" w:cs="Arial"/>
          <w:shd w:val="clear" w:color="auto" w:fill="FFFFFF"/>
        </w:rPr>
        <w:t>§,</w:t>
      </w:r>
      <w:r w:rsidRPr="00DF12E5">
        <w:rPr>
          <w:rFonts w:ascii="Arial" w:eastAsia="Times New Roman" w:hAnsi="Arial" w:cs="Arial"/>
          <w:shd w:val="clear" w:color="auto" w:fill="FFFFFF"/>
        </w:rPr>
        <w:t xml:space="preserve"> </w:t>
      </w:r>
      <w:r w:rsidRPr="002D5173">
        <w:rPr>
          <w:rFonts w:ascii="Arial" w:eastAsia="Times New Roman" w:hAnsi="Arial" w:cs="Arial"/>
          <w:shd w:val="clear" w:color="auto" w:fill="FFFFFF"/>
        </w:rPr>
        <w:t>Claudia</w:t>
      </w:r>
      <w:r w:rsidRPr="008A12E3">
        <w:rPr>
          <w:rFonts w:ascii="Arial" w:eastAsia="Times New Roman" w:hAnsi="Arial" w:cs="Arial"/>
          <w:shd w:val="clear" w:color="auto" w:fill="FFFFFF"/>
        </w:rPr>
        <w:t xml:space="preserve"> </w:t>
      </w:r>
      <w:r w:rsidRPr="00DF12E5">
        <w:rPr>
          <w:rFonts w:ascii="Arial" w:eastAsia="Times New Roman" w:hAnsi="Arial" w:cs="Arial"/>
          <w:shd w:val="clear" w:color="auto" w:fill="FFFFFF"/>
        </w:rPr>
        <w:t>Pellicoro</w:t>
      </w:r>
      <w:r w:rsidRPr="00DF12E5">
        <w:rPr>
          <w:rFonts w:ascii="Calibri (Body)" w:eastAsia="Times New Roman" w:hAnsi="Calibri (Body)" w:cs="Arial" w:hint="eastAsia"/>
          <w:shd w:val="clear" w:color="auto" w:fill="FFFFFF"/>
        </w:rPr>
        <w:t>†</w:t>
      </w:r>
      <w:r w:rsidRPr="00DF12E5">
        <w:rPr>
          <w:rFonts w:ascii="Arial" w:eastAsia="Times New Roman" w:hAnsi="Arial" w:cs="Arial"/>
          <w:shd w:val="clear" w:color="auto" w:fill="FFFFFF"/>
        </w:rPr>
        <w:t xml:space="preserve">, </w:t>
      </w:r>
      <w:r w:rsidRPr="002D5173">
        <w:rPr>
          <w:rFonts w:ascii="Arial" w:eastAsia="Times New Roman" w:hAnsi="Arial" w:cs="Arial"/>
          <w:shd w:val="clear" w:color="auto" w:fill="FFFFFF"/>
        </w:rPr>
        <w:t>Cinzia</w:t>
      </w:r>
      <w:r>
        <w:rPr>
          <w:rFonts w:ascii="Arial" w:eastAsia="Times New Roman" w:hAnsi="Arial" w:cs="Arial"/>
          <w:shd w:val="clear" w:color="auto" w:fill="FFFFFF"/>
        </w:rPr>
        <w:t xml:space="preserve"> </w:t>
      </w:r>
      <w:r w:rsidRPr="00DF12E5">
        <w:rPr>
          <w:rFonts w:ascii="Arial" w:eastAsia="Times New Roman" w:hAnsi="Arial" w:cs="Arial"/>
          <w:shd w:val="clear" w:color="auto" w:fill="FFFFFF"/>
        </w:rPr>
        <w:t>Cantacessi</w:t>
      </w:r>
      <w:r w:rsidRPr="002D5173">
        <w:rPr>
          <w:rFonts w:ascii="Calibri (Body)" w:eastAsia="Times New Roman" w:hAnsi="Calibri (Body)" w:cs="Arial"/>
          <w:shd w:val="clear" w:color="auto" w:fill="FFFFFF"/>
        </w:rPr>
        <w:t>¶¶</w:t>
      </w:r>
      <w:r w:rsidRPr="00DF12E5">
        <w:rPr>
          <w:rFonts w:ascii="Arial" w:eastAsia="Times New Roman" w:hAnsi="Arial" w:cs="Arial"/>
          <w:shd w:val="clear" w:color="auto" w:fill="FFFFFF"/>
        </w:rPr>
        <w:t xml:space="preserve">, </w:t>
      </w:r>
      <w:r w:rsidRPr="002D5173">
        <w:rPr>
          <w:rFonts w:ascii="Arial" w:eastAsia="Times New Roman" w:hAnsi="Arial" w:cs="Arial"/>
          <w:shd w:val="clear" w:color="auto" w:fill="FFFFFF"/>
        </w:rPr>
        <w:t>Domenico</w:t>
      </w:r>
      <w:r>
        <w:rPr>
          <w:rFonts w:ascii="Arial" w:eastAsia="Times New Roman" w:hAnsi="Arial" w:cs="Arial"/>
          <w:shd w:val="clear" w:color="auto" w:fill="FFFFFF"/>
        </w:rPr>
        <w:t xml:space="preserve"> </w:t>
      </w:r>
      <w:r w:rsidRPr="00DF12E5">
        <w:rPr>
          <w:rFonts w:ascii="Arial" w:eastAsia="Times New Roman" w:hAnsi="Arial" w:cs="Arial"/>
          <w:shd w:val="clear" w:color="auto" w:fill="FFFFFF"/>
        </w:rPr>
        <w:t>Otranto</w:t>
      </w:r>
      <w:r>
        <w:rPr>
          <w:rFonts w:ascii="Arial" w:eastAsia="Times New Roman" w:hAnsi="Arial" w:cs="Arial"/>
          <w:shd w:val="clear" w:color="auto" w:fill="FFFFFF"/>
        </w:rPr>
        <w:t>§</w:t>
      </w:r>
      <w:r w:rsidRPr="00DF12E5">
        <w:rPr>
          <w:rFonts w:ascii="Arial" w:eastAsia="Times New Roman" w:hAnsi="Arial" w:cs="Arial"/>
          <w:shd w:val="clear" w:color="auto" w:fill="FFFFFF"/>
        </w:rPr>
        <w:t xml:space="preserve">, </w:t>
      </w:r>
      <w:r w:rsidRPr="002D5173">
        <w:rPr>
          <w:rFonts w:ascii="Arial" w:eastAsia="Times New Roman" w:hAnsi="Arial" w:cs="Arial"/>
          <w:shd w:val="clear" w:color="auto" w:fill="FFFFFF"/>
        </w:rPr>
        <w:t>Claudia</w:t>
      </w:r>
      <w:r>
        <w:rPr>
          <w:rFonts w:ascii="Arial" w:eastAsia="Times New Roman" w:hAnsi="Arial" w:cs="Arial"/>
          <w:shd w:val="clear" w:color="auto" w:fill="FFFFFF"/>
        </w:rPr>
        <w:t xml:space="preserve"> </w:t>
      </w:r>
      <w:r w:rsidRPr="00DF12E5">
        <w:rPr>
          <w:rFonts w:ascii="Arial" w:eastAsia="Times New Roman" w:hAnsi="Arial" w:cs="Arial"/>
          <w:shd w:val="clear" w:color="auto" w:fill="FFFFFF"/>
        </w:rPr>
        <w:t xml:space="preserve">Cafarchia </w:t>
      </w:r>
      <w:r>
        <w:rPr>
          <w:rFonts w:ascii="Arial" w:eastAsia="Times New Roman" w:hAnsi="Arial" w:cs="Arial"/>
          <w:shd w:val="clear" w:color="auto" w:fill="FFFFFF"/>
        </w:rPr>
        <w:t>§*</w:t>
      </w:r>
    </w:p>
    <w:p w14:paraId="12DFBB06" w14:textId="77777777" w:rsidR="003B40A2" w:rsidRPr="00DF12E5" w:rsidRDefault="003B40A2" w:rsidP="003B40A2">
      <w:pPr>
        <w:adjustRightInd w:val="0"/>
        <w:snapToGrid w:val="0"/>
        <w:rPr>
          <w:rFonts w:ascii="Arial" w:eastAsia="Times New Roman" w:hAnsi="Arial" w:cs="Arial"/>
          <w:color w:val="000000"/>
          <w:lang w:eastAsia="de-DE" w:bidi="en-US"/>
        </w:rPr>
      </w:pPr>
      <w:r>
        <w:rPr>
          <w:rFonts w:ascii="Arial" w:eastAsia="Times New Roman" w:hAnsi="Arial" w:cs="Arial"/>
          <w:shd w:val="clear" w:color="auto" w:fill="FFFFFF"/>
        </w:rPr>
        <w:t xml:space="preserve">§ </w:t>
      </w:r>
      <w:r w:rsidRPr="00DF12E5">
        <w:rPr>
          <w:rFonts w:ascii="Arial" w:eastAsia="Cambria" w:hAnsi="Arial" w:cs="Arial"/>
          <w:shd w:val="clear" w:color="auto" w:fill="FFFFFF"/>
        </w:rPr>
        <w:t xml:space="preserve">Dipartimento di Medicina Veterinaria, </w:t>
      </w:r>
      <w:bookmarkStart w:id="0" w:name="OLE_LINK96"/>
      <w:bookmarkStart w:id="1" w:name="OLE_LINK97"/>
      <w:r w:rsidRPr="00DF12E5">
        <w:rPr>
          <w:rFonts w:ascii="Arial" w:eastAsia="Cambria" w:hAnsi="Arial" w:cs="Arial"/>
          <w:shd w:val="clear" w:color="auto" w:fill="FFFFFF"/>
        </w:rPr>
        <w:t>Università degli Studi “Aldo Moro”, 70010, Valenzano (Bari), Italy</w:t>
      </w:r>
      <w:bookmarkEnd w:id="0"/>
      <w:bookmarkEnd w:id="1"/>
      <w:r w:rsidRPr="00DF12E5">
        <w:rPr>
          <w:rFonts w:ascii="Arial" w:eastAsia="Cambria" w:hAnsi="Arial" w:cs="Arial"/>
          <w:shd w:val="clear" w:color="auto" w:fill="FFFFFF"/>
        </w:rPr>
        <w:t>.</w:t>
      </w:r>
      <w:r w:rsidRPr="00DF12E5">
        <w:rPr>
          <w:rFonts w:ascii="Arial" w:eastAsia="Times New Roman" w:hAnsi="Arial" w:cs="Arial"/>
          <w:color w:val="000000"/>
          <w:lang w:eastAsia="de-DE" w:bidi="en-US"/>
        </w:rPr>
        <w:t xml:space="preserve"> </w:t>
      </w:r>
    </w:p>
    <w:p w14:paraId="2C169B50" w14:textId="77777777" w:rsidR="003B40A2" w:rsidRPr="00DF12E5" w:rsidRDefault="003B40A2" w:rsidP="003B40A2">
      <w:pPr>
        <w:adjustRightInd w:val="0"/>
        <w:snapToGrid w:val="0"/>
        <w:rPr>
          <w:rFonts w:ascii="Arial" w:eastAsia="Cambria" w:hAnsi="Arial" w:cs="Arial"/>
          <w:shd w:val="clear" w:color="auto" w:fill="FFFFFF"/>
          <w:lang w:val="en-US"/>
        </w:rPr>
      </w:pPr>
      <w:r w:rsidRPr="00DF12E5">
        <w:rPr>
          <w:rFonts w:ascii="Arial" w:eastAsia="Times New Roman" w:hAnsi="Arial" w:cs="Arial"/>
          <w:shd w:val="clear" w:color="auto" w:fill="FFFFFF"/>
          <w:lang w:val="en-US"/>
        </w:rPr>
        <w:t xml:space="preserve">‡ </w:t>
      </w:r>
      <w:r w:rsidRPr="00DF12E5">
        <w:rPr>
          <w:rFonts w:ascii="Arial" w:eastAsia="Cambria" w:hAnsi="Arial" w:cs="Arial"/>
          <w:shd w:val="clear" w:color="auto" w:fill="FFFFFF"/>
          <w:lang w:val="en-US"/>
        </w:rPr>
        <w:t xml:space="preserve">Department of Veterinary Pathology and Microbiology, </w:t>
      </w:r>
      <w:bookmarkStart w:id="2" w:name="OLE_LINK98"/>
      <w:bookmarkStart w:id="3" w:name="OLE_LINK99"/>
      <w:r w:rsidRPr="00DF12E5">
        <w:rPr>
          <w:rFonts w:ascii="Arial" w:eastAsia="Cambria" w:hAnsi="Arial" w:cs="Arial"/>
          <w:shd w:val="clear" w:color="auto" w:fill="FFFFFF"/>
          <w:lang w:val="en-US"/>
        </w:rPr>
        <w:t>University of Nigeria, Nsukka</w:t>
      </w:r>
      <w:bookmarkEnd w:id="2"/>
      <w:bookmarkEnd w:id="3"/>
      <w:r w:rsidRPr="00DF12E5">
        <w:rPr>
          <w:rFonts w:ascii="Arial" w:eastAsia="Cambria" w:hAnsi="Arial" w:cs="Arial"/>
          <w:shd w:val="clear" w:color="auto" w:fill="FFFFFF"/>
          <w:lang w:val="en-US"/>
        </w:rPr>
        <w:t xml:space="preserve"> 410001, Nigeria.</w:t>
      </w:r>
    </w:p>
    <w:p w14:paraId="7A51267F" w14:textId="77777777" w:rsidR="003B40A2" w:rsidRPr="00DF12E5" w:rsidRDefault="003B40A2" w:rsidP="003B40A2">
      <w:pPr>
        <w:adjustRightInd w:val="0"/>
        <w:snapToGrid w:val="0"/>
        <w:rPr>
          <w:rFonts w:ascii="Arial" w:eastAsia="Cambria" w:hAnsi="Arial" w:cs="Arial"/>
          <w:shd w:val="clear" w:color="auto" w:fill="FFFFFF"/>
          <w:lang w:val="en-US"/>
        </w:rPr>
      </w:pPr>
      <w:r w:rsidRPr="00DF12E5">
        <w:rPr>
          <w:rFonts w:ascii="Calibri (Body)" w:eastAsia="Times New Roman" w:hAnsi="Calibri (Body)" w:cs="Arial" w:hint="eastAsia"/>
          <w:shd w:val="clear" w:color="auto" w:fill="FFFFFF"/>
          <w:lang w:val="en-US"/>
        </w:rPr>
        <w:t>¶¶</w:t>
      </w:r>
      <w:r w:rsidRPr="00DF12E5">
        <w:rPr>
          <w:rFonts w:ascii="Arial" w:eastAsia="Cambria" w:hAnsi="Arial" w:cs="Arial"/>
          <w:shd w:val="clear" w:color="auto" w:fill="FFFFFF"/>
          <w:lang w:val="en-US"/>
        </w:rPr>
        <w:t>Department of Veterinary Medicine, University of Cambridge, Cambridge CB3 0ES, United Kingdom.</w:t>
      </w:r>
    </w:p>
    <w:p w14:paraId="163EDF8F" w14:textId="77777777" w:rsidR="003B40A2" w:rsidRPr="00DF12E5" w:rsidRDefault="003B40A2" w:rsidP="003B40A2">
      <w:pPr>
        <w:shd w:val="clear" w:color="auto" w:fill="FFFFFF"/>
        <w:tabs>
          <w:tab w:val="left" w:pos="9000"/>
        </w:tabs>
        <w:rPr>
          <w:rFonts w:ascii="Arial" w:eastAsia="Times New Roman" w:hAnsi="Arial" w:cs="Arial"/>
          <w:color w:val="000000"/>
          <w:lang w:val="en-US"/>
        </w:rPr>
      </w:pPr>
      <w:r w:rsidRPr="00DF12E5">
        <w:rPr>
          <w:rFonts w:ascii="Arial" w:eastAsia="Cambria" w:hAnsi="Arial" w:cs="Arial"/>
          <w:shd w:val="clear" w:color="auto" w:fill="FFFFFF"/>
          <w:lang w:val="en-GB"/>
        </w:rPr>
        <w:t>*</w:t>
      </w:r>
      <w:r w:rsidRPr="00DF12E5">
        <w:rPr>
          <w:rFonts w:ascii="Arial" w:eastAsia="Times New Roman" w:hAnsi="Arial" w:cs="Arial"/>
          <w:shd w:val="clear" w:color="auto" w:fill="FFFFFF"/>
          <w:vertAlign w:val="superscript"/>
          <w:lang w:val="en-US"/>
        </w:rPr>
        <w:t xml:space="preserve"> </w:t>
      </w:r>
      <w:r w:rsidRPr="00DF12E5">
        <w:rPr>
          <w:rFonts w:ascii="Arial" w:eastAsia="Times New Roman" w:hAnsi="Arial" w:cs="Arial"/>
          <w:shd w:val="clear" w:color="auto" w:fill="FFFFFF"/>
          <w:lang w:val="en-US"/>
        </w:rPr>
        <w:t>Address for</w:t>
      </w:r>
      <w:r w:rsidRPr="00DF12E5">
        <w:rPr>
          <w:rFonts w:ascii="Arial" w:eastAsia="Times New Roman" w:hAnsi="Arial" w:cs="Arial"/>
          <w:shd w:val="clear" w:color="auto" w:fill="FFFFFF"/>
          <w:vertAlign w:val="superscript"/>
          <w:lang w:val="en-US"/>
        </w:rPr>
        <w:t xml:space="preserve"> </w:t>
      </w:r>
      <w:r w:rsidRPr="00DF12E5">
        <w:rPr>
          <w:rFonts w:ascii="Arial" w:eastAsia="Cambria" w:hAnsi="Arial" w:cs="Arial"/>
          <w:shd w:val="clear" w:color="auto" w:fill="FFFFFF"/>
          <w:lang w:val="en-GB"/>
        </w:rPr>
        <w:t xml:space="preserve">Correspondence to Claudia Cafarchia: </w:t>
      </w:r>
      <w:hyperlink r:id="rId7" w:history="1">
        <w:r w:rsidRPr="00DF12E5">
          <w:rPr>
            <w:rFonts w:ascii="Arial" w:eastAsia="Cambria" w:hAnsi="Arial" w:cs="Arial"/>
            <w:color w:val="0563C1"/>
            <w:u w:val="single"/>
            <w:shd w:val="clear" w:color="auto" w:fill="FFFFFF"/>
            <w:lang w:val="en-GB"/>
          </w:rPr>
          <w:t>claudia.cafarchia@uniba.it</w:t>
        </w:r>
      </w:hyperlink>
      <w:r w:rsidRPr="00DF12E5">
        <w:rPr>
          <w:rFonts w:ascii="Arial" w:eastAsia="Cambria" w:hAnsi="Arial" w:cs="Arial"/>
          <w:color w:val="0563C1"/>
          <w:u w:val="single"/>
          <w:shd w:val="clear" w:color="auto" w:fill="FFFFFF"/>
          <w:lang w:val="en-GB"/>
        </w:rPr>
        <w:t xml:space="preserve">, </w:t>
      </w:r>
      <w:r w:rsidRPr="00DF12E5">
        <w:rPr>
          <w:rFonts w:ascii="Arial" w:eastAsia="Times New Roman" w:hAnsi="Arial" w:cs="Arial"/>
          <w:lang w:val="en-GB"/>
        </w:rPr>
        <w:t>Tel.:080-4679834: +39-3385257824</w:t>
      </w:r>
    </w:p>
    <w:p w14:paraId="05132986" w14:textId="77777777" w:rsidR="003B40A2" w:rsidRDefault="003B40A2" w:rsidP="003B40A2">
      <w:pPr>
        <w:rPr>
          <w:rFonts w:ascii="Arial" w:eastAsia="Times New Roman" w:hAnsi="Arial" w:cs="Arial"/>
          <w:b/>
          <w:bCs/>
          <w:lang w:val="en-GB"/>
        </w:rPr>
      </w:pPr>
      <w:r w:rsidRPr="00564D08">
        <w:rPr>
          <w:rFonts w:ascii="Arial" w:eastAsia="Times New Roman" w:hAnsi="Arial" w:cs="Arial"/>
          <w:b/>
          <w:bCs/>
          <w:lang w:val="en-GB"/>
        </w:rPr>
        <w:t>Author contributions</w:t>
      </w:r>
    </w:p>
    <w:p w14:paraId="4B2CB27A" w14:textId="77777777" w:rsidR="003B40A2" w:rsidRPr="008550A4" w:rsidRDefault="003B40A2" w:rsidP="003B40A2">
      <w:pPr>
        <w:rPr>
          <w:rFonts w:ascii="Arial" w:eastAsia="Times New Roman" w:hAnsi="Arial" w:cs="Arial"/>
          <w:b/>
          <w:bCs/>
          <w:lang w:val="en-GB"/>
        </w:rPr>
      </w:pPr>
      <w:r w:rsidRPr="002D5173">
        <w:rPr>
          <w:rFonts w:ascii="Arial" w:eastAsia="Times New Roman" w:hAnsi="Arial" w:cs="Arial"/>
          <w:snapToGrid w:val="0"/>
          <w:color w:val="000000"/>
          <w:lang w:val="en-US" w:eastAsia="de-DE" w:bidi="en-US"/>
        </w:rPr>
        <w:t>C.C</w:t>
      </w:r>
      <w:r w:rsidRPr="002D5173">
        <w:rPr>
          <w:rFonts w:ascii="Arial" w:eastAsia="Times New Roman" w:hAnsi="Arial" w:cs="Arial"/>
          <w:snapToGrid w:val="0"/>
          <w:color w:val="000000"/>
          <w:lang w:val="en-GB" w:eastAsia="de-DE" w:bidi="en-US"/>
        </w:rPr>
        <w:t xml:space="preserve"> </w:t>
      </w:r>
      <w:r>
        <w:rPr>
          <w:rFonts w:ascii="Arial" w:eastAsia="Times New Roman" w:hAnsi="Arial" w:cs="Arial"/>
          <w:snapToGrid w:val="0"/>
          <w:color w:val="000000"/>
          <w:lang w:val="en-GB" w:eastAsia="de-DE" w:bidi="en-US"/>
        </w:rPr>
        <w:t xml:space="preserve">and </w:t>
      </w:r>
      <w:r w:rsidRPr="002D5173">
        <w:rPr>
          <w:rFonts w:ascii="Arial" w:eastAsia="Times New Roman" w:hAnsi="Arial" w:cs="Arial"/>
          <w:snapToGrid w:val="0"/>
          <w:color w:val="000000"/>
          <w:lang w:val="en-US" w:eastAsia="de-DE" w:bidi="en-US"/>
        </w:rPr>
        <w:t xml:space="preserve">A.C.I </w:t>
      </w:r>
      <w:r w:rsidRPr="002D5173">
        <w:rPr>
          <w:rFonts w:ascii="Arial" w:eastAsia="Times New Roman" w:hAnsi="Arial" w:cs="Arial"/>
          <w:snapToGrid w:val="0"/>
          <w:color w:val="000000"/>
          <w:lang w:val="en-GB" w:eastAsia="de-DE" w:bidi="en-US"/>
        </w:rPr>
        <w:t>conceptualised the study and</w:t>
      </w:r>
      <w:r w:rsidRPr="002D5173">
        <w:rPr>
          <w:rFonts w:ascii="Arial" w:eastAsia="Times New Roman" w:hAnsi="Arial" w:cs="Arial"/>
          <w:snapToGrid w:val="0"/>
          <w:color w:val="000000"/>
          <w:lang w:val="en-US" w:eastAsia="de-DE" w:bidi="en-US"/>
        </w:rPr>
        <w:t xml:space="preserve"> wrote the manuscript. P.C. performed the clinical evaluation of animals and collected the samples. W.R., A.C.I and C.C performed the experimental trial. C.C </w:t>
      </w:r>
      <w:r w:rsidRPr="002D5173">
        <w:rPr>
          <w:rFonts w:ascii="Arial" w:eastAsia="Times New Roman" w:hAnsi="Arial" w:cs="Arial"/>
          <w:snapToGrid w:val="0"/>
          <w:color w:val="000000"/>
          <w:lang w:val="en-GB" w:eastAsia="de-DE" w:bidi="en-US"/>
        </w:rPr>
        <w:t xml:space="preserve">contributed to interpretation of the study data. </w:t>
      </w:r>
      <w:r w:rsidRPr="002D5173">
        <w:rPr>
          <w:rFonts w:ascii="Arial" w:eastAsia="Times New Roman" w:hAnsi="Arial" w:cs="Arial"/>
          <w:snapToGrid w:val="0"/>
          <w:color w:val="000000"/>
          <w:lang w:val="en-US" w:eastAsia="de-DE" w:bidi="en-US"/>
        </w:rPr>
        <w:t>C.C, C. Cz and D.O revised, edited and made intellectual inputs in the manuscript</w:t>
      </w:r>
      <w:r>
        <w:rPr>
          <w:rFonts w:ascii="Arial" w:eastAsia="Times New Roman" w:hAnsi="Arial" w:cs="Arial"/>
          <w:snapToGrid w:val="0"/>
          <w:color w:val="000000"/>
          <w:lang w:val="en-US" w:eastAsia="de-DE" w:bidi="en-US"/>
        </w:rPr>
        <w:t>.</w:t>
      </w:r>
      <w:r w:rsidRPr="00564D08">
        <w:rPr>
          <w:rFonts w:ascii="Arial" w:eastAsia="Times New Roman" w:hAnsi="Arial" w:cs="Arial"/>
          <w:snapToGrid w:val="0"/>
          <w:color w:val="000000"/>
          <w:lang w:val="en-US" w:eastAsia="de-DE" w:bidi="en-US"/>
        </w:rPr>
        <w:t xml:space="preserve"> All authors have read,</w:t>
      </w:r>
      <w:r>
        <w:rPr>
          <w:rFonts w:ascii="Arial" w:eastAsia="Times New Roman" w:hAnsi="Arial" w:cs="Arial"/>
          <w:snapToGrid w:val="0"/>
          <w:color w:val="000000"/>
          <w:lang w:val="en-US" w:eastAsia="de-DE" w:bidi="en-US"/>
        </w:rPr>
        <w:t xml:space="preserve"> </w:t>
      </w:r>
      <w:r w:rsidRPr="00564D08">
        <w:rPr>
          <w:rFonts w:ascii="Arial" w:eastAsia="Times New Roman" w:hAnsi="Arial" w:cs="Arial"/>
          <w:snapToGrid w:val="0"/>
          <w:color w:val="000000"/>
          <w:lang w:val="en-US" w:eastAsia="de-DE" w:bidi="en-US"/>
        </w:rPr>
        <w:t>revised and approved the final version of manuscript.</w:t>
      </w:r>
    </w:p>
    <w:p w14:paraId="0CC7C006" w14:textId="77777777" w:rsidR="003B40A2" w:rsidRDefault="003B40A2" w:rsidP="003B40A2">
      <w:pPr>
        <w:adjustRightInd w:val="0"/>
        <w:snapToGrid w:val="0"/>
        <w:rPr>
          <w:rFonts w:ascii="Arial" w:eastAsia="Times New Roman" w:hAnsi="Arial" w:cs="Arial"/>
          <w:color w:val="000000"/>
          <w:shd w:val="clear" w:color="auto" w:fill="FFFFFF"/>
          <w:lang w:val="en-US" w:eastAsia="de-DE" w:bidi="en-US"/>
        </w:rPr>
      </w:pPr>
      <w:r w:rsidRPr="00764457">
        <w:rPr>
          <w:rFonts w:ascii="Arial" w:eastAsia="Times New Roman" w:hAnsi="Arial" w:cs="Arial"/>
          <w:b/>
          <w:bCs/>
          <w:color w:val="000000"/>
          <w:shd w:val="clear" w:color="auto" w:fill="FFFFFF"/>
          <w:lang w:val="en-US" w:eastAsia="de-DE" w:bidi="en-US"/>
        </w:rPr>
        <w:t>Funding</w:t>
      </w:r>
    </w:p>
    <w:p w14:paraId="661E6784" w14:textId="77777777" w:rsidR="003B40A2" w:rsidRPr="004B07F3" w:rsidRDefault="003B40A2" w:rsidP="003B40A2">
      <w:pPr>
        <w:adjustRightInd w:val="0"/>
        <w:snapToGrid w:val="0"/>
        <w:rPr>
          <w:rFonts w:ascii="Arial" w:eastAsia="Times New Roman" w:hAnsi="Arial" w:cs="Arial"/>
          <w:color w:val="000000"/>
          <w:shd w:val="clear" w:color="auto" w:fill="FFFFFF"/>
          <w:lang w:val="en-US" w:eastAsia="de-DE" w:bidi="en-US"/>
        </w:rPr>
      </w:pPr>
      <w:r w:rsidRPr="004B07F3">
        <w:rPr>
          <w:rFonts w:ascii="Arial" w:eastAsia="Times New Roman" w:hAnsi="Arial" w:cs="Arial"/>
          <w:color w:val="000000"/>
          <w:shd w:val="clear" w:color="auto" w:fill="FFFFFF"/>
          <w:lang w:val="en-US" w:eastAsia="de-DE" w:bidi="en-US"/>
        </w:rPr>
        <w:t>This research received no external funding</w:t>
      </w:r>
    </w:p>
    <w:p w14:paraId="37761BC7" w14:textId="77777777" w:rsidR="003B40A2" w:rsidRPr="00764457" w:rsidRDefault="003B40A2" w:rsidP="003B40A2">
      <w:pPr>
        <w:adjustRightInd w:val="0"/>
        <w:snapToGrid w:val="0"/>
        <w:rPr>
          <w:rFonts w:ascii="Arial" w:eastAsia="Times New Roman" w:hAnsi="Arial" w:cs="Arial"/>
          <w:color w:val="000000"/>
          <w:shd w:val="clear" w:color="auto" w:fill="FFFFFF"/>
          <w:lang w:val="en-GB" w:eastAsia="de-DE" w:bidi="en-US"/>
        </w:rPr>
      </w:pPr>
      <w:r w:rsidRPr="00764457">
        <w:rPr>
          <w:rFonts w:ascii="Arial" w:eastAsia="Times New Roman" w:hAnsi="Arial" w:cs="Arial"/>
          <w:b/>
          <w:bCs/>
          <w:color w:val="000000"/>
          <w:shd w:val="clear" w:color="auto" w:fill="FFFFFF"/>
          <w:lang w:val="en-US" w:eastAsia="de-DE" w:bidi="en-US"/>
        </w:rPr>
        <w:t>Conflict of interests</w:t>
      </w:r>
      <w:r w:rsidRPr="00764457">
        <w:rPr>
          <w:rFonts w:ascii="Arial" w:eastAsia="Times New Roman" w:hAnsi="Arial" w:cs="Arial"/>
          <w:color w:val="000000"/>
          <w:shd w:val="clear" w:color="auto" w:fill="FFFFFF"/>
          <w:lang w:val="en-GB" w:eastAsia="de-DE" w:bidi="en-US"/>
        </w:rPr>
        <w:t xml:space="preserve"> </w:t>
      </w:r>
    </w:p>
    <w:p w14:paraId="2DBD2D24" w14:textId="0617DC4A" w:rsidR="00697B24" w:rsidRDefault="003B40A2" w:rsidP="003B40A2">
      <w:pPr>
        <w:adjustRightInd w:val="0"/>
        <w:snapToGrid w:val="0"/>
        <w:rPr>
          <w:rFonts w:ascii="Arial" w:eastAsia="Times New Roman" w:hAnsi="Arial" w:cs="Arial"/>
          <w:color w:val="000000"/>
          <w:shd w:val="clear" w:color="auto" w:fill="FFFFFF"/>
          <w:lang w:val="en-GB" w:eastAsia="de-DE" w:bidi="en-US"/>
        </w:rPr>
      </w:pPr>
      <w:r w:rsidRPr="004B07F3">
        <w:rPr>
          <w:rFonts w:ascii="Arial" w:eastAsia="Times New Roman" w:hAnsi="Arial" w:cs="Arial"/>
          <w:color w:val="000000"/>
          <w:shd w:val="clear" w:color="auto" w:fill="FFFFFF"/>
          <w:lang w:val="en-GB" w:eastAsia="de-DE" w:bidi="en-US"/>
        </w:rPr>
        <w:t>The authors declare no conflict of interest.</w:t>
      </w:r>
    </w:p>
    <w:p w14:paraId="5C6AA892" w14:textId="77777777" w:rsidR="003B40A2" w:rsidRPr="003B40A2" w:rsidRDefault="003B40A2" w:rsidP="003B40A2">
      <w:pPr>
        <w:adjustRightInd w:val="0"/>
        <w:snapToGrid w:val="0"/>
        <w:rPr>
          <w:rFonts w:ascii="Arial" w:eastAsia="Times New Roman" w:hAnsi="Arial" w:cs="Arial"/>
          <w:color w:val="000000"/>
          <w:shd w:val="clear" w:color="auto" w:fill="FFFFFF"/>
          <w:lang w:val="en-GB" w:eastAsia="de-DE" w:bidi="en-US"/>
        </w:rPr>
      </w:pPr>
    </w:p>
    <w:p w14:paraId="53C6089F" w14:textId="746D8E22" w:rsidR="00476DF3" w:rsidRPr="00BE5BCE" w:rsidRDefault="00476DF3" w:rsidP="00BE5BCE">
      <w:pPr>
        <w:adjustRightInd w:val="0"/>
        <w:snapToGrid w:val="0"/>
        <w:jc w:val="both"/>
        <w:rPr>
          <w:rFonts w:ascii="Arial" w:eastAsia="Times New Roman" w:hAnsi="Arial" w:cs="Arial"/>
          <w:b/>
          <w:bCs/>
          <w:color w:val="000000"/>
          <w:shd w:val="clear" w:color="auto" w:fill="FFFFFF"/>
          <w:lang w:val="en-GB" w:eastAsia="de-DE" w:bidi="en-US"/>
        </w:rPr>
      </w:pPr>
      <w:r w:rsidRPr="00764457">
        <w:rPr>
          <w:rFonts w:ascii="Arial" w:eastAsia="Times New Roman" w:hAnsi="Arial" w:cs="Arial"/>
          <w:b/>
          <w:bCs/>
          <w:color w:val="000000"/>
          <w:shd w:val="clear" w:color="auto" w:fill="FFFFFF"/>
          <w:lang w:val="en-GB" w:eastAsia="de-DE" w:bidi="en-US"/>
        </w:rPr>
        <w:t xml:space="preserve">ABSTRACT </w:t>
      </w:r>
    </w:p>
    <w:p w14:paraId="2EE0E12E" w14:textId="79A859FB" w:rsidR="00797D76" w:rsidRPr="00797D76" w:rsidRDefault="00797D76" w:rsidP="00D22377">
      <w:pPr>
        <w:jc w:val="both"/>
        <w:rPr>
          <w:rFonts w:ascii="Arial" w:eastAsia="Times New Roman" w:hAnsi="Arial" w:cs="Arial"/>
          <w:b/>
          <w:bCs/>
          <w:lang w:val="en-GB"/>
        </w:rPr>
      </w:pPr>
      <w:r w:rsidRPr="00797D76">
        <w:rPr>
          <w:rFonts w:ascii="Arial" w:eastAsia="Times New Roman" w:hAnsi="Arial" w:cs="Arial"/>
          <w:b/>
          <w:bCs/>
          <w:lang w:val="en-GB"/>
        </w:rPr>
        <w:t>Background</w:t>
      </w:r>
    </w:p>
    <w:p w14:paraId="2299F5E2" w14:textId="24E495A9" w:rsidR="00797D76" w:rsidRDefault="00CC0AA4" w:rsidP="00D22377">
      <w:pPr>
        <w:jc w:val="both"/>
        <w:rPr>
          <w:rFonts w:ascii="Arial" w:eastAsia="Times New Roman" w:hAnsi="Arial" w:cs="Arial"/>
          <w:lang w:val="en-GB"/>
        </w:rPr>
      </w:pPr>
      <w:r>
        <w:rPr>
          <w:rFonts w:ascii="Arial" w:eastAsia="Times New Roman" w:hAnsi="Arial" w:cs="Arial"/>
          <w:lang w:val="en-GB"/>
        </w:rPr>
        <w:t>D</w:t>
      </w:r>
      <w:r w:rsidR="00476DF3" w:rsidRPr="00DF12E5">
        <w:rPr>
          <w:rFonts w:ascii="Arial" w:eastAsia="Times New Roman" w:hAnsi="Arial" w:cs="Arial"/>
          <w:lang w:val="en-GB"/>
        </w:rPr>
        <w:t xml:space="preserve">ata correlating </w:t>
      </w:r>
      <w:r w:rsidR="00476DF3" w:rsidRPr="00DF12E5">
        <w:rPr>
          <w:rFonts w:ascii="Arial" w:eastAsia="Times New Roman" w:hAnsi="Arial" w:cs="Arial"/>
          <w:i/>
          <w:iCs/>
          <w:lang w:val="en-GB"/>
        </w:rPr>
        <w:t>in vitro</w:t>
      </w:r>
      <w:r w:rsidR="00476DF3">
        <w:rPr>
          <w:rFonts w:ascii="Arial" w:eastAsia="Times New Roman" w:hAnsi="Arial" w:cs="Arial"/>
          <w:lang w:val="en-GB"/>
        </w:rPr>
        <w:t xml:space="preserve"> drug </w:t>
      </w:r>
      <w:r w:rsidR="00476DF3" w:rsidRPr="00DF12E5">
        <w:rPr>
          <w:rFonts w:ascii="Arial" w:eastAsia="Times New Roman" w:hAnsi="Arial" w:cs="Arial"/>
          <w:lang w:val="en-GB"/>
        </w:rPr>
        <w:t xml:space="preserve">susceptibility </w:t>
      </w:r>
      <w:r>
        <w:rPr>
          <w:rFonts w:ascii="Arial" w:eastAsia="Times New Roman" w:hAnsi="Arial" w:cs="Arial"/>
          <w:lang w:val="en-GB"/>
        </w:rPr>
        <w:t xml:space="preserve">of </w:t>
      </w:r>
      <w:r w:rsidRPr="00CC0AA4">
        <w:rPr>
          <w:rFonts w:ascii="Arial" w:eastAsia="Times New Roman" w:hAnsi="Arial" w:cs="Arial"/>
          <w:i/>
          <w:lang w:val="en-GB"/>
        </w:rPr>
        <w:t>M</w:t>
      </w:r>
      <w:r>
        <w:rPr>
          <w:rFonts w:ascii="Arial" w:eastAsia="Times New Roman" w:hAnsi="Arial" w:cs="Arial"/>
          <w:i/>
          <w:lang w:val="en-GB"/>
        </w:rPr>
        <w:t xml:space="preserve">icrosporum </w:t>
      </w:r>
      <w:r w:rsidRPr="00CC0AA4">
        <w:rPr>
          <w:rFonts w:ascii="Arial" w:eastAsia="Times New Roman" w:hAnsi="Arial" w:cs="Arial"/>
          <w:i/>
          <w:lang w:val="en-GB"/>
        </w:rPr>
        <w:t>canis</w:t>
      </w:r>
      <w:r>
        <w:rPr>
          <w:rFonts w:ascii="Arial" w:eastAsia="Times New Roman" w:hAnsi="Arial" w:cs="Arial"/>
          <w:lang w:val="en-GB"/>
        </w:rPr>
        <w:t xml:space="preserve"> </w:t>
      </w:r>
      <w:r w:rsidR="00476DF3" w:rsidRPr="00DF12E5">
        <w:rPr>
          <w:rFonts w:ascii="Arial" w:eastAsia="Times New Roman" w:hAnsi="Arial" w:cs="Arial"/>
          <w:lang w:val="en-GB"/>
        </w:rPr>
        <w:t>with clinical outcomes</w:t>
      </w:r>
      <w:r>
        <w:rPr>
          <w:rFonts w:ascii="Arial" w:eastAsia="Times New Roman" w:hAnsi="Arial" w:cs="Arial"/>
          <w:lang w:val="en-GB"/>
        </w:rPr>
        <w:t xml:space="preserve"> of its infections </w:t>
      </w:r>
      <w:r w:rsidRPr="00DF12E5">
        <w:rPr>
          <w:rFonts w:ascii="Arial" w:eastAsia="Times New Roman" w:hAnsi="Arial" w:cs="Arial"/>
          <w:lang w:val="en-GB"/>
        </w:rPr>
        <w:t>are lacking</w:t>
      </w:r>
      <w:r>
        <w:rPr>
          <w:rFonts w:ascii="Arial" w:eastAsia="Times New Roman" w:hAnsi="Arial" w:cs="Arial"/>
          <w:lang w:val="en-GB"/>
        </w:rPr>
        <w:t xml:space="preserve"> as well as</w:t>
      </w:r>
      <w:r w:rsidR="00476DF3">
        <w:rPr>
          <w:rFonts w:ascii="Arial" w:eastAsia="Times New Roman" w:hAnsi="Arial" w:cs="Arial"/>
          <w:lang w:val="en-GB"/>
        </w:rPr>
        <w:t xml:space="preserve"> </w:t>
      </w:r>
      <w:r w:rsidR="00476DF3" w:rsidRPr="00DF12E5">
        <w:rPr>
          <w:rFonts w:ascii="Arial" w:eastAsia="Times New Roman" w:hAnsi="Arial" w:cs="Arial"/>
          <w:lang w:val="en-GB"/>
        </w:rPr>
        <w:t>the most suitable inoculum and incubation time in broth microdilution assays.</w:t>
      </w:r>
    </w:p>
    <w:p w14:paraId="6F45A21C" w14:textId="43C347B5" w:rsidR="00476DF3" w:rsidRPr="00797D76" w:rsidRDefault="0095071D" w:rsidP="00D22377">
      <w:pPr>
        <w:jc w:val="both"/>
        <w:rPr>
          <w:rFonts w:ascii="Arial" w:eastAsia="Times New Roman" w:hAnsi="Arial" w:cs="Arial"/>
          <w:b/>
          <w:bCs/>
          <w:shd w:val="clear" w:color="auto" w:fill="FFFFFF"/>
          <w:lang w:val="en-GB"/>
        </w:rPr>
      </w:pPr>
      <w:r>
        <w:rPr>
          <w:rFonts w:ascii="Arial" w:eastAsia="Times New Roman" w:hAnsi="Arial" w:cs="Arial"/>
          <w:b/>
          <w:bCs/>
          <w:shd w:val="clear" w:color="auto" w:fill="FFFFFF"/>
          <w:lang w:val="en-GB"/>
        </w:rPr>
        <w:t xml:space="preserve">Objectives and </w:t>
      </w:r>
      <w:r w:rsidR="00797D76" w:rsidRPr="00797D76">
        <w:rPr>
          <w:rFonts w:ascii="Arial" w:eastAsia="Times New Roman" w:hAnsi="Arial" w:cs="Arial"/>
          <w:b/>
          <w:bCs/>
          <w:shd w:val="clear" w:color="auto" w:fill="FFFFFF"/>
          <w:lang w:val="en-GB"/>
        </w:rPr>
        <w:t>Methods</w:t>
      </w:r>
    </w:p>
    <w:p w14:paraId="36C203B9" w14:textId="2DE4930A" w:rsidR="0000046B" w:rsidRDefault="00476DF3" w:rsidP="00D22377">
      <w:pPr>
        <w:jc w:val="both"/>
        <w:rPr>
          <w:rFonts w:ascii="Arial" w:eastAsia="Times New Roman" w:hAnsi="Arial" w:cs="Arial"/>
          <w:shd w:val="clear" w:color="auto" w:fill="FFFFFF"/>
          <w:lang w:val="en-GB"/>
        </w:rPr>
      </w:pPr>
      <w:r w:rsidRPr="00DF12E5">
        <w:rPr>
          <w:rFonts w:ascii="Arial" w:eastAsia="Times New Roman" w:hAnsi="Arial" w:cs="Arial"/>
          <w:i/>
          <w:iCs/>
          <w:shd w:val="clear" w:color="auto" w:fill="FFFFFF"/>
          <w:lang w:val="en-GB"/>
        </w:rPr>
        <w:t>M. canis</w:t>
      </w:r>
      <w:r w:rsidRPr="00DF12E5">
        <w:rPr>
          <w:rFonts w:ascii="Arial" w:eastAsia="Times New Roman" w:hAnsi="Arial" w:cs="Arial"/>
          <w:shd w:val="clear" w:color="auto" w:fill="FFFFFF"/>
          <w:lang w:val="en-GB"/>
        </w:rPr>
        <w:t xml:space="preserve"> strains were collected from animal hosts that tested positive (Group I; n=13) and negative (Group II; n=14) to this pathogen following itraconazole (ITC) therapy.</w:t>
      </w:r>
      <w:r w:rsidR="00DE73E8">
        <w:rPr>
          <w:rFonts w:ascii="Arial" w:eastAsia="Times New Roman" w:hAnsi="Arial" w:cs="Arial"/>
          <w:shd w:val="clear" w:color="auto" w:fill="FFFFFF"/>
          <w:lang w:val="en-GB"/>
        </w:rPr>
        <w:t xml:space="preserve"> </w:t>
      </w:r>
      <w:r w:rsidR="00DE73E8">
        <w:rPr>
          <w:rFonts w:ascii="Arial" w:eastAsia="Times New Roman" w:hAnsi="Arial" w:cs="Arial"/>
          <w:i/>
          <w:iCs/>
          <w:color w:val="292526"/>
          <w:lang w:val="en-GB"/>
        </w:rPr>
        <w:t>I</w:t>
      </w:r>
      <w:r w:rsidR="00BD2DB4" w:rsidRPr="001A6473">
        <w:rPr>
          <w:rFonts w:ascii="Arial" w:eastAsia="Times New Roman" w:hAnsi="Arial" w:cs="Arial"/>
          <w:i/>
          <w:iCs/>
          <w:color w:val="292526"/>
          <w:lang w:val="en-GB"/>
        </w:rPr>
        <w:t>n vitro</w:t>
      </w:r>
      <w:r w:rsidR="00BD2DB4" w:rsidRPr="001A6473">
        <w:rPr>
          <w:rFonts w:ascii="Arial" w:eastAsia="Times New Roman" w:hAnsi="Arial" w:cs="Arial"/>
          <w:color w:val="292526"/>
          <w:lang w:val="en-GB"/>
        </w:rPr>
        <w:t xml:space="preserve"> ITC susceptibility was</w:t>
      </w:r>
      <w:r w:rsidR="00BF78C7">
        <w:rPr>
          <w:rFonts w:ascii="Arial" w:eastAsia="Times New Roman" w:hAnsi="Arial" w:cs="Arial"/>
          <w:color w:val="292526"/>
          <w:lang w:val="en-GB"/>
        </w:rPr>
        <w:t xml:space="preserve"> </w:t>
      </w:r>
      <w:r w:rsidR="00BD2DB4" w:rsidRPr="001A6473">
        <w:rPr>
          <w:rFonts w:ascii="Arial" w:eastAsia="Times New Roman" w:hAnsi="Arial" w:cs="Arial"/>
          <w:color w:val="292526"/>
          <w:lang w:val="en-GB"/>
        </w:rPr>
        <w:t>assessed</w:t>
      </w:r>
      <w:r w:rsidR="00DE73E8">
        <w:rPr>
          <w:rFonts w:ascii="Arial" w:eastAsia="Times New Roman" w:hAnsi="Arial" w:cs="Arial"/>
          <w:color w:val="292526"/>
          <w:lang w:val="en-GB"/>
        </w:rPr>
        <w:t xml:space="preserve"> according to the</w:t>
      </w:r>
      <w:r w:rsidR="00DE73E8" w:rsidRPr="00DE73E8">
        <w:rPr>
          <w:rFonts w:ascii="Arial" w:eastAsia="Times New Roman" w:hAnsi="Arial" w:cs="Arial"/>
          <w:shd w:val="clear" w:color="auto" w:fill="FFFFFF"/>
          <w:lang w:val="en-GB"/>
        </w:rPr>
        <w:t xml:space="preserve"> </w:t>
      </w:r>
      <w:r w:rsidR="00DE73E8" w:rsidRPr="00AF5877">
        <w:rPr>
          <w:rFonts w:ascii="Arial" w:eastAsia="Times New Roman" w:hAnsi="Arial" w:cs="Arial"/>
          <w:shd w:val="clear" w:color="auto" w:fill="FFFFFF"/>
          <w:lang w:val="en-GB"/>
        </w:rPr>
        <w:t>Clinical Laboratory Standards Institute (CLSI M38-A2) methodology</w:t>
      </w:r>
      <w:r w:rsidR="00BD2DB4" w:rsidRPr="001A6473">
        <w:rPr>
          <w:rFonts w:ascii="Arial" w:eastAsia="Times New Roman" w:hAnsi="Arial" w:cs="Arial"/>
          <w:color w:val="292526"/>
          <w:lang w:val="en-GB"/>
        </w:rPr>
        <w:t xml:space="preserve"> using </w:t>
      </w:r>
      <w:r w:rsidR="00BD2DB4" w:rsidRPr="001A6473">
        <w:rPr>
          <w:rFonts w:ascii="Arial" w:eastAsia="Times New Roman" w:hAnsi="Arial" w:cs="Arial"/>
          <w:shd w:val="clear" w:color="auto" w:fill="FFFFFF"/>
          <w:lang w:val="en-GB"/>
        </w:rPr>
        <w:t>conidia, hypha-conidia and arthroconidia at 3 and 7 days of incubation in order to assess the</w:t>
      </w:r>
      <w:r w:rsidR="00BD2DB4" w:rsidRPr="001A6473">
        <w:rPr>
          <w:rFonts w:ascii="Arial" w:eastAsia="Times New Roman" w:hAnsi="Arial" w:cs="Arial"/>
          <w:lang w:val="en-GB"/>
        </w:rPr>
        <w:t xml:space="preserve"> most suitable inoculum and incubation tim</w:t>
      </w:r>
      <w:r w:rsidR="00DE73E8">
        <w:rPr>
          <w:rFonts w:ascii="Arial" w:eastAsia="Times New Roman" w:hAnsi="Arial" w:cs="Arial"/>
          <w:lang w:val="en-GB"/>
        </w:rPr>
        <w:t>e</w:t>
      </w:r>
      <w:r w:rsidR="00BE5BCE">
        <w:rPr>
          <w:rFonts w:ascii="Arial" w:eastAsia="Times New Roman" w:hAnsi="Arial" w:cs="Arial"/>
          <w:lang w:val="en-GB"/>
        </w:rPr>
        <w:t xml:space="preserve">. </w:t>
      </w:r>
      <w:r w:rsidR="001A6473" w:rsidRPr="00FF3333">
        <w:rPr>
          <w:rFonts w:ascii="Arial" w:eastAsia="Times New Roman" w:hAnsi="Arial" w:cs="Arial"/>
          <w:shd w:val="clear" w:color="auto" w:fill="FFFFFF"/>
          <w:lang w:val="en-GB"/>
        </w:rPr>
        <w:t>Successively, ketoconazole</w:t>
      </w:r>
      <w:r w:rsidR="0000046B" w:rsidRPr="00FF3333">
        <w:rPr>
          <w:rFonts w:ascii="Arial" w:eastAsia="Times New Roman" w:hAnsi="Arial" w:cs="Arial"/>
          <w:color w:val="292526"/>
          <w:lang w:val="en-GB"/>
        </w:rPr>
        <w:t xml:space="preserve"> (</w:t>
      </w:r>
      <w:r w:rsidR="0000046B" w:rsidRPr="00FF3333">
        <w:rPr>
          <w:rFonts w:ascii="Arial" w:eastAsia="Times New Roman" w:hAnsi="Arial" w:cs="Arial"/>
          <w:shd w:val="clear" w:color="auto" w:fill="FFFFFF"/>
          <w:lang w:val="en-GB"/>
        </w:rPr>
        <w:t>KTC</w:t>
      </w:r>
      <w:r w:rsidR="0000046B" w:rsidRPr="00FF3333">
        <w:rPr>
          <w:rFonts w:ascii="Arial" w:eastAsia="Times New Roman" w:hAnsi="Arial" w:cs="Arial"/>
          <w:color w:val="292526"/>
          <w:lang w:val="en-GB"/>
        </w:rPr>
        <w:t>), voriconazole (VRC) terbinafine (TRB), posaconazole (PSZ), fluconazole (FLC) and griseofulvin (GRI) susceptibilities were assessed</w:t>
      </w:r>
      <w:r w:rsidR="0000046B" w:rsidRPr="00FF3333">
        <w:rPr>
          <w:rFonts w:ascii="Arial" w:eastAsia="Times New Roman" w:hAnsi="Arial" w:cs="Arial"/>
          <w:shd w:val="clear" w:color="auto" w:fill="FFFFFF"/>
          <w:lang w:val="en-GB"/>
        </w:rPr>
        <w:t xml:space="preserve"> using the chosen inoculum</w:t>
      </w:r>
      <w:r w:rsidR="0000046B">
        <w:rPr>
          <w:rFonts w:ascii="Arial" w:eastAsia="Times New Roman" w:hAnsi="Arial" w:cs="Arial"/>
          <w:shd w:val="clear" w:color="auto" w:fill="FFFFFF"/>
          <w:lang w:val="en-GB"/>
        </w:rPr>
        <w:t>.</w:t>
      </w:r>
    </w:p>
    <w:p w14:paraId="0648A28F" w14:textId="727E9292" w:rsidR="00797D76" w:rsidRDefault="00797D76" w:rsidP="00D22377">
      <w:pPr>
        <w:jc w:val="both"/>
        <w:rPr>
          <w:rFonts w:ascii="Arial" w:eastAsia="Times New Roman" w:hAnsi="Arial" w:cs="Arial"/>
          <w:b/>
          <w:bCs/>
          <w:lang w:val="en-GB"/>
        </w:rPr>
      </w:pPr>
      <w:r w:rsidRPr="00797D76">
        <w:rPr>
          <w:rFonts w:ascii="Arial" w:eastAsia="Times New Roman" w:hAnsi="Arial" w:cs="Arial"/>
          <w:b/>
          <w:bCs/>
          <w:lang w:val="en-GB"/>
        </w:rPr>
        <w:t>Results</w:t>
      </w:r>
    </w:p>
    <w:p w14:paraId="002F2333" w14:textId="432F3031" w:rsidR="0000046B" w:rsidRPr="00797D76" w:rsidRDefault="0000046B" w:rsidP="00D22377">
      <w:pPr>
        <w:jc w:val="both"/>
        <w:rPr>
          <w:rFonts w:ascii="Arial" w:eastAsia="Times New Roman" w:hAnsi="Arial" w:cs="Arial"/>
          <w:b/>
          <w:bCs/>
          <w:lang w:val="en-GB"/>
        </w:rPr>
      </w:pPr>
      <w:r w:rsidRPr="008A12E3">
        <w:rPr>
          <w:rFonts w:ascii="Arial" w:eastAsia="Times New Roman" w:hAnsi="Arial" w:cs="Arial"/>
          <w:shd w:val="clear" w:color="auto" w:fill="FFFFFF"/>
          <w:lang w:val="en-GB"/>
        </w:rPr>
        <w:t>The MIC values of ITC</w:t>
      </w:r>
      <w:r w:rsidRPr="00DF12E5">
        <w:rPr>
          <w:rFonts w:ascii="Arial" w:eastAsia="Times New Roman" w:hAnsi="Arial" w:cs="Arial"/>
          <w:shd w:val="clear" w:color="auto" w:fill="FFFFFF"/>
          <w:lang w:val="en-GB"/>
        </w:rPr>
        <w:t xml:space="preserve"> after </w:t>
      </w:r>
      <w:r>
        <w:rPr>
          <w:rFonts w:ascii="Arial" w:eastAsia="Times New Roman" w:hAnsi="Arial" w:cs="Arial"/>
          <w:shd w:val="clear" w:color="auto" w:fill="FFFFFF"/>
          <w:lang w:val="en-GB"/>
        </w:rPr>
        <w:t>three</w:t>
      </w:r>
      <w:r w:rsidRPr="00DF12E5">
        <w:rPr>
          <w:rFonts w:ascii="Arial" w:eastAsia="Times New Roman" w:hAnsi="Arial" w:cs="Arial"/>
          <w:shd w:val="clear" w:color="auto" w:fill="FFFFFF"/>
          <w:lang w:val="en-GB"/>
        </w:rPr>
        <w:t xml:space="preserve"> day-incubation were equal than those recorded after </w:t>
      </w:r>
      <w:r>
        <w:rPr>
          <w:rFonts w:ascii="Arial" w:eastAsia="Times New Roman" w:hAnsi="Arial" w:cs="Arial"/>
          <w:shd w:val="clear" w:color="auto" w:fill="FFFFFF"/>
          <w:lang w:val="en-GB"/>
        </w:rPr>
        <w:t>seven</w:t>
      </w:r>
      <w:r w:rsidR="00CC0AA4">
        <w:rPr>
          <w:rFonts w:ascii="Arial" w:eastAsia="Times New Roman" w:hAnsi="Arial" w:cs="Arial"/>
          <w:shd w:val="clear" w:color="auto" w:fill="FFFFFF"/>
          <w:lang w:val="en-GB"/>
        </w:rPr>
        <w:t xml:space="preserve"> day-incubation.</w:t>
      </w:r>
    </w:p>
    <w:p w14:paraId="28C74FF0" w14:textId="4C224FB9" w:rsidR="00476DF3" w:rsidRDefault="00476DF3" w:rsidP="00D22377">
      <w:pPr>
        <w:jc w:val="both"/>
        <w:rPr>
          <w:rFonts w:ascii="Arial" w:eastAsia="Times New Roman" w:hAnsi="Arial" w:cs="Arial"/>
          <w:lang w:val="en-GB"/>
        </w:rPr>
      </w:pPr>
      <w:r w:rsidRPr="00DF12E5">
        <w:rPr>
          <w:rFonts w:ascii="Arial" w:eastAsia="Times New Roman" w:hAnsi="Arial" w:cs="Arial"/>
          <w:shd w:val="clear" w:color="auto" w:fill="FFFFFF"/>
          <w:lang w:val="en-GB"/>
        </w:rPr>
        <w:t>ITC MIC</w:t>
      </w:r>
      <w:r w:rsidR="005438FE">
        <w:rPr>
          <w:rFonts w:ascii="Arial" w:eastAsia="Times New Roman" w:hAnsi="Arial" w:cs="Arial"/>
          <w:shd w:val="clear" w:color="auto" w:fill="FFFFFF"/>
          <w:lang w:val="en-GB"/>
        </w:rPr>
        <w:t>s</w:t>
      </w:r>
      <w:r w:rsidRPr="00DF12E5">
        <w:rPr>
          <w:rFonts w:ascii="Arial" w:eastAsia="Times New Roman" w:hAnsi="Arial" w:cs="Arial"/>
          <w:shd w:val="clear" w:color="auto" w:fill="FFFFFF"/>
          <w:lang w:val="en-GB"/>
        </w:rPr>
        <w:t xml:space="preserve"> were ≤1μg/ml for strains from </w:t>
      </w:r>
      <w:r>
        <w:rPr>
          <w:rFonts w:ascii="Arial" w:eastAsia="Times New Roman" w:hAnsi="Arial" w:cs="Arial"/>
          <w:shd w:val="clear" w:color="auto" w:fill="FFFFFF"/>
          <w:lang w:val="en-GB"/>
        </w:rPr>
        <w:t xml:space="preserve">Group II and &gt;1μg/ml for those </w:t>
      </w:r>
      <w:r w:rsidRPr="00DF12E5">
        <w:rPr>
          <w:rFonts w:ascii="Arial" w:eastAsia="Times New Roman" w:hAnsi="Arial" w:cs="Arial"/>
          <w:shd w:val="clear" w:color="auto" w:fill="FFFFFF"/>
          <w:lang w:val="en-GB"/>
        </w:rPr>
        <w:t xml:space="preserve">of Group </w:t>
      </w:r>
      <w:r w:rsidR="00CC0AA4">
        <w:rPr>
          <w:rFonts w:ascii="Arial" w:eastAsia="Times New Roman" w:hAnsi="Arial" w:cs="Arial"/>
          <w:shd w:val="clear" w:color="auto" w:fill="FFFFFF"/>
          <w:lang w:val="en-GB"/>
        </w:rPr>
        <w:t xml:space="preserve">II </w:t>
      </w:r>
      <w:r w:rsidR="0000046B">
        <w:rPr>
          <w:rFonts w:ascii="Arial" w:eastAsia="Times New Roman" w:hAnsi="Arial" w:cs="Arial"/>
          <w:shd w:val="clear" w:color="auto" w:fill="FFFFFF"/>
          <w:lang w:val="en-GB"/>
        </w:rPr>
        <w:t xml:space="preserve">only when </w:t>
      </w:r>
      <w:r w:rsidR="0000046B" w:rsidRPr="00DF12E5">
        <w:rPr>
          <w:rFonts w:ascii="Arial" w:eastAsia="Times New Roman" w:hAnsi="Arial" w:cs="Arial"/>
          <w:shd w:val="clear" w:color="auto" w:fill="FFFFFF"/>
          <w:lang w:val="en-GB"/>
        </w:rPr>
        <w:t>conidia</w:t>
      </w:r>
      <w:r w:rsidR="0000046B">
        <w:rPr>
          <w:rFonts w:ascii="Arial" w:eastAsia="Times New Roman" w:hAnsi="Arial" w:cs="Arial"/>
          <w:shd w:val="clear" w:color="auto" w:fill="FFFFFF"/>
          <w:lang w:val="en-GB"/>
        </w:rPr>
        <w:t xml:space="preserve"> were used.</w:t>
      </w:r>
      <w:r w:rsidR="0000046B" w:rsidRPr="00DF12E5">
        <w:rPr>
          <w:rFonts w:ascii="Arial" w:eastAsia="Times New Roman" w:hAnsi="Arial" w:cs="Arial"/>
          <w:shd w:val="clear" w:color="auto" w:fill="FFFFFF"/>
          <w:lang w:val="en-GB"/>
        </w:rPr>
        <w:t xml:space="preserve"> </w:t>
      </w:r>
      <w:r w:rsidR="00CC0AA4">
        <w:rPr>
          <w:rFonts w:ascii="Arial" w:eastAsia="Times New Roman" w:hAnsi="Arial" w:cs="Arial"/>
          <w:shd w:val="clear" w:color="auto" w:fill="FFFFFF"/>
          <w:lang w:val="en-GB"/>
        </w:rPr>
        <w:t>A</w:t>
      </w:r>
      <w:r w:rsidRPr="00DF12E5">
        <w:rPr>
          <w:rFonts w:ascii="Arial" w:eastAsia="Times New Roman" w:hAnsi="Arial" w:cs="Arial"/>
          <w:shd w:val="clear" w:color="auto" w:fill="FFFFFF"/>
          <w:lang w:val="en-GB"/>
        </w:rPr>
        <w:t>ll</w:t>
      </w:r>
      <w:r w:rsidR="0044601A">
        <w:rPr>
          <w:rFonts w:ascii="Arial" w:eastAsia="Times New Roman" w:hAnsi="Arial" w:cs="Arial"/>
          <w:shd w:val="clear" w:color="auto" w:fill="FFFFFF"/>
          <w:lang w:val="en-GB"/>
        </w:rPr>
        <w:t xml:space="preserve"> </w:t>
      </w:r>
      <w:r w:rsidRPr="00DF12E5">
        <w:rPr>
          <w:rFonts w:ascii="Arial" w:eastAsia="Times New Roman" w:hAnsi="Arial" w:cs="Arial"/>
          <w:lang w:val="en-GB"/>
        </w:rPr>
        <w:t xml:space="preserve">strains showed high susceptibility to </w:t>
      </w:r>
      <w:r w:rsidR="0000046B">
        <w:rPr>
          <w:rFonts w:ascii="Arial" w:eastAsia="Times New Roman" w:hAnsi="Arial" w:cs="Arial"/>
          <w:lang w:val="en-GB"/>
        </w:rPr>
        <w:t>VRC</w:t>
      </w:r>
      <w:r w:rsidRPr="00DF12E5">
        <w:rPr>
          <w:rFonts w:ascii="Arial" w:eastAsia="Times New Roman" w:hAnsi="Arial" w:cs="Arial"/>
          <w:lang w:val="en-GB"/>
        </w:rPr>
        <w:t xml:space="preserve">, </w:t>
      </w:r>
      <w:r w:rsidR="0000046B">
        <w:rPr>
          <w:rFonts w:ascii="Arial" w:eastAsia="Times New Roman" w:hAnsi="Arial" w:cs="Arial"/>
          <w:lang w:val="en-GB"/>
        </w:rPr>
        <w:t>POS</w:t>
      </w:r>
      <w:r w:rsidR="005438FE">
        <w:rPr>
          <w:rFonts w:ascii="Arial" w:eastAsia="Times New Roman" w:hAnsi="Arial" w:cs="Arial"/>
          <w:lang w:val="en-GB"/>
        </w:rPr>
        <w:t>,</w:t>
      </w:r>
      <w:r w:rsidRPr="00DF12E5">
        <w:rPr>
          <w:rFonts w:ascii="Arial" w:eastAsia="Times New Roman" w:hAnsi="Arial" w:cs="Arial"/>
          <w:lang w:val="en-GB"/>
        </w:rPr>
        <w:t xml:space="preserve"> </w:t>
      </w:r>
      <w:r w:rsidR="0000046B">
        <w:rPr>
          <w:rFonts w:ascii="Arial" w:eastAsia="Times New Roman" w:hAnsi="Arial" w:cs="Arial"/>
          <w:lang w:val="en-GB"/>
        </w:rPr>
        <w:t>TEB</w:t>
      </w:r>
      <w:r w:rsidRPr="00DF12E5">
        <w:rPr>
          <w:rFonts w:ascii="Arial" w:eastAsia="Times New Roman" w:hAnsi="Arial" w:cs="Arial"/>
          <w:lang w:val="en-GB"/>
        </w:rPr>
        <w:t xml:space="preserve"> and low susceptibility to</w:t>
      </w:r>
      <w:r w:rsidR="008D7FDF">
        <w:rPr>
          <w:rFonts w:ascii="Arial" w:eastAsia="Times New Roman" w:hAnsi="Arial" w:cs="Arial"/>
          <w:lang w:val="en-GB"/>
        </w:rPr>
        <w:t xml:space="preserve"> </w:t>
      </w:r>
      <w:r w:rsidR="00CC0AA4">
        <w:rPr>
          <w:rFonts w:ascii="Arial" w:eastAsia="Times New Roman" w:hAnsi="Arial" w:cs="Arial"/>
          <w:lang w:val="en-GB"/>
        </w:rPr>
        <w:t>ITC</w:t>
      </w:r>
      <w:r w:rsidRPr="00DF12E5">
        <w:rPr>
          <w:rFonts w:ascii="Arial" w:eastAsia="Times New Roman" w:hAnsi="Arial" w:cs="Arial"/>
          <w:lang w:val="en-GB"/>
        </w:rPr>
        <w:t xml:space="preserve">, </w:t>
      </w:r>
      <w:r w:rsidR="00CC0AA4">
        <w:rPr>
          <w:rFonts w:ascii="Arial" w:eastAsia="Times New Roman" w:hAnsi="Arial" w:cs="Arial"/>
          <w:lang w:val="en-GB"/>
        </w:rPr>
        <w:t>KTC</w:t>
      </w:r>
      <w:r w:rsidRPr="00DF12E5">
        <w:rPr>
          <w:rFonts w:ascii="Arial" w:eastAsia="Times New Roman" w:hAnsi="Arial" w:cs="Arial"/>
          <w:lang w:val="en-GB"/>
        </w:rPr>
        <w:t xml:space="preserve">, </w:t>
      </w:r>
      <w:r w:rsidR="00CC0AA4">
        <w:rPr>
          <w:rFonts w:ascii="Arial" w:eastAsia="Times New Roman" w:hAnsi="Arial" w:cs="Arial"/>
          <w:lang w:val="en-GB"/>
        </w:rPr>
        <w:t>GRI</w:t>
      </w:r>
      <w:r w:rsidRPr="00DF12E5">
        <w:rPr>
          <w:rFonts w:ascii="Arial" w:eastAsia="Times New Roman" w:hAnsi="Arial" w:cs="Arial"/>
          <w:lang w:val="en-GB"/>
        </w:rPr>
        <w:t xml:space="preserve"> and </w:t>
      </w:r>
      <w:r w:rsidR="00CC0AA4">
        <w:rPr>
          <w:rFonts w:ascii="Arial" w:eastAsia="Times New Roman" w:hAnsi="Arial" w:cs="Arial"/>
          <w:lang w:val="en-GB"/>
        </w:rPr>
        <w:t xml:space="preserve">FLC </w:t>
      </w:r>
      <w:r w:rsidRPr="00DF12E5">
        <w:rPr>
          <w:rFonts w:ascii="Arial" w:eastAsia="Times New Roman" w:hAnsi="Arial" w:cs="Arial"/>
          <w:lang w:val="en-GB"/>
        </w:rPr>
        <w:t>regardless of the source and incubation time</w:t>
      </w:r>
      <w:r>
        <w:rPr>
          <w:rFonts w:ascii="Arial" w:eastAsia="Times New Roman" w:hAnsi="Arial" w:cs="Arial"/>
          <w:lang w:val="en-GB"/>
        </w:rPr>
        <w:t>.</w:t>
      </w:r>
      <w:r>
        <w:rPr>
          <w:rFonts w:ascii="Arial" w:eastAsia="Times New Roman" w:hAnsi="Arial" w:cs="Arial"/>
          <w:shd w:val="clear" w:color="auto" w:fill="FFFFFF"/>
          <w:lang w:val="en-GB"/>
        </w:rPr>
        <w:t xml:space="preserve"> </w:t>
      </w:r>
    </w:p>
    <w:p w14:paraId="13E96516" w14:textId="4CFBEBBC" w:rsidR="00797D76" w:rsidRPr="00797D76" w:rsidRDefault="00797D76" w:rsidP="00797D76">
      <w:pPr>
        <w:rPr>
          <w:rFonts w:ascii="Arial" w:eastAsia="Times New Roman" w:hAnsi="Arial" w:cs="Arial"/>
          <w:b/>
          <w:bCs/>
          <w:lang w:val="en-GB"/>
        </w:rPr>
      </w:pPr>
      <w:r w:rsidRPr="00764457">
        <w:rPr>
          <w:rFonts w:ascii="Arial" w:eastAsia="Times New Roman" w:hAnsi="Arial" w:cs="Arial"/>
          <w:b/>
          <w:bCs/>
          <w:lang w:val="en-GB"/>
        </w:rPr>
        <w:t xml:space="preserve">Conclusions and clinical </w:t>
      </w:r>
      <w:r>
        <w:rPr>
          <w:rFonts w:ascii="Arial" w:eastAsia="Times New Roman" w:hAnsi="Arial" w:cs="Arial"/>
          <w:b/>
          <w:bCs/>
          <w:lang w:val="en-GB"/>
        </w:rPr>
        <w:t>importance</w:t>
      </w:r>
    </w:p>
    <w:p w14:paraId="5557F572" w14:textId="7756EF45" w:rsidR="00476DF3" w:rsidRDefault="00476DF3" w:rsidP="00D22377">
      <w:pPr>
        <w:jc w:val="both"/>
        <w:rPr>
          <w:rFonts w:ascii="Arial" w:eastAsia="Times New Roman" w:hAnsi="Arial" w:cs="Arial"/>
          <w:shd w:val="clear" w:color="auto" w:fill="FFFFFF"/>
          <w:lang w:val="en-GB"/>
        </w:rPr>
      </w:pPr>
      <w:r>
        <w:rPr>
          <w:rFonts w:ascii="Arial" w:eastAsia="Times New Roman" w:hAnsi="Arial" w:cs="Arial"/>
          <w:lang w:val="en-GB"/>
        </w:rPr>
        <w:t>Results</w:t>
      </w:r>
      <w:r w:rsidRPr="00DF12E5">
        <w:rPr>
          <w:rFonts w:ascii="Arial" w:eastAsia="Times New Roman" w:hAnsi="Arial" w:cs="Arial"/>
          <w:lang w:val="en-GB"/>
        </w:rPr>
        <w:t xml:space="preserve"> suggest that</w:t>
      </w:r>
      <w:r>
        <w:rPr>
          <w:rFonts w:ascii="Arial" w:eastAsia="Times New Roman" w:hAnsi="Arial" w:cs="Arial"/>
          <w:lang w:val="en-GB"/>
        </w:rPr>
        <w:t xml:space="preserve"> c</w:t>
      </w:r>
      <w:r w:rsidRPr="002D5173">
        <w:rPr>
          <w:rFonts w:ascii="Arial" w:eastAsia="Times New Roman" w:hAnsi="Arial" w:cs="Arial"/>
          <w:lang w:val="en-GB"/>
        </w:rPr>
        <w:t xml:space="preserve">orrelation between the </w:t>
      </w:r>
      <w:r w:rsidRPr="002D5173">
        <w:rPr>
          <w:rFonts w:ascii="Arial" w:eastAsia="Times New Roman" w:hAnsi="Arial" w:cs="Arial"/>
          <w:i/>
          <w:iCs/>
          <w:lang w:val="en-GB"/>
        </w:rPr>
        <w:t>in vitro</w:t>
      </w:r>
      <w:r w:rsidRPr="002D5173">
        <w:rPr>
          <w:rFonts w:ascii="Arial" w:eastAsia="Times New Roman" w:hAnsi="Arial" w:cs="Arial"/>
          <w:lang w:val="en-GB"/>
        </w:rPr>
        <w:t xml:space="preserve"> results and clinical outcome</w:t>
      </w:r>
      <w:r>
        <w:rPr>
          <w:rFonts w:ascii="Arial" w:eastAsia="Times New Roman" w:hAnsi="Arial" w:cs="Arial"/>
          <w:lang w:val="en-GB"/>
        </w:rPr>
        <w:t xml:space="preserve"> </w:t>
      </w:r>
      <w:r w:rsidRPr="00DF12E5">
        <w:rPr>
          <w:rFonts w:ascii="Arial" w:eastAsia="Times New Roman" w:hAnsi="Arial" w:cs="Arial"/>
          <w:shd w:val="clear" w:color="auto" w:fill="FFFFFF"/>
          <w:lang w:val="en-GB"/>
        </w:rPr>
        <w:t>was observed</w:t>
      </w:r>
      <w:r>
        <w:rPr>
          <w:rFonts w:ascii="Arial" w:eastAsia="Times New Roman" w:hAnsi="Arial" w:cs="Arial"/>
          <w:shd w:val="clear" w:color="auto" w:fill="FFFFFF"/>
          <w:lang w:val="en-GB"/>
        </w:rPr>
        <w:t xml:space="preserve"> only </w:t>
      </w:r>
      <w:r w:rsidRPr="00DF12E5">
        <w:rPr>
          <w:rFonts w:ascii="Arial" w:eastAsia="Times New Roman" w:hAnsi="Arial" w:cs="Arial"/>
          <w:shd w:val="clear" w:color="auto" w:fill="FFFFFF"/>
          <w:lang w:val="en-GB"/>
        </w:rPr>
        <w:t xml:space="preserve">by incubating conidia for </w:t>
      </w:r>
      <w:r>
        <w:rPr>
          <w:rFonts w:ascii="Arial" w:eastAsia="Times New Roman" w:hAnsi="Arial" w:cs="Arial"/>
          <w:shd w:val="clear" w:color="auto" w:fill="FFFFFF"/>
          <w:lang w:val="en-GB"/>
        </w:rPr>
        <w:t>3</w:t>
      </w:r>
      <w:r w:rsidRPr="00DF12E5">
        <w:rPr>
          <w:rFonts w:ascii="Arial" w:eastAsia="Times New Roman" w:hAnsi="Arial" w:cs="Arial"/>
          <w:shd w:val="clear" w:color="auto" w:fill="FFFFFF"/>
          <w:lang w:val="en-GB"/>
        </w:rPr>
        <w:t xml:space="preserve"> days</w:t>
      </w:r>
      <w:r>
        <w:rPr>
          <w:rFonts w:ascii="Arial" w:eastAsia="Times New Roman" w:hAnsi="Arial" w:cs="Arial"/>
          <w:shd w:val="clear" w:color="auto" w:fill="FFFFFF"/>
          <w:lang w:val="en-GB"/>
        </w:rPr>
        <w:t xml:space="preserve"> </w:t>
      </w:r>
      <w:r w:rsidRPr="00DF12E5">
        <w:rPr>
          <w:rFonts w:ascii="Arial" w:eastAsia="Times New Roman" w:hAnsi="Arial" w:cs="Arial"/>
          <w:shd w:val="clear" w:color="auto" w:fill="FFFFFF"/>
          <w:lang w:val="en-GB"/>
        </w:rPr>
        <w:t xml:space="preserve">at </w:t>
      </w:r>
      <w:r w:rsidRPr="00DF12E5">
        <w:rPr>
          <w:rFonts w:ascii="Arial" w:eastAsia="Times New Roman" w:hAnsi="Arial" w:cs="Arial"/>
          <w:lang w:val="en-GB"/>
        </w:rPr>
        <w:t>30±2</w:t>
      </w:r>
      <w:r w:rsidRPr="00DF12E5">
        <w:rPr>
          <w:rFonts w:ascii="Arial" w:eastAsia="Times New Roman" w:hAnsi="Arial" w:cs="Arial"/>
          <w:vertAlign w:val="superscript"/>
          <w:lang w:val="en-GB"/>
        </w:rPr>
        <w:t>o</w:t>
      </w:r>
      <w:r w:rsidRPr="00DF12E5">
        <w:rPr>
          <w:rFonts w:ascii="Arial" w:eastAsia="Times New Roman" w:hAnsi="Arial" w:cs="Arial"/>
          <w:lang w:val="en-GB"/>
        </w:rPr>
        <w:t>C</w:t>
      </w:r>
      <w:r>
        <w:rPr>
          <w:rFonts w:ascii="Arial" w:eastAsia="Times New Roman" w:hAnsi="Arial" w:cs="Arial"/>
          <w:lang w:val="en-GB"/>
        </w:rPr>
        <w:t>.</w:t>
      </w:r>
      <w:r>
        <w:rPr>
          <w:rFonts w:ascii="Arial" w:eastAsia="Times New Roman" w:hAnsi="Arial" w:cs="Arial"/>
          <w:shd w:val="clear" w:color="auto" w:fill="FFFFFF"/>
          <w:lang w:val="en-GB"/>
        </w:rPr>
        <w:t xml:space="preserve">These conditions </w:t>
      </w:r>
      <w:r w:rsidRPr="00DF12E5">
        <w:rPr>
          <w:rFonts w:ascii="Arial" w:eastAsia="Times New Roman" w:hAnsi="Arial" w:cs="Arial"/>
          <w:lang w:val="en-GB"/>
        </w:rPr>
        <w:t>mi</w:t>
      </w:r>
      <w:r>
        <w:rPr>
          <w:rFonts w:ascii="Arial" w:eastAsia="Times New Roman" w:hAnsi="Arial" w:cs="Arial"/>
          <w:lang w:val="en-GB"/>
        </w:rPr>
        <w:t>ght</w:t>
      </w:r>
      <w:r w:rsidRPr="00DF12E5">
        <w:rPr>
          <w:rFonts w:ascii="Arial" w:eastAsia="Times New Roman" w:hAnsi="Arial" w:cs="Arial"/>
          <w:lang w:val="en-GB"/>
        </w:rPr>
        <w:t xml:space="preserve"> be most suitable to assess</w:t>
      </w:r>
      <w:r w:rsidRPr="00DF12E5">
        <w:rPr>
          <w:rFonts w:ascii="Arial" w:eastAsia="Times New Roman" w:hAnsi="Arial" w:cs="Arial"/>
          <w:shd w:val="clear" w:color="auto" w:fill="FFFFFF"/>
          <w:lang w:val="en-GB"/>
        </w:rPr>
        <w:t xml:space="preserve"> </w:t>
      </w:r>
      <w:r w:rsidRPr="00005F24">
        <w:rPr>
          <w:rFonts w:ascii="Arial" w:eastAsia="Times New Roman" w:hAnsi="Arial" w:cs="Arial"/>
          <w:i/>
          <w:iCs/>
          <w:shd w:val="clear" w:color="auto" w:fill="FFFFFF"/>
          <w:lang w:val="en-GB"/>
        </w:rPr>
        <w:t>in vitro</w:t>
      </w:r>
      <w:r w:rsidRPr="00DF12E5">
        <w:rPr>
          <w:rFonts w:ascii="Arial" w:eastAsia="Times New Roman" w:hAnsi="Arial" w:cs="Arial"/>
          <w:shd w:val="clear" w:color="auto" w:fill="FFFFFF"/>
          <w:lang w:val="en-GB"/>
        </w:rPr>
        <w:t xml:space="preserve"> susceptibility of </w:t>
      </w:r>
      <w:r w:rsidRPr="00DF12E5">
        <w:rPr>
          <w:rFonts w:ascii="Arial" w:eastAsia="Times New Roman" w:hAnsi="Arial" w:cs="Arial"/>
          <w:i/>
          <w:iCs/>
          <w:shd w:val="clear" w:color="auto" w:fill="FFFFFF"/>
          <w:lang w:val="en-GB"/>
        </w:rPr>
        <w:t>M. canis</w:t>
      </w:r>
      <w:r w:rsidRPr="00DF12E5">
        <w:rPr>
          <w:rFonts w:ascii="Arial" w:eastAsia="Times New Roman" w:hAnsi="Arial" w:cs="Arial"/>
          <w:shd w:val="clear" w:color="auto" w:fill="FFFFFF"/>
          <w:lang w:val="en-GB"/>
        </w:rPr>
        <w:t xml:space="preserve"> </w:t>
      </w:r>
      <w:r>
        <w:rPr>
          <w:rFonts w:ascii="Arial" w:eastAsia="Times New Roman" w:hAnsi="Arial" w:cs="Arial"/>
          <w:lang w:val="en-GB"/>
        </w:rPr>
        <w:t xml:space="preserve">and </w:t>
      </w:r>
      <w:r w:rsidRPr="00DF12E5">
        <w:rPr>
          <w:rFonts w:ascii="Arial" w:eastAsia="Times New Roman" w:hAnsi="Arial" w:cs="Arial"/>
          <w:shd w:val="clear" w:color="auto" w:fill="FFFFFF"/>
          <w:lang w:val="en-GB"/>
        </w:rPr>
        <w:t>assist in determining the occurrence of</w:t>
      </w:r>
      <w:r>
        <w:rPr>
          <w:rFonts w:ascii="Arial" w:eastAsia="Times New Roman" w:hAnsi="Arial" w:cs="Arial"/>
          <w:shd w:val="clear" w:color="auto" w:fill="FFFFFF"/>
          <w:lang w:val="en-GB"/>
        </w:rPr>
        <w:t xml:space="preserve"> </w:t>
      </w:r>
      <w:r w:rsidRPr="00DF12E5">
        <w:rPr>
          <w:rFonts w:ascii="Arial" w:eastAsia="Times New Roman" w:hAnsi="Arial" w:cs="Arial"/>
          <w:shd w:val="clear" w:color="auto" w:fill="FFFFFF"/>
          <w:lang w:val="en-GB"/>
        </w:rPr>
        <w:t>drug resistance</w:t>
      </w:r>
      <w:r>
        <w:rPr>
          <w:rFonts w:ascii="Arial" w:eastAsia="Times New Roman" w:hAnsi="Arial" w:cs="Arial"/>
          <w:shd w:val="clear" w:color="auto" w:fill="FFFFFF"/>
          <w:lang w:val="en-GB"/>
        </w:rPr>
        <w:t xml:space="preserve"> and </w:t>
      </w:r>
      <w:r w:rsidRPr="00005F24">
        <w:rPr>
          <w:rFonts w:ascii="Arial" w:eastAsia="Times New Roman" w:hAnsi="Arial" w:cs="Arial"/>
          <w:shd w:val="clear" w:color="auto" w:fill="FFFFFF"/>
          <w:lang w:val="en-GB"/>
        </w:rPr>
        <w:t>cross</w:t>
      </w:r>
      <w:r>
        <w:rPr>
          <w:rFonts w:ascii="Arial" w:eastAsia="Times New Roman" w:hAnsi="Arial" w:cs="Arial"/>
          <w:shd w:val="clear" w:color="auto" w:fill="FFFFFF"/>
          <w:lang w:val="en-GB"/>
        </w:rPr>
        <w:t xml:space="preserve"> </w:t>
      </w:r>
      <w:r w:rsidR="002D6A5C">
        <w:rPr>
          <w:rFonts w:ascii="Arial" w:eastAsia="Times New Roman" w:hAnsi="Arial" w:cs="Arial"/>
          <w:shd w:val="clear" w:color="auto" w:fill="FFFFFF"/>
          <w:lang w:val="en-GB"/>
        </w:rPr>
        <w:t>-</w:t>
      </w:r>
      <w:r w:rsidRPr="00005F24">
        <w:rPr>
          <w:rFonts w:ascii="Arial" w:eastAsia="Times New Roman" w:hAnsi="Arial" w:cs="Arial"/>
          <w:shd w:val="clear" w:color="auto" w:fill="FFFFFF"/>
          <w:lang w:val="en-GB"/>
        </w:rPr>
        <w:t>resistance</w:t>
      </w:r>
      <w:r>
        <w:rPr>
          <w:rFonts w:ascii="Arial" w:eastAsia="Times New Roman" w:hAnsi="Arial" w:cs="Arial"/>
          <w:shd w:val="clear" w:color="auto" w:fill="FFFFFF"/>
          <w:lang w:val="en-GB"/>
        </w:rPr>
        <w:t xml:space="preserve"> </w:t>
      </w:r>
      <w:r w:rsidRPr="00005F24">
        <w:rPr>
          <w:rFonts w:ascii="Arial" w:eastAsia="Times New Roman" w:hAnsi="Arial" w:cs="Arial"/>
          <w:shd w:val="clear" w:color="auto" w:fill="FFFFFF"/>
          <w:lang w:val="en-GB"/>
        </w:rPr>
        <w:t>phenomena</w:t>
      </w:r>
      <w:r>
        <w:rPr>
          <w:rFonts w:ascii="Arial" w:eastAsia="Times New Roman" w:hAnsi="Arial" w:cs="Arial"/>
          <w:shd w:val="clear" w:color="auto" w:fill="FFFFFF"/>
          <w:lang w:val="en-GB"/>
        </w:rPr>
        <w:t>.</w:t>
      </w:r>
    </w:p>
    <w:p w14:paraId="2A700A1B" w14:textId="77777777" w:rsidR="00476DF3" w:rsidRPr="00764457" w:rsidRDefault="00476DF3" w:rsidP="00D22377">
      <w:pPr>
        <w:jc w:val="both"/>
        <w:rPr>
          <w:rFonts w:ascii="Arial" w:eastAsia="Times New Roman" w:hAnsi="Arial" w:cs="Arial"/>
          <w:b/>
          <w:bCs/>
          <w:shd w:val="clear" w:color="auto" w:fill="FFFFFF"/>
          <w:lang w:val="en-GB"/>
        </w:rPr>
      </w:pPr>
      <w:r w:rsidRPr="00764457">
        <w:rPr>
          <w:rFonts w:ascii="Arial" w:eastAsia="Times New Roman" w:hAnsi="Arial" w:cs="Arial"/>
          <w:b/>
          <w:bCs/>
          <w:shd w:val="clear" w:color="auto" w:fill="FFFFFF"/>
          <w:lang w:val="en-GB"/>
        </w:rPr>
        <w:t>Introduction</w:t>
      </w:r>
    </w:p>
    <w:p w14:paraId="27407E22" w14:textId="4AAB1DAD" w:rsidR="00476DF3" w:rsidRDefault="00476DF3" w:rsidP="00D22377">
      <w:pPr>
        <w:widowControl w:val="0"/>
        <w:autoSpaceDE w:val="0"/>
        <w:autoSpaceDN w:val="0"/>
        <w:adjustRightInd w:val="0"/>
        <w:jc w:val="both"/>
        <w:rPr>
          <w:rFonts w:ascii="Arial" w:eastAsia="Times New Roman" w:hAnsi="Arial" w:cs="Arial"/>
          <w:lang w:val="en-GB"/>
        </w:rPr>
      </w:pPr>
      <w:r w:rsidRPr="00DF12E5">
        <w:rPr>
          <w:rFonts w:ascii="Arial" w:eastAsia="Cambria" w:hAnsi="Arial" w:cs="Arial"/>
          <w:i/>
          <w:iCs/>
          <w:lang w:val="en-GB"/>
        </w:rPr>
        <w:lastRenderedPageBreak/>
        <w:t>Microsporum canis</w:t>
      </w:r>
      <w:r w:rsidRPr="00DF12E5">
        <w:rPr>
          <w:rFonts w:ascii="Arial" w:eastAsia="Cambria" w:hAnsi="Arial" w:cs="Arial"/>
          <w:lang w:val="en-GB"/>
        </w:rPr>
        <w:t xml:space="preserve"> is a zoophilic dermatophyte responsible for human and animal infections worldwide.</w:t>
      </w:r>
      <w:r>
        <w:rPr>
          <w:rFonts w:ascii="Arial" w:eastAsia="Cambria" w:hAnsi="Arial" w:cs="Arial"/>
          <w:vertAlign w:val="superscript"/>
          <w:lang w:val="en-GB"/>
        </w:rPr>
        <w:t>1,2</w:t>
      </w:r>
      <w:r w:rsidRPr="00DF12E5">
        <w:rPr>
          <w:rFonts w:ascii="Arial" w:eastAsia="Cambria" w:hAnsi="Arial" w:cs="Arial"/>
          <w:lang w:val="en-GB"/>
        </w:rPr>
        <w:t xml:space="preserve"> In humans, </w:t>
      </w:r>
      <w:r w:rsidRPr="00DF12E5">
        <w:rPr>
          <w:rFonts w:ascii="Arial" w:eastAsia="Cambria" w:hAnsi="Arial" w:cs="Arial"/>
          <w:i/>
          <w:iCs/>
          <w:lang w:val="en-GB"/>
        </w:rPr>
        <w:t>M. canis</w:t>
      </w:r>
      <w:r w:rsidRPr="00DF12E5">
        <w:rPr>
          <w:rFonts w:ascii="Arial" w:eastAsia="Cambria" w:hAnsi="Arial" w:cs="Arial"/>
          <w:lang w:val="en-GB"/>
        </w:rPr>
        <w:t xml:space="preserve"> is associated with </w:t>
      </w:r>
      <w:r w:rsidRPr="0037088E">
        <w:rPr>
          <w:rFonts w:ascii="Arial" w:eastAsia="Cambria" w:hAnsi="Arial" w:cs="Arial"/>
          <w:i/>
          <w:lang w:val="en-GB"/>
        </w:rPr>
        <w:t>tinea capitis</w:t>
      </w:r>
      <w:r w:rsidRPr="00DF12E5">
        <w:rPr>
          <w:rFonts w:ascii="Arial" w:eastAsia="Cambria" w:hAnsi="Arial" w:cs="Arial"/>
          <w:lang w:val="en-GB"/>
        </w:rPr>
        <w:t xml:space="preserve">, </w:t>
      </w:r>
      <w:r w:rsidRPr="0037088E">
        <w:rPr>
          <w:rFonts w:ascii="Arial" w:eastAsia="Cambria" w:hAnsi="Arial" w:cs="Arial"/>
          <w:i/>
          <w:lang w:val="en-GB"/>
        </w:rPr>
        <w:t>tinea corporis</w:t>
      </w:r>
      <w:r w:rsidRPr="00DF12E5">
        <w:rPr>
          <w:rFonts w:ascii="Arial" w:eastAsia="Cambria" w:hAnsi="Arial" w:cs="Arial"/>
          <w:lang w:val="en-GB"/>
        </w:rPr>
        <w:t xml:space="preserve">, </w:t>
      </w:r>
      <w:r w:rsidRPr="0037088E">
        <w:rPr>
          <w:rFonts w:ascii="Arial" w:eastAsia="Cambria" w:hAnsi="Arial" w:cs="Arial"/>
          <w:i/>
          <w:lang w:val="en-GB"/>
        </w:rPr>
        <w:t>tinea pedis</w:t>
      </w:r>
      <w:r w:rsidRPr="00DF12E5">
        <w:rPr>
          <w:rFonts w:ascii="Arial" w:eastAsia="Cambria" w:hAnsi="Arial" w:cs="Arial"/>
          <w:lang w:val="en-GB"/>
        </w:rPr>
        <w:t xml:space="preserve"> and o</w:t>
      </w:r>
      <w:r w:rsidRPr="0037088E">
        <w:rPr>
          <w:rFonts w:ascii="Arial" w:eastAsia="Cambria" w:hAnsi="Arial" w:cs="Arial"/>
          <w:i/>
          <w:lang w:val="en-GB"/>
        </w:rPr>
        <w:t>nychomycosis</w:t>
      </w:r>
      <w:r w:rsidRPr="00DF12E5">
        <w:rPr>
          <w:rFonts w:ascii="Arial" w:eastAsia="Cambria" w:hAnsi="Arial" w:cs="Arial"/>
          <w:lang w:val="en-GB"/>
        </w:rPr>
        <w:t>, whilst in veterinary species, infections cause multifocal alopecia, scaling and circular lesions</w:t>
      </w:r>
      <w:r>
        <w:rPr>
          <w:rFonts w:ascii="Arial" w:eastAsia="Cambria" w:hAnsi="Arial" w:cs="Arial"/>
          <w:lang w:val="en-GB"/>
        </w:rPr>
        <w:t>.</w:t>
      </w:r>
      <w:r>
        <w:rPr>
          <w:rFonts w:ascii="Arial" w:eastAsia="Cambria" w:hAnsi="Arial" w:cs="Arial"/>
          <w:vertAlign w:val="superscript"/>
          <w:lang w:val="en-GB"/>
        </w:rPr>
        <w:t>2,3</w:t>
      </w:r>
      <w:r w:rsidRPr="00DF12E5">
        <w:rPr>
          <w:rFonts w:ascii="Arial" w:eastAsia="Cambria" w:hAnsi="Arial" w:cs="Arial"/>
          <w:lang w:val="en-GB"/>
        </w:rPr>
        <w:t xml:space="preserve"> </w:t>
      </w:r>
      <w:r w:rsidRPr="00DF12E5">
        <w:rPr>
          <w:rFonts w:ascii="Arial" w:eastAsia="Times New Roman" w:hAnsi="Arial" w:cs="Arial"/>
          <w:i/>
          <w:iCs/>
          <w:lang w:val="en-GB"/>
        </w:rPr>
        <w:t>M. canis</w:t>
      </w:r>
      <w:r w:rsidRPr="00DF12E5">
        <w:rPr>
          <w:rFonts w:ascii="Arial" w:eastAsia="Times New Roman" w:hAnsi="Arial" w:cs="Arial"/>
          <w:lang w:val="en-GB"/>
        </w:rPr>
        <w:t xml:space="preserve"> transmission occurs via direct contact with clinically or subclinically infected animals (mainly cats),</w:t>
      </w:r>
      <w:r w:rsidR="00D22377">
        <w:rPr>
          <w:rFonts w:ascii="Arial" w:eastAsia="Times New Roman" w:hAnsi="Arial" w:cs="Arial"/>
          <w:lang w:val="en-GB"/>
        </w:rPr>
        <w:t xml:space="preserve"> </w:t>
      </w:r>
      <w:r w:rsidRPr="00DF12E5">
        <w:rPr>
          <w:rFonts w:ascii="Arial" w:eastAsia="Times New Roman" w:hAnsi="Arial" w:cs="Arial"/>
          <w:lang w:val="en-GB"/>
        </w:rPr>
        <w:t>or with spores that remain viable in the environment for up to 18 months</w:t>
      </w:r>
      <w:r>
        <w:rPr>
          <w:rFonts w:ascii="Arial" w:eastAsia="Times New Roman" w:hAnsi="Arial" w:cs="Arial"/>
          <w:lang w:val="en-GB"/>
        </w:rPr>
        <w:t>.</w:t>
      </w:r>
      <w:r>
        <w:rPr>
          <w:rFonts w:ascii="Arial" w:eastAsia="Times New Roman" w:hAnsi="Arial" w:cs="Arial"/>
          <w:vertAlign w:val="superscript"/>
          <w:lang w:val="en-GB"/>
        </w:rPr>
        <w:t>4</w:t>
      </w:r>
      <w:r w:rsidRPr="00DF12E5">
        <w:rPr>
          <w:rFonts w:ascii="Arial" w:eastAsia="Times New Roman" w:hAnsi="Arial" w:cs="Arial"/>
          <w:lang w:val="en-GB"/>
        </w:rPr>
        <w:t xml:space="preserve"> </w:t>
      </w:r>
    </w:p>
    <w:p w14:paraId="7033AD66" w14:textId="7FDA7ED7" w:rsidR="00476DF3" w:rsidRPr="00DF12E5" w:rsidRDefault="00476DF3" w:rsidP="00D22377">
      <w:pPr>
        <w:widowControl w:val="0"/>
        <w:autoSpaceDE w:val="0"/>
        <w:autoSpaceDN w:val="0"/>
        <w:adjustRightInd w:val="0"/>
        <w:jc w:val="both"/>
        <w:rPr>
          <w:rFonts w:ascii="Arial" w:eastAsia="Times New Roman" w:hAnsi="Arial" w:cs="Arial"/>
          <w:shd w:val="clear" w:color="auto" w:fill="FFFFFF"/>
          <w:lang w:val="en-GB"/>
        </w:rPr>
      </w:pPr>
      <w:r w:rsidRPr="00DF12E5">
        <w:rPr>
          <w:rFonts w:ascii="Arial" w:eastAsia="Times New Roman" w:hAnsi="Arial" w:cs="Arial"/>
          <w:lang w:val="en-GB"/>
        </w:rPr>
        <w:t xml:space="preserve">As </w:t>
      </w:r>
      <w:r w:rsidRPr="00DF12E5">
        <w:rPr>
          <w:rFonts w:ascii="Arial" w:eastAsia="Times New Roman" w:hAnsi="Arial" w:cs="Arial"/>
          <w:i/>
          <w:iCs/>
          <w:lang w:val="en-GB"/>
        </w:rPr>
        <w:t>M. canis</w:t>
      </w:r>
      <w:r w:rsidRPr="00DF12E5">
        <w:rPr>
          <w:rFonts w:ascii="Arial" w:eastAsia="Times New Roman" w:hAnsi="Arial" w:cs="Arial"/>
          <w:lang w:val="en-GB"/>
        </w:rPr>
        <w:t xml:space="preserve"> </w:t>
      </w:r>
      <w:r w:rsidR="00074261" w:rsidRPr="00074261">
        <w:rPr>
          <w:rFonts w:ascii="Arial" w:eastAsia="Times New Roman" w:hAnsi="Arial" w:cs="Arial"/>
          <w:lang w:val="en-GB"/>
        </w:rPr>
        <w:t>infections are highly contagious, antifungal treatment should be systematically recommended to shorten the course of the infection, to reduce dissemination of infective material into the environment and to prevent spread to other animals and people</w:t>
      </w:r>
      <w:r w:rsidRPr="00DF12E5">
        <w:rPr>
          <w:rFonts w:ascii="Arial" w:eastAsia="Cambria" w:hAnsi="Arial" w:cs="Arial"/>
          <w:shd w:val="clear" w:color="auto" w:fill="FFFFFF"/>
          <w:lang w:val="en-GB"/>
        </w:rPr>
        <w:t>.</w:t>
      </w:r>
      <w:r>
        <w:rPr>
          <w:rFonts w:ascii="Arial" w:eastAsia="Cambria" w:hAnsi="Arial" w:cs="Arial"/>
          <w:shd w:val="clear" w:color="auto" w:fill="FFFFFF"/>
          <w:vertAlign w:val="superscript"/>
          <w:lang w:val="en-GB"/>
        </w:rPr>
        <w:t>2</w:t>
      </w:r>
      <w:r w:rsidR="00074261">
        <w:rPr>
          <w:rFonts w:ascii="Arial" w:eastAsia="Cambria" w:hAnsi="Arial" w:cs="Arial"/>
          <w:shd w:val="clear" w:color="auto" w:fill="FFFFFF"/>
          <w:vertAlign w:val="superscript"/>
          <w:lang w:val="en-GB"/>
        </w:rPr>
        <w:t>,5</w:t>
      </w:r>
      <w:r w:rsidRPr="00DF12E5">
        <w:rPr>
          <w:rFonts w:ascii="Arial" w:eastAsia="Cambria" w:hAnsi="Arial" w:cs="Arial"/>
          <w:shd w:val="clear" w:color="auto" w:fill="FFFFFF"/>
          <w:lang w:val="en-GB"/>
        </w:rPr>
        <w:t xml:space="preserve"> </w:t>
      </w:r>
      <w:r w:rsidR="00474C2D" w:rsidRPr="00474C2D">
        <w:rPr>
          <w:rFonts w:ascii="Arial" w:eastAsia="Cambria" w:hAnsi="Arial" w:cs="Arial"/>
          <w:shd w:val="clear" w:color="auto" w:fill="FFFFFF"/>
          <w:lang w:val="en-GB"/>
        </w:rPr>
        <w:t xml:space="preserve">Several antifungal agents were employed into clinical practice for the treatment of </w:t>
      </w:r>
      <w:r w:rsidR="00474C2D" w:rsidRPr="001A6473">
        <w:rPr>
          <w:rFonts w:ascii="Arial" w:eastAsia="Cambria" w:hAnsi="Arial" w:cs="Arial"/>
          <w:i/>
          <w:iCs/>
          <w:shd w:val="clear" w:color="auto" w:fill="FFFFFF"/>
          <w:lang w:val="en-GB"/>
        </w:rPr>
        <w:t>M. canis</w:t>
      </w:r>
      <w:r w:rsidR="00474C2D" w:rsidRPr="00474C2D">
        <w:rPr>
          <w:rFonts w:ascii="Arial" w:eastAsia="Cambria" w:hAnsi="Arial" w:cs="Arial"/>
          <w:shd w:val="clear" w:color="auto" w:fill="FFFFFF"/>
          <w:lang w:val="en-GB"/>
        </w:rPr>
        <w:t xml:space="preserve"> infections in veterinary and human medicine. In particular, griseofulvin (GRI), itraconazole (ITC) and terbinafine (TRB) were used in veterinary medicine and</w:t>
      </w:r>
      <w:r w:rsidR="005110BB">
        <w:rPr>
          <w:rFonts w:ascii="Arial" w:eastAsia="Cambria" w:hAnsi="Arial" w:cs="Arial"/>
          <w:shd w:val="clear" w:color="auto" w:fill="FFFFFF"/>
          <w:lang w:val="en-GB"/>
        </w:rPr>
        <w:t xml:space="preserve"> fluconazole (</w:t>
      </w:r>
      <w:r w:rsidR="00474C2D" w:rsidRPr="00474C2D">
        <w:rPr>
          <w:rFonts w:ascii="Arial" w:eastAsia="Cambria" w:hAnsi="Arial" w:cs="Arial"/>
          <w:shd w:val="clear" w:color="auto" w:fill="FFFFFF"/>
          <w:lang w:val="en-GB"/>
        </w:rPr>
        <w:t>FL</w:t>
      </w:r>
      <w:r w:rsidR="00474C2D">
        <w:rPr>
          <w:rFonts w:ascii="Arial" w:eastAsia="Cambria" w:hAnsi="Arial" w:cs="Arial"/>
          <w:shd w:val="clear" w:color="auto" w:fill="FFFFFF"/>
          <w:lang w:val="en-GB"/>
        </w:rPr>
        <w:t>C</w:t>
      </w:r>
      <w:r w:rsidR="005110BB">
        <w:rPr>
          <w:rFonts w:ascii="Arial" w:eastAsia="Cambria" w:hAnsi="Arial" w:cs="Arial"/>
          <w:shd w:val="clear" w:color="auto" w:fill="FFFFFF"/>
          <w:lang w:val="en-GB"/>
        </w:rPr>
        <w:t>)</w:t>
      </w:r>
      <w:r w:rsidR="00474C2D" w:rsidRPr="00474C2D">
        <w:rPr>
          <w:rFonts w:ascii="Arial" w:eastAsia="Cambria" w:hAnsi="Arial" w:cs="Arial"/>
          <w:shd w:val="clear" w:color="auto" w:fill="FFFFFF"/>
          <w:lang w:val="en-GB"/>
        </w:rPr>
        <w:t xml:space="preserve"> in human medicine</w:t>
      </w:r>
      <w:r>
        <w:rPr>
          <w:rFonts w:ascii="Arial" w:eastAsia="Cambria" w:hAnsi="Arial" w:cs="Arial"/>
          <w:lang w:val="en-GB"/>
        </w:rPr>
        <w:t>.</w:t>
      </w:r>
      <w:r>
        <w:rPr>
          <w:rFonts w:ascii="Arial" w:eastAsia="Cambria" w:hAnsi="Arial" w:cs="Arial"/>
          <w:vertAlign w:val="superscript"/>
          <w:lang w:val="en-GB"/>
        </w:rPr>
        <w:t>2,</w:t>
      </w:r>
      <w:r w:rsidR="00261B88">
        <w:rPr>
          <w:rFonts w:ascii="Arial" w:eastAsia="Cambria" w:hAnsi="Arial" w:cs="Arial"/>
          <w:vertAlign w:val="superscript"/>
          <w:lang w:val="en-GB"/>
        </w:rPr>
        <w:t>5,6</w:t>
      </w:r>
      <w:r w:rsidRPr="00DF12E5">
        <w:rPr>
          <w:rFonts w:ascii="Arial" w:eastAsia="Cambria" w:hAnsi="Arial" w:cs="Arial"/>
          <w:lang w:val="en-GB"/>
        </w:rPr>
        <w:t xml:space="preserve"> The activity spectrum of these compounds is variable</w:t>
      </w:r>
      <w:r w:rsidR="00AE127C" w:rsidRPr="001A6473">
        <w:rPr>
          <w:lang w:val="en-US"/>
        </w:rPr>
        <w:t xml:space="preserve"> </w:t>
      </w:r>
      <w:r w:rsidR="005110BB">
        <w:rPr>
          <w:lang w:val="en-US"/>
        </w:rPr>
        <w:t xml:space="preserve">and </w:t>
      </w:r>
      <w:r w:rsidR="00AE127C" w:rsidRPr="00AE127C">
        <w:rPr>
          <w:rFonts w:ascii="Arial" w:eastAsia="Cambria" w:hAnsi="Arial" w:cs="Arial"/>
          <w:lang w:val="en-GB"/>
        </w:rPr>
        <w:t>treatment failure is recorded in 25-40% of treated human patients</w:t>
      </w:r>
      <w:r w:rsidRPr="00DF12E5">
        <w:rPr>
          <w:rFonts w:ascii="Arial" w:eastAsia="Cambria" w:hAnsi="Arial" w:cs="Arial"/>
          <w:lang w:val="en-GB"/>
        </w:rPr>
        <w:t>, as a consequence of poor patient compliance, lack of drug penetration into tissue, medication bioavailability,</w:t>
      </w:r>
      <w:r w:rsidR="00A67F62">
        <w:rPr>
          <w:rFonts w:ascii="Arial" w:eastAsia="Cambria" w:hAnsi="Arial" w:cs="Arial"/>
          <w:lang w:val="en-GB"/>
        </w:rPr>
        <w:t xml:space="preserve"> </w:t>
      </w:r>
      <w:r w:rsidRPr="00DF12E5">
        <w:rPr>
          <w:rFonts w:ascii="Arial" w:eastAsia="Cambria" w:hAnsi="Arial" w:cs="Arial"/>
          <w:lang w:val="en-GB"/>
        </w:rPr>
        <w:t>drug-drug interactions and/or the occurrence of antifungal resistance</w:t>
      </w:r>
      <w:r>
        <w:rPr>
          <w:rFonts w:ascii="Arial" w:eastAsia="Cambria" w:hAnsi="Arial" w:cs="Arial"/>
          <w:lang w:val="en-GB"/>
        </w:rPr>
        <w:t>.</w:t>
      </w:r>
      <w:r w:rsidR="00261B88">
        <w:rPr>
          <w:rFonts w:ascii="Arial" w:eastAsia="Cambria" w:hAnsi="Arial" w:cs="Arial"/>
          <w:vertAlign w:val="superscript"/>
          <w:lang w:val="en-GB"/>
        </w:rPr>
        <w:t>7</w:t>
      </w:r>
      <w:r w:rsidRPr="00DF12E5">
        <w:rPr>
          <w:rFonts w:ascii="Arial" w:eastAsia="Cambria" w:hAnsi="Arial" w:cs="Arial"/>
          <w:lang w:val="en-GB"/>
        </w:rPr>
        <w:t xml:space="preserve"> </w:t>
      </w:r>
      <w:r>
        <w:rPr>
          <w:rFonts w:ascii="Arial" w:eastAsia="Cambria" w:hAnsi="Arial" w:cs="Arial"/>
          <w:lang w:val="en-GB"/>
        </w:rPr>
        <w:t>P</w:t>
      </w:r>
      <w:r w:rsidRPr="00DF12E5">
        <w:rPr>
          <w:rFonts w:ascii="Arial" w:eastAsia="Cambria" w:hAnsi="Arial" w:cs="Arial"/>
          <w:lang w:val="en-GB"/>
        </w:rPr>
        <w:t>articular</w:t>
      </w:r>
      <w:r>
        <w:rPr>
          <w:rFonts w:ascii="Arial" w:eastAsia="Cambria" w:hAnsi="Arial" w:cs="Arial"/>
          <w:lang w:val="en-GB"/>
        </w:rPr>
        <w:t>ly</w:t>
      </w:r>
      <w:r w:rsidRPr="00DF12E5">
        <w:rPr>
          <w:rFonts w:ascii="Arial" w:eastAsia="Cambria" w:hAnsi="Arial" w:cs="Arial"/>
          <w:lang w:val="en-GB"/>
        </w:rPr>
        <w:t xml:space="preserve">, the latter is considered an emerging threat involving many fungal species (i.e. </w:t>
      </w:r>
      <w:r w:rsidRPr="00DF12E5">
        <w:rPr>
          <w:rFonts w:ascii="Arial" w:eastAsia="Cambria" w:hAnsi="Arial" w:cs="Arial"/>
          <w:i/>
          <w:iCs/>
          <w:lang w:val="en-GB"/>
        </w:rPr>
        <w:t>Aspergillus</w:t>
      </w:r>
      <w:r w:rsidRPr="00DF12E5">
        <w:rPr>
          <w:rFonts w:ascii="Arial" w:eastAsia="Cambria" w:hAnsi="Arial" w:cs="Arial"/>
          <w:lang w:val="en-GB"/>
        </w:rPr>
        <w:t xml:space="preserve"> and </w:t>
      </w:r>
      <w:r w:rsidRPr="00DF12E5">
        <w:rPr>
          <w:rFonts w:ascii="Arial" w:eastAsia="Cambria" w:hAnsi="Arial" w:cs="Arial"/>
          <w:i/>
          <w:iCs/>
          <w:lang w:val="en-GB"/>
        </w:rPr>
        <w:t>Candida</w:t>
      </w:r>
      <w:r w:rsidRPr="00DF12E5">
        <w:rPr>
          <w:rFonts w:ascii="Arial" w:eastAsia="Cambria" w:hAnsi="Arial" w:cs="Arial"/>
          <w:lang w:val="en-GB"/>
        </w:rPr>
        <w:t xml:space="preserve"> spp.), but antifungal resistance in dermatophytes has been only described for </w:t>
      </w:r>
      <w:r w:rsidRPr="00DF12E5">
        <w:rPr>
          <w:rFonts w:ascii="Arial" w:eastAsia="Cambria" w:hAnsi="Arial" w:cs="Arial"/>
          <w:i/>
          <w:iCs/>
          <w:lang w:val="en-GB"/>
        </w:rPr>
        <w:t>Trichophyton rubrum</w:t>
      </w:r>
      <w:r w:rsidRPr="00DF12E5">
        <w:rPr>
          <w:rFonts w:ascii="Arial" w:eastAsia="Cambria" w:hAnsi="Arial" w:cs="Arial"/>
          <w:lang w:val="en-GB"/>
        </w:rPr>
        <w:t>,</w:t>
      </w:r>
      <w:r w:rsidR="00FA7981">
        <w:rPr>
          <w:rFonts w:ascii="Arial" w:eastAsia="Cambria" w:hAnsi="Arial" w:cs="Arial"/>
          <w:vertAlign w:val="superscript"/>
          <w:lang w:val="en-GB"/>
        </w:rPr>
        <w:t>6</w:t>
      </w:r>
      <w:r>
        <w:rPr>
          <w:rFonts w:ascii="Arial" w:eastAsia="Cambria" w:hAnsi="Arial" w:cs="Arial"/>
          <w:vertAlign w:val="superscript"/>
          <w:lang w:val="en-GB"/>
        </w:rPr>
        <w:t>,</w:t>
      </w:r>
      <w:r w:rsidR="00FA7981">
        <w:rPr>
          <w:rFonts w:ascii="Arial" w:eastAsia="Cambria" w:hAnsi="Arial" w:cs="Arial"/>
          <w:vertAlign w:val="superscript"/>
          <w:lang w:val="en-GB"/>
        </w:rPr>
        <w:t>8</w:t>
      </w:r>
      <w:r w:rsidRPr="00DF12E5">
        <w:rPr>
          <w:rFonts w:ascii="Arial" w:eastAsia="Cambria" w:hAnsi="Arial" w:cs="Arial"/>
          <w:lang w:val="en-GB"/>
        </w:rPr>
        <w:t xml:space="preserve"> </w:t>
      </w:r>
      <w:r w:rsidRPr="00DF12E5">
        <w:rPr>
          <w:rFonts w:ascii="Arial" w:eastAsia="Cambria" w:hAnsi="Arial" w:cs="Arial"/>
          <w:i/>
          <w:iCs/>
          <w:lang w:val="en-GB"/>
        </w:rPr>
        <w:t>Trichophyton mentagrophytes</w:t>
      </w:r>
      <w:r w:rsidRPr="00DF12E5">
        <w:rPr>
          <w:rFonts w:ascii="Arial" w:eastAsia="Cambria" w:hAnsi="Arial" w:cs="Arial"/>
          <w:lang w:val="en-GB"/>
        </w:rPr>
        <w:t xml:space="preserve"> </w:t>
      </w:r>
      <w:r w:rsidR="00714FC1">
        <w:rPr>
          <w:rFonts w:ascii="Arial" w:eastAsia="Cambria" w:hAnsi="Arial" w:cs="Arial"/>
          <w:vertAlign w:val="superscript"/>
          <w:lang w:val="en-GB"/>
        </w:rPr>
        <w:t xml:space="preserve">9 </w:t>
      </w:r>
      <w:r w:rsidRPr="00DF12E5">
        <w:rPr>
          <w:rFonts w:ascii="Arial" w:eastAsia="Cambria" w:hAnsi="Arial" w:cs="Arial"/>
          <w:lang w:val="en-GB"/>
        </w:rPr>
        <w:t xml:space="preserve">and, </w:t>
      </w:r>
      <w:r>
        <w:rPr>
          <w:rFonts w:ascii="Arial" w:eastAsia="Cambria" w:hAnsi="Arial" w:cs="Arial"/>
          <w:lang w:val="en-GB"/>
        </w:rPr>
        <w:t>rarely</w:t>
      </w:r>
      <w:r w:rsidRPr="00DF12E5">
        <w:rPr>
          <w:rFonts w:ascii="Arial" w:eastAsia="Cambria" w:hAnsi="Arial" w:cs="Arial"/>
          <w:lang w:val="en-GB"/>
        </w:rPr>
        <w:t xml:space="preserve"> </w:t>
      </w:r>
      <w:r>
        <w:rPr>
          <w:rFonts w:ascii="Arial" w:eastAsia="Cambria" w:hAnsi="Arial" w:cs="Arial"/>
          <w:lang w:val="en-GB"/>
        </w:rPr>
        <w:t xml:space="preserve">in </w:t>
      </w:r>
      <w:r w:rsidRPr="00DF12E5">
        <w:rPr>
          <w:rFonts w:ascii="Arial" w:eastAsia="Cambria" w:hAnsi="Arial" w:cs="Arial"/>
          <w:i/>
          <w:iCs/>
          <w:lang w:val="en-GB"/>
        </w:rPr>
        <w:t>M. canis</w:t>
      </w:r>
      <w:r w:rsidRPr="00DF12E5">
        <w:rPr>
          <w:rFonts w:ascii="Arial" w:eastAsia="Cambria" w:hAnsi="Arial" w:cs="Arial"/>
          <w:lang w:val="en-GB"/>
        </w:rPr>
        <w:t>.</w:t>
      </w:r>
      <w:r w:rsidR="00714FC1">
        <w:rPr>
          <w:rFonts w:ascii="Arial" w:eastAsia="Cambria" w:hAnsi="Arial" w:cs="Arial"/>
          <w:vertAlign w:val="superscript"/>
          <w:lang w:val="en-GB"/>
        </w:rPr>
        <w:t>10</w:t>
      </w:r>
      <w:r w:rsidRPr="00DF12E5">
        <w:rPr>
          <w:rFonts w:ascii="Arial" w:eastAsia="Times New Roman" w:hAnsi="Arial" w:cs="Arial"/>
          <w:lang w:val="en-GB"/>
        </w:rPr>
        <w:t xml:space="preserve"> </w:t>
      </w:r>
      <w:r w:rsidR="00AE127C" w:rsidRPr="00AE127C">
        <w:rPr>
          <w:rFonts w:ascii="Arial" w:eastAsia="Times New Roman" w:hAnsi="Arial" w:cs="Arial"/>
          <w:lang w:val="en-GB"/>
        </w:rPr>
        <w:t xml:space="preserve">The frequency of azole treatment failures of </w:t>
      </w:r>
      <w:r w:rsidR="00AE127C" w:rsidRPr="001A6473">
        <w:rPr>
          <w:rFonts w:ascii="Arial" w:eastAsia="Times New Roman" w:hAnsi="Arial" w:cs="Arial"/>
          <w:i/>
          <w:iCs/>
          <w:lang w:val="en-GB"/>
        </w:rPr>
        <w:t>M. canis</w:t>
      </w:r>
      <w:r w:rsidR="00AE127C" w:rsidRPr="00AE127C">
        <w:rPr>
          <w:rFonts w:ascii="Arial" w:eastAsia="Times New Roman" w:hAnsi="Arial" w:cs="Arial"/>
          <w:lang w:val="en-GB"/>
        </w:rPr>
        <w:t xml:space="preserve"> infections in animals is scant. However, recently a study reported </w:t>
      </w:r>
      <w:r w:rsidR="005110BB">
        <w:rPr>
          <w:rFonts w:ascii="Arial" w:eastAsia="Times New Roman" w:hAnsi="Arial" w:cs="Arial"/>
          <w:lang w:val="en-GB"/>
        </w:rPr>
        <w:t xml:space="preserve">TER </w:t>
      </w:r>
      <w:r w:rsidR="00AE127C" w:rsidRPr="00AE127C">
        <w:rPr>
          <w:rFonts w:ascii="Arial" w:eastAsia="Times New Roman" w:hAnsi="Arial" w:cs="Arial"/>
          <w:lang w:val="en-GB"/>
        </w:rPr>
        <w:t xml:space="preserve">treatment failure in </w:t>
      </w:r>
      <w:r w:rsidR="00AE127C" w:rsidRPr="001A6473">
        <w:rPr>
          <w:rFonts w:ascii="Arial" w:eastAsia="Times New Roman" w:hAnsi="Arial" w:cs="Arial"/>
          <w:i/>
          <w:iCs/>
          <w:lang w:val="en-GB"/>
        </w:rPr>
        <w:t>M. canis</w:t>
      </w:r>
      <w:r w:rsidR="00AE127C" w:rsidRPr="00AE127C">
        <w:rPr>
          <w:rFonts w:ascii="Arial" w:eastAsia="Times New Roman" w:hAnsi="Arial" w:cs="Arial"/>
          <w:lang w:val="en-GB"/>
        </w:rPr>
        <w:t xml:space="preserve"> infections of animals</w:t>
      </w:r>
      <w:r w:rsidR="00AE127C">
        <w:rPr>
          <w:rFonts w:ascii="Arial" w:eastAsia="Times New Roman" w:hAnsi="Arial" w:cs="Arial"/>
          <w:lang w:val="en-GB"/>
        </w:rPr>
        <w:t>.</w:t>
      </w:r>
      <w:r w:rsidR="001C2A87">
        <w:rPr>
          <w:rFonts w:ascii="Arial" w:eastAsia="Times New Roman" w:hAnsi="Arial" w:cs="Arial"/>
          <w:vertAlign w:val="superscript"/>
          <w:lang w:val="en-GB"/>
        </w:rPr>
        <w:t>1</w:t>
      </w:r>
      <w:r w:rsidR="00714FC1">
        <w:rPr>
          <w:rFonts w:ascii="Arial" w:eastAsia="Times New Roman" w:hAnsi="Arial" w:cs="Arial"/>
          <w:vertAlign w:val="superscript"/>
          <w:lang w:val="en-GB"/>
        </w:rPr>
        <w:t>0</w:t>
      </w:r>
      <w:r>
        <w:rPr>
          <w:rFonts w:ascii="Arial" w:eastAsia="Times New Roman" w:hAnsi="Arial" w:cs="Arial"/>
          <w:lang w:val="en-GB"/>
        </w:rPr>
        <w:t xml:space="preserve"> </w:t>
      </w:r>
      <w:r w:rsidRPr="00DF12E5">
        <w:rPr>
          <w:rFonts w:ascii="Arial" w:eastAsia="Times New Roman" w:hAnsi="Arial" w:cs="Arial"/>
          <w:lang w:val="en-GB"/>
        </w:rPr>
        <w:t>Nevertheless, these observations have led to an increased interest in antifungal susceptibility testing for dermatophytes. However, t</w:t>
      </w:r>
      <w:r>
        <w:rPr>
          <w:rFonts w:ascii="Arial" w:eastAsia="Times New Roman" w:hAnsi="Arial" w:cs="Arial"/>
          <w:lang w:val="en-GB"/>
        </w:rPr>
        <w:t>ill</w:t>
      </w:r>
      <w:r w:rsidRPr="00DF12E5">
        <w:rPr>
          <w:rFonts w:ascii="Arial" w:eastAsia="Times New Roman" w:hAnsi="Arial" w:cs="Arial"/>
          <w:lang w:val="en-GB"/>
        </w:rPr>
        <w:t xml:space="preserve"> date, methodological inconsistencies mainly related to the standardization of the inoculum preparation and incubation times impair unequivocal interpretations of </w:t>
      </w:r>
      <w:r w:rsidRPr="00DF12E5">
        <w:rPr>
          <w:rFonts w:ascii="Arial" w:eastAsia="Times New Roman" w:hAnsi="Arial" w:cs="Arial"/>
          <w:i/>
          <w:iCs/>
          <w:lang w:val="en-GB"/>
        </w:rPr>
        <w:t>in vitro</w:t>
      </w:r>
      <w:r w:rsidRPr="00DF12E5">
        <w:rPr>
          <w:rFonts w:ascii="Arial" w:eastAsia="Times New Roman" w:hAnsi="Arial" w:cs="Arial"/>
          <w:lang w:val="en-GB"/>
        </w:rPr>
        <w:t xml:space="preserve"> susceptibility assays</w:t>
      </w:r>
      <w:r w:rsidRPr="00DF12E5">
        <w:rPr>
          <w:rFonts w:ascii="Arial" w:eastAsia="Times New Roman" w:hAnsi="Arial" w:cs="Arial"/>
          <w:shd w:val="clear" w:color="auto" w:fill="FFFFFF"/>
          <w:lang w:val="en-GB"/>
        </w:rPr>
        <w:t>.</w:t>
      </w:r>
      <w:r w:rsidR="001C2A87">
        <w:rPr>
          <w:rFonts w:ascii="Arial" w:eastAsia="Times New Roman" w:hAnsi="Arial" w:cs="Arial"/>
          <w:shd w:val="clear" w:color="auto" w:fill="FFFFFF"/>
          <w:vertAlign w:val="superscript"/>
          <w:lang w:val="en-GB"/>
        </w:rPr>
        <w:t>1</w:t>
      </w:r>
      <w:r w:rsidR="00714FC1">
        <w:rPr>
          <w:rFonts w:ascii="Arial" w:eastAsia="Times New Roman" w:hAnsi="Arial" w:cs="Arial"/>
          <w:shd w:val="clear" w:color="auto" w:fill="FFFFFF"/>
          <w:vertAlign w:val="superscript"/>
          <w:lang w:val="en-GB"/>
        </w:rPr>
        <w:t>1</w:t>
      </w:r>
      <w:r w:rsidRPr="00DF12E5">
        <w:rPr>
          <w:rFonts w:ascii="Arial" w:eastAsia="Times New Roman" w:hAnsi="Arial" w:cs="Arial"/>
          <w:shd w:val="clear" w:color="auto" w:fill="FFFFFF"/>
          <w:lang w:val="en-GB"/>
        </w:rPr>
        <w:t xml:space="preserve"> Several </w:t>
      </w:r>
      <w:r w:rsidRPr="00DF12E5">
        <w:rPr>
          <w:rFonts w:ascii="Arial" w:eastAsia="Times New Roman" w:hAnsi="Arial" w:cs="Arial"/>
          <w:lang w:val="en-GB"/>
        </w:rPr>
        <w:t xml:space="preserve">studies have been conducted on antifungal susceptibility of </w:t>
      </w:r>
      <w:r w:rsidRPr="00DF12E5">
        <w:rPr>
          <w:rFonts w:ascii="Arial" w:eastAsia="Times New Roman" w:hAnsi="Arial" w:cs="Arial"/>
          <w:i/>
          <w:iCs/>
          <w:lang w:val="en-GB"/>
        </w:rPr>
        <w:t>M. canis</w:t>
      </w:r>
      <w:r w:rsidRPr="00DF12E5">
        <w:rPr>
          <w:rFonts w:ascii="Arial" w:eastAsia="Times New Roman" w:hAnsi="Arial" w:cs="Arial"/>
          <w:lang w:val="en-GB"/>
        </w:rPr>
        <w:t xml:space="preserve"> using </w:t>
      </w:r>
      <w:r w:rsidRPr="00DF12E5">
        <w:rPr>
          <w:rFonts w:ascii="Arial" w:eastAsia="Times New Roman" w:hAnsi="Arial" w:cs="Arial"/>
          <w:shd w:val="clear" w:color="auto" w:fill="FFFFFF"/>
          <w:lang w:val="en-GB"/>
        </w:rPr>
        <w:t xml:space="preserve">inocula consisting of both conidia and hyphae-conidia, and different incubation times (from </w:t>
      </w:r>
      <w:r>
        <w:rPr>
          <w:rFonts w:ascii="Arial" w:eastAsia="Times New Roman" w:hAnsi="Arial" w:cs="Arial"/>
          <w:shd w:val="clear" w:color="auto" w:fill="FFFFFF"/>
          <w:lang w:val="en-GB"/>
        </w:rPr>
        <w:t>three</w:t>
      </w:r>
      <w:r w:rsidRPr="00DF12E5">
        <w:rPr>
          <w:rFonts w:ascii="Arial" w:eastAsia="Times New Roman" w:hAnsi="Arial" w:cs="Arial"/>
          <w:shd w:val="clear" w:color="auto" w:fill="FFFFFF"/>
          <w:lang w:val="en-GB"/>
        </w:rPr>
        <w:t xml:space="preserve"> to </w:t>
      </w:r>
      <w:r>
        <w:rPr>
          <w:rFonts w:ascii="Arial" w:eastAsia="Times New Roman" w:hAnsi="Arial" w:cs="Arial"/>
          <w:shd w:val="clear" w:color="auto" w:fill="FFFFFF"/>
          <w:lang w:val="en-GB"/>
        </w:rPr>
        <w:t>seven</w:t>
      </w:r>
      <w:r w:rsidRPr="00DF12E5">
        <w:rPr>
          <w:rFonts w:ascii="Arial" w:eastAsia="Times New Roman" w:hAnsi="Arial" w:cs="Arial"/>
          <w:shd w:val="clear" w:color="auto" w:fill="FFFFFF"/>
          <w:lang w:val="en-GB"/>
        </w:rPr>
        <w:t xml:space="preserve"> days)</w:t>
      </w:r>
      <w:r>
        <w:rPr>
          <w:rFonts w:ascii="Arial" w:eastAsia="Times New Roman" w:hAnsi="Arial" w:cs="Arial"/>
          <w:shd w:val="clear" w:color="auto" w:fill="FFFFFF"/>
          <w:lang w:val="en-GB"/>
        </w:rPr>
        <w:t>.</w:t>
      </w:r>
      <w:r w:rsidR="001C2A87">
        <w:rPr>
          <w:rFonts w:ascii="Arial" w:eastAsia="Times New Roman" w:hAnsi="Arial" w:cs="Arial"/>
          <w:shd w:val="clear" w:color="auto" w:fill="FFFFFF"/>
          <w:vertAlign w:val="superscript"/>
          <w:lang w:val="en-GB"/>
        </w:rPr>
        <w:t>1</w:t>
      </w:r>
      <w:r w:rsidR="00714FC1">
        <w:rPr>
          <w:rFonts w:ascii="Arial" w:eastAsia="Times New Roman" w:hAnsi="Arial" w:cs="Arial"/>
          <w:shd w:val="clear" w:color="auto" w:fill="FFFFFF"/>
          <w:vertAlign w:val="superscript"/>
          <w:lang w:val="en-GB"/>
        </w:rPr>
        <w:t>1</w:t>
      </w:r>
      <w:r w:rsidRPr="00DF12E5">
        <w:rPr>
          <w:rFonts w:ascii="Arial" w:eastAsia="Times New Roman" w:hAnsi="Arial" w:cs="Arial"/>
          <w:shd w:val="clear" w:color="auto" w:fill="FFFFFF"/>
          <w:lang w:val="en-GB"/>
        </w:rPr>
        <w:t xml:space="preserve"> In</w:t>
      </w:r>
      <w:r w:rsidRPr="00DF12E5">
        <w:rPr>
          <w:rFonts w:ascii="Arial" w:eastAsia="Times New Roman" w:hAnsi="Arial" w:cs="Arial"/>
          <w:lang w:val="en-GB"/>
        </w:rPr>
        <w:t xml:space="preserve"> some dermatophytes (</w:t>
      </w:r>
      <w:r w:rsidRPr="00DF12E5">
        <w:rPr>
          <w:rFonts w:ascii="Arial" w:eastAsia="Times New Roman" w:hAnsi="Arial" w:cs="Arial"/>
          <w:i/>
          <w:iCs/>
          <w:lang w:val="en-GB"/>
        </w:rPr>
        <w:t>T. rubrum</w:t>
      </w:r>
      <w:r w:rsidRPr="00DF12E5">
        <w:rPr>
          <w:rFonts w:ascii="Arial" w:eastAsia="Times New Roman" w:hAnsi="Arial" w:cs="Arial"/>
          <w:lang w:val="en-GB"/>
        </w:rPr>
        <w:t xml:space="preserve"> and </w:t>
      </w:r>
      <w:r w:rsidRPr="00DF12E5">
        <w:rPr>
          <w:rFonts w:ascii="Arial" w:eastAsia="Times New Roman" w:hAnsi="Arial" w:cs="Arial"/>
          <w:i/>
          <w:iCs/>
          <w:lang w:val="en-GB"/>
        </w:rPr>
        <w:t>T. mentagrophytes</w:t>
      </w:r>
      <w:r w:rsidRPr="00DF12E5">
        <w:rPr>
          <w:rFonts w:ascii="Arial" w:eastAsia="Times New Roman" w:hAnsi="Arial" w:cs="Arial"/>
          <w:lang w:val="en-GB"/>
        </w:rPr>
        <w:t xml:space="preserve">), the wall of the macroconidia is considerably thicker than the hyphae, </w:t>
      </w:r>
      <w:r>
        <w:rPr>
          <w:rFonts w:ascii="Arial" w:eastAsia="Times New Roman" w:hAnsi="Arial" w:cs="Arial"/>
          <w:lang w:val="en-GB"/>
        </w:rPr>
        <w:t>thus</w:t>
      </w:r>
      <w:r w:rsidRPr="00DF12E5">
        <w:rPr>
          <w:rFonts w:ascii="Arial" w:eastAsia="Times New Roman" w:hAnsi="Arial" w:cs="Arial"/>
          <w:lang w:val="en-GB"/>
        </w:rPr>
        <w:t xml:space="preserve"> affect</w:t>
      </w:r>
      <w:r>
        <w:rPr>
          <w:rFonts w:ascii="Arial" w:eastAsia="Times New Roman" w:hAnsi="Arial" w:cs="Arial"/>
          <w:lang w:val="en-GB"/>
        </w:rPr>
        <w:t xml:space="preserve">ing </w:t>
      </w:r>
      <w:r w:rsidRPr="00DF12E5">
        <w:rPr>
          <w:rFonts w:ascii="Arial" w:eastAsia="Times New Roman" w:hAnsi="Arial" w:cs="Arial"/>
          <w:lang w:val="en-GB"/>
        </w:rPr>
        <w:t xml:space="preserve"> the overall antifungal susceptibility profile of the fungus.</w:t>
      </w:r>
      <w:r>
        <w:rPr>
          <w:rFonts w:ascii="Arial" w:eastAsia="Times New Roman" w:hAnsi="Arial" w:cs="Arial"/>
          <w:vertAlign w:val="superscript"/>
          <w:lang w:val="en-GB"/>
        </w:rPr>
        <w:t>1</w:t>
      </w:r>
      <w:r w:rsidR="00714FC1">
        <w:rPr>
          <w:rFonts w:ascii="Arial" w:eastAsia="Times New Roman" w:hAnsi="Arial" w:cs="Arial"/>
          <w:vertAlign w:val="superscript"/>
          <w:lang w:val="en-GB"/>
        </w:rPr>
        <w:t>2</w:t>
      </w:r>
      <w:r>
        <w:rPr>
          <w:rFonts w:ascii="Arial" w:eastAsia="Times New Roman" w:hAnsi="Arial" w:cs="Arial"/>
          <w:vertAlign w:val="superscript"/>
          <w:lang w:val="en-GB"/>
        </w:rPr>
        <w:t>,1</w:t>
      </w:r>
      <w:r w:rsidR="00714FC1">
        <w:rPr>
          <w:rFonts w:ascii="Arial" w:eastAsia="Times New Roman" w:hAnsi="Arial" w:cs="Arial"/>
          <w:vertAlign w:val="superscript"/>
          <w:lang w:val="en-GB"/>
        </w:rPr>
        <w:t>3</w:t>
      </w:r>
      <w:r w:rsidRPr="00DF12E5">
        <w:rPr>
          <w:rFonts w:ascii="Arial" w:eastAsia="Times New Roman" w:hAnsi="Arial" w:cs="Arial"/>
          <w:lang w:val="en-GB"/>
        </w:rPr>
        <w:t xml:space="preserve"> However, dermatophytes also produce </w:t>
      </w:r>
      <w:r w:rsidRPr="00DF12E5">
        <w:rPr>
          <w:rFonts w:ascii="Arial" w:eastAsia="Times New Roman" w:hAnsi="Arial" w:cs="Arial"/>
          <w:color w:val="292526"/>
          <w:lang w:val="en-GB"/>
        </w:rPr>
        <w:t>arthroconidia,</w:t>
      </w:r>
      <w:r w:rsidRPr="00DF12E5">
        <w:rPr>
          <w:rFonts w:ascii="Arial" w:eastAsia="Times New Roman" w:hAnsi="Arial" w:cs="Arial"/>
          <w:lang w:val="en-GB"/>
        </w:rPr>
        <w:t xml:space="preserve"> </w:t>
      </w:r>
      <w:r w:rsidRPr="00DF12E5">
        <w:rPr>
          <w:rFonts w:ascii="Arial" w:eastAsia="Times New Roman" w:hAnsi="Arial" w:cs="Arial"/>
          <w:color w:val="292526"/>
          <w:lang w:val="en-GB"/>
        </w:rPr>
        <w:t>a cellular</w:t>
      </w:r>
      <w:r w:rsidRPr="00DF12E5">
        <w:rPr>
          <w:rFonts w:ascii="Arial" w:eastAsia="Times New Roman" w:hAnsi="Arial" w:cs="Arial"/>
          <w:lang w:val="en-GB"/>
        </w:rPr>
        <w:t xml:space="preserve"> </w:t>
      </w:r>
      <w:r w:rsidRPr="00DF12E5">
        <w:rPr>
          <w:rFonts w:ascii="Arial" w:eastAsia="Times New Roman" w:hAnsi="Arial" w:cs="Arial"/>
          <w:color w:val="292526"/>
          <w:lang w:val="en-GB"/>
        </w:rPr>
        <w:t>structure presumably more resistant to antifungals, which may be responsible for therapeutic failure.</w:t>
      </w:r>
      <w:r w:rsidR="001766B4">
        <w:rPr>
          <w:rFonts w:ascii="Arial" w:eastAsia="Times New Roman" w:hAnsi="Arial" w:cs="Arial"/>
          <w:color w:val="292526"/>
          <w:vertAlign w:val="superscript"/>
          <w:lang w:val="en-GB"/>
        </w:rPr>
        <w:t>7</w:t>
      </w:r>
      <w:r>
        <w:rPr>
          <w:rFonts w:ascii="Arial" w:eastAsia="Times New Roman" w:hAnsi="Arial" w:cs="Arial"/>
          <w:color w:val="292526"/>
          <w:vertAlign w:val="superscript"/>
          <w:lang w:val="en-GB"/>
        </w:rPr>
        <w:t>,1</w:t>
      </w:r>
      <w:r w:rsidR="00714FC1">
        <w:rPr>
          <w:rFonts w:ascii="Arial" w:eastAsia="Times New Roman" w:hAnsi="Arial" w:cs="Arial"/>
          <w:color w:val="292526"/>
          <w:vertAlign w:val="superscript"/>
          <w:lang w:val="en-GB"/>
        </w:rPr>
        <w:t>4</w:t>
      </w:r>
      <w:r w:rsidRPr="00DF12E5">
        <w:rPr>
          <w:rFonts w:ascii="Arial" w:eastAsia="Times New Roman" w:hAnsi="Arial" w:cs="Arial"/>
          <w:lang w:val="en-GB"/>
        </w:rPr>
        <w:t xml:space="preserve"> No data is currently available on the antifungal susceptibilities of these three fungal structures (i.e., conidia, hyphae-conidia and arthroconidia) of </w:t>
      </w:r>
      <w:r w:rsidRPr="00DF12E5">
        <w:rPr>
          <w:rFonts w:ascii="Arial" w:eastAsia="Times New Roman" w:hAnsi="Arial" w:cs="Arial"/>
          <w:i/>
          <w:iCs/>
          <w:lang w:val="en-GB"/>
        </w:rPr>
        <w:t>M.canis</w:t>
      </w:r>
      <w:r w:rsidRPr="00DF12E5">
        <w:rPr>
          <w:rFonts w:ascii="Arial" w:eastAsia="Times New Roman" w:hAnsi="Arial" w:cs="Arial"/>
          <w:lang w:val="en-GB"/>
        </w:rPr>
        <w:t xml:space="preserve">. </w:t>
      </w:r>
      <w:r>
        <w:rPr>
          <w:rFonts w:ascii="Arial" w:eastAsia="Times New Roman" w:hAnsi="Arial" w:cs="Arial"/>
          <w:lang w:val="en-GB"/>
        </w:rPr>
        <w:t>Since</w:t>
      </w:r>
      <w:r w:rsidRPr="00DF12E5">
        <w:rPr>
          <w:rFonts w:ascii="Arial" w:eastAsia="Times New Roman" w:hAnsi="Arial" w:cs="Arial"/>
          <w:lang w:val="en-GB"/>
        </w:rPr>
        <w:t xml:space="preserve"> data correlating </w:t>
      </w:r>
      <w:r w:rsidRPr="00DF12E5">
        <w:rPr>
          <w:rFonts w:ascii="Arial" w:eastAsia="Times New Roman" w:hAnsi="Arial" w:cs="Arial"/>
          <w:i/>
          <w:iCs/>
          <w:lang w:val="en-GB"/>
        </w:rPr>
        <w:t>in vitro</w:t>
      </w:r>
      <w:r w:rsidRPr="00DF12E5">
        <w:rPr>
          <w:rFonts w:ascii="Arial" w:eastAsia="Times New Roman" w:hAnsi="Arial" w:cs="Arial"/>
          <w:lang w:val="en-GB"/>
        </w:rPr>
        <w:t xml:space="preserve"> drug susceptibility with clinical outcomes</w:t>
      </w:r>
      <w:r>
        <w:rPr>
          <w:rFonts w:ascii="Arial" w:eastAsia="Times New Roman" w:hAnsi="Arial" w:cs="Arial"/>
          <w:lang w:val="en-GB"/>
        </w:rPr>
        <w:t xml:space="preserve"> </w:t>
      </w:r>
      <w:r w:rsidRPr="00DF12E5">
        <w:rPr>
          <w:rFonts w:ascii="Arial" w:eastAsia="Times New Roman" w:hAnsi="Arial" w:cs="Arial"/>
          <w:lang w:val="en-GB"/>
        </w:rPr>
        <w:t xml:space="preserve">are </w:t>
      </w:r>
      <w:r>
        <w:rPr>
          <w:rFonts w:ascii="Arial" w:eastAsia="Times New Roman" w:hAnsi="Arial" w:cs="Arial"/>
          <w:lang w:val="en-GB"/>
        </w:rPr>
        <w:t>lacking the</w:t>
      </w:r>
      <w:r w:rsidRPr="00DF12E5">
        <w:rPr>
          <w:rFonts w:ascii="Arial" w:eastAsia="Times New Roman" w:hAnsi="Arial" w:cs="Arial"/>
          <w:lang w:val="en-GB"/>
        </w:rPr>
        <w:t xml:space="preserve"> information on the most suitable inocula and incubation time to use in antifungal broth microdilution susceptibility assays for </w:t>
      </w:r>
      <w:r w:rsidRPr="00DF12E5">
        <w:rPr>
          <w:rFonts w:ascii="Arial" w:eastAsia="Times New Roman" w:hAnsi="Arial" w:cs="Arial"/>
          <w:i/>
          <w:iCs/>
          <w:lang w:val="en-GB"/>
        </w:rPr>
        <w:t>M. canis</w:t>
      </w:r>
      <w:r>
        <w:rPr>
          <w:rFonts w:ascii="Arial" w:eastAsia="Times New Roman" w:hAnsi="Arial" w:cs="Arial"/>
          <w:lang w:val="en-GB"/>
        </w:rPr>
        <w:t xml:space="preserve"> was never assessed. </w:t>
      </w:r>
      <w:r w:rsidRPr="00DF12E5">
        <w:rPr>
          <w:rFonts w:ascii="Arial" w:eastAsia="Times New Roman" w:hAnsi="Arial" w:cs="Arial"/>
          <w:color w:val="292526"/>
          <w:lang w:val="en-GB"/>
        </w:rPr>
        <w:t xml:space="preserve">Therefore, the aims of this study </w:t>
      </w:r>
      <w:r>
        <w:rPr>
          <w:rFonts w:ascii="Arial" w:eastAsia="Times New Roman" w:hAnsi="Arial" w:cs="Arial"/>
          <w:color w:val="292526"/>
          <w:lang w:val="en-GB"/>
        </w:rPr>
        <w:t xml:space="preserve">were </w:t>
      </w:r>
      <w:r w:rsidRPr="00DF12E5">
        <w:rPr>
          <w:rFonts w:ascii="Arial" w:eastAsia="Times New Roman" w:hAnsi="Arial" w:cs="Arial"/>
          <w:color w:val="292526"/>
          <w:lang w:val="en-GB"/>
        </w:rPr>
        <w:t xml:space="preserve">to i) determine the </w:t>
      </w:r>
      <w:r w:rsidRPr="00DF12E5">
        <w:rPr>
          <w:rFonts w:ascii="Arial" w:eastAsia="Times New Roman" w:hAnsi="Arial" w:cs="Arial"/>
          <w:i/>
          <w:iCs/>
          <w:color w:val="292526"/>
          <w:lang w:val="en-GB"/>
        </w:rPr>
        <w:t>in vitro</w:t>
      </w:r>
      <w:r w:rsidRPr="00DF12E5">
        <w:rPr>
          <w:rFonts w:ascii="Arial" w:eastAsia="Times New Roman" w:hAnsi="Arial" w:cs="Arial"/>
          <w:color w:val="292526"/>
          <w:lang w:val="en-GB"/>
        </w:rPr>
        <w:t xml:space="preserve"> ITC susceptibility of </w:t>
      </w:r>
      <w:r w:rsidRPr="00DF12E5">
        <w:rPr>
          <w:rFonts w:ascii="Arial" w:eastAsia="Times New Roman" w:hAnsi="Arial" w:cs="Arial"/>
          <w:i/>
          <w:iCs/>
          <w:color w:val="292526"/>
          <w:lang w:val="en-GB"/>
        </w:rPr>
        <w:t>M. canis</w:t>
      </w:r>
      <w:r w:rsidRPr="00DF12E5">
        <w:rPr>
          <w:rFonts w:ascii="Arial" w:eastAsia="Times New Roman" w:hAnsi="Arial" w:cs="Arial"/>
          <w:color w:val="292526"/>
          <w:lang w:val="en-GB"/>
        </w:rPr>
        <w:t xml:space="preserve"> </w:t>
      </w:r>
      <w:r w:rsidRPr="00DF12E5">
        <w:rPr>
          <w:rFonts w:ascii="Arial" w:eastAsia="Times New Roman" w:hAnsi="Arial" w:cs="Arial"/>
          <w:shd w:val="clear" w:color="auto" w:fill="FFFFFF"/>
          <w:lang w:val="en-GB"/>
        </w:rPr>
        <w:t xml:space="preserve">conidia, hyphae-conidia and arthroconidia following incubation for </w:t>
      </w:r>
      <w:r>
        <w:rPr>
          <w:rFonts w:ascii="Arial" w:eastAsia="Times New Roman" w:hAnsi="Arial" w:cs="Arial"/>
          <w:shd w:val="clear" w:color="auto" w:fill="FFFFFF"/>
          <w:lang w:val="en-GB"/>
        </w:rPr>
        <w:t>three</w:t>
      </w:r>
      <w:r w:rsidRPr="00DF12E5">
        <w:rPr>
          <w:rFonts w:ascii="Arial" w:eastAsia="Times New Roman" w:hAnsi="Arial" w:cs="Arial"/>
          <w:shd w:val="clear" w:color="auto" w:fill="FFFFFF"/>
          <w:lang w:val="en-GB"/>
        </w:rPr>
        <w:t xml:space="preserve"> and </w:t>
      </w:r>
      <w:r>
        <w:rPr>
          <w:rFonts w:ascii="Arial" w:eastAsia="Times New Roman" w:hAnsi="Arial" w:cs="Arial"/>
          <w:shd w:val="clear" w:color="auto" w:fill="FFFFFF"/>
          <w:lang w:val="en-GB"/>
        </w:rPr>
        <w:t xml:space="preserve">seven </w:t>
      </w:r>
      <w:r w:rsidRPr="00DF12E5">
        <w:rPr>
          <w:rFonts w:ascii="Arial" w:eastAsia="Times New Roman" w:hAnsi="Arial" w:cs="Arial"/>
          <w:shd w:val="clear" w:color="auto" w:fill="FFFFFF"/>
          <w:lang w:val="en-GB"/>
        </w:rPr>
        <w:t>days</w:t>
      </w:r>
      <w:r>
        <w:rPr>
          <w:rFonts w:ascii="Arial" w:eastAsia="Times New Roman" w:hAnsi="Arial" w:cs="Arial"/>
          <w:shd w:val="clear" w:color="auto" w:fill="FFFFFF"/>
          <w:lang w:val="en-GB"/>
        </w:rPr>
        <w:t xml:space="preserve"> and </w:t>
      </w:r>
      <w:r w:rsidRPr="00DF12E5">
        <w:rPr>
          <w:rFonts w:ascii="Arial" w:eastAsia="Times New Roman" w:hAnsi="Arial" w:cs="Arial"/>
          <w:shd w:val="clear" w:color="auto" w:fill="FFFFFF"/>
          <w:lang w:val="en-GB"/>
        </w:rPr>
        <w:t xml:space="preserve">ii) compare the ITC MICs of </w:t>
      </w:r>
      <w:r w:rsidRPr="00DF12E5">
        <w:rPr>
          <w:rFonts w:ascii="Arial" w:eastAsia="Times New Roman" w:hAnsi="Arial" w:cs="Arial"/>
          <w:i/>
          <w:iCs/>
          <w:shd w:val="clear" w:color="auto" w:fill="FFFFFF"/>
          <w:lang w:val="en-GB"/>
        </w:rPr>
        <w:t>M. canis</w:t>
      </w:r>
      <w:r w:rsidRPr="00DF12E5">
        <w:rPr>
          <w:rFonts w:ascii="Arial" w:eastAsia="Times New Roman" w:hAnsi="Arial" w:cs="Arial"/>
          <w:shd w:val="clear" w:color="auto" w:fill="FFFFFF"/>
          <w:lang w:val="en-GB"/>
        </w:rPr>
        <w:t xml:space="preserve"> strains obtained from animals that tested positive and negative to the fungus following ITC therapy </w:t>
      </w:r>
      <w:r>
        <w:rPr>
          <w:rFonts w:ascii="Arial" w:eastAsia="Times New Roman" w:hAnsi="Arial" w:cs="Arial"/>
          <w:shd w:val="clear" w:color="auto" w:fill="FFFFFF"/>
          <w:lang w:val="en-GB"/>
        </w:rPr>
        <w:t>in order to assess the</w:t>
      </w:r>
      <w:r w:rsidRPr="00DF12E5">
        <w:rPr>
          <w:rFonts w:ascii="Arial" w:eastAsia="Times New Roman" w:hAnsi="Arial" w:cs="Arial"/>
          <w:lang w:val="en-GB"/>
        </w:rPr>
        <w:t xml:space="preserve"> most suitable inocu</w:t>
      </w:r>
      <w:r>
        <w:rPr>
          <w:rFonts w:ascii="Arial" w:eastAsia="Times New Roman" w:hAnsi="Arial" w:cs="Arial"/>
          <w:lang w:val="en-GB"/>
        </w:rPr>
        <w:t xml:space="preserve">lum </w:t>
      </w:r>
      <w:r w:rsidRPr="00DF12E5">
        <w:rPr>
          <w:rFonts w:ascii="Arial" w:eastAsia="Times New Roman" w:hAnsi="Arial" w:cs="Arial"/>
          <w:lang w:val="en-GB"/>
        </w:rPr>
        <w:t>and incubation time to use in antifungal broth microdilution susceptibility assays</w:t>
      </w:r>
      <w:r>
        <w:rPr>
          <w:rFonts w:ascii="Arial" w:eastAsia="Times New Roman" w:hAnsi="Arial" w:cs="Arial"/>
          <w:lang w:val="en-GB"/>
        </w:rPr>
        <w:t xml:space="preserve"> for </w:t>
      </w:r>
      <w:r w:rsidRPr="0037088E">
        <w:rPr>
          <w:rFonts w:ascii="Arial" w:eastAsia="Times New Roman" w:hAnsi="Arial" w:cs="Arial"/>
          <w:i/>
          <w:lang w:val="en-GB"/>
        </w:rPr>
        <w:t>M canis.</w:t>
      </w:r>
      <w:r>
        <w:rPr>
          <w:rFonts w:ascii="Arial" w:eastAsia="Times New Roman" w:hAnsi="Arial" w:cs="Arial"/>
          <w:lang w:val="en-GB"/>
        </w:rPr>
        <w:t xml:space="preserve"> Using the best condition, in this study </w:t>
      </w:r>
      <w:r w:rsidRPr="00DF12E5">
        <w:rPr>
          <w:rFonts w:ascii="Arial" w:eastAsia="Times New Roman" w:hAnsi="Arial" w:cs="Arial"/>
          <w:shd w:val="clear" w:color="auto" w:fill="FFFFFF"/>
          <w:lang w:val="en-GB"/>
        </w:rPr>
        <w:t xml:space="preserve">the antifungal susceptibility of </w:t>
      </w:r>
      <w:r w:rsidRPr="00DF12E5">
        <w:rPr>
          <w:rFonts w:ascii="Arial" w:eastAsia="Times New Roman" w:hAnsi="Arial" w:cs="Arial"/>
          <w:i/>
          <w:iCs/>
          <w:shd w:val="clear" w:color="auto" w:fill="FFFFFF"/>
          <w:lang w:val="en-GB"/>
        </w:rPr>
        <w:t>M. canis</w:t>
      </w:r>
      <w:r w:rsidRPr="00DF12E5">
        <w:rPr>
          <w:rFonts w:ascii="Arial" w:eastAsia="Times New Roman" w:hAnsi="Arial" w:cs="Arial"/>
          <w:shd w:val="clear" w:color="auto" w:fill="FFFFFF"/>
          <w:lang w:val="en-GB"/>
        </w:rPr>
        <w:t xml:space="preserve"> to ketoconazole (KTC), FLC, posaconazole (POS), voriconazole (VRC), GRI and TRB and iv) the occurrence of </w:t>
      </w:r>
      <w:r>
        <w:rPr>
          <w:rFonts w:ascii="Arial" w:eastAsia="Times New Roman" w:hAnsi="Arial" w:cs="Arial"/>
          <w:shd w:val="clear" w:color="auto" w:fill="FFFFFF"/>
          <w:lang w:val="en-GB"/>
        </w:rPr>
        <w:t xml:space="preserve">a probable </w:t>
      </w:r>
      <w:r w:rsidRPr="00DF12E5">
        <w:rPr>
          <w:rFonts w:ascii="Arial" w:eastAsia="Times New Roman" w:hAnsi="Arial" w:cs="Arial"/>
          <w:shd w:val="clear" w:color="auto" w:fill="FFFFFF"/>
          <w:lang w:val="en-GB"/>
        </w:rPr>
        <w:t xml:space="preserve">drug resistance or cross resistance </w:t>
      </w:r>
      <w:r>
        <w:rPr>
          <w:rFonts w:ascii="Arial" w:eastAsia="Times New Roman" w:hAnsi="Arial" w:cs="Arial"/>
          <w:shd w:val="clear" w:color="auto" w:fill="FFFFFF"/>
          <w:lang w:val="en-GB"/>
        </w:rPr>
        <w:t xml:space="preserve">phenomena were also </w:t>
      </w:r>
      <w:r w:rsidRPr="00DF12E5">
        <w:rPr>
          <w:rFonts w:ascii="Arial" w:eastAsia="Times New Roman" w:hAnsi="Arial" w:cs="Arial"/>
          <w:shd w:val="clear" w:color="auto" w:fill="FFFFFF"/>
          <w:lang w:val="en-GB"/>
        </w:rPr>
        <w:t>assess</w:t>
      </w:r>
      <w:r>
        <w:rPr>
          <w:rFonts w:ascii="Arial" w:eastAsia="Times New Roman" w:hAnsi="Arial" w:cs="Arial"/>
          <w:shd w:val="clear" w:color="auto" w:fill="FFFFFF"/>
          <w:lang w:val="en-GB"/>
        </w:rPr>
        <w:t>ed</w:t>
      </w:r>
      <w:r w:rsidRPr="00DF12E5">
        <w:rPr>
          <w:rFonts w:ascii="Arial" w:eastAsia="Times New Roman" w:hAnsi="Arial" w:cs="Arial"/>
          <w:shd w:val="clear" w:color="auto" w:fill="FFFFFF"/>
          <w:lang w:val="en-GB"/>
        </w:rPr>
        <w:t>.</w:t>
      </w:r>
    </w:p>
    <w:p w14:paraId="09901419" w14:textId="1C6A90B1" w:rsidR="00476DF3" w:rsidRDefault="00476DF3" w:rsidP="00A67F62">
      <w:pPr>
        <w:jc w:val="both"/>
        <w:rPr>
          <w:rFonts w:ascii="Arial" w:eastAsia="Times New Roman" w:hAnsi="Arial" w:cs="Arial"/>
          <w:b/>
          <w:bCs/>
          <w:shd w:val="clear" w:color="auto" w:fill="FFFFFF"/>
          <w:lang w:val="en-GB"/>
        </w:rPr>
      </w:pPr>
      <w:r w:rsidRPr="00764457">
        <w:rPr>
          <w:rFonts w:ascii="Arial" w:eastAsia="Times New Roman" w:hAnsi="Arial" w:cs="Arial"/>
          <w:b/>
          <w:bCs/>
          <w:shd w:val="clear" w:color="auto" w:fill="FFFFFF"/>
          <w:lang w:val="en-GB"/>
        </w:rPr>
        <w:t>Materials and Methods</w:t>
      </w:r>
    </w:p>
    <w:p w14:paraId="3F3D84D5" w14:textId="689374AB" w:rsidR="002B3B72" w:rsidRDefault="002B3B72" w:rsidP="00A67F62">
      <w:pPr>
        <w:jc w:val="both"/>
        <w:rPr>
          <w:rFonts w:ascii="Arial" w:eastAsia="Times New Roman" w:hAnsi="Arial" w:cs="Arial"/>
          <w:i/>
          <w:iCs/>
          <w:shd w:val="clear" w:color="auto" w:fill="FFFFFF"/>
          <w:lang w:val="en-GB"/>
        </w:rPr>
      </w:pPr>
      <w:r w:rsidRPr="002B3B72">
        <w:rPr>
          <w:rFonts w:ascii="Arial" w:eastAsia="Times New Roman" w:hAnsi="Arial" w:cs="Arial"/>
          <w:i/>
          <w:iCs/>
          <w:shd w:val="clear" w:color="auto" w:fill="FFFFFF"/>
          <w:lang w:val="en-GB"/>
        </w:rPr>
        <w:t>Ethics statement</w:t>
      </w:r>
    </w:p>
    <w:p w14:paraId="7BEFB8EE" w14:textId="037CE3E1" w:rsidR="002B3B72" w:rsidRPr="002B3B72" w:rsidRDefault="002B3B72" w:rsidP="00A67F62">
      <w:pPr>
        <w:jc w:val="both"/>
        <w:rPr>
          <w:rFonts w:ascii="Arial" w:eastAsia="Times New Roman" w:hAnsi="Arial" w:cs="Arial"/>
          <w:shd w:val="clear" w:color="auto" w:fill="FFFFFF"/>
          <w:lang w:val="en-GB"/>
        </w:rPr>
      </w:pPr>
      <w:r w:rsidRPr="002B3B72">
        <w:rPr>
          <w:rFonts w:ascii="Arial" w:eastAsia="Times New Roman" w:hAnsi="Arial" w:cs="Arial"/>
          <w:shd w:val="clear" w:color="auto" w:fill="FFFFFF"/>
          <w:lang w:val="en-GB"/>
        </w:rPr>
        <w:t>The authors confirm that the ethical policies of the journal, as noted on the journal’s author guidelines page, have been adhered to.</w:t>
      </w:r>
    </w:p>
    <w:p w14:paraId="775FC83D" w14:textId="77777777" w:rsidR="00476DF3" w:rsidRPr="00005F24" w:rsidRDefault="00476DF3" w:rsidP="00A67F62">
      <w:pPr>
        <w:jc w:val="both"/>
        <w:rPr>
          <w:rFonts w:ascii="Arial" w:eastAsia="Times New Roman" w:hAnsi="Arial" w:cs="Arial"/>
          <w:i/>
          <w:iCs/>
          <w:shd w:val="clear" w:color="auto" w:fill="FFFFFF"/>
          <w:lang w:val="en-GB"/>
        </w:rPr>
      </w:pPr>
      <w:r w:rsidRPr="00005F24">
        <w:rPr>
          <w:rFonts w:ascii="Arial" w:eastAsia="Times New Roman" w:hAnsi="Arial" w:cs="Arial"/>
          <w:i/>
          <w:iCs/>
          <w:shd w:val="clear" w:color="auto" w:fill="FFFFFF"/>
          <w:lang w:val="en-GB"/>
        </w:rPr>
        <w:t>Microsporum canis strains</w:t>
      </w:r>
    </w:p>
    <w:p w14:paraId="3091BF1A" w14:textId="7BA5E336" w:rsidR="00476DF3" w:rsidRPr="00DF12E5" w:rsidRDefault="002177FE" w:rsidP="00A67F62">
      <w:pPr>
        <w:widowControl w:val="0"/>
        <w:autoSpaceDE w:val="0"/>
        <w:autoSpaceDN w:val="0"/>
        <w:adjustRightInd w:val="0"/>
        <w:jc w:val="both"/>
        <w:rPr>
          <w:rFonts w:ascii="Arial" w:eastAsia="Times New Roman" w:hAnsi="Arial" w:cs="Arial"/>
          <w:shd w:val="clear" w:color="auto" w:fill="FFFFFF"/>
          <w:lang w:val="en-GB"/>
        </w:rPr>
      </w:pPr>
      <w:r w:rsidRPr="002177FE">
        <w:rPr>
          <w:rFonts w:ascii="Arial" w:eastAsia="Times New Roman" w:hAnsi="Arial" w:cs="Arial"/>
          <w:shd w:val="clear" w:color="auto" w:fill="FFFFFF"/>
          <w:lang w:val="en-GB"/>
        </w:rPr>
        <w:t xml:space="preserve">Hair and skin scraping samples were taken from the </w:t>
      </w:r>
      <w:r w:rsidR="006D47DE">
        <w:rPr>
          <w:rFonts w:ascii="Arial" w:eastAsia="Times New Roman" w:hAnsi="Arial" w:cs="Arial"/>
          <w:shd w:val="clear" w:color="auto" w:fill="FFFFFF"/>
          <w:lang w:val="en-GB"/>
        </w:rPr>
        <w:t xml:space="preserve">skin </w:t>
      </w:r>
      <w:r w:rsidRPr="002177FE">
        <w:rPr>
          <w:rFonts w:ascii="Arial" w:eastAsia="Times New Roman" w:hAnsi="Arial" w:cs="Arial"/>
          <w:shd w:val="clear" w:color="auto" w:fill="FFFFFF"/>
          <w:lang w:val="en-GB"/>
        </w:rPr>
        <w:t xml:space="preserve">lesions </w:t>
      </w:r>
      <w:r w:rsidR="006D47DE">
        <w:rPr>
          <w:rFonts w:ascii="Arial" w:eastAsia="Times New Roman" w:hAnsi="Arial" w:cs="Arial"/>
          <w:shd w:val="clear" w:color="auto" w:fill="FFFFFF"/>
          <w:lang w:val="en-GB"/>
        </w:rPr>
        <w:t xml:space="preserve">of animals </w:t>
      </w:r>
      <w:r w:rsidRPr="002177FE">
        <w:rPr>
          <w:rFonts w:ascii="Arial" w:eastAsia="Times New Roman" w:hAnsi="Arial" w:cs="Arial"/>
          <w:shd w:val="clear" w:color="auto" w:fill="FFFFFF"/>
          <w:lang w:val="en-GB"/>
        </w:rPr>
        <w:t>using a sterile lancet or pliers</w:t>
      </w:r>
      <w:r w:rsidR="001B6C4D">
        <w:rPr>
          <w:rFonts w:ascii="Arial" w:eastAsia="Times New Roman" w:hAnsi="Arial" w:cs="Arial"/>
          <w:shd w:val="clear" w:color="auto" w:fill="FFFFFF"/>
          <w:lang w:val="en-GB"/>
        </w:rPr>
        <w:t>.</w:t>
      </w:r>
      <w:r w:rsidR="00CE6D7B">
        <w:rPr>
          <w:rFonts w:ascii="Arial" w:eastAsia="Times New Roman" w:hAnsi="Arial" w:cs="Arial"/>
          <w:shd w:val="clear" w:color="auto" w:fill="FFFFFF"/>
          <w:vertAlign w:val="superscript"/>
          <w:lang w:val="en-GB"/>
        </w:rPr>
        <w:t>1</w:t>
      </w:r>
      <w:r w:rsidR="001B6C4D">
        <w:rPr>
          <w:rFonts w:ascii="Arial" w:eastAsia="Times New Roman" w:hAnsi="Arial" w:cs="Arial"/>
          <w:shd w:val="clear" w:color="auto" w:fill="FFFFFF"/>
          <w:vertAlign w:val="superscript"/>
          <w:lang w:val="en-GB"/>
        </w:rPr>
        <w:t>5</w:t>
      </w:r>
      <w:r w:rsidR="005E42DA">
        <w:rPr>
          <w:rFonts w:ascii="Arial" w:eastAsia="Times New Roman" w:hAnsi="Arial" w:cs="Arial"/>
          <w:shd w:val="clear" w:color="auto" w:fill="FFFFFF"/>
          <w:lang w:val="en-GB"/>
        </w:rPr>
        <w:t xml:space="preserve"> </w:t>
      </w:r>
      <w:r w:rsidR="00476DF3" w:rsidRPr="00DF12E5">
        <w:rPr>
          <w:rFonts w:ascii="Arial" w:eastAsia="Times New Roman" w:hAnsi="Arial" w:cs="Arial"/>
          <w:shd w:val="clear" w:color="auto" w:fill="FFFFFF"/>
          <w:lang w:val="en-GB"/>
        </w:rPr>
        <w:t>A total of</w:t>
      </w:r>
      <w:r w:rsidR="00476DF3">
        <w:rPr>
          <w:rFonts w:ascii="Arial" w:eastAsia="Times New Roman" w:hAnsi="Arial" w:cs="Arial"/>
          <w:shd w:val="clear" w:color="auto" w:fill="FFFFFF"/>
          <w:lang w:val="en-GB"/>
        </w:rPr>
        <w:t xml:space="preserve"> 27</w:t>
      </w:r>
      <w:r w:rsidR="00476DF3" w:rsidRPr="00DF12E5">
        <w:rPr>
          <w:rFonts w:ascii="Arial" w:eastAsia="Times New Roman" w:hAnsi="Arial" w:cs="Arial"/>
          <w:shd w:val="clear" w:color="auto" w:fill="FFFFFF"/>
          <w:lang w:val="en-GB"/>
        </w:rPr>
        <w:t xml:space="preserve"> selected clinical strains of </w:t>
      </w:r>
      <w:r w:rsidR="00476DF3" w:rsidRPr="00DF12E5">
        <w:rPr>
          <w:rFonts w:ascii="Arial" w:eastAsia="Times New Roman" w:hAnsi="Arial" w:cs="Arial"/>
          <w:i/>
          <w:iCs/>
          <w:shd w:val="clear" w:color="auto" w:fill="FFFFFF"/>
          <w:lang w:val="en-GB"/>
        </w:rPr>
        <w:t xml:space="preserve">M. canis </w:t>
      </w:r>
      <w:r w:rsidR="00476DF3" w:rsidRPr="00DF12E5">
        <w:rPr>
          <w:rFonts w:ascii="Arial" w:eastAsia="Times New Roman" w:hAnsi="Arial" w:cs="Arial"/>
          <w:shd w:val="clear" w:color="auto" w:fill="FFFFFF"/>
          <w:lang w:val="en-GB"/>
        </w:rPr>
        <w:t xml:space="preserve">were divided into two </w:t>
      </w:r>
      <w:r w:rsidR="00476DF3" w:rsidRPr="00DF12E5">
        <w:rPr>
          <w:rFonts w:ascii="Arial" w:eastAsia="Times New Roman" w:hAnsi="Arial" w:cs="Arial"/>
          <w:shd w:val="clear" w:color="auto" w:fill="FFFFFF"/>
          <w:lang w:val="en-GB"/>
        </w:rPr>
        <w:lastRenderedPageBreak/>
        <w:t xml:space="preserve">groups according to the clinical outcome to once daily dose of ITC oral therapy. Group I included </w:t>
      </w:r>
      <w:r w:rsidR="00476DF3">
        <w:rPr>
          <w:rFonts w:ascii="Arial" w:eastAsia="Times New Roman" w:hAnsi="Arial" w:cs="Arial"/>
          <w:shd w:val="clear" w:color="auto" w:fill="FFFFFF"/>
          <w:lang w:val="en-GB"/>
        </w:rPr>
        <w:t>13</w:t>
      </w:r>
      <w:r w:rsidR="00476DF3" w:rsidRPr="00DF12E5">
        <w:rPr>
          <w:rFonts w:ascii="Arial" w:eastAsia="Times New Roman" w:hAnsi="Arial" w:cs="Arial"/>
          <w:shd w:val="clear" w:color="auto" w:fill="FFFFFF"/>
          <w:lang w:val="en-GB"/>
        </w:rPr>
        <w:t xml:space="preserve"> strains from 13 dogs treated with ITC (10mg/kg) that tested positive to this fungus following a consecutive 3-monthly oral therapy. Group II included </w:t>
      </w:r>
      <w:r w:rsidR="00476DF3">
        <w:rPr>
          <w:rFonts w:ascii="Arial" w:eastAsia="Times New Roman" w:hAnsi="Arial" w:cs="Arial"/>
          <w:shd w:val="clear" w:color="auto" w:fill="FFFFFF"/>
          <w:lang w:val="en-GB"/>
        </w:rPr>
        <w:t>14</w:t>
      </w:r>
      <w:r w:rsidR="00476DF3" w:rsidRPr="00DF12E5">
        <w:rPr>
          <w:rFonts w:ascii="Arial" w:eastAsia="Times New Roman" w:hAnsi="Arial" w:cs="Arial"/>
          <w:shd w:val="clear" w:color="auto" w:fill="FFFFFF"/>
          <w:lang w:val="en-GB"/>
        </w:rPr>
        <w:t xml:space="preserve"> </w:t>
      </w:r>
      <w:r w:rsidR="00476DF3" w:rsidRPr="00DF12E5">
        <w:rPr>
          <w:rFonts w:ascii="Arial" w:eastAsia="Times New Roman" w:hAnsi="Arial" w:cs="Arial"/>
          <w:i/>
          <w:iCs/>
          <w:shd w:val="clear" w:color="auto" w:fill="FFFFFF"/>
          <w:lang w:val="en-GB"/>
        </w:rPr>
        <w:t>M. canis</w:t>
      </w:r>
      <w:r w:rsidR="00476DF3" w:rsidRPr="00DF12E5">
        <w:rPr>
          <w:rFonts w:ascii="Arial" w:eastAsia="Times New Roman" w:hAnsi="Arial" w:cs="Arial"/>
          <w:shd w:val="clear" w:color="auto" w:fill="FFFFFF"/>
          <w:lang w:val="en-GB"/>
        </w:rPr>
        <w:t xml:space="preserve"> strains from dogs (12) and cats (2) treated with ITC (</w:t>
      </w:r>
      <w:r w:rsidR="00476DF3">
        <w:rPr>
          <w:rFonts w:ascii="Arial" w:eastAsia="Times New Roman" w:hAnsi="Arial" w:cs="Arial"/>
          <w:shd w:val="clear" w:color="auto" w:fill="FFFFFF"/>
          <w:lang w:val="en-GB"/>
        </w:rPr>
        <w:t>10</w:t>
      </w:r>
      <w:r w:rsidR="00476DF3" w:rsidRPr="00DF12E5">
        <w:rPr>
          <w:rFonts w:ascii="Arial" w:eastAsia="Times New Roman" w:hAnsi="Arial" w:cs="Arial"/>
          <w:shd w:val="clear" w:color="auto" w:fill="FFFFFF"/>
          <w:lang w:val="en-GB"/>
        </w:rPr>
        <w:t>mg/kg) following a consecutive 3-monthly oral therapy that subsequently tested negative to this fungus. The strains were identified based on colonial morphology and microscopic features of the hyphae, macroconidia and microconidia</w:t>
      </w:r>
      <w:r w:rsidR="00476DF3">
        <w:rPr>
          <w:rFonts w:ascii="Arial" w:eastAsia="Times New Roman" w:hAnsi="Arial" w:cs="Arial"/>
          <w:shd w:val="clear" w:color="auto" w:fill="FFFFFF"/>
          <w:lang w:val="en-GB"/>
        </w:rPr>
        <w:t>,</w:t>
      </w:r>
      <w:r w:rsidR="00476DF3">
        <w:rPr>
          <w:rFonts w:ascii="Arial" w:eastAsia="Times New Roman" w:hAnsi="Arial" w:cs="Arial"/>
          <w:shd w:val="clear" w:color="auto" w:fill="FFFFFF"/>
          <w:vertAlign w:val="superscript"/>
          <w:lang w:val="en-GB"/>
        </w:rPr>
        <w:t>1</w:t>
      </w:r>
      <w:r w:rsidR="001B6C4D">
        <w:rPr>
          <w:rFonts w:ascii="Arial" w:eastAsia="Times New Roman" w:hAnsi="Arial" w:cs="Arial"/>
          <w:shd w:val="clear" w:color="auto" w:fill="FFFFFF"/>
          <w:vertAlign w:val="superscript"/>
          <w:lang w:val="en-GB"/>
        </w:rPr>
        <w:t>6</w:t>
      </w:r>
      <w:r w:rsidR="00A67F62">
        <w:rPr>
          <w:rFonts w:ascii="Arial" w:eastAsia="Times New Roman" w:hAnsi="Arial" w:cs="Arial"/>
          <w:shd w:val="clear" w:color="auto" w:fill="FFFFFF"/>
          <w:vertAlign w:val="superscript"/>
          <w:lang w:val="en-GB"/>
        </w:rPr>
        <w:t xml:space="preserve"> </w:t>
      </w:r>
      <w:r w:rsidR="008C2D02" w:rsidRPr="001A6473">
        <w:rPr>
          <w:rFonts w:ascii="Arial" w:hAnsi="Arial" w:cs="Arial"/>
          <w:bCs/>
          <w:lang w:val="en-US"/>
        </w:rPr>
        <w:t xml:space="preserve">and were molecularly identified </w:t>
      </w:r>
      <w:r w:rsidR="008C2D02" w:rsidRPr="001A6473">
        <w:rPr>
          <w:rFonts w:ascii="Arial" w:hAnsi="Arial" w:cs="Arial"/>
          <w:color w:val="000000"/>
          <w:shd w:val="clear" w:color="auto" w:fill="FFFFFF"/>
          <w:lang w:val="en-GB"/>
        </w:rPr>
        <w:t xml:space="preserve">by </w:t>
      </w:r>
      <w:r w:rsidR="008C2D02" w:rsidRPr="001A6473">
        <w:rPr>
          <w:rFonts w:ascii="Arial" w:hAnsi="Arial" w:cs="Arial"/>
          <w:lang w:val="en-US"/>
        </w:rPr>
        <w:t>an improved molecular diagnostic assay</w:t>
      </w:r>
      <w:r w:rsidR="008C2D02" w:rsidRPr="001A6473">
        <w:rPr>
          <w:rFonts w:ascii="Arial" w:hAnsi="Arial" w:cs="Arial"/>
          <w:shd w:val="clear" w:color="auto" w:fill="FFFFFF"/>
          <w:lang w:val="en-GB"/>
        </w:rPr>
        <w:t xml:space="preserve"> as previously reported</w:t>
      </w:r>
      <w:r w:rsidR="00C90FD1">
        <w:rPr>
          <w:rFonts w:ascii="Arial" w:hAnsi="Arial" w:cs="Arial"/>
          <w:shd w:val="clear" w:color="auto" w:fill="FFFFFF"/>
          <w:lang w:val="en-GB"/>
        </w:rPr>
        <w:t>.</w:t>
      </w:r>
      <w:r w:rsidR="00476DF3">
        <w:rPr>
          <w:rFonts w:ascii="Arial" w:eastAsia="Times New Roman" w:hAnsi="Arial" w:cs="Arial"/>
          <w:shd w:val="clear" w:color="auto" w:fill="FFFFFF"/>
          <w:vertAlign w:val="superscript"/>
          <w:lang w:val="en-GB"/>
        </w:rPr>
        <w:t>1</w:t>
      </w:r>
      <w:r w:rsidR="001B6C4D">
        <w:rPr>
          <w:rFonts w:ascii="Arial" w:eastAsia="Times New Roman" w:hAnsi="Arial" w:cs="Arial"/>
          <w:shd w:val="clear" w:color="auto" w:fill="FFFFFF"/>
          <w:vertAlign w:val="superscript"/>
          <w:lang w:val="en-GB"/>
        </w:rPr>
        <w:t>7</w:t>
      </w:r>
      <w:r w:rsidR="00F7391C">
        <w:rPr>
          <w:rFonts w:ascii="Arial" w:eastAsia="Times New Roman" w:hAnsi="Arial" w:cs="Arial"/>
          <w:shd w:val="clear" w:color="auto" w:fill="FFFFFF"/>
          <w:lang w:val="en-GB"/>
        </w:rPr>
        <w:t xml:space="preserve"> </w:t>
      </w:r>
      <w:r w:rsidR="00476DF3" w:rsidRPr="00DF12E5">
        <w:rPr>
          <w:rFonts w:ascii="Arial" w:eastAsia="Times New Roman" w:hAnsi="Arial" w:cs="Arial"/>
          <w:shd w:val="clear" w:color="auto" w:fill="FFFFFF"/>
          <w:lang w:val="en-GB"/>
        </w:rPr>
        <w:t xml:space="preserve">Isolates were stored at −80°C </w:t>
      </w:r>
      <w:r w:rsidR="00476DF3" w:rsidRPr="00DF12E5">
        <w:rPr>
          <w:rFonts w:ascii="Arial" w:eastAsia="Times New Roman" w:hAnsi="Arial" w:cs="Arial"/>
          <w:lang w:val="en-GB"/>
        </w:rPr>
        <w:t xml:space="preserve">at the Department of Veterinary Medicine, University of Bari (Italy). Prior to testing, each strain was sub-cultured at least twice onto </w:t>
      </w:r>
      <w:r w:rsidR="00476DF3" w:rsidRPr="00DF12E5">
        <w:rPr>
          <w:rFonts w:ascii="Arial" w:eastAsia="Times New Roman" w:hAnsi="Arial" w:cs="Arial"/>
          <w:shd w:val="clear" w:color="auto" w:fill="FFFFFF"/>
          <w:lang w:val="en-GB"/>
        </w:rPr>
        <w:t>Potato Dextrose agar (PDA, Liofilchem, Italy) plates at 30°C for 10 days to ensure strain purity and viability.</w:t>
      </w:r>
    </w:p>
    <w:p w14:paraId="625D147F" w14:textId="77777777" w:rsidR="00476DF3" w:rsidRPr="00005F24" w:rsidRDefault="00476DF3" w:rsidP="00A67F62">
      <w:pPr>
        <w:jc w:val="both"/>
        <w:rPr>
          <w:rFonts w:ascii="Arial" w:eastAsia="Times New Roman" w:hAnsi="Arial" w:cs="Arial"/>
          <w:i/>
          <w:iCs/>
          <w:shd w:val="clear" w:color="auto" w:fill="FFFFFF"/>
          <w:lang w:val="en-GB"/>
        </w:rPr>
      </w:pPr>
      <w:r w:rsidRPr="00005F24">
        <w:rPr>
          <w:rFonts w:ascii="Arial" w:eastAsia="Times New Roman" w:hAnsi="Arial" w:cs="Arial"/>
          <w:i/>
          <w:iCs/>
          <w:shd w:val="clear" w:color="auto" w:fill="FFFFFF"/>
          <w:lang w:val="en-GB"/>
        </w:rPr>
        <w:t>Medium for antifungal test</w:t>
      </w:r>
    </w:p>
    <w:p w14:paraId="27E833FD" w14:textId="77777777" w:rsidR="00476DF3" w:rsidRPr="00DF12E5" w:rsidRDefault="00476DF3" w:rsidP="00A67F62">
      <w:pPr>
        <w:jc w:val="both"/>
        <w:rPr>
          <w:rFonts w:ascii="Arial" w:eastAsia="Times New Roman" w:hAnsi="Arial" w:cs="Arial"/>
          <w:shd w:val="clear" w:color="auto" w:fill="FFFFFF"/>
          <w:lang w:val="en-GB"/>
        </w:rPr>
      </w:pPr>
      <w:r w:rsidRPr="00DF12E5">
        <w:rPr>
          <w:rFonts w:ascii="Arial" w:eastAsia="Times New Roman" w:hAnsi="Arial" w:cs="Arial"/>
          <w:shd w:val="clear" w:color="auto" w:fill="FFFFFF"/>
          <w:lang w:val="en-GB"/>
        </w:rPr>
        <w:t xml:space="preserve">A broth microdilution assay was performed in RPMI 1640 medium (Sigma-Aldrich, St Louis, MO 63103, USA) with L-glutamine but without sodium bicarbonate and buffered with 0.165M morpholine propane sulfonic acid (MOPS) (Sigma-Aldrich, St Louis, MO 63103, USA) at pH 7.0. </w:t>
      </w:r>
    </w:p>
    <w:p w14:paraId="121F4150" w14:textId="77777777" w:rsidR="00476DF3" w:rsidRPr="00005F24" w:rsidRDefault="00476DF3" w:rsidP="00A67F62">
      <w:pPr>
        <w:jc w:val="both"/>
        <w:rPr>
          <w:rFonts w:ascii="Arial" w:eastAsia="Times New Roman" w:hAnsi="Arial" w:cs="Arial"/>
          <w:i/>
          <w:iCs/>
          <w:shd w:val="clear" w:color="auto" w:fill="FFFFFF"/>
          <w:lang w:val="en-GB"/>
        </w:rPr>
      </w:pPr>
      <w:r w:rsidRPr="00005F24">
        <w:rPr>
          <w:rFonts w:ascii="Arial" w:eastAsia="Times New Roman" w:hAnsi="Arial" w:cs="Arial"/>
          <w:i/>
          <w:iCs/>
          <w:shd w:val="clear" w:color="auto" w:fill="FFFFFF"/>
          <w:lang w:val="en-GB"/>
        </w:rPr>
        <w:t>Antifungal agents</w:t>
      </w:r>
    </w:p>
    <w:p w14:paraId="541949B7" w14:textId="77777777" w:rsidR="00476DF3" w:rsidRPr="00DF12E5" w:rsidRDefault="00476DF3" w:rsidP="00A67F62">
      <w:pPr>
        <w:jc w:val="both"/>
        <w:rPr>
          <w:rFonts w:ascii="Arial" w:eastAsia="Times New Roman" w:hAnsi="Arial" w:cs="Arial"/>
          <w:shd w:val="clear" w:color="auto" w:fill="FFFFFF"/>
          <w:lang w:val="en-GB"/>
        </w:rPr>
      </w:pPr>
      <w:r w:rsidRPr="00DF12E5">
        <w:rPr>
          <w:rFonts w:ascii="Arial" w:eastAsia="Times New Roman" w:hAnsi="Arial" w:cs="Arial"/>
          <w:shd w:val="clear" w:color="auto" w:fill="FFFFFF"/>
          <w:lang w:val="en-GB"/>
        </w:rPr>
        <w:t xml:space="preserve">The following drugs were obtained in their standard powder state: TRB and GRI (Sigma-Aldrich, Milan, Italy), KTC and VRC (Novartis, Basel, Switzerland), FLC (Pfizer, UK), ITC (Janssen Research Foundation, Beerse, Belgium), PSZ (Schering Plough Research, NJ, USA). Stock solutions of FLC (10mg/ml), KTC (10mg/ml), ITC (10mg/ml), VRC (10mg/ml), PSZ (10mg/ml), TRB (10mg/ml), GRI (50mg/ml), were prepared by dissolving the powders in their respective solvents. FLC was dissolved in distilled water, while the other compounds were dissolved in 100% dimethyl sulfoxide (DMSO, Sigma-Aldrich). The stock solutions were </w:t>
      </w:r>
      <w:r w:rsidRPr="00DF12E5">
        <w:rPr>
          <w:rFonts w:ascii="Arial" w:eastAsia="Times New Roman" w:hAnsi="Arial" w:cs="Arial"/>
          <w:lang w:val="en-GB"/>
        </w:rPr>
        <w:t>stored at -20 °C until use.</w:t>
      </w:r>
    </w:p>
    <w:p w14:paraId="692DDF66" w14:textId="77777777" w:rsidR="00476DF3" w:rsidRPr="00005F24" w:rsidRDefault="00476DF3" w:rsidP="00A67F62">
      <w:pPr>
        <w:jc w:val="both"/>
        <w:rPr>
          <w:rFonts w:ascii="Arial" w:eastAsia="Times New Roman" w:hAnsi="Arial" w:cs="Arial"/>
          <w:i/>
          <w:iCs/>
          <w:shd w:val="clear" w:color="auto" w:fill="FFFFFF"/>
          <w:lang w:val="en-GB"/>
        </w:rPr>
      </w:pPr>
      <w:r w:rsidRPr="00005F24">
        <w:rPr>
          <w:rFonts w:ascii="Arial" w:eastAsia="Times New Roman" w:hAnsi="Arial" w:cs="Arial"/>
          <w:i/>
          <w:iCs/>
          <w:shd w:val="clear" w:color="auto" w:fill="FFFFFF"/>
          <w:lang w:val="en-GB"/>
        </w:rPr>
        <w:t>Inoculum preparation</w:t>
      </w:r>
    </w:p>
    <w:p w14:paraId="1FE037CE" w14:textId="7BB19BA7" w:rsidR="00476DF3" w:rsidRPr="00DF12E5" w:rsidRDefault="00476DF3" w:rsidP="00A67F62">
      <w:pPr>
        <w:jc w:val="both"/>
        <w:rPr>
          <w:rFonts w:ascii="Arial" w:eastAsia="Times New Roman" w:hAnsi="Arial" w:cs="Arial"/>
          <w:shd w:val="clear" w:color="auto" w:fill="FFFFFF"/>
          <w:lang w:val="en-GB"/>
        </w:rPr>
      </w:pPr>
      <w:r w:rsidRPr="00DF12E5">
        <w:rPr>
          <w:rFonts w:ascii="Arial" w:eastAsia="Times New Roman" w:hAnsi="Arial" w:cs="Arial"/>
          <w:shd w:val="clear" w:color="auto" w:fill="FFFFFF"/>
          <w:lang w:val="en-GB"/>
        </w:rPr>
        <w:t xml:space="preserve">Three types of inocula (i.e., conidia, hyphae-conidia and arthroconidia) were prepared </w:t>
      </w:r>
      <w:r w:rsidR="006D47DE">
        <w:rPr>
          <w:rFonts w:ascii="Arial" w:eastAsia="Times New Roman" w:hAnsi="Arial" w:cs="Arial"/>
          <w:shd w:val="clear" w:color="auto" w:fill="FFFFFF"/>
          <w:lang w:val="en-GB"/>
        </w:rPr>
        <w:t>(</w:t>
      </w:r>
      <w:r w:rsidR="007D3E9C" w:rsidRPr="007D3E9C">
        <w:rPr>
          <w:rFonts w:ascii="Arial" w:eastAsia="Times New Roman" w:hAnsi="Arial" w:cs="Arial"/>
          <w:shd w:val="clear" w:color="auto" w:fill="FFFFFF"/>
          <w:lang w:val="en-GB"/>
        </w:rPr>
        <w:t>Fig.</w:t>
      </w:r>
      <w:r w:rsidR="00C65859">
        <w:rPr>
          <w:rFonts w:ascii="Arial" w:eastAsia="Times New Roman" w:hAnsi="Arial" w:cs="Arial"/>
          <w:shd w:val="clear" w:color="auto" w:fill="FFFFFF"/>
          <w:lang w:val="en-GB"/>
        </w:rPr>
        <w:t>1</w:t>
      </w:r>
      <w:r w:rsidR="006D47DE">
        <w:rPr>
          <w:rFonts w:ascii="Arial" w:eastAsia="Times New Roman" w:hAnsi="Arial" w:cs="Arial"/>
          <w:shd w:val="clear" w:color="auto" w:fill="FFFFFF"/>
          <w:lang w:val="en-GB"/>
        </w:rPr>
        <w:t>)</w:t>
      </w:r>
      <w:r w:rsidR="007D3E9C">
        <w:rPr>
          <w:rFonts w:ascii="Arial" w:eastAsia="Times New Roman" w:hAnsi="Arial" w:cs="Arial"/>
          <w:shd w:val="clear" w:color="auto" w:fill="FFFFFF"/>
          <w:lang w:val="en-GB"/>
        </w:rPr>
        <w:t xml:space="preserve">. </w:t>
      </w:r>
      <w:r w:rsidRPr="00DF12E5">
        <w:rPr>
          <w:rFonts w:ascii="Arial" w:eastAsia="Times New Roman" w:hAnsi="Arial" w:cs="Arial"/>
          <w:shd w:val="clear" w:color="auto" w:fill="FFFFFF"/>
          <w:lang w:val="en-GB"/>
        </w:rPr>
        <w:t>Hyphae-conidia and conidia</w:t>
      </w:r>
      <w:r>
        <w:rPr>
          <w:rFonts w:ascii="Arial" w:eastAsia="Times New Roman" w:hAnsi="Arial" w:cs="Arial"/>
          <w:shd w:val="clear" w:color="auto" w:fill="FFFFFF"/>
          <w:lang w:val="en-GB"/>
        </w:rPr>
        <w:t>l</w:t>
      </w:r>
      <w:r w:rsidRPr="00DF12E5">
        <w:rPr>
          <w:rFonts w:ascii="Arial" w:eastAsia="Times New Roman" w:hAnsi="Arial" w:cs="Arial"/>
          <w:shd w:val="clear" w:color="auto" w:fill="FFFFFF"/>
          <w:lang w:val="en-GB"/>
        </w:rPr>
        <w:t xml:space="preserve"> suspensions were obtained from 14-day-old </w:t>
      </w:r>
      <w:r w:rsidRPr="00DF12E5">
        <w:rPr>
          <w:rFonts w:ascii="Arial" w:eastAsia="Times New Roman" w:hAnsi="Arial" w:cs="Arial"/>
          <w:i/>
          <w:iCs/>
          <w:shd w:val="clear" w:color="auto" w:fill="FFFFFF"/>
          <w:lang w:val="en-GB"/>
        </w:rPr>
        <w:t>M. canis</w:t>
      </w:r>
      <w:r w:rsidRPr="00DF12E5">
        <w:rPr>
          <w:rFonts w:ascii="Arial" w:eastAsia="Times New Roman" w:hAnsi="Arial" w:cs="Arial"/>
          <w:shd w:val="clear" w:color="auto" w:fill="FFFFFF"/>
          <w:lang w:val="en-GB"/>
        </w:rPr>
        <w:t xml:space="preserve"> cultures on PDA incubated at 28°C.</w:t>
      </w:r>
      <w:r w:rsidRPr="00DF12E5">
        <w:rPr>
          <w:rFonts w:ascii="Arial" w:eastAsia="Times New Roman" w:hAnsi="Arial" w:cs="Arial"/>
          <w:lang w:val="en-GB"/>
        </w:rPr>
        <w:t xml:space="preserve"> For arthroconidia</w:t>
      </w:r>
      <w:r>
        <w:rPr>
          <w:rFonts w:ascii="Arial" w:eastAsia="Times New Roman" w:hAnsi="Arial" w:cs="Arial"/>
          <w:lang w:val="en-GB"/>
        </w:rPr>
        <w:t>l</w:t>
      </w:r>
      <w:r w:rsidRPr="00DF12E5">
        <w:rPr>
          <w:rFonts w:ascii="Arial" w:eastAsia="Times New Roman" w:hAnsi="Arial" w:cs="Arial"/>
          <w:lang w:val="en-GB"/>
        </w:rPr>
        <w:t xml:space="preserve"> suspensions, </w:t>
      </w:r>
      <w:r w:rsidRPr="00DF12E5">
        <w:rPr>
          <w:rFonts w:ascii="Arial" w:eastAsia="Times New Roman" w:hAnsi="Arial" w:cs="Arial"/>
          <w:i/>
          <w:iCs/>
          <w:lang w:val="en-GB"/>
        </w:rPr>
        <w:t>M. canis</w:t>
      </w:r>
      <w:r w:rsidRPr="00DF12E5">
        <w:rPr>
          <w:rFonts w:ascii="Arial" w:eastAsia="Times New Roman" w:hAnsi="Arial" w:cs="Arial"/>
          <w:lang w:val="en-GB"/>
        </w:rPr>
        <w:t xml:space="preserve"> was cultured onto 2% yeast extract</w:t>
      </w:r>
      <w:r>
        <w:rPr>
          <w:rFonts w:ascii="Arial" w:eastAsia="Times New Roman" w:hAnsi="Arial" w:cs="Arial"/>
          <w:lang w:val="en-GB"/>
        </w:rPr>
        <w:t xml:space="preserve"> </w:t>
      </w:r>
      <w:r w:rsidRPr="00DF12E5">
        <w:rPr>
          <w:rFonts w:ascii="Arial" w:eastAsia="Times New Roman" w:hAnsi="Arial" w:cs="Arial"/>
          <w:lang w:val="en-GB"/>
        </w:rPr>
        <w:t>+ 1% peptone agar at 12% CO</w:t>
      </w:r>
      <w:r w:rsidRPr="00DF12E5">
        <w:rPr>
          <w:rFonts w:ascii="Arial" w:eastAsia="Times New Roman" w:hAnsi="Arial" w:cs="Arial"/>
          <w:vertAlign w:val="subscript"/>
          <w:lang w:val="en-GB"/>
        </w:rPr>
        <w:t xml:space="preserve">2 </w:t>
      </w:r>
      <w:r w:rsidRPr="00DF12E5">
        <w:rPr>
          <w:rFonts w:ascii="Arial" w:eastAsia="Times New Roman" w:hAnsi="Arial" w:cs="Arial"/>
          <w:lang w:val="en-GB"/>
        </w:rPr>
        <w:t>at 30±2</w:t>
      </w:r>
      <w:r w:rsidRPr="00DF12E5">
        <w:rPr>
          <w:rFonts w:ascii="Arial" w:eastAsia="Times New Roman" w:hAnsi="Arial" w:cs="Arial"/>
          <w:vertAlign w:val="superscript"/>
          <w:lang w:val="en-GB"/>
        </w:rPr>
        <w:t>o</w:t>
      </w:r>
      <w:r w:rsidRPr="00DF12E5">
        <w:rPr>
          <w:rFonts w:ascii="Arial" w:eastAsia="Times New Roman" w:hAnsi="Arial" w:cs="Arial"/>
          <w:lang w:val="en-GB"/>
        </w:rPr>
        <w:t>C</w:t>
      </w:r>
      <w:r w:rsidRPr="00DF12E5">
        <w:rPr>
          <w:rFonts w:ascii="Arial" w:eastAsia="Times New Roman" w:hAnsi="Arial" w:cs="Arial"/>
          <w:vertAlign w:val="superscript"/>
          <w:lang w:val="en-GB"/>
        </w:rPr>
        <w:t xml:space="preserve"> </w:t>
      </w:r>
      <w:r w:rsidRPr="00DF12E5">
        <w:rPr>
          <w:rFonts w:ascii="Arial" w:eastAsia="Times New Roman" w:hAnsi="Arial" w:cs="Arial"/>
          <w:lang w:val="en-GB"/>
        </w:rPr>
        <w:t>for 21 days as previously described</w:t>
      </w:r>
      <w:r>
        <w:rPr>
          <w:rFonts w:ascii="Arial" w:eastAsia="Times New Roman" w:hAnsi="Arial" w:cs="Arial"/>
          <w:lang w:val="en-GB"/>
        </w:rPr>
        <w:t>.</w:t>
      </w:r>
      <w:r w:rsidR="00CE6D7B">
        <w:rPr>
          <w:rFonts w:ascii="Arial" w:eastAsia="Times New Roman" w:hAnsi="Arial" w:cs="Arial"/>
          <w:vertAlign w:val="superscript"/>
          <w:lang w:val="en-GB"/>
        </w:rPr>
        <w:t>7</w:t>
      </w:r>
      <w:r w:rsidRPr="00DF12E5">
        <w:rPr>
          <w:rFonts w:ascii="Arial" w:eastAsia="Times New Roman" w:hAnsi="Arial" w:cs="Arial"/>
          <w:lang w:val="en-GB"/>
        </w:rPr>
        <w:t xml:space="preserve"> </w:t>
      </w:r>
      <w:r w:rsidRPr="00DF12E5">
        <w:rPr>
          <w:rFonts w:ascii="Arial" w:eastAsia="Times New Roman" w:hAnsi="Arial" w:cs="Arial"/>
          <w:shd w:val="clear" w:color="auto" w:fill="FFFFFF"/>
          <w:lang w:val="en-GB"/>
        </w:rPr>
        <w:t xml:space="preserve">Mature colonies were submerged with approximately 3ml of sterile saline solution (0.85% w/v) and the surface was scraped with the tip of a Pasteur pipette. The resulting mixture was transferred into 5ml sterile tubes. </w:t>
      </w:r>
    </w:p>
    <w:p w14:paraId="77C994F4" w14:textId="77777777" w:rsidR="00476DF3" w:rsidRPr="00DF12E5" w:rsidRDefault="00476DF3" w:rsidP="00A67F62">
      <w:pPr>
        <w:jc w:val="both"/>
        <w:rPr>
          <w:rFonts w:ascii="Arial" w:eastAsia="Times New Roman" w:hAnsi="Arial" w:cs="Arial"/>
          <w:shd w:val="clear" w:color="auto" w:fill="FFFFFF"/>
          <w:lang w:val="en-GB"/>
        </w:rPr>
      </w:pPr>
      <w:r w:rsidRPr="00DF12E5">
        <w:rPr>
          <w:rFonts w:ascii="Arial" w:eastAsia="Times New Roman" w:hAnsi="Arial" w:cs="Arial"/>
          <w:shd w:val="clear" w:color="auto" w:fill="FFFFFF"/>
          <w:lang w:val="en-GB"/>
        </w:rPr>
        <w:t>For hyphae-conidia</w:t>
      </w:r>
      <w:r>
        <w:rPr>
          <w:rFonts w:ascii="Arial" w:eastAsia="Times New Roman" w:hAnsi="Arial" w:cs="Arial"/>
          <w:shd w:val="clear" w:color="auto" w:fill="FFFFFF"/>
          <w:lang w:val="en-GB"/>
        </w:rPr>
        <w:t>l</w:t>
      </w:r>
      <w:r w:rsidRPr="00DF12E5">
        <w:rPr>
          <w:rFonts w:ascii="Arial" w:eastAsia="Times New Roman" w:hAnsi="Arial" w:cs="Arial"/>
          <w:shd w:val="clear" w:color="auto" w:fill="FFFFFF"/>
          <w:lang w:val="en-GB"/>
        </w:rPr>
        <w:t xml:space="preserve"> suspension, heavy particles of mixture were allowed to sediment for 15 minutes at room temperature. The supernatant was transferred into another sterile tube and </w:t>
      </w:r>
      <w:r w:rsidRPr="00DF12E5">
        <w:rPr>
          <w:rFonts w:ascii="Arial" w:eastAsia="Times New Roman" w:hAnsi="Arial" w:cs="Arial"/>
          <w:lang w:val="en-GB"/>
        </w:rPr>
        <w:t>adjusted to an optical density of 2.4 McFarland using a turbidimeter (DEN- 1 McFarland Densitometer, Biosan, Riga, Latvia) which is equivalent to 1- 5 × 10</w:t>
      </w:r>
      <w:r w:rsidRPr="00DF12E5">
        <w:rPr>
          <w:rFonts w:ascii="Arial" w:eastAsia="Times New Roman" w:hAnsi="Arial" w:cs="Arial"/>
          <w:vertAlign w:val="superscript"/>
          <w:lang w:val="en-GB"/>
        </w:rPr>
        <w:t xml:space="preserve">6 </w:t>
      </w:r>
      <w:r w:rsidRPr="00DF12E5">
        <w:rPr>
          <w:rFonts w:ascii="Arial" w:eastAsia="Times New Roman" w:hAnsi="Arial" w:cs="Arial"/>
          <w:lang w:val="en-GB"/>
        </w:rPr>
        <w:t>colony forming units (CFU)/mL, as inferred by quantitative plate counts of CFU in PDA.</w:t>
      </w:r>
    </w:p>
    <w:p w14:paraId="0B643A8C" w14:textId="67AD5EC9" w:rsidR="00476DF3" w:rsidRPr="00DF12E5" w:rsidRDefault="00476DF3" w:rsidP="00A67F62">
      <w:pPr>
        <w:widowControl w:val="0"/>
        <w:autoSpaceDE w:val="0"/>
        <w:autoSpaceDN w:val="0"/>
        <w:adjustRightInd w:val="0"/>
        <w:jc w:val="both"/>
        <w:rPr>
          <w:rFonts w:ascii="Arial" w:eastAsia="Times New Roman" w:hAnsi="Arial" w:cs="Arial"/>
          <w:lang w:val="en-GB"/>
        </w:rPr>
      </w:pPr>
      <w:r w:rsidRPr="00DF12E5">
        <w:rPr>
          <w:rFonts w:ascii="Arial" w:eastAsia="Times New Roman" w:hAnsi="Arial" w:cs="Arial"/>
          <w:shd w:val="clear" w:color="auto" w:fill="FFFFFF"/>
          <w:lang w:val="en-GB"/>
        </w:rPr>
        <w:t xml:space="preserve">For conidial suspension, the mixture of conidia and hyphal fragments were allowed to sediment for 15 min at room temperature and </w:t>
      </w:r>
      <w:r w:rsidRPr="00DF12E5">
        <w:rPr>
          <w:rFonts w:ascii="Arial" w:eastAsia="Times New Roman" w:hAnsi="Arial" w:cs="Arial"/>
          <w:lang w:val="en-GB"/>
        </w:rPr>
        <w:t xml:space="preserve">the supernatant was collected and </w:t>
      </w:r>
      <w:r w:rsidRPr="00DF12E5">
        <w:rPr>
          <w:rFonts w:ascii="Arial" w:eastAsia="Times New Roman" w:hAnsi="Arial" w:cs="Arial"/>
          <w:shd w:val="clear" w:color="auto" w:fill="FFFFFF"/>
          <w:lang w:val="en-GB"/>
        </w:rPr>
        <w:t xml:space="preserve">filtered using </w:t>
      </w:r>
      <w:r w:rsidRPr="00DF12E5">
        <w:rPr>
          <w:rFonts w:ascii="Arial" w:eastAsia="Times New Roman" w:hAnsi="Arial" w:cs="Arial"/>
          <w:lang w:val="en-GB"/>
        </w:rPr>
        <w:t>sterile filter paper (Whatman filter model 40, pore size, 8 µm), which retains hyphal fragments</w:t>
      </w:r>
      <w:r>
        <w:rPr>
          <w:rFonts w:ascii="Arial" w:eastAsia="Times New Roman" w:hAnsi="Arial" w:cs="Arial"/>
          <w:lang w:val="en-GB"/>
        </w:rPr>
        <w:t>.</w:t>
      </w:r>
      <w:r w:rsidR="00FF40D8">
        <w:rPr>
          <w:rFonts w:ascii="Arial" w:eastAsia="Times New Roman" w:hAnsi="Arial" w:cs="Arial"/>
          <w:vertAlign w:val="superscript"/>
          <w:lang w:val="en-GB"/>
        </w:rPr>
        <w:t>1</w:t>
      </w:r>
      <w:r w:rsidR="001B6C4D">
        <w:rPr>
          <w:rFonts w:ascii="Arial" w:eastAsia="Times New Roman" w:hAnsi="Arial" w:cs="Arial"/>
          <w:vertAlign w:val="superscript"/>
          <w:lang w:val="en-GB"/>
        </w:rPr>
        <w:t>8</w:t>
      </w:r>
      <w:r w:rsidRPr="00DF12E5">
        <w:rPr>
          <w:rFonts w:ascii="Arial" w:eastAsia="Times New Roman" w:hAnsi="Arial" w:cs="Arial"/>
          <w:lang w:val="en-GB"/>
        </w:rPr>
        <w:t xml:space="preserve"> </w:t>
      </w:r>
      <w:r w:rsidRPr="00DF12E5">
        <w:rPr>
          <w:rFonts w:ascii="Arial" w:eastAsia="Times New Roman" w:hAnsi="Arial" w:cs="Arial"/>
          <w:shd w:val="clear" w:color="auto" w:fill="FFFFFF"/>
          <w:lang w:val="en-GB"/>
        </w:rPr>
        <w:t xml:space="preserve">The density of the filtered suspension was </w:t>
      </w:r>
      <w:r w:rsidRPr="00DF12E5">
        <w:rPr>
          <w:rFonts w:ascii="Arial" w:eastAsia="Times New Roman" w:hAnsi="Arial" w:cs="Arial"/>
          <w:lang w:val="en-GB"/>
        </w:rPr>
        <w:t xml:space="preserve">adjusted to an optical density of 2.4 McFarland as </w:t>
      </w:r>
      <w:r>
        <w:rPr>
          <w:rFonts w:ascii="Arial" w:eastAsia="Times New Roman" w:hAnsi="Arial" w:cs="Arial"/>
          <w:lang w:val="en-GB"/>
        </w:rPr>
        <w:t>inferred</w:t>
      </w:r>
      <w:r w:rsidRPr="00DF12E5">
        <w:rPr>
          <w:rFonts w:ascii="Arial" w:eastAsia="Times New Roman" w:hAnsi="Arial" w:cs="Arial"/>
          <w:lang w:val="en-GB"/>
        </w:rPr>
        <w:t xml:space="preserve"> above.</w:t>
      </w:r>
    </w:p>
    <w:p w14:paraId="1F26C189" w14:textId="77777777" w:rsidR="00476DF3" w:rsidRPr="00DF12E5" w:rsidRDefault="00476DF3" w:rsidP="00A67F62">
      <w:pPr>
        <w:jc w:val="both"/>
        <w:rPr>
          <w:rFonts w:ascii="Arial" w:eastAsia="Times New Roman" w:hAnsi="Arial" w:cs="Arial"/>
          <w:shd w:val="clear" w:color="auto" w:fill="FFFFFF"/>
          <w:lang w:val="en-GB"/>
        </w:rPr>
      </w:pPr>
      <w:r w:rsidRPr="00DF12E5">
        <w:rPr>
          <w:rFonts w:ascii="Arial" w:eastAsia="Times New Roman" w:hAnsi="Arial" w:cs="Arial"/>
          <w:shd w:val="clear" w:color="auto" w:fill="FFFFFF"/>
          <w:lang w:val="en-GB"/>
        </w:rPr>
        <w:t xml:space="preserve">The resulting mixture of </w:t>
      </w:r>
      <w:r w:rsidRPr="00DF12E5">
        <w:rPr>
          <w:rFonts w:ascii="Arial" w:eastAsia="Times New Roman" w:hAnsi="Arial" w:cs="Arial"/>
          <w:lang w:val="en-GB"/>
        </w:rPr>
        <w:t>arthroconidia</w:t>
      </w:r>
      <w:r w:rsidRPr="00DF12E5">
        <w:rPr>
          <w:rFonts w:ascii="Arial" w:eastAsia="Times New Roman" w:hAnsi="Arial" w:cs="Arial"/>
          <w:shd w:val="clear" w:color="auto" w:fill="FFFFFF"/>
          <w:lang w:val="en-GB"/>
        </w:rPr>
        <w:t xml:space="preserve"> was agitated for 1h at 25</w:t>
      </w:r>
      <w:r w:rsidRPr="00DF12E5">
        <w:rPr>
          <w:rFonts w:ascii="Arial" w:eastAsia="Times New Roman" w:hAnsi="Arial" w:cs="Arial"/>
          <w:shd w:val="clear" w:color="auto" w:fill="FFFFFF"/>
          <w:vertAlign w:val="superscript"/>
          <w:lang w:val="en-GB"/>
        </w:rPr>
        <w:t xml:space="preserve">o </w:t>
      </w:r>
      <w:r w:rsidRPr="00DF12E5">
        <w:rPr>
          <w:rFonts w:ascii="Arial" w:eastAsia="Times New Roman" w:hAnsi="Arial" w:cs="Arial"/>
          <w:shd w:val="clear" w:color="auto" w:fill="FFFFFF"/>
          <w:lang w:val="en-GB"/>
        </w:rPr>
        <w:t xml:space="preserve">C. The supernatant was filtered using </w:t>
      </w:r>
      <w:r w:rsidRPr="00DF12E5">
        <w:rPr>
          <w:rFonts w:ascii="Arial" w:eastAsia="Times New Roman" w:hAnsi="Arial" w:cs="Arial"/>
          <w:lang w:val="en-GB"/>
        </w:rPr>
        <w:t xml:space="preserve">sterile filter paper (Whatman filter model 40, pore size, 8 µm). </w:t>
      </w:r>
      <w:r w:rsidRPr="00DF12E5">
        <w:rPr>
          <w:rFonts w:ascii="Arial" w:eastAsia="Times New Roman" w:hAnsi="Arial" w:cs="Arial"/>
          <w:shd w:val="clear" w:color="auto" w:fill="FFFFFF"/>
          <w:lang w:val="en-GB"/>
        </w:rPr>
        <w:t xml:space="preserve">The density of the filtered suspension was </w:t>
      </w:r>
      <w:r w:rsidRPr="00DF12E5">
        <w:rPr>
          <w:rFonts w:ascii="Arial" w:eastAsia="Times New Roman" w:hAnsi="Arial" w:cs="Arial"/>
          <w:lang w:val="en-GB"/>
        </w:rPr>
        <w:t xml:space="preserve">adjusted to an optical density of 2.4 McFarland as reported above. </w:t>
      </w:r>
    </w:p>
    <w:p w14:paraId="2CDB72D9" w14:textId="77777777" w:rsidR="00476DF3" w:rsidRPr="00005F24" w:rsidRDefault="00476DF3" w:rsidP="001A6473">
      <w:pPr>
        <w:jc w:val="both"/>
        <w:rPr>
          <w:rFonts w:ascii="Arial" w:eastAsia="Times New Roman" w:hAnsi="Arial" w:cs="Arial"/>
          <w:i/>
          <w:iCs/>
          <w:shd w:val="clear" w:color="auto" w:fill="FFFFFF"/>
          <w:lang w:val="en-GB"/>
        </w:rPr>
      </w:pPr>
      <w:r w:rsidRPr="00005F24">
        <w:rPr>
          <w:rFonts w:ascii="Arial" w:eastAsia="Times New Roman" w:hAnsi="Arial" w:cs="Arial"/>
          <w:i/>
          <w:iCs/>
          <w:shd w:val="clear" w:color="auto" w:fill="FFFFFF"/>
          <w:lang w:val="en-GB"/>
        </w:rPr>
        <w:t>In vitro susceptibility testing</w:t>
      </w:r>
    </w:p>
    <w:p w14:paraId="79D1ACA5" w14:textId="67793CDD" w:rsidR="00476DF3" w:rsidRPr="00DF12E5" w:rsidRDefault="00476DF3" w:rsidP="001A6473">
      <w:pPr>
        <w:jc w:val="both"/>
        <w:rPr>
          <w:rFonts w:ascii="Arial" w:eastAsia="Times New Roman" w:hAnsi="Arial" w:cs="Arial"/>
          <w:lang w:val="en-GB"/>
        </w:rPr>
      </w:pPr>
      <w:r w:rsidRPr="00DF12E5">
        <w:rPr>
          <w:rFonts w:ascii="Arial" w:eastAsia="Times New Roman" w:hAnsi="Arial" w:cs="Arial"/>
          <w:shd w:val="clear" w:color="auto" w:fill="FFFFFF"/>
          <w:lang w:val="en-GB"/>
        </w:rPr>
        <w:t xml:space="preserve">The antifungal susceptibility of the </w:t>
      </w:r>
      <w:r w:rsidRPr="00DF12E5">
        <w:rPr>
          <w:rFonts w:ascii="Arial" w:eastAsia="Times New Roman" w:hAnsi="Arial" w:cs="Arial"/>
          <w:i/>
          <w:iCs/>
          <w:shd w:val="clear" w:color="auto" w:fill="FFFFFF"/>
          <w:lang w:val="en-GB"/>
        </w:rPr>
        <w:t>M. canis</w:t>
      </w:r>
      <w:r w:rsidRPr="00DF12E5">
        <w:rPr>
          <w:rFonts w:ascii="Arial" w:eastAsia="Times New Roman" w:hAnsi="Arial" w:cs="Arial"/>
          <w:shd w:val="clear" w:color="auto" w:fill="FFFFFF"/>
          <w:lang w:val="en-GB"/>
        </w:rPr>
        <w:t xml:space="preserve"> inocula </w:t>
      </w:r>
      <w:r w:rsidRPr="00DF12E5">
        <w:rPr>
          <w:rFonts w:ascii="Arial" w:eastAsia="Times New Roman" w:hAnsi="Arial" w:cs="Arial"/>
          <w:lang w:val="en-GB"/>
        </w:rPr>
        <w:t>to ITC was tested using the reference CLSI BMD assay</w:t>
      </w:r>
      <w:r w:rsidR="001B6C4D">
        <w:rPr>
          <w:rFonts w:ascii="Arial" w:eastAsia="Times New Roman" w:hAnsi="Arial" w:cs="Arial"/>
          <w:vertAlign w:val="superscript"/>
          <w:lang w:val="en-GB"/>
        </w:rPr>
        <w:t>19</w:t>
      </w:r>
      <w:r w:rsidRPr="00DF12E5">
        <w:rPr>
          <w:rFonts w:ascii="Arial" w:eastAsia="Times New Roman" w:hAnsi="Arial" w:cs="Arial"/>
          <w:lang w:val="en-GB"/>
        </w:rPr>
        <w:t xml:space="preserve"> with some modifications. Antifungal drug stocks and the inoculum suspensions were prepared as described above. </w:t>
      </w:r>
    </w:p>
    <w:p w14:paraId="7BD93085" w14:textId="5236DAE1" w:rsidR="00476DF3" w:rsidRDefault="00476DF3" w:rsidP="001A6473">
      <w:pPr>
        <w:jc w:val="both"/>
        <w:rPr>
          <w:rFonts w:ascii="Arial" w:eastAsia="Times New Roman" w:hAnsi="Arial" w:cs="Arial"/>
          <w:lang w:val="en-GB"/>
        </w:rPr>
      </w:pPr>
      <w:r w:rsidRPr="00DF12E5">
        <w:rPr>
          <w:rFonts w:ascii="Arial" w:eastAsia="Times New Roman" w:hAnsi="Arial" w:cs="Arial"/>
          <w:lang w:val="en-GB"/>
        </w:rPr>
        <w:lastRenderedPageBreak/>
        <w:t xml:space="preserve">The concentration of each antifungal drug ranged from 0.008 to 16 </w:t>
      </w:r>
      <w:r w:rsidRPr="00DF12E5">
        <w:rPr>
          <w:rFonts w:ascii="Arial" w:eastAsia="Times New Roman" w:hAnsi="Arial" w:cs="Arial"/>
          <w:lang w:val="en-GB"/>
        </w:rPr>
        <w:sym w:font="Symbol" w:char="F06D"/>
      </w:r>
      <w:r w:rsidRPr="00DF12E5">
        <w:rPr>
          <w:rFonts w:ascii="Arial" w:eastAsia="Times New Roman" w:hAnsi="Arial" w:cs="Arial"/>
          <w:lang w:val="en-GB"/>
        </w:rPr>
        <w:t xml:space="preserve">g/ml, with the exception of FLC and GRI, whose concentration ranged from 0.06 to 64 </w:t>
      </w:r>
      <w:r w:rsidRPr="00DF12E5">
        <w:rPr>
          <w:rFonts w:ascii="Arial" w:eastAsia="Times New Roman" w:hAnsi="Arial" w:cs="Arial"/>
          <w:lang w:val="en-GB"/>
        </w:rPr>
        <w:sym w:font="Symbol" w:char="F06D"/>
      </w:r>
      <w:r w:rsidRPr="00DF12E5">
        <w:rPr>
          <w:rFonts w:ascii="Arial" w:eastAsia="Times New Roman" w:hAnsi="Arial" w:cs="Arial"/>
          <w:lang w:val="en-GB"/>
        </w:rPr>
        <w:t xml:space="preserve">g/ml. Visual reading of plates was performed after </w:t>
      </w:r>
      <w:r>
        <w:rPr>
          <w:rFonts w:ascii="Arial" w:eastAsia="Times New Roman" w:hAnsi="Arial" w:cs="Arial"/>
          <w:lang w:val="en-GB"/>
        </w:rPr>
        <w:t>three</w:t>
      </w:r>
      <w:r w:rsidRPr="00DF12E5">
        <w:rPr>
          <w:rFonts w:ascii="Arial" w:eastAsia="Times New Roman" w:hAnsi="Arial" w:cs="Arial"/>
          <w:lang w:val="en-GB"/>
        </w:rPr>
        <w:t xml:space="preserve"> and </w:t>
      </w:r>
      <w:r>
        <w:rPr>
          <w:rFonts w:ascii="Arial" w:eastAsia="Times New Roman" w:hAnsi="Arial" w:cs="Arial"/>
          <w:lang w:val="en-GB"/>
        </w:rPr>
        <w:t>seven</w:t>
      </w:r>
      <w:r w:rsidRPr="00DF12E5">
        <w:rPr>
          <w:rFonts w:ascii="Arial" w:eastAsia="Times New Roman" w:hAnsi="Arial" w:cs="Arial"/>
          <w:lang w:val="en-GB"/>
        </w:rPr>
        <w:t xml:space="preserve"> days of incubation, respectively, at 30±2</w:t>
      </w:r>
      <w:r w:rsidRPr="00DF12E5">
        <w:rPr>
          <w:rFonts w:ascii="Arial" w:eastAsia="Times New Roman" w:hAnsi="Arial" w:cs="Arial"/>
          <w:vertAlign w:val="superscript"/>
          <w:lang w:val="en-GB"/>
        </w:rPr>
        <w:t>o</w:t>
      </w:r>
      <w:r w:rsidRPr="00DF12E5">
        <w:rPr>
          <w:rFonts w:ascii="Arial" w:eastAsia="Times New Roman" w:hAnsi="Arial" w:cs="Arial"/>
          <w:lang w:val="en-GB"/>
        </w:rPr>
        <w:t>C. The MIC of each strain was defined as the lowest concentration of the agent producing a predominant decrease in turbidity (i.e., 100% of inhibition) when compared to the control growth, as previously described</w:t>
      </w:r>
      <w:r>
        <w:rPr>
          <w:rFonts w:ascii="Arial" w:eastAsia="Times New Roman" w:hAnsi="Arial" w:cs="Arial"/>
          <w:lang w:val="en-GB"/>
        </w:rPr>
        <w:t>.</w:t>
      </w:r>
      <w:r>
        <w:rPr>
          <w:rFonts w:ascii="Arial" w:eastAsia="Times New Roman" w:hAnsi="Arial" w:cs="Arial"/>
          <w:vertAlign w:val="superscript"/>
          <w:lang w:val="en-GB"/>
        </w:rPr>
        <w:t>2</w:t>
      </w:r>
      <w:r w:rsidR="001B6C4D">
        <w:rPr>
          <w:rFonts w:ascii="Arial" w:eastAsia="Times New Roman" w:hAnsi="Arial" w:cs="Arial"/>
          <w:vertAlign w:val="superscript"/>
          <w:lang w:val="en-GB"/>
        </w:rPr>
        <w:t>0</w:t>
      </w:r>
      <w:r>
        <w:rPr>
          <w:rFonts w:ascii="Arial" w:eastAsia="Times New Roman" w:hAnsi="Arial" w:cs="Arial"/>
          <w:vertAlign w:val="superscript"/>
          <w:lang w:val="en-GB"/>
        </w:rPr>
        <w:t>,2</w:t>
      </w:r>
      <w:r w:rsidR="001B6C4D">
        <w:rPr>
          <w:rFonts w:ascii="Arial" w:eastAsia="Times New Roman" w:hAnsi="Arial" w:cs="Arial"/>
          <w:vertAlign w:val="superscript"/>
          <w:lang w:val="en-GB"/>
        </w:rPr>
        <w:t>1</w:t>
      </w:r>
      <w:r w:rsidRPr="00DF12E5">
        <w:rPr>
          <w:rFonts w:ascii="Arial" w:eastAsia="Times New Roman" w:hAnsi="Arial" w:cs="Arial"/>
          <w:lang w:val="en-GB"/>
        </w:rPr>
        <w:t xml:space="preserve"> Each plate was run in triplicate and each drug dilution was tested in duplicates in each plate. Quality control strains (</w:t>
      </w:r>
      <w:r w:rsidRPr="00DF12E5">
        <w:rPr>
          <w:rFonts w:ascii="Arial" w:eastAsia="Times New Roman" w:hAnsi="Arial" w:cs="Arial"/>
          <w:i/>
          <w:iCs/>
          <w:lang w:val="en-GB"/>
        </w:rPr>
        <w:t>Candida parapsilosis</w:t>
      </w:r>
      <w:r w:rsidRPr="00DF12E5">
        <w:rPr>
          <w:rFonts w:ascii="Arial" w:eastAsia="Times New Roman" w:hAnsi="Arial" w:cs="Arial"/>
          <w:lang w:val="en-GB"/>
        </w:rPr>
        <w:t xml:space="preserve"> ATCC 22019 and </w:t>
      </w:r>
      <w:r w:rsidRPr="00DF12E5">
        <w:rPr>
          <w:rFonts w:ascii="Arial" w:eastAsia="Times New Roman" w:hAnsi="Arial" w:cs="Arial"/>
          <w:i/>
          <w:iCs/>
          <w:lang w:val="en-GB"/>
        </w:rPr>
        <w:t>Candida krusei</w:t>
      </w:r>
      <w:r w:rsidRPr="00DF12E5">
        <w:rPr>
          <w:rFonts w:ascii="Arial" w:eastAsia="Times New Roman" w:hAnsi="Arial" w:cs="Arial"/>
          <w:lang w:val="en-GB"/>
        </w:rPr>
        <w:t xml:space="preserve"> ATCC 6258; American Type Culture Collection, Manassas, VA) were included to ensure accuracy of the drug dilutions and reproducibility of results</w:t>
      </w:r>
      <w:r>
        <w:rPr>
          <w:rFonts w:ascii="Arial" w:eastAsia="Times New Roman" w:hAnsi="Arial" w:cs="Arial"/>
          <w:lang w:val="en-GB"/>
        </w:rPr>
        <w:t>.</w:t>
      </w:r>
      <w:r w:rsidR="001B6C4D">
        <w:rPr>
          <w:rFonts w:ascii="Arial" w:eastAsia="Times New Roman" w:hAnsi="Arial" w:cs="Arial"/>
          <w:vertAlign w:val="superscript"/>
          <w:lang w:val="en-GB"/>
        </w:rPr>
        <w:t>19</w:t>
      </w:r>
    </w:p>
    <w:p w14:paraId="562764D0" w14:textId="77777777" w:rsidR="00476DF3" w:rsidRPr="00DF12E5" w:rsidRDefault="00476DF3" w:rsidP="001A6473">
      <w:pPr>
        <w:jc w:val="both"/>
        <w:rPr>
          <w:rFonts w:ascii="Arial" w:eastAsia="Times New Roman" w:hAnsi="Arial" w:cs="Arial"/>
          <w:lang w:val="en-GB"/>
        </w:rPr>
      </w:pPr>
      <w:r w:rsidRPr="00DF12E5">
        <w:rPr>
          <w:rFonts w:ascii="Arial" w:eastAsia="Times New Roman" w:hAnsi="Arial" w:cs="Arial"/>
          <w:lang w:val="en-GB"/>
        </w:rPr>
        <w:t>The results were reported as MIC range, MIC mean with standard deviation, MIC50 (MICs at which 50% of the strains were inhibited) and MIC90 (MICs at which 90% of the strains were inhibited).</w:t>
      </w:r>
    </w:p>
    <w:p w14:paraId="40535B33" w14:textId="77777777" w:rsidR="00476DF3" w:rsidRPr="00005F24" w:rsidRDefault="00476DF3" w:rsidP="00626AE5">
      <w:pPr>
        <w:jc w:val="both"/>
        <w:rPr>
          <w:rFonts w:ascii="Arial" w:eastAsia="Times New Roman" w:hAnsi="Arial" w:cs="Arial"/>
          <w:i/>
          <w:iCs/>
          <w:lang w:val="en-GB"/>
        </w:rPr>
      </w:pPr>
      <w:r w:rsidRPr="00005F24">
        <w:rPr>
          <w:rFonts w:ascii="Arial" w:eastAsia="Times New Roman" w:hAnsi="Arial" w:cs="Arial"/>
          <w:i/>
          <w:iCs/>
          <w:lang w:val="en-GB"/>
        </w:rPr>
        <w:t>Statistical analysis</w:t>
      </w:r>
    </w:p>
    <w:p w14:paraId="58DE92FC" w14:textId="1D77D0EB" w:rsidR="00476DF3" w:rsidRPr="00DF12E5" w:rsidRDefault="007D3E9C" w:rsidP="00626AE5">
      <w:pPr>
        <w:jc w:val="both"/>
        <w:rPr>
          <w:rFonts w:ascii="Arial" w:eastAsia="Times New Roman" w:hAnsi="Arial" w:cs="Arial"/>
          <w:shd w:val="clear" w:color="auto" w:fill="FFFFFF"/>
          <w:lang w:val="en-GB"/>
        </w:rPr>
      </w:pPr>
      <w:r w:rsidRPr="007D3E9C">
        <w:rPr>
          <w:rFonts w:ascii="Arial" w:eastAsia="Times New Roman" w:hAnsi="Arial" w:cs="Arial"/>
          <w:lang w:val="en-GB"/>
        </w:rPr>
        <w:t>The Student’s t-test was used to evaluate</w:t>
      </w:r>
      <w:r w:rsidRPr="007D3E9C" w:rsidDel="007D3E9C">
        <w:rPr>
          <w:rFonts w:ascii="Arial" w:eastAsia="Times New Roman" w:hAnsi="Arial" w:cs="Arial"/>
          <w:lang w:val="en-GB"/>
        </w:rPr>
        <w:t xml:space="preserve"> </w:t>
      </w:r>
      <w:r w:rsidR="00476DF3" w:rsidRPr="00DF12E5">
        <w:rPr>
          <w:rFonts w:ascii="Arial" w:eastAsia="Times New Roman" w:hAnsi="Arial" w:cs="Arial"/>
          <w:lang w:val="en-GB"/>
        </w:rPr>
        <w:t>the differences among MIC mean values of different antifungal drugs within and between Group I and II. A value of </w:t>
      </w:r>
      <w:r w:rsidR="00476DF3" w:rsidRPr="00DF12E5">
        <w:rPr>
          <w:rFonts w:ascii="Arial" w:eastAsia="Times New Roman" w:hAnsi="Arial" w:cs="Arial"/>
          <w:i/>
          <w:iCs/>
          <w:lang w:val="en-GB"/>
        </w:rPr>
        <w:t>P</w:t>
      </w:r>
      <w:r w:rsidR="00476DF3" w:rsidRPr="00DF12E5">
        <w:rPr>
          <w:rFonts w:ascii="Arial" w:eastAsia="Times New Roman" w:hAnsi="Arial" w:cs="Arial"/>
          <w:lang w:val="en-GB"/>
        </w:rPr>
        <w:t> ≤ 0.05 was considered statistically significant.</w:t>
      </w:r>
    </w:p>
    <w:p w14:paraId="6DB9B71E" w14:textId="77777777" w:rsidR="00476DF3" w:rsidRPr="00764457" w:rsidRDefault="00476DF3" w:rsidP="00626AE5">
      <w:pPr>
        <w:jc w:val="both"/>
        <w:rPr>
          <w:rFonts w:ascii="Arial" w:eastAsia="Times New Roman" w:hAnsi="Arial" w:cs="Arial"/>
          <w:b/>
          <w:bCs/>
          <w:shd w:val="clear" w:color="auto" w:fill="FFFFFF"/>
          <w:lang w:val="en-GB"/>
        </w:rPr>
      </w:pPr>
      <w:r w:rsidRPr="00764457">
        <w:rPr>
          <w:rFonts w:ascii="Arial" w:eastAsia="Times New Roman" w:hAnsi="Arial" w:cs="Arial"/>
          <w:b/>
          <w:bCs/>
          <w:shd w:val="clear" w:color="auto" w:fill="FFFFFF"/>
          <w:lang w:val="en-GB"/>
        </w:rPr>
        <w:t>Results</w:t>
      </w:r>
    </w:p>
    <w:p w14:paraId="08B2F77B" w14:textId="25AB1B06" w:rsidR="00476DF3" w:rsidRPr="00626AE5" w:rsidRDefault="00CB04B8" w:rsidP="00626AE5">
      <w:pPr>
        <w:widowControl w:val="0"/>
        <w:autoSpaceDE w:val="0"/>
        <w:autoSpaceDN w:val="0"/>
        <w:adjustRightInd w:val="0"/>
        <w:jc w:val="both"/>
        <w:rPr>
          <w:rFonts w:ascii="Arial" w:eastAsia="Times New Roman" w:hAnsi="Arial" w:cs="Arial"/>
          <w:shd w:val="clear" w:color="auto" w:fill="FFFFFF"/>
          <w:lang w:val="en-GB"/>
        </w:rPr>
      </w:pPr>
      <w:r w:rsidRPr="00CB04B8">
        <w:rPr>
          <w:rFonts w:ascii="Arial" w:eastAsia="Times New Roman" w:hAnsi="Arial" w:cs="Arial"/>
          <w:shd w:val="clear" w:color="auto" w:fill="FFFFFF"/>
          <w:lang w:val="en-GB"/>
        </w:rPr>
        <w:t>All quality control MIC values were within the ranges established by the CLSI</w:t>
      </w:r>
      <w:r>
        <w:rPr>
          <w:rFonts w:ascii="Arial" w:eastAsia="Times New Roman" w:hAnsi="Arial" w:cs="Arial"/>
          <w:shd w:val="clear" w:color="auto" w:fill="FFFFFF"/>
          <w:lang w:val="en-GB"/>
        </w:rPr>
        <w:t>.</w:t>
      </w:r>
      <w:r w:rsidR="001B6C4D">
        <w:rPr>
          <w:rFonts w:ascii="Arial" w:eastAsia="Times New Roman" w:hAnsi="Arial" w:cs="Arial"/>
          <w:shd w:val="clear" w:color="auto" w:fill="FFFFFF"/>
          <w:vertAlign w:val="superscript"/>
          <w:lang w:val="en-GB"/>
        </w:rPr>
        <w:t>19</w:t>
      </w:r>
      <w:r>
        <w:rPr>
          <w:rFonts w:ascii="Arial" w:eastAsia="Times New Roman" w:hAnsi="Arial" w:cs="Arial"/>
          <w:shd w:val="clear" w:color="auto" w:fill="FFFFFF"/>
          <w:lang w:val="en-GB"/>
        </w:rPr>
        <w:t xml:space="preserve"> </w:t>
      </w:r>
      <w:r w:rsidR="00476DF3" w:rsidRPr="00DF12E5">
        <w:rPr>
          <w:rFonts w:ascii="Arial" w:eastAsia="Times New Roman" w:hAnsi="Arial" w:cs="Arial"/>
          <w:shd w:val="clear" w:color="auto" w:fill="FFFFFF"/>
          <w:lang w:val="en-GB"/>
        </w:rPr>
        <w:t xml:space="preserve">The ITC MIC values of </w:t>
      </w:r>
      <w:r w:rsidR="00476DF3" w:rsidRPr="00DF12E5">
        <w:rPr>
          <w:rFonts w:ascii="Arial" w:eastAsia="Times New Roman" w:hAnsi="Arial" w:cs="Arial"/>
          <w:i/>
          <w:iCs/>
          <w:shd w:val="clear" w:color="auto" w:fill="FFFFFF"/>
          <w:lang w:val="en-GB"/>
        </w:rPr>
        <w:t>M. canis</w:t>
      </w:r>
      <w:r w:rsidR="00476DF3" w:rsidRPr="00DF12E5">
        <w:rPr>
          <w:rFonts w:ascii="Arial" w:eastAsia="Times New Roman" w:hAnsi="Arial" w:cs="Arial"/>
          <w:shd w:val="clear" w:color="auto" w:fill="FFFFFF"/>
          <w:lang w:val="en-GB"/>
        </w:rPr>
        <w:t xml:space="preserve"> strains from animals of Group I and II obtained using different inocula and incubation times are reported in Table 1.</w:t>
      </w:r>
      <w:r w:rsidR="00476DF3" w:rsidRPr="008A12E3">
        <w:rPr>
          <w:rFonts w:ascii="Arial" w:eastAsia="Times New Roman" w:hAnsi="Arial" w:cs="Arial"/>
          <w:shd w:val="clear" w:color="auto" w:fill="FFFFFF"/>
          <w:lang w:val="en-GB"/>
        </w:rPr>
        <w:t>The MIC values of ITC</w:t>
      </w:r>
      <w:r w:rsidR="00476DF3" w:rsidRPr="00DF12E5">
        <w:rPr>
          <w:rFonts w:ascii="Arial" w:eastAsia="Times New Roman" w:hAnsi="Arial" w:cs="Arial"/>
          <w:shd w:val="clear" w:color="auto" w:fill="FFFFFF"/>
          <w:lang w:val="en-GB"/>
        </w:rPr>
        <w:t xml:space="preserve"> recorded after </w:t>
      </w:r>
      <w:r w:rsidR="00476DF3">
        <w:rPr>
          <w:rFonts w:ascii="Arial" w:eastAsia="Times New Roman" w:hAnsi="Arial" w:cs="Arial"/>
          <w:shd w:val="clear" w:color="auto" w:fill="FFFFFF"/>
          <w:lang w:val="en-GB"/>
        </w:rPr>
        <w:t>three</w:t>
      </w:r>
      <w:r w:rsidR="00476DF3" w:rsidRPr="00DF12E5">
        <w:rPr>
          <w:rFonts w:ascii="Arial" w:eastAsia="Times New Roman" w:hAnsi="Arial" w:cs="Arial"/>
          <w:shd w:val="clear" w:color="auto" w:fill="FFFFFF"/>
          <w:lang w:val="en-GB"/>
        </w:rPr>
        <w:t xml:space="preserve"> day-incubation, were equal or marginally lower (p &gt;0.05; Table 1) than those recorded after </w:t>
      </w:r>
      <w:r w:rsidR="00476DF3">
        <w:rPr>
          <w:rFonts w:ascii="Arial" w:eastAsia="Times New Roman" w:hAnsi="Arial" w:cs="Arial"/>
          <w:shd w:val="clear" w:color="auto" w:fill="FFFFFF"/>
          <w:lang w:val="en-GB"/>
        </w:rPr>
        <w:t>seven</w:t>
      </w:r>
      <w:r w:rsidR="00476DF3" w:rsidRPr="00DF12E5">
        <w:rPr>
          <w:rFonts w:ascii="Arial" w:eastAsia="Times New Roman" w:hAnsi="Arial" w:cs="Arial"/>
          <w:shd w:val="clear" w:color="auto" w:fill="FFFFFF"/>
          <w:lang w:val="en-GB"/>
        </w:rPr>
        <w:t xml:space="preserve"> day-incubation. The ITC MIC values obtained with arthroconidia were significantly lower than those recorded by using conidia and hypha-conidia, regardless of incubation time </w:t>
      </w:r>
      <w:r w:rsidR="00476DF3" w:rsidRPr="00626AE5">
        <w:rPr>
          <w:rFonts w:ascii="Arial" w:eastAsia="Times New Roman" w:hAnsi="Arial" w:cs="Arial"/>
          <w:shd w:val="clear" w:color="auto" w:fill="FFFFFF"/>
          <w:lang w:val="en-GB"/>
        </w:rPr>
        <w:t xml:space="preserve">and </w:t>
      </w:r>
      <w:r w:rsidR="00476DF3" w:rsidRPr="00626AE5">
        <w:rPr>
          <w:rFonts w:ascii="Arial" w:eastAsia="Times New Roman" w:hAnsi="Arial" w:cs="Arial"/>
          <w:i/>
          <w:iCs/>
          <w:shd w:val="clear" w:color="auto" w:fill="FFFFFF"/>
          <w:lang w:val="en-GB"/>
        </w:rPr>
        <w:t>M. canis</w:t>
      </w:r>
      <w:r w:rsidR="00476DF3" w:rsidRPr="00626AE5">
        <w:rPr>
          <w:rFonts w:ascii="Arial" w:eastAsia="Times New Roman" w:hAnsi="Arial" w:cs="Arial"/>
          <w:shd w:val="clear" w:color="auto" w:fill="FFFFFF"/>
          <w:lang w:val="en-GB"/>
        </w:rPr>
        <w:t xml:space="preserve"> source (Table 1, p&lt;0.05). The ITC MIC values (MIC</w:t>
      </w:r>
      <w:r w:rsidR="00476DF3" w:rsidRPr="00626AE5">
        <w:rPr>
          <w:rFonts w:ascii="Arial" w:eastAsia="Times New Roman" w:hAnsi="Arial" w:cs="Arial"/>
          <w:shd w:val="clear" w:color="auto" w:fill="FFFFFF"/>
          <w:vertAlign w:val="subscript"/>
          <w:lang w:val="en-GB"/>
        </w:rPr>
        <w:t>50</w:t>
      </w:r>
      <w:r w:rsidR="00476DF3" w:rsidRPr="00626AE5">
        <w:rPr>
          <w:rFonts w:ascii="Arial" w:eastAsia="Times New Roman" w:hAnsi="Arial" w:cs="Arial"/>
          <w:shd w:val="clear" w:color="auto" w:fill="FFFFFF"/>
          <w:lang w:val="en-GB"/>
        </w:rPr>
        <w:t>, MIC</w:t>
      </w:r>
      <w:r w:rsidR="00476DF3" w:rsidRPr="00626AE5">
        <w:rPr>
          <w:rFonts w:ascii="Arial" w:eastAsia="Times New Roman" w:hAnsi="Arial" w:cs="Arial"/>
          <w:shd w:val="clear" w:color="auto" w:fill="FFFFFF"/>
          <w:vertAlign w:val="subscript"/>
          <w:lang w:val="en-GB"/>
        </w:rPr>
        <w:t>90</w:t>
      </w:r>
      <w:r w:rsidR="00476DF3" w:rsidRPr="00626AE5">
        <w:rPr>
          <w:rFonts w:ascii="Arial" w:eastAsia="Times New Roman" w:hAnsi="Arial" w:cs="Arial"/>
          <w:shd w:val="clear" w:color="auto" w:fill="FFFFFF"/>
          <w:lang w:val="en-GB"/>
        </w:rPr>
        <w:t xml:space="preserve">, mMIC) of hypha-conidia and conidia varied according to </w:t>
      </w:r>
      <w:r w:rsidR="00476DF3" w:rsidRPr="00626AE5">
        <w:rPr>
          <w:rFonts w:ascii="Arial" w:eastAsia="Times New Roman" w:hAnsi="Arial" w:cs="Arial"/>
          <w:i/>
          <w:iCs/>
          <w:shd w:val="clear" w:color="auto" w:fill="FFFFFF"/>
          <w:lang w:val="en-GB"/>
        </w:rPr>
        <w:t>M. canis</w:t>
      </w:r>
      <w:r w:rsidR="00476DF3" w:rsidRPr="00626AE5">
        <w:rPr>
          <w:rFonts w:ascii="Arial" w:eastAsia="Times New Roman" w:hAnsi="Arial" w:cs="Arial"/>
          <w:shd w:val="clear" w:color="auto" w:fill="FFFFFF"/>
          <w:lang w:val="en-GB"/>
        </w:rPr>
        <w:t xml:space="preserve"> source being higher for strains from Group I. The lowest value of ITC MIC values in Group II samples was recorded using conidia and three day-incubation (Table 1).</w:t>
      </w:r>
    </w:p>
    <w:p w14:paraId="54CCEDA5" w14:textId="728F3A5D" w:rsidR="00476DF3" w:rsidRPr="00626AE5" w:rsidRDefault="00476DF3" w:rsidP="00626AE5">
      <w:pPr>
        <w:widowControl w:val="0"/>
        <w:autoSpaceDE w:val="0"/>
        <w:autoSpaceDN w:val="0"/>
        <w:adjustRightInd w:val="0"/>
        <w:jc w:val="both"/>
        <w:rPr>
          <w:rFonts w:ascii="Arial" w:eastAsia="Times New Roman" w:hAnsi="Arial" w:cs="Arial"/>
          <w:lang w:val="en-GB"/>
        </w:rPr>
      </w:pPr>
      <w:r w:rsidRPr="00626AE5">
        <w:rPr>
          <w:rFonts w:ascii="Arial" w:eastAsia="Times New Roman" w:hAnsi="Arial" w:cs="Arial"/>
          <w:shd w:val="clear" w:color="auto" w:fill="FFFFFF"/>
          <w:lang w:val="en-GB"/>
        </w:rPr>
        <w:t xml:space="preserve">The ITC MIC values of conidia were ≤1μg/ml for strains from Group II and &gt;1μg/ml for those of Group I. </w:t>
      </w:r>
      <w:r w:rsidR="005E42DA" w:rsidRPr="00626AE5">
        <w:rPr>
          <w:rFonts w:ascii="Arial" w:eastAsia="Times New Roman" w:hAnsi="Arial" w:cs="Arial"/>
          <w:shd w:val="clear" w:color="auto" w:fill="FFFFFF"/>
          <w:lang w:val="en-GB"/>
        </w:rPr>
        <w:t xml:space="preserve">All the </w:t>
      </w:r>
      <w:r w:rsidR="005E42DA" w:rsidRPr="001A6473">
        <w:rPr>
          <w:rFonts w:ascii="Arial" w:eastAsia="Times New Roman" w:hAnsi="Arial" w:cs="Arial"/>
          <w:i/>
          <w:iCs/>
          <w:shd w:val="clear" w:color="auto" w:fill="FFFFFF"/>
          <w:lang w:val="en-GB"/>
        </w:rPr>
        <w:t>M. canis</w:t>
      </w:r>
      <w:r w:rsidR="005E42DA" w:rsidRPr="00626AE5">
        <w:rPr>
          <w:rFonts w:ascii="Arial" w:eastAsia="Times New Roman" w:hAnsi="Arial" w:cs="Arial"/>
          <w:shd w:val="clear" w:color="auto" w:fill="FFFFFF"/>
          <w:lang w:val="en-GB"/>
        </w:rPr>
        <w:t xml:space="preserve"> strains showed low MIC values to VRC, PSZ and TRB, and high MIC values to ITC, KTC, GRI and FLC</w:t>
      </w:r>
      <w:r w:rsidRPr="00626AE5">
        <w:rPr>
          <w:rFonts w:ascii="Arial" w:eastAsia="Times New Roman" w:hAnsi="Arial" w:cs="Arial"/>
          <w:lang w:val="en-GB"/>
        </w:rPr>
        <w:t>, regardless of the source of collection and incubation time (</w:t>
      </w:r>
      <w:hyperlink r:id="rId8" w:anchor="tbl0005" w:history="1">
        <w:r w:rsidRPr="00626AE5">
          <w:rPr>
            <w:rFonts w:ascii="Arial" w:eastAsia="Times New Roman" w:hAnsi="Arial" w:cs="Arial"/>
            <w:lang w:val="en-GB"/>
          </w:rPr>
          <w:t>Table 2</w:t>
        </w:r>
      </w:hyperlink>
      <w:r w:rsidRPr="00626AE5">
        <w:rPr>
          <w:rFonts w:ascii="Arial" w:eastAsia="Times New Roman" w:hAnsi="Arial" w:cs="Arial"/>
          <w:lang w:val="en-GB"/>
        </w:rPr>
        <w:t xml:space="preserve">). The MIC mean value for all compounds tested in Group I were higher than those from Group II. High FLC </w:t>
      </w:r>
      <w:r w:rsidRPr="00626AE5">
        <w:rPr>
          <w:rFonts w:ascii="Arial" w:eastAsia="Times New Roman" w:hAnsi="Arial" w:cs="Arial"/>
          <w:color w:val="2A2A2A"/>
          <w:shd w:val="clear" w:color="auto" w:fill="FFFFFF"/>
          <w:lang w:val="en-GB"/>
        </w:rPr>
        <w:t>(&gt; 64μg/ml) MICs was recorded using the strains that showed high ITC MIC values (&gt;1μg/ml)</w:t>
      </w:r>
      <w:r w:rsidRPr="00626AE5">
        <w:rPr>
          <w:rFonts w:ascii="Arial" w:eastAsia="Times New Roman" w:hAnsi="Arial" w:cs="Arial"/>
          <w:lang w:val="en-GB"/>
        </w:rPr>
        <w:t xml:space="preserve">. </w:t>
      </w:r>
      <w:r w:rsidRPr="00626AE5">
        <w:rPr>
          <w:rFonts w:ascii="Arial" w:eastAsia="Times New Roman" w:hAnsi="Arial" w:cs="Arial"/>
          <w:shd w:val="clear" w:color="auto" w:fill="FFFFFF"/>
          <w:lang w:val="en-GB"/>
        </w:rPr>
        <w:t xml:space="preserve"> </w:t>
      </w:r>
    </w:p>
    <w:p w14:paraId="54C5A31D" w14:textId="77777777" w:rsidR="00476DF3" w:rsidRPr="00626AE5" w:rsidRDefault="00476DF3" w:rsidP="00626AE5">
      <w:pPr>
        <w:jc w:val="both"/>
        <w:rPr>
          <w:rFonts w:ascii="Arial" w:eastAsia="Times New Roman" w:hAnsi="Arial" w:cs="Arial"/>
          <w:b/>
          <w:bCs/>
          <w:lang w:val="en-GB"/>
        </w:rPr>
      </w:pPr>
      <w:r w:rsidRPr="00626AE5">
        <w:rPr>
          <w:rFonts w:ascii="Arial" w:eastAsia="Times New Roman" w:hAnsi="Arial" w:cs="Arial"/>
          <w:b/>
          <w:bCs/>
          <w:lang w:val="en-GB"/>
        </w:rPr>
        <w:t xml:space="preserve">Discussion </w:t>
      </w:r>
    </w:p>
    <w:p w14:paraId="3D0F7703" w14:textId="39F905CA" w:rsidR="00476DF3" w:rsidRPr="00DF12E5" w:rsidRDefault="00476DF3" w:rsidP="00626AE5">
      <w:pPr>
        <w:jc w:val="both"/>
        <w:rPr>
          <w:rFonts w:ascii="Arial" w:eastAsia="Times New Roman" w:hAnsi="Arial" w:cs="Arial"/>
          <w:lang w:val="en-US"/>
        </w:rPr>
      </w:pPr>
      <w:r w:rsidRPr="00DF12E5">
        <w:rPr>
          <w:rFonts w:ascii="Arial" w:eastAsia="Times New Roman" w:hAnsi="Arial" w:cs="Arial"/>
          <w:lang w:val="en-GB"/>
        </w:rPr>
        <w:t xml:space="preserve">Results of this study suggest that the type of inocula used in </w:t>
      </w:r>
      <w:r w:rsidRPr="00DF12E5">
        <w:rPr>
          <w:rFonts w:ascii="Arial" w:eastAsia="Times New Roman" w:hAnsi="Arial" w:cs="Arial"/>
          <w:i/>
          <w:iCs/>
          <w:lang w:val="en-GB"/>
        </w:rPr>
        <w:t>in vitro</w:t>
      </w:r>
      <w:r>
        <w:rPr>
          <w:rFonts w:ascii="Arial" w:eastAsia="Times New Roman" w:hAnsi="Arial" w:cs="Arial"/>
          <w:lang w:val="en-GB"/>
        </w:rPr>
        <w:t xml:space="preserve"> </w:t>
      </w:r>
      <w:r w:rsidRPr="00DF12E5">
        <w:rPr>
          <w:rFonts w:ascii="Arial" w:eastAsia="Times New Roman" w:hAnsi="Arial" w:cs="Arial"/>
          <w:lang w:val="en-GB"/>
        </w:rPr>
        <w:t xml:space="preserve">antifungal susceptibility assays of </w:t>
      </w:r>
      <w:r w:rsidRPr="00DF12E5">
        <w:rPr>
          <w:rFonts w:ascii="Arial" w:eastAsia="Times New Roman" w:hAnsi="Arial" w:cs="Arial"/>
          <w:i/>
          <w:iCs/>
          <w:lang w:val="en-GB"/>
        </w:rPr>
        <w:t>M. canis</w:t>
      </w:r>
      <w:r w:rsidRPr="00DF12E5">
        <w:rPr>
          <w:rFonts w:ascii="Arial" w:eastAsia="Times New Roman" w:hAnsi="Arial" w:cs="Arial"/>
          <w:lang w:val="en-GB"/>
        </w:rPr>
        <w:t xml:space="preserve"> affect the ITC MIC values, as previously reported for </w:t>
      </w:r>
      <w:r w:rsidRPr="00DF12E5">
        <w:rPr>
          <w:rFonts w:ascii="Arial" w:eastAsia="Times New Roman" w:hAnsi="Arial" w:cs="Arial"/>
          <w:i/>
          <w:iCs/>
          <w:lang w:val="en-GB"/>
        </w:rPr>
        <w:t>T. mentagrophytes</w:t>
      </w:r>
      <w:r w:rsidRPr="00DF12E5">
        <w:rPr>
          <w:rFonts w:ascii="Arial" w:eastAsia="Times New Roman" w:hAnsi="Arial" w:cs="Arial"/>
          <w:lang w:val="en-GB"/>
        </w:rPr>
        <w:t xml:space="preserve"> and </w:t>
      </w:r>
      <w:r w:rsidRPr="00DF12E5">
        <w:rPr>
          <w:rFonts w:ascii="Arial" w:eastAsia="Times New Roman" w:hAnsi="Arial" w:cs="Arial"/>
          <w:i/>
          <w:iCs/>
          <w:lang w:val="en-GB"/>
        </w:rPr>
        <w:t>T. rubrum</w:t>
      </w:r>
      <w:r w:rsidRPr="00DF12E5">
        <w:rPr>
          <w:rFonts w:ascii="Arial" w:eastAsia="Times New Roman" w:hAnsi="Arial" w:cs="Arial"/>
          <w:lang w:val="en-GB"/>
        </w:rPr>
        <w:t>.</w:t>
      </w:r>
      <w:r>
        <w:rPr>
          <w:rFonts w:ascii="Arial" w:eastAsia="Times New Roman" w:hAnsi="Arial" w:cs="Arial"/>
          <w:vertAlign w:val="superscript"/>
          <w:lang w:val="en-GB"/>
        </w:rPr>
        <w:t>2</w:t>
      </w:r>
      <w:r w:rsidR="001B6C4D">
        <w:rPr>
          <w:rFonts w:ascii="Arial" w:eastAsia="Times New Roman" w:hAnsi="Arial" w:cs="Arial"/>
          <w:vertAlign w:val="superscript"/>
          <w:lang w:val="en-GB"/>
        </w:rPr>
        <w:t>2</w:t>
      </w:r>
      <w:r w:rsidRPr="00DF12E5">
        <w:rPr>
          <w:rFonts w:ascii="Arial" w:eastAsia="Times New Roman" w:hAnsi="Arial" w:cs="Arial"/>
          <w:lang w:val="en-GB"/>
        </w:rPr>
        <w:t xml:space="preserve"> In addition, the ITC antifungal susceptibility observed for samples obtained from animals infected by </w:t>
      </w:r>
      <w:r w:rsidRPr="00DF12E5">
        <w:rPr>
          <w:rFonts w:ascii="Arial" w:eastAsia="Times New Roman" w:hAnsi="Arial" w:cs="Arial"/>
          <w:i/>
          <w:iCs/>
          <w:lang w:val="en-GB"/>
        </w:rPr>
        <w:t>M. canis</w:t>
      </w:r>
      <w:r w:rsidRPr="00DF12E5">
        <w:rPr>
          <w:rFonts w:ascii="Arial" w:eastAsia="Times New Roman" w:hAnsi="Arial" w:cs="Arial"/>
          <w:lang w:val="en-GB"/>
        </w:rPr>
        <w:t xml:space="preserve"> and that had tested </w:t>
      </w:r>
      <w:r w:rsidRPr="00DF12E5">
        <w:rPr>
          <w:rFonts w:ascii="Arial" w:eastAsia="Times New Roman" w:hAnsi="Arial" w:cs="Arial"/>
          <w:shd w:val="clear" w:color="auto" w:fill="FFFFFF"/>
          <w:lang w:val="en-GB"/>
        </w:rPr>
        <w:t>positive (Group I) or negative (Group II) to this pathogen following ITC therapy</w:t>
      </w:r>
      <w:r w:rsidRPr="00DF12E5">
        <w:rPr>
          <w:rFonts w:ascii="Arial" w:eastAsia="Times New Roman" w:hAnsi="Arial" w:cs="Arial"/>
          <w:lang w:val="en-GB"/>
        </w:rPr>
        <w:t xml:space="preserve"> was compared, thus allowing us to evaluate the most suitable type of inocula or incubation time for </w:t>
      </w:r>
      <w:r w:rsidRPr="00DF12E5">
        <w:rPr>
          <w:rFonts w:ascii="Arial" w:eastAsia="Times New Roman" w:hAnsi="Arial" w:cs="Arial"/>
          <w:i/>
          <w:iCs/>
          <w:lang w:val="en-GB"/>
        </w:rPr>
        <w:t>in vitro</w:t>
      </w:r>
      <w:r w:rsidRPr="00DF12E5">
        <w:rPr>
          <w:rFonts w:ascii="Arial" w:eastAsia="Times New Roman" w:hAnsi="Arial" w:cs="Arial"/>
          <w:lang w:val="en-GB"/>
        </w:rPr>
        <w:t xml:space="preserve"> susceptibility testing. No differences were observed in the </w:t>
      </w:r>
      <w:r w:rsidRPr="00DF12E5">
        <w:rPr>
          <w:rFonts w:ascii="Arial" w:eastAsia="Times New Roman" w:hAnsi="Arial" w:cs="Arial"/>
          <w:color w:val="2A2A2A"/>
          <w:shd w:val="clear" w:color="auto" w:fill="FFFFFF"/>
          <w:lang w:val="en-GB"/>
        </w:rPr>
        <w:t xml:space="preserve">MIC values obtained after </w:t>
      </w:r>
      <w:r>
        <w:rPr>
          <w:rFonts w:ascii="Arial" w:eastAsia="Times New Roman" w:hAnsi="Arial" w:cs="Arial"/>
          <w:color w:val="2A2A2A"/>
          <w:shd w:val="clear" w:color="auto" w:fill="FFFFFF"/>
          <w:lang w:val="en-GB"/>
        </w:rPr>
        <w:t>three</w:t>
      </w:r>
      <w:r w:rsidRPr="00DF12E5">
        <w:rPr>
          <w:rFonts w:ascii="Arial" w:eastAsia="Times New Roman" w:hAnsi="Arial" w:cs="Arial"/>
          <w:color w:val="2A2A2A"/>
          <w:shd w:val="clear" w:color="auto" w:fill="FFFFFF"/>
          <w:lang w:val="en-GB"/>
        </w:rPr>
        <w:t xml:space="preserve"> and </w:t>
      </w:r>
      <w:r>
        <w:rPr>
          <w:rFonts w:ascii="Arial" w:eastAsia="Times New Roman" w:hAnsi="Arial" w:cs="Arial"/>
          <w:color w:val="2A2A2A"/>
          <w:shd w:val="clear" w:color="auto" w:fill="FFFFFF"/>
          <w:lang w:val="en-GB"/>
        </w:rPr>
        <w:t>seven</w:t>
      </w:r>
      <w:r w:rsidRPr="00DF12E5">
        <w:rPr>
          <w:rFonts w:ascii="Arial" w:eastAsia="Times New Roman" w:hAnsi="Arial" w:cs="Arial"/>
          <w:color w:val="2A2A2A"/>
          <w:shd w:val="clear" w:color="auto" w:fill="FFFFFF"/>
          <w:lang w:val="en-GB"/>
        </w:rPr>
        <w:t xml:space="preserve"> days, thus supporting the hypothesis that the time of incubation does not affect the ITC MIC values as </w:t>
      </w:r>
      <w:r>
        <w:rPr>
          <w:rFonts w:ascii="Arial" w:eastAsia="Times New Roman" w:hAnsi="Arial" w:cs="Arial"/>
          <w:color w:val="2A2A2A"/>
          <w:shd w:val="clear" w:color="auto" w:fill="FFFFFF"/>
          <w:lang w:val="en-GB"/>
        </w:rPr>
        <w:t xml:space="preserve">previously </w:t>
      </w:r>
      <w:r w:rsidRPr="00DF12E5">
        <w:rPr>
          <w:rFonts w:ascii="Arial" w:eastAsia="Times New Roman" w:hAnsi="Arial" w:cs="Arial"/>
          <w:color w:val="2A2A2A"/>
          <w:shd w:val="clear" w:color="auto" w:fill="FFFFFF"/>
          <w:lang w:val="en-GB"/>
        </w:rPr>
        <w:t xml:space="preserve">observed for </w:t>
      </w:r>
      <w:r w:rsidRPr="00DF12E5">
        <w:rPr>
          <w:rFonts w:ascii="Arial" w:eastAsia="Times New Roman" w:hAnsi="Arial" w:cs="Arial"/>
          <w:i/>
          <w:iCs/>
          <w:color w:val="000000"/>
          <w:shd w:val="clear" w:color="auto" w:fill="FFFFFF"/>
          <w:lang w:val="en-GB"/>
        </w:rPr>
        <w:t>T. rubrum</w:t>
      </w:r>
      <w:r w:rsidRPr="00DF12E5">
        <w:rPr>
          <w:rFonts w:ascii="Arial" w:eastAsia="Times New Roman" w:hAnsi="Arial" w:cs="Arial"/>
          <w:color w:val="2A2A2A"/>
          <w:shd w:val="clear" w:color="auto" w:fill="FFFFFF"/>
          <w:lang w:val="en-GB"/>
        </w:rPr>
        <w:t>.</w:t>
      </w:r>
      <w:r w:rsidR="00530612">
        <w:rPr>
          <w:rFonts w:ascii="Arial" w:eastAsia="Times New Roman" w:hAnsi="Arial" w:cs="Arial"/>
          <w:color w:val="2A2A2A"/>
          <w:shd w:val="clear" w:color="auto" w:fill="FFFFFF"/>
          <w:vertAlign w:val="superscript"/>
          <w:lang w:val="en-GB"/>
        </w:rPr>
        <w:t>8</w:t>
      </w:r>
      <w:r>
        <w:rPr>
          <w:rFonts w:ascii="Arial" w:eastAsia="Times New Roman" w:hAnsi="Arial" w:cs="Arial"/>
          <w:color w:val="2A2A2A"/>
          <w:shd w:val="clear" w:color="auto" w:fill="FFFFFF"/>
          <w:vertAlign w:val="superscript"/>
          <w:lang w:val="en-GB"/>
        </w:rPr>
        <w:t>,</w:t>
      </w:r>
      <w:r w:rsidR="00530612">
        <w:rPr>
          <w:rFonts w:ascii="Arial" w:eastAsia="Times New Roman" w:hAnsi="Arial" w:cs="Arial"/>
          <w:color w:val="2A2A2A"/>
          <w:shd w:val="clear" w:color="auto" w:fill="FFFFFF"/>
          <w:vertAlign w:val="superscript"/>
          <w:lang w:val="en-GB"/>
        </w:rPr>
        <w:t>2</w:t>
      </w:r>
      <w:r w:rsidR="001B6C4D">
        <w:rPr>
          <w:rFonts w:ascii="Arial" w:eastAsia="Times New Roman" w:hAnsi="Arial" w:cs="Arial"/>
          <w:color w:val="2A2A2A"/>
          <w:shd w:val="clear" w:color="auto" w:fill="FFFFFF"/>
          <w:vertAlign w:val="superscript"/>
          <w:lang w:val="en-GB"/>
        </w:rPr>
        <w:t>2</w:t>
      </w:r>
      <w:r w:rsidR="00530612">
        <w:rPr>
          <w:rFonts w:ascii="Arial" w:eastAsia="Times New Roman" w:hAnsi="Arial" w:cs="Arial"/>
          <w:color w:val="2A2A2A"/>
          <w:shd w:val="clear" w:color="auto" w:fill="FFFFFF"/>
          <w:vertAlign w:val="superscript"/>
          <w:lang w:val="en-GB"/>
        </w:rPr>
        <w:t>,2</w:t>
      </w:r>
      <w:r w:rsidR="001B6C4D">
        <w:rPr>
          <w:rFonts w:ascii="Arial" w:eastAsia="Times New Roman" w:hAnsi="Arial" w:cs="Arial"/>
          <w:color w:val="2A2A2A"/>
          <w:shd w:val="clear" w:color="auto" w:fill="FFFFFF"/>
          <w:vertAlign w:val="superscript"/>
          <w:lang w:val="en-GB"/>
        </w:rPr>
        <w:t>3</w:t>
      </w:r>
      <w:r w:rsidRPr="00DF12E5">
        <w:rPr>
          <w:rFonts w:ascii="Arial" w:eastAsia="Times New Roman" w:hAnsi="Arial" w:cs="Arial"/>
          <w:color w:val="2A2A2A"/>
          <w:shd w:val="clear" w:color="auto" w:fill="FFFFFF"/>
          <w:lang w:val="en-GB"/>
        </w:rPr>
        <w:t xml:space="preserve"> Therefore, we suggest that a 3-day incubation is optimal in </w:t>
      </w:r>
      <w:r w:rsidRPr="00DF12E5">
        <w:rPr>
          <w:rFonts w:ascii="Arial" w:eastAsia="Times New Roman" w:hAnsi="Arial" w:cs="Arial"/>
          <w:i/>
          <w:iCs/>
          <w:color w:val="2A2A2A"/>
          <w:shd w:val="clear" w:color="auto" w:fill="FFFFFF"/>
          <w:lang w:val="en-GB"/>
        </w:rPr>
        <w:t>in vitro</w:t>
      </w:r>
      <w:r w:rsidRPr="00DF12E5">
        <w:rPr>
          <w:rFonts w:ascii="Arial" w:eastAsia="Times New Roman" w:hAnsi="Arial" w:cs="Arial"/>
          <w:color w:val="2A2A2A"/>
          <w:shd w:val="clear" w:color="auto" w:fill="FFFFFF"/>
          <w:lang w:val="en-GB"/>
        </w:rPr>
        <w:t xml:space="preserve"> antifungal susceptibility tests of </w:t>
      </w:r>
      <w:r w:rsidRPr="00DF12E5">
        <w:rPr>
          <w:rFonts w:ascii="Arial" w:eastAsia="Times New Roman" w:hAnsi="Arial" w:cs="Arial"/>
          <w:i/>
          <w:iCs/>
          <w:color w:val="2A2A2A"/>
          <w:shd w:val="clear" w:color="auto" w:fill="FFFFFF"/>
          <w:lang w:val="en-GB"/>
        </w:rPr>
        <w:t>M. canis</w:t>
      </w:r>
      <w:r w:rsidRPr="00DF12E5">
        <w:rPr>
          <w:rFonts w:ascii="Arial" w:eastAsia="Times New Roman" w:hAnsi="Arial" w:cs="Arial"/>
          <w:color w:val="2A2A2A"/>
          <w:shd w:val="clear" w:color="auto" w:fill="FFFFFF"/>
          <w:lang w:val="en-GB"/>
        </w:rPr>
        <w:t xml:space="preserve">, which considerably shortens the time needed to obtain reliable diagnostic results. </w:t>
      </w:r>
      <w:r w:rsidRPr="00DF12E5">
        <w:rPr>
          <w:rFonts w:ascii="Arial" w:eastAsia="Times New Roman" w:hAnsi="Arial" w:cs="Arial"/>
          <w:color w:val="000000"/>
          <w:shd w:val="clear" w:color="auto" w:fill="FFFFFF"/>
          <w:lang w:val="en-GB"/>
        </w:rPr>
        <w:t>ITC</w:t>
      </w:r>
      <w:r w:rsidRPr="00DF12E5">
        <w:rPr>
          <w:rFonts w:ascii="Arial" w:eastAsia="Times New Roman" w:hAnsi="Arial" w:cs="Arial"/>
          <w:color w:val="2A2A2A"/>
          <w:shd w:val="clear" w:color="auto" w:fill="FFFFFF"/>
          <w:lang w:val="en-GB"/>
        </w:rPr>
        <w:t xml:space="preserve"> MIC values observed in </w:t>
      </w:r>
      <w:r w:rsidRPr="00DF12E5">
        <w:rPr>
          <w:rFonts w:ascii="Arial" w:eastAsia="Times New Roman" w:hAnsi="Arial" w:cs="Arial"/>
          <w:i/>
          <w:iCs/>
          <w:color w:val="2A2A2A"/>
          <w:shd w:val="clear" w:color="auto" w:fill="FFFFFF"/>
          <w:lang w:val="en-GB"/>
        </w:rPr>
        <w:t>in vitr</w:t>
      </w:r>
      <w:r w:rsidRPr="00DF12E5">
        <w:rPr>
          <w:rFonts w:ascii="Arial" w:eastAsia="Times New Roman" w:hAnsi="Arial" w:cs="Arial"/>
          <w:color w:val="2A2A2A"/>
          <w:shd w:val="clear" w:color="auto" w:fill="FFFFFF"/>
          <w:lang w:val="en-GB"/>
        </w:rPr>
        <w:t xml:space="preserve">o antifungal susceptibility tests varied according to the inocula used, with arthroconidia displaying the highest susceptibility than the other structures tested, and hyphae-conidia the lowest. In contrast, arthroconidia of </w:t>
      </w:r>
      <w:r w:rsidRPr="00DF12E5">
        <w:rPr>
          <w:rFonts w:ascii="Arial" w:eastAsia="Times New Roman" w:hAnsi="Arial" w:cs="Arial"/>
          <w:i/>
          <w:iCs/>
          <w:color w:val="2A2A2A"/>
          <w:shd w:val="clear" w:color="auto" w:fill="FFFFFF"/>
          <w:lang w:val="en-GB"/>
        </w:rPr>
        <w:t>T. rubrum</w:t>
      </w:r>
      <w:r w:rsidRPr="00DF12E5">
        <w:rPr>
          <w:rFonts w:ascii="Arial" w:eastAsia="Times New Roman" w:hAnsi="Arial" w:cs="Arial"/>
          <w:color w:val="2A2A2A"/>
          <w:shd w:val="clear" w:color="auto" w:fill="FFFFFF"/>
          <w:lang w:val="en-GB"/>
        </w:rPr>
        <w:t xml:space="preserve">, </w:t>
      </w:r>
      <w:r w:rsidRPr="00DF12E5">
        <w:rPr>
          <w:rFonts w:ascii="Arial" w:eastAsia="Times New Roman" w:hAnsi="Arial" w:cs="Arial"/>
          <w:i/>
          <w:iCs/>
          <w:color w:val="2A2A2A"/>
          <w:shd w:val="clear" w:color="auto" w:fill="FFFFFF"/>
          <w:lang w:val="en-GB"/>
        </w:rPr>
        <w:t>T. tonsurans</w:t>
      </w:r>
      <w:r w:rsidRPr="00DF12E5">
        <w:rPr>
          <w:rFonts w:ascii="Arial" w:eastAsia="Times New Roman" w:hAnsi="Arial" w:cs="Arial"/>
          <w:color w:val="2A2A2A"/>
          <w:shd w:val="clear" w:color="auto" w:fill="FFFFFF"/>
          <w:lang w:val="en-GB"/>
        </w:rPr>
        <w:t xml:space="preserve"> and </w:t>
      </w:r>
      <w:r w:rsidRPr="00DF12E5">
        <w:rPr>
          <w:rFonts w:ascii="Arial" w:eastAsia="Times New Roman" w:hAnsi="Arial" w:cs="Arial"/>
          <w:i/>
          <w:iCs/>
          <w:color w:val="2A2A2A"/>
          <w:shd w:val="clear" w:color="auto" w:fill="FFFFFF"/>
          <w:lang w:val="en-GB"/>
        </w:rPr>
        <w:t>T. equinum</w:t>
      </w:r>
      <w:r w:rsidRPr="00DF12E5">
        <w:rPr>
          <w:rFonts w:ascii="Arial" w:eastAsia="Times New Roman" w:hAnsi="Arial" w:cs="Arial"/>
          <w:color w:val="2A2A2A"/>
          <w:shd w:val="clear" w:color="auto" w:fill="FFFFFF"/>
          <w:lang w:val="en-GB"/>
        </w:rPr>
        <w:t xml:space="preserve"> are less susceptible to antifungals,</w:t>
      </w:r>
      <w:r w:rsidR="00DB155E">
        <w:rPr>
          <w:rFonts w:ascii="Arial" w:eastAsia="Times New Roman" w:hAnsi="Arial" w:cs="Arial"/>
          <w:color w:val="2A2A2A"/>
          <w:shd w:val="clear" w:color="auto" w:fill="FFFFFF"/>
          <w:vertAlign w:val="superscript"/>
          <w:lang w:val="en-GB"/>
        </w:rPr>
        <w:t>7</w:t>
      </w:r>
      <w:r w:rsidRPr="00DF12E5">
        <w:rPr>
          <w:rFonts w:ascii="Arial" w:eastAsia="Times New Roman" w:hAnsi="Arial" w:cs="Arial"/>
          <w:color w:val="2A2A2A"/>
          <w:shd w:val="clear" w:color="auto" w:fill="FFFFFF"/>
          <w:lang w:val="en-GB"/>
        </w:rPr>
        <w:t xml:space="preserve"> which is possibly linked to their thick conidia walls.</w:t>
      </w:r>
      <w:r>
        <w:rPr>
          <w:rFonts w:ascii="Arial" w:eastAsia="Times New Roman" w:hAnsi="Arial" w:cs="Arial"/>
          <w:color w:val="2A2A2A"/>
          <w:shd w:val="clear" w:color="auto" w:fill="FFFFFF"/>
          <w:vertAlign w:val="superscript"/>
          <w:lang w:val="en-GB"/>
        </w:rPr>
        <w:t>2</w:t>
      </w:r>
      <w:r w:rsidR="001B6C4D">
        <w:rPr>
          <w:rFonts w:ascii="Arial" w:eastAsia="Times New Roman" w:hAnsi="Arial" w:cs="Arial"/>
          <w:color w:val="2A2A2A"/>
          <w:shd w:val="clear" w:color="auto" w:fill="FFFFFF"/>
          <w:vertAlign w:val="superscript"/>
          <w:lang w:val="en-GB"/>
        </w:rPr>
        <w:t>4</w:t>
      </w:r>
      <w:r w:rsidRPr="00DF12E5">
        <w:rPr>
          <w:rFonts w:ascii="Arial" w:eastAsia="Times New Roman" w:hAnsi="Arial" w:cs="Arial"/>
          <w:color w:val="2A2A2A"/>
          <w:shd w:val="clear" w:color="auto" w:fill="FFFFFF"/>
          <w:lang w:val="en-GB"/>
        </w:rPr>
        <w:t xml:space="preserve"> The MIC values observed using hyphae-conidia were higher than those recorded using conidia alone, particularly in comparative analyses of MIC values of </w:t>
      </w:r>
      <w:r w:rsidRPr="00DF12E5">
        <w:rPr>
          <w:rFonts w:ascii="Arial" w:eastAsia="Times New Roman" w:hAnsi="Arial" w:cs="Arial"/>
          <w:i/>
          <w:iCs/>
          <w:color w:val="2A2A2A"/>
          <w:shd w:val="clear" w:color="auto" w:fill="FFFFFF"/>
          <w:lang w:val="en-GB"/>
        </w:rPr>
        <w:t>M. canis</w:t>
      </w:r>
      <w:r w:rsidRPr="00DF12E5">
        <w:rPr>
          <w:rFonts w:ascii="Arial" w:eastAsia="Times New Roman" w:hAnsi="Arial" w:cs="Arial"/>
          <w:color w:val="2A2A2A"/>
          <w:shd w:val="clear" w:color="auto" w:fill="FFFFFF"/>
          <w:lang w:val="en-GB"/>
        </w:rPr>
        <w:t xml:space="preserve"> obtained from Group I and II, </w:t>
      </w:r>
      <w:r w:rsidRPr="00DF12E5">
        <w:rPr>
          <w:rFonts w:ascii="Arial" w:eastAsia="Times New Roman" w:hAnsi="Arial" w:cs="Arial"/>
          <w:color w:val="2A2A2A"/>
          <w:shd w:val="clear" w:color="auto" w:fill="FFFFFF"/>
          <w:lang w:val="en-GB"/>
        </w:rPr>
        <w:lastRenderedPageBreak/>
        <w:t>respectively</w:t>
      </w:r>
      <w:r>
        <w:rPr>
          <w:rFonts w:ascii="Arial" w:eastAsia="Times New Roman" w:hAnsi="Arial" w:cs="Arial"/>
          <w:color w:val="2A2A2A"/>
          <w:shd w:val="clear" w:color="auto" w:fill="FFFFFF"/>
          <w:lang w:val="en-GB"/>
        </w:rPr>
        <w:t>.</w:t>
      </w:r>
      <w:r w:rsidRPr="00DF12E5">
        <w:rPr>
          <w:rFonts w:ascii="Arial" w:eastAsia="Times New Roman" w:hAnsi="Arial" w:cs="Arial"/>
          <w:color w:val="2A2A2A"/>
          <w:shd w:val="clear" w:color="auto" w:fill="FFFFFF"/>
          <w:lang w:val="en-GB"/>
        </w:rPr>
        <w:t xml:space="preserve"> </w:t>
      </w:r>
      <w:r>
        <w:rPr>
          <w:rFonts w:ascii="Arial" w:eastAsia="Times New Roman" w:hAnsi="Arial" w:cs="Arial"/>
          <w:color w:val="2A2A2A"/>
          <w:shd w:val="clear" w:color="auto" w:fill="FFFFFF"/>
          <w:lang w:val="en-GB"/>
        </w:rPr>
        <w:t xml:space="preserve">Interestingly </w:t>
      </w:r>
      <w:r>
        <w:rPr>
          <w:rFonts w:ascii="Arial" w:eastAsia="Times New Roman" w:hAnsi="Arial" w:cs="Arial"/>
          <w:shd w:val="clear" w:color="auto" w:fill="FFFFFF"/>
          <w:lang w:val="en-GB"/>
        </w:rPr>
        <w:t>a</w:t>
      </w:r>
      <w:r>
        <w:rPr>
          <w:rFonts w:ascii="Arial" w:eastAsia="Times New Roman" w:hAnsi="Arial" w:cs="Arial"/>
          <w:lang w:val="en-GB"/>
        </w:rPr>
        <w:t xml:space="preserve"> c</w:t>
      </w:r>
      <w:r w:rsidRPr="002D5173">
        <w:rPr>
          <w:rFonts w:ascii="Arial" w:eastAsia="Times New Roman" w:hAnsi="Arial" w:cs="Arial"/>
          <w:lang w:val="en-GB"/>
        </w:rPr>
        <w:t xml:space="preserve">orrelation between the </w:t>
      </w:r>
      <w:r>
        <w:rPr>
          <w:rFonts w:ascii="Arial" w:eastAsia="Times New Roman" w:hAnsi="Arial" w:cs="Arial"/>
          <w:lang w:val="en-GB"/>
        </w:rPr>
        <w:t xml:space="preserve">antifungal </w:t>
      </w:r>
      <w:r w:rsidRPr="002D5173">
        <w:rPr>
          <w:rFonts w:ascii="Arial" w:eastAsia="Times New Roman" w:hAnsi="Arial" w:cs="Arial"/>
          <w:i/>
          <w:iCs/>
          <w:lang w:val="en-GB"/>
        </w:rPr>
        <w:t>in vitro</w:t>
      </w:r>
      <w:r w:rsidRPr="002D5173">
        <w:rPr>
          <w:rFonts w:ascii="Arial" w:eastAsia="Times New Roman" w:hAnsi="Arial" w:cs="Arial"/>
          <w:lang w:val="en-GB"/>
        </w:rPr>
        <w:t xml:space="preserve"> results and clinical outcome</w:t>
      </w:r>
      <w:r>
        <w:rPr>
          <w:rFonts w:ascii="Arial" w:eastAsia="Times New Roman" w:hAnsi="Arial" w:cs="Arial"/>
          <w:lang w:val="en-GB"/>
        </w:rPr>
        <w:t xml:space="preserve"> </w:t>
      </w:r>
      <w:r w:rsidRPr="00DF12E5">
        <w:rPr>
          <w:rFonts w:ascii="Arial" w:eastAsia="Times New Roman" w:hAnsi="Arial" w:cs="Arial"/>
          <w:shd w:val="clear" w:color="auto" w:fill="FFFFFF"/>
          <w:lang w:val="en-GB"/>
        </w:rPr>
        <w:t>was observed</w:t>
      </w:r>
      <w:r>
        <w:rPr>
          <w:rFonts w:ascii="Arial" w:eastAsia="Times New Roman" w:hAnsi="Arial" w:cs="Arial"/>
          <w:shd w:val="clear" w:color="auto" w:fill="FFFFFF"/>
          <w:lang w:val="en-GB"/>
        </w:rPr>
        <w:t xml:space="preserve"> only </w:t>
      </w:r>
      <w:r w:rsidRPr="00DF12E5">
        <w:rPr>
          <w:rFonts w:ascii="Arial" w:eastAsia="Times New Roman" w:hAnsi="Arial" w:cs="Arial"/>
          <w:shd w:val="clear" w:color="auto" w:fill="FFFFFF"/>
          <w:lang w:val="en-GB"/>
        </w:rPr>
        <w:t xml:space="preserve">by incubating conidia for </w:t>
      </w:r>
      <w:r>
        <w:rPr>
          <w:rFonts w:ascii="Arial" w:eastAsia="Times New Roman" w:hAnsi="Arial" w:cs="Arial"/>
          <w:shd w:val="clear" w:color="auto" w:fill="FFFFFF"/>
          <w:lang w:val="en-GB"/>
        </w:rPr>
        <w:t>three</w:t>
      </w:r>
      <w:r w:rsidRPr="00DF12E5">
        <w:rPr>
          <w:rFonts w:ascii="Arial" w:eastAsia="Times New Roman" w:hAnsi="Arial" w:cs="Arial"/>
          <w:shd w:val="clear" w:color="auto" w:fill="FFFFFF"/>
          <w:lang w:val="en-GB"/>
        </w:rPr>
        <w:t xml:space="preserve"> days</w:t>
      </w:r>
      <w:r>
        <w:rPr>
          <w:rFonts w:ascii="Arial" w:eastAsia="Times New Roman" w:hAnsi="Arial" w:cs="Arial"/>
          <w:shd w:val="clear" w:color="auto" w:fill="FFFFFF"/>
          <w:lang w:val="en-GB"/>
        </w:rPr>
        <w:t xml:space="preserve"> </w:t>
      </w:r>
      <w:r w:rsidRPr="00DF12E5">
        <w:rPr>
          <w:rFonts w:ascii="Arial" w:eastAsia="Times New Roman" w:hAnsi="Arial" w:cs="Arial"/>
          <w:shd w:val="clear" w:color="auto" w:fill="FFFFFF"/>
          <w:lang w:val="en-GB"/>
        </w:rPr>
        <w:t xml:space="preserve">at </w:t>
      </w:r>
      <w:r w:rsidRPr="00DF12E5">
        <w:rPr>
          <w:rFonts w:ascii="Arial" w:eastAsia="Times New Roman" w:hAnsi="Arial" w:cs="Arial"/>
          <w:lang w:val="en-GB"/>
        </w:rPr>
        <w:t>30±2</w:t>
      </w:r>
      <w:r w:rsidRPr="00DF12E5">
        <w:rPr>
          <w:rFonts w:ascii="Arial" w:eastAsia="Times New Roman" w:hAnsi="Arial" w:cs="Arial"/>
          <w:vertAlign w:val="superscript"/>
          <w:lang w:val="en-GB"/>
        </w:rPr>
        <w:t>o</w:t>
      </w:r>
      <w:r w:rsidRPr="00DF12E5">
        <w:rPr>
          <w:rFonts w:ascii="Arial" w:eastAsia="Times New Roman" w:hAnsi="Arial" w:cs="Arial"/>
          <w:lang w:val="en-GB"/>
        </w:rPr>
        <w:t>C</w:t>
      </w:r>
      <w:r>
        <w:rPr>
          <w:rFonts w:ascii="Arial" w:eastAsia="Times New Roman" w:hAnsi="Arial" w:cs="Arial"/>
          <w:lang w:val="en-GB"/>
        </w:rPr>
        <w:t>.</w:t>
      </w:r>
    </w:p>
    <w:p w14:paraId="7BCD669B" w14:textId="50FA2EDB" w:rsidR="00923CFF" w:rsidRDefault="00476DF3" w:rsidP="00626AE5">
      <w:pPr>
        <w:jc w:val="both"/>
        <w:rPr>
          <w:rFonts w:ascii="Arial" w:eastAsia="Times New Roman" w:hAnsi="Arial" w:cs="Arial"/>
          <w:color w:val="2A2A2A"/>
          <w:shd w:val="clear" w:color="auto" w:fill="FFFFFF"/>
          <w:lang w:val="en-GB"/>
        </w:rPr>
      </w:pPr>
      <w:r>
        <w:rPr>
          <w:rFonts w:ascii="Arial" w:eastAsia="Times New Roman" w:hAnsi="Arial" w:cs="Arial"/>
          <w:color w:val="2A2A2A"/>
          <w:shd w:val="clear" w:color="auto" w:fill="FFFFFF"/>
          <w:lang w:val="en-GB"/>
        </w:rPr>
        <w:t>P</w:t>
      </w:r>
      <w:r w:rsidRPr="00DF12E5">
        <w:rPr>
          <w:rFonts w:ascii="Arial" w:eastAsia="Times New Roman" w:hAnsi="Arial" w:cs="Arial"/>
          <w:color w:val="2A2A2A"/>
          <w:shd w:val="clear" w:color="auto" w:fill="FFFFFF"/>
          <w:lang w:val="en-GB"/>
        </w:rPr>
        <w:t>articular</w:t>
      </w:r>
      <w:r>
        <w:rPr>
          <w:rFonts w:ascii="Arial" w:eastAsia="Times New Roman" w:hAnsi="Arial" w:cs="Arial"/>
          <w:color w:val="2A2A2A"/>
          <w:shd w:val="clear" w:color="auto" w:fill="FFFFFF"/>
          <w:lang w:val="en-GB"/>
        </w:rPr>
        <w:t>ly</w:t>
      </w:r>
      <w:r w:rsidRPr="00DF12E5">
        <w:rPr>
          <w:rFonts w:ascii="Arial" w:eastAsia="Times New Roman" w:hAnsi="Arial" w:cs="Arial"/>
          <w:color w:val="2A2A2A"/>
          <w:shd w:val="clear" w:color="auto" w:fill="FFFFFF"/>
          <w:lang w:val="en-GB"/>
        </w:rPr>
        <w:t xml:space="preserve">, ITC MIC values lower and higher than 1 μg/mL was observed using </w:t>
      </w:r>
      <w:r w:rsidRPr="00DF12E5">
        <w:rPr>
          <w:rFonts w:ascii="Arial" w:eastAsia="Times New Roman" w:hAnsi="Arial" w:cs="Arial"/>
          <w:i/>
          <w:iCs/>
          <w:color w:val="2A2A2A"/>
          <w:shd w:val="clear" w:color="auto" w:fill="FFFFFF"/>
          <w:lang w:val="en-GB"/>
        </w:rPr>
        <w:t>M. canis</w:t>
      </w:r>
      <w:r w:rsidRPr="00DF12E5">
        <w:rPr>
          <w:rFonts w:ascii="Arial" w:eastAsia="Times New Roman" w:hAnsi="Arial" w:cs="Arial"/>
          <w:color w:val="2A2A2A"/>
          <w:shd w:val="clear" w:color="auto" w:fill="FFFFFF"/>
          <w:lang w:val="en-GB"/>
        </w:rPr>
        <w:t xml:space="preserve"> conidia from Group II and Group I, respectively, thus suggesting that antifungal resistance may occur in </w:t>
      </w:r>
      <w:r w:rsidRPr="00DF12E5">
        <w:rPr>
          <w:rFonts w:ascii="Arial" w:eastAsia="Times New Roman" w:hAnsi="Arial" w:cs="Arial"/>
          <w:i/>
          <w:iCs/>
          <w:color w:val="2A2A2A"/>
          <w:shd w:val="clear" w:color="auto" w:fill="FFFFFF"/>
          <w:lang w:val="en-GB"/>
        </w:rPr>
        <w:t>M. canis</w:t>
      </w:r>
      <w:r w:rsidRPr="00DF12E5">
        <w:rPr>
          <w:rFonts w:ascii="Arial" w:eastAsia="Times New Roman" w:hAnsi="Arial" w:cs="Arial"/>
          <w:color w:val="2A2A2A"/>
          <w:shd w:val="clear" w:color="auto" w:fill="FFFFFF"/>
          <w:lang w:val="en-GB"/>
        </w:rPr>
        <w:t xml:space="preserve"> strains from animals that tested negative to this pathogen following </w:t>
      </w:r>
      <w:r w:rsidRPr="00DF12E5">
        <w:rPr>
          <w:rFonts w:ascii="Arial" w:eastAsia="Times New Roman" w:hAnsi="Arial" w:cs="Arial"/>
          <w:i/>
          <w:iCs/>
          <w:color w:val="2A2A2A"/>
          <w:shd w:val="clear" w:color="auto" w:fill="FFFFFF"/>
          <w:lang w:val="en-GB"/>
        </w:rPr>
        <w:t>in vivo</w:t>
      </w:r>
      <w:r w:rsidRPr="00DF12E5">
        <w:rPr>
          <w:rFonts w:ascii="Arial" w:eastAsia="Times New Roman" w:hAnsi="Arial" w:cs="Arial"/>
          <w:color w:val="2A2A2A"/>
          <w:shd w:val="clear" w:color="auto" w:fill="FFFFFF"/>
          <w:lang w:val="en-GB"/>
        </w:rPr>
        <w:t xml:space="preserve"> ITC therapy (Group I).  </w:t>
      </w:r>
      <w:r w:rsidR="00FC50CF" w:rsidRPr="00FC50CF">
        <w:rPr>
          <w:rFonts w:ascii="Arial" w:eastAsia="Times New Roman" w:hAnsi="Arial" w:cs="Arial"/>
          <w:color w:val="2A2A2A"/>
          <w:shd w:val="clear" w:color="auto" w:fill="FFFFFF"/>
          <w:lang w:val="en-GB"/>
        </w:rPr>
        <w:t xml:space="preserve">Therefore, the </w:t>
      </w:r>
      <w:r w:rsidR="00FC50CF" w:rsidRPr="001A6473">
        <w:rPr>
          <w:rFonts w:ascii="Arial" w:eastAsia="Times New Roman" w:hAnsi="Arial" w:cs="Arial"/>
          <w:i/>
          <w:iCs/>
          <w:color w:val="2A2A2A"/>
          <w:shd w:val="clear" w:color="auto" w:fill="FFFFFF"/>
          <w:lang w:val="en-GB"/>
        </w:rPr>
        <w:t>in vitro</w:t>
      </w:r>
      <w:r w:rsidR="00FC50CF" w:rsidRPr="00FC50CF">
        <w:rPr>
          <w:rFonts w:ascii="Arial" w:eastAsia="Times New Roman" w:hAnsi="Arial" w:cs="Arial"/>
          <w:color w:val="2A2A2A"/>
          <w:shd w:val="clear" w:color="auto" w:fill="FFFFFF"/>
          <w:lang w:val="en-GB"/>
        </w:rPr>
        <w:t xml:space="preserve"> results of MIC &gt;1</w:t>
      </w:r>
      <w:r w:rsidR="00923CFF">
        <w:rPr>
          <w:rFonts w:ascii="Arial" w:eastAsia="Times New Roman" w:hAnsi="Arial" w:cs="Arial"/>
          <w:color w:val="2A2A2A"/>
          <w:shd w:val="clear" w:color="auto" w:fill="FFFFFF"/>
          <w:lang w:val="en-GB"/>
        </w:rPr>
        <w:t xml:space="preserve"> </w:t>
      </w:r>
      <w:r w:rsidR="00FC50CF" w:rsidRPr="00FC50CF">
        <w:rPr>
          <w:rFonts w:ascii="Arial" w:eastAsia="Times New Roman" w:hAnsi="Arial" w:cs="Arial"/>
          <w:color w:val="2A2A2A"/>
          <w:shd w:val="clear" w:color="auto" w:fill="FFFFFF"/>
          <w:lang w:val="en-GB"/>
        </w:rPr>
        <w:t xml:space="preserve">μg/mL correlates well with the </w:t>
      </w:r>
      <w:r w:rsidR="00FC50CF" w:rsidRPr="001A6473">
        <w:rPr>
          <w:rFonts w:ascii="Arial" w:eastAsia="Times New Roman" w:hAnsi="Arial" w:cs="Arial"/>
          <w:i/>
          <w:iCs/>
          <w:color w:val="2A2A2A"/>
          <w:shd w:val="clear" w:color="auto" w:fill="FFFFFF"/>
          <w:lang w:val="en-GB"/>
        </w:rPr>
        <w:t>in vivo</w:t>
      </w:r>
      <w:r w:rsidR="00FC50CF" w:rsidRPr="00FC50CF">
        <w:rPr>
          <w:rFonts w:ascii="Arial" w:eastAsia="Times New Roman" w:hAnsi="Arial" w:cs="Arial"/>
          <w:color w:val="2A2A2A"/>
          <w:shd w:val="clear" w:color="auto" w:fill="FFFFFF"/>
          <w:lang w:val="en-GB"/>
        </w:rPr>
        <w:t xml:space="preserve"> results of a negative clinical outcome following  a consecutive 3-monthly ITC oral therapy, thus suggesting a probable </w:t>
      </w:r>
      <w:r w:rsidR="00FC50CF" w:rsidRPr="001A6473">
        <w:rPr>
          <w:rFonts w:ascii="Arial" w:eastAsia="Times New Roman" w:hAnsi="Arial" w:cs="Arial"/>
          <w:i/>
          <w:iCs/>
          <w:color w:val="2A2A2A"/>
          <w:shd w:val="clear" w:color="auto" w:fill="FFFFFF"/>
          <w:lang w:val="en-GB"/>
        </w:rPr>
        <w:t xml:space="preserve"> in vitro </w:t>
      </w:r>
      <w:r w:rsidR="00FC50CF" w:rsidRPr="00FC50CF">
        <w:rPr>
          <w:rFonts w:ascii="Arial" w:eastAsia="Times New Roman" w:hAnsi="Arial" w:cs="Arial"/>
          <w:color w:val="2A2A2A"/>
          <w:shd w:val="clear" w:color="auto" w:fill="FFFFFF"/>
          <w:lang w:val="en-GB"/>
        </w:rPr>
        <w:t xml:space="preserve">resistance phenomena to  ITC for </w:t>
      </w:r>
      <w:r w:rsidR="00FC50CF" w:rsidRPr="001A6473">
        <w:rPr>
          <w:rFonts w:ascii="Arial" w:eastAsia="Times New Roman" w:hAnsi="Arial" w:cs="Arial"/>
          <w:i/>
          <w:iCs/>
          <w:color w:val="2A2A2A"/>
          <w:shd w:val="clear" w:color="auto" w:fill="FFFFFF"/>
          <w:lang w:val="en-GB"/>
        </w:rPr>
        <w:t>M. canis</w:t>
      </w:r>
      <w:r w:rsidR="00626AE5">
        <w:rPr>
          <w:rFonts w:ascii="Arial" w:eastAsia="Times New Roman" w:hAnsi="Arial" w:cs="Arial"/>
          <w:color w:val="2A2A2A"/>
          <w:shd w:val="clear" w:color="auto" w:fill="FFFFFF"/>
          <w:lang w:val="en-GB"/>
        </w:rPr>
        <w:t>.</w:t>
      </w:r>
      <w:r w:rsidRPr="00DF12E5">
        <w:rPr>
          <w:rFonts w:ascii="Arial" w:eastAsia="Times New Roman" w:hAnsi="Arial" w:cs="Arial"/>
          <w:color w:val="2A2A2A"/>
          <w:shd w:val="clear" w:color="auto" w:fill="FFFFFF"/>
          <w:lang w:val="en-GB"/>
        </w:rPr>
        <w:t xml:space="preserve"> </w:t>
      </w:r>
    </w:p>
    <w:p w14:paraId="15558203" w14:textId="0E6DD481" w:rsidR="00476DF3" w:rsidRPr="00DF12E5" w:rsidRDefault="00923CFF" w:rsidP="00626AE5">
      <w:pPr>
        <w:jc w:val="both"/>
        <w:rPr>
          <w:rFonts w:ascii="Arial" w:eastAsia="Times New Roman" w:hAnsi="Arial" w:cs="Arial"/>
          <w:color w:val="2A2A2A"/>
          <w:shd w:val="clear" w:color="auto" w:fill="FFFFFF"/>
          <w:lang w:val="en-GB"/>
        </w:rPr>
      </w:pPr>
      <w:r>
        <w:rPr>
          <w:rFonts w:ascii="Arial" w:eastAsia="Times New Roman" w:hAnsi="Arial" w:cs="Arial"/>
          <w:color w:val="2A2A2A"/>
          <w:shd w:val="clear" w:color="auto" w:fill="FFFFFF"/>
          <w:lang w:val="en-GB"/>
        </w:rPr>
        <w:t>Interestingly</w:t>
      </w:r>
      <w:r w:rsidR="00626AE5">
        <w:rPr>
          <w:rFonts w:ascii="Arial" w:eastAsia="Times New Roman" w:hAnsi="Arial" w:cs="Arial"/>
          <w:color w:val="2A2A2A"/>
          <w:shd w:val="clear" w:color="auto" w:fill="FFFFFF"/>
          <w:lang w:val="en-GB"/>
        </w:rPr>
        <w:t>,</w:t>
      </w:r>
      <w:r>
        <w:rPr>
          <w:rFonts w:ascii="Arial" w:eastAsia="Times New Roman" w:hAnsi="Arial" w:cs="Arial"/>
          <w:color w:val="2A2A2A"/>
          <w:shd w:val="clear" w:color="auto" w:fill="FFFFFF"/>
          <w:lang w:val="en-GB"/>
        </w:rPr>
        <w:t xml:space="preserve"> IT</w:t>
      </w:r>
      <w:r w:rsidR="000E4D0C">
        <w:rPr>
          <w:rFonts w:ascii="Arial" w:eastAsia="Times New Roman" w:hAnsi="Arial" w:cs="Arial"/>
          <w:color w:val="2A2A2A"/>
          <w:shd w:val="clear" w:color="auto" w:fill="FFFFFF"/>
          <w:lang w:val="en-GB"/>
        </w:rPr>
        <w:t>C</w:t>
      </w:r>
      <w:r>
        <w:rPr>
          <w:rFonts w:ascii="Arial" w:eastAsia="Times New Roman" w:hAnsi="Arial" w:cs="Arial"/>
          <w:color w:val="2A2A2A"/>
          <w:shd w:val="clear" w:color="auto" w:fill="FFFFFF"/>
          <w:lang w:val="en-GB"/>
        </w:rPr>
        <w:t xml:space="preserve"> </w:t>
      </w:r>
      <w:r w:rsidR="006D47DE">
        <w:rPr>
          <w:rFonts w:ascii="Arial" w:eastAsia="Times New Roman" w:hAnsi="Arial" w:cs="Arial"/>
          <w:color w:val="2A2A2A"/>
          <w:shd w:val="clear" w:color="auto" w:fill="FFFFFF"/>
          <w:lang w:val="en-GB"/>
        </w:rPr>
        <w:t>MIC</w:t>
      </w:r>
      <w:r>
        <w:rPr>
          <w:rFonts w:ascii="Arial" w:eastAsia="Times New Roman" w:hAnsi="Arial" w:cs="Arial"/>
          <w:color w:val="2A2A2A"/>
          <w:shd w:val="clear" w:color="auto" w:fill="FFFFFF"/>
          <w:lang w:val="en-GB"/>
        </w:rPr>
        <w:t>&gt;</w:t>
      </w:r>
      <w:r w:rsidRPr="00DF12E5">
        <w:rPr>
          <w:rFonts w:ascii="Arial" w:eastAsia="Times New Roman" w:hAnsi="Arial" w:cs="Arial"/>
          <w:color w:val="2A2A2A"/>
          <w:shd w:val="clear" w:color="auto" w:fill="FFFFFF"/>
          <w:lang w:val="en-GB"/>
        </w:rPr>
        <w:t>1 μg/mL</w:t>
      </w:r>
      <w:r>
        <w:rPr>
          <w:rFonts w:ascii="Arial" w:eastAsia="Times New Roman" w:hAnsi="Arial" w:cs="Arial"/>
          <w:color w:val="2A2A2A"/>
          <w:shd w:val="clear" w:color="auto" w:fill="FFFFFF"/>
          <w:lang w:val="en-GB"/>
        </w:rPr>
        <w:t xml:space="preserve"> represents</w:t>
      </w:r>
      <w:r w:rsidRPr="00DF12E5">
        <w:rPr>
          <w:rFonts w:ascii="Arial" w:eastAsia="Times New Roman" w:hAnsi="Arial" w:cs="Arial"/>
          <w:color w:val="2A2A2A"/>
          <w:shd w:val="clear" w:color="auto" w:fill="FFFFFF"/>
          <w:lang w:val="en-GB"/>
        </w:rPr>
        <w:t xml:space="preserve"> </w:t>
      </w:r>
      <w:r w:rsidR="00476DF3" w:rsidRPr="00DF12E5">
        <w:rPr>
          <w:rFonts w:ascii="Arial" w:eastAsia="Times New Roman" w:hAnsi="Arial" w:cs="Arial"/>
          <w:color w:val="2A2A2A"/>
          <w:shd w:val="clear" w:color="auto" w:fill="FFFFFF"/>
          <w:lang w:val="en-GB"/>
        </w:rPr>
        <w:t xml:space="preserve">the epidemiological cut off (ECV) for filamentous fungi (i.e., </w:t>
      </w:r>
      <w:r w:rsidR="00476DF3" w:rsidRPr="00DF12E5">
        <w:rPr>
          <w:rFonts w:ascii="Arial" w:eastAsia="Times New Roman" w:hAnsi="Arial" w:cs="Arial"/>
          <w:i/>
          <w:iCs/>
          <w:color w:val="2A2A2A"/>
          <w:shd w:val="clear" w:color="auto" w:fill="FFFFFF"/>
          <w:lang w:val="en-GB"/>
        </w:rPr>
        <w:t>Aspergillus</w:t>
      </w:r>
      <w:r w:rsidR="00476DF3" w:rsidRPr="00DF12E5">
        <w:rPr>
          <w:rFonts w:ascii="Arial" w:eastAsia="Times New Roman" w:hAnsi="Arial" w:cs="Arial"/>
          <w:color w:val="2A2A2A"/>
          <w:shd w:val="clear" w:color="auto" w:fill="FFFFFF"/>
          <w:lang w:val="en-GB"/>
        </w:rPr>
        <w:t xml:space="preserve"> spp.) and </w:t>
      </w:r>
      <w:r w:rsidRPr="00DF12E5">
        <w:rPr>
          <w:rFonts w:ascii="Arial" w:eastAsia="Times New Roman" w:hAnsi="Arial" w:cs="Arial"/>
          <w:color w:val="2A2A2A"/>
          <w:shd w:val="clear" w:color="auto" w:fill="FFFFFF"/>
          <w:lang w:val="en-GB"/>
        </w:rPr>
        <w:t>the</w:t>
      </w:r>
      <w:r>
        <w:rPr>
          <w:rFonts w:ascii="Arial" w:eastAsia="Times New Roman" w:hAnsi="Arial" w:cs="Arial"/>
          <w:color w:val="2A2A2A"/>
          <w:shd w:val="clear" w:color="auto" w:fill="FFFFFF"/>
          <w:lang w:val="en-GB"/>
        </w:rPr>
        <w:t xml:space="preserve"> clinical breakpoint</w:t>
      </w:r>
      <w:r w:rsidR="000E4D0C">
        <w:rPr>
          <w:rFonts w:ascii="Arial" w:eastAsia="Times New Roman" w:hAnsi="Arial" w:cs="Arial"/>
          <w:color w:val="2A2A2A"/>
          <w:shd w:val="clear" w:color="auto" w:fill="FFFFFF"/>
          <w:lang w:val="en-GB"/>
        </w:rPr>
        <w:t xml:space="preserve"> (</w:t>
      </w:r>
      <w:r w:rsidR="00476DF3" w:rsidRPr="00DF12E5">
        <w:rPr>
          <w:rFonts w:ascii="Arial" w:eastAsia="Times New Roman" w:hAnsi="Arial" w:cs="Arial"/>
          <w:color w:val="2A2A2A"/>
          <w:shd w:val="clear" w:color="auto" w:fill="FFFFFF"/>
          <w:lang w:val="en-GB"/>
        </w:rPr>
        <w:t>CBP</w:t>
      </w:r>
      <w:r w:rsidR="000E4D0C">
        <w:rPr>
          <w:rFonts w:ascii="Arial" w:eastAsia="Times New Roman" w:hAnsi="Arial" w:cs="Arial"/>
          <w:color w:val="2A2A2A"/>
          <w:shd w:val="clear" w:color="auto" w:fill="FFFFFF"/>
          <w:lang w:val="en-GB"/>
        </w:rPr>
        <w:t>)</w:t>
      </w:r>
      <w:r w:rsidR="00476DF3" w:rsidRPr="00DF12E5">
        <w:rPr>
          <w:rFonts w:ascii="Arial" w:eastAsia="Times New Roman" w:hAnsi="Arial" w:cs="Arial"/>
          <w:color w:val="2A2A2A"/>
          <w:shd w:val="clear" w:color="auto" w:fill="FFFFFF"/>
          <w:lang w:val="en-GB"/>
        </w:rPr>
        <w:t xml:space="preserve"> for yeasts (i.e., </w:t>
      </w:r>
      <w:r w:rsidR="00476DF3" w:rsidRPr="00DF12E5">
        <w:rPr>
          <w:rFonts w:ascii="Arial" w:eastAsia="Times New Roman" w:hAnsi="Arial" w:cs="Arial"/>
          <w:i/>
          <w:iCs/>
          <w:color w:val="2A2A2A"/>
          <w:shd w:val="clear" w:color="auto" w:fill="FFFFFF"/>
          <w:lang w:val="en-GB"/>
        </w:rPr>
        <w:t>Candida</w:t>
      </w:r>
      <w:r w:rsidR="00476DF3" w:rsidRPr="00DF12E5">
        <w:rPr>
          <w:rFonts w:ascii="Arial" w:eastAsia="Times New Roman" w:hAnsi="Arial" w:cs="Arial"/>
          <w:color w:val="2A2A2A"/>
          <w:shd w:val="clear" w:color="auto" w:fill="FFFFFF"/>
          <w:lang w:val="en-GB"/>
        </w:rPr>
        <w:t xml:space="preserve"> spp.)</w:t>
      </w:r>
      <w:r w:rsidR="00476DF3">
        <w:rPr>
          <w:rFonts w:ascii="Arial" w:eastAsia="Times New Roman" w:hAnsi="Arial" w:cs="Arial"/>
          <w:color w:val="2A2A2A"/>
          <w:shd w:val="clear" w:color="auto" w:fill="FFFFFF"/>
          <w:lang w:val="en-GB"/>
        </w:rPr>
        <w:t>.</w:t>
      </w:r>
      <w:r w:rsidR="00476DF3">
        <w:rPr>
          <w:rFonts w:ascii="Arial" w:eastAsia="Times New Roman" w:hAnsi="Arial" w:cs="Arial"/>
          <w:color w:val="2A2A2A"/>
          <w:shd w:val="clear" w:color="auto" w:fill="FFFFFF"/>
          <w:vertAlign w:val="superscript"/>
          <w:lang w:val="en-GB"/>
        </w:rPr>
        <w:t>2</w:t>
      </w:r>
      <w:r w:rsidR="001B6C4D">
        <w:rPr>
          <w:rFonts w:ascii="Arial" w:eastAsia="Times New Roman" w:hAnsi="Arial" w:cs="Arial"/>
          <w:color w:val="2A2A2A"/>
          <w:shd w:val="clear" w:color="auto" w:fill="FFFFFF"/>
          <w:vertAlign w:val="superscript"/>
          <w:lang w:val="en-GB"/>
        </w:rPr>
        <w:t>5</w:t>
      </w:r>
      <w:r w:rsidR="00476DF3">
        <w:rPr>
          <w:rFonts w:ascii="Arial" w:eastAsia="Times New Roman" w:hAnsi="Arial" w:cs="Arial"/>
          <w:color w:val="2A2A2A"/>
          <w:shd w:val="clear" w:color="auto" w:fill="FFFFFF"/>
          <w:vertAlign w:val="superscript"/>
          <w:lang w:val="en-GB"/>
        </w:rPr>
        <w:t>,2</w:t>
      </w:r>
      <w:r w:rsidR="001B6C4D">
        <w:rPr>
          <w:rFonts w:ascii="Arial" w:eastAsia="Times New Roman" w:hAnsi="Arial" w:cs="Arial"/>
          <w:color w:val="2A2A2A"/>
          <w:shd w:val="clear" w:color="auto" w:fill="FFFFFF"/>
          <w:vertAlign w:val="superscript"/>
          <w:lang w:val="en-GB"/>
        </w:rPr>
        <w:t>6</w:t>
      </w:r>
      <w:r w:rsidR="00476DF3" w:rsidRPr="00DF12E5">
        <w:rPr>
          <w:rFonts w:ascii="Arial" w:eastAsia="Times New Roman" w:hAnsi="Arial" w:cs="Arial"/>
          <w:color w:val="2A2A2A"/>
          <w:shd w:val="clear" w:color="auto" w:fill="FFFFFF"/>
          <w:lang w:val="en-GB"/>
        </w:rPr>
        <w:t xml:space="preserve"> Accordingly, </w:t>
      </w:r>
      <w:r w:rsidR="00476DF3" w:rsidRPr="00DF12E5">
        <w:rPr>
          <w:rFonts w:ascii="Arial" w:eastAsia="Times New Roman" w:hAnsi="Arial" w:cs="Arial"/>
          <w:lang w:val="en-GB"/>
        </w:rPr>
        <w:t xml:space="preserve">high ITC or FLC MIC values for </w:t>
      </w:r>
      <w:r w:rsidR="00476DF3" w:rsidRPr="00DF12E5">
        <w:rPr>
          <w:rFonts w:ascii="Arial" w:eastAsia="Times New Roman" w:hAnsi="Arial" w:cs="Arial"/>
          <w:i/>
          <w:iCs/>
          <w:lang w:val="en-GB"/>
        </w:rPr>
        <w:t>M. canis</w:t>
      </w:r>
      <w:r w:rsidR="00476DF3" w:rsidRPr="00DF12E5">
        <w:rPr>
          <w:rFonts w:ascii="Arial" w:eastAsia="Times New Roman" w:hAnsi="Arial" w:cs="Arial"/>
          <w:lang w:val="en-GB"/>
        </w:rPr>
        <w:t xml:space="preserve"> strains </w:t>
      </w:r>
      <w:r w:rsidR="00476DF3">
        <w:rPr>
          <w:rFonts w:ascii="Arial" w:eastAsia="Times New Roman" w:hAnsi="Arial" w:cs="Arial"/>
          <w:lang w:val="en-GB"/>
        </w:rPr>
        <w:t xml:space="preserve">were </w:t>
      </w:r>
      <w:r w:rsidR="00476DF3" w:rsidRPr="00DF12E5">
        <w:rPr>
          <w:rFonts w:ascii="Arial" w:eastAsia="Times New Roman" w:hAnsi="Arial" w:cs="Arial"/>
          <w:lang w:val="en-GB"/>
        </w:rPr>
        <w:t xml:space="preserve">previously recorded </w:t>
      </w:r>
      <w:r w:rsidR="00476DF3" w:rsidRPr="00DF12E5">
        <w:rPr>
          <w:rFonts w:ascii="Arial" w:eastAsia="Times New Roman" w:hAnsi="Arial" w:cs="Arial"/>
          <w:shd w:val="clear" w:color="auto" w:fill="FFFFFF"/>
          <w:lang w:val="en-GB"/>
        </w:rPr>
        <w:t>suggest</w:t>
      </w:r>
      <w:r w:rsidR="00476DF3">
        <w:rPr>
          <w:rFonts w:ascii="Arial" w:eastAsia="Times New Roman" w:hAnsi="Arial" w:cs="Arial"/>
          <w:shd w:val="clear" w:color="auto" w:fill="FFFFFF"/>
          <w:lang w:val="en-GB"/>
        </w:rPr>
        <w:t xml:space="preserve">ing </w:t>
      </w:r>
      <w:r w:rsidR="00476DF3" w:rsidRPr="00DF12E5">
        <w:rPr>
          <w:rFonts w:ascii="Arial" w:eastAsia="Times New Roman" w:hAnsi="Arial" w:cs="Arial"/>
          <w:shd w:val="clear" w:color="auto" w:fill="FFFFFF"/>
          <w:lang w:val="en-GB"/>
        </w:rPr>
        <w:t xml:space="preserve"> th</w:t>
      </w:r>
      <w:r w:rsidR="00476DF3">
        <w:rPr>
          <w:rFonts w:ascii="Arial" w:eastAsia="Times New Roman" w:hAnsi="Arial" w:cs="Arial"/>
          <w:shd w:val="clear" w:color="auto" w:fill="FFFFFF"/>
          <w:lang w:val="en-GB"/>
        </w:rPr>
        <w:t xml:space="preserve">e occurrence of </w:t>
      </w:r>
      <w:r w:rsidR="00476DF3" w:rsidRPr="00DF12E5">
        <w:rPr>
          <w:rFonts w:ascii="Arial" w:eastAsia="Times New Roman" w:hAnsi="Arial" w:cs="Arial"/>
          <w:shd w:val="clear" w:color="auto" w:fill="FFFFFF"/>
          <w:lang w:val="en-GB"/>
        </w:rPr>
        <w:t xml:space="preserve"> </w:t>
      </w:r>
      <w:r w:rsidR="00476DF3" w:rsidRPr="00DF12E5">
        <w:rPr>
          <w:rFonts w:ascii="Arial" w:eastAsia="Times New Roman" w:hAnsi="Arial" w:cs="Arial"/>
          <w:lang w:val="en-GB"/>
        </w:rPr>
        <w:t>resistance</w:t>
      </w:r>
      <w:r w:rsidR="00476DF3">
        <w:rPr>
          <w:rFonts w:ascii="Arial" w:eastAsia="Times New Roman" w:hAnsi="Arial" w:cs="Arial"/>
          <w:lang w:val="en-GB"/>
        </w:rPr>
        <w:t xml:space="preserve"> phenomena although  the </w:t>
      </w:r>
      <w:r w:rsidR="00476DF3" w:rsidRPr="00DF12E5">
        <w:rPr>
          <w:rFonts w:ascii="Arial" w:eastAsia="Times New Roman" w:hAnsi="Arial" w:cs="Arial"/>
          <w:lang w:val="en-GB"/>
        </w:rPr>
        <w:t xml:space="preserve"> correlations between the </w:t>
      </w:r>
      <w:r w:rsidR="00476DF3" w:rsidRPr="0037088E">
        <w:rPr>
          <w:rFonts w:ascii="Arial" w:eastAsia="Times New Roman" w:hAnsi="Arial" w:cs="Arial"/>
          <w:i/>
          <w:lang w:val="en-GB"/>
        </w:rPr>
        <w:t>in vitro</w:t>
      </w:r>
      <w:r w:rsidR="00476DF3">
        <w:rPr>
          <w:rFonts w:ascii="Arial" w:eastAsia="Times New Roman" w:hAnsi="Arial" w:cs="Arial"/>
          <w:lang w:val="en-GB"/>
        </w:rPr>
        <w:t xml:space="preserve"> antifungal </w:t>
      </w:r>
      <w:r w:rsidR="00476DF3" w:rsidRPr="00DF12E5">
        <w:rPr>
          <w:rFonts w:ascii="Arial" w:eastAsia="Times New Roman" w:hAnsi="Arial" w:cs="Arial"/>
          <w:lang w:val="en-GB"/>
        </w:rPr>
        <w:t xml:space="preserve">results and clinical outcome were </w:t>
      </w:r>
      <w:r w:rsidR="00476DF3">
        <w:rPr>
          <w:rFonts w:ascii="Arial" w:eastAsia="Times New Roman" w:hAnsi="Arial" w:cs="Arial"/>
          <w:lang w:val="en-GB"/>
        </w:rPr>
        <w:t xml:space="preserve">never </w:t>
      </w:r>
      <w:r w:rsidR="00476DF3" w:rsidRPr="00DF12E5">
        <w:rPr>
          <w:rFonts w:ascii="Arial" w:eastAsia="Times New Roman" w:hAnsi="Arial" w:cs="Arial"/>
          <w:lang w:val="en-GB"/>
        </w:rPr>
        <w:t>recorded</w:t>
      </w:r>
      <w:r w:rsidR="00476DF3">
        <w:rPr>
          <w:rFonts w:ascii="Arial" w:eastAsia="Times New Roman" w:hAnsi="Arial" w:cs="Arial"/>
          <w:lang w:val="en-GB"/>
        </w:rPr>
        <w:t>.</w:t>
      </w:r>
      <w:r w:rsidR="00476DF3">
        <w:rPr>
          <w:rFonts w:ascii="Arial" w:eastAsia="Times New Roman" w:hAnsi="Arial" w:cs="Arial"/>
          <w:vertAlign w:val="superscript"/>
          <w:lang w:val="en-GB"/>
        </w:rPr>
        <w:t>2</w:t>
      </w:r>
      <w:r w:rsidR="001B6C4D">
        <w:rPr>
          <w:rFonts w:ascii="Arial" w:eastAsia="Times New Roman" w:hAnsi="Arial" w:cs="Arial"/>
          <w:vertAlign w:val="superscript"/>
          <w:lang w:val="en-GB"/>
        </w:rPr>
        <w:t>7</w:t>
      </w:r>
      <w:r w:rsidR="00476DF3" w:rsidRPr="00DF12E5">
        <w:rPr>
          <w:rFonts w:ascii="Arial" w:eastAsia="Times New Roman" w:hAnsi="Arial" w:cs="Arial"/>
          <w:lang w:val="en-GB"/>
        </w:rPr>
        <w:t xml:space="preserve">  </w:t>
      </w:r>
    </w:p>
    <w:p w14:paraId="0C69715A" w14:textId="0177E555" w:rsidR="00476DF3" w:rsidRPr="00DF12E5" w:rsidRDefault="00476DF3" w:rsidP="00626AE5">
      <w:pPr>
        <w:jc w:val="both"/>
        <w:rPr>
          <w:rFonts w:ascii="Arial" w:eastAsia="Times New Roman" w:hAnsi="Arial" w:cs="Arial"/>
          <w:lang w:val="en-GB"/>
        </w:rPr>
      </w:pPr>
      <w:r w:rsidRPr="00DF12E5">
        <w:rPr>
          <w:rFonts w:ascii="Arial" w:eastAsia="Times New Roman" w:hAnsi="Arial" w:cs="Arial"/>
          <w:color w:val="2A2A2A"/>
          <w:shd w:val="clear" w:color="auto" w:fill="FFFFFF"/>
          <w:lang w:val="en-GB"/>
        </w:rPr>
        <w:t>Our study supports the validity of the CLSI guidelines</w:t>
      </w:r>
      <w:r>
        <w:rPr>
          <w:rFonts w:ascii="Arial" w:eastAsia="Times New Roman" w:hAnsi="Arial" w:cs="Arial"/>
          <w:color w:val="2A2A2A"/>
          <w:shd w:val="clear" w:color="auto" w:fill="FFFFFF"/>
          <w:lang w:val="en-GB"/>
        </w:rPr>
        <w:t>.</w:t>
      </w:r>
      <w:r w:rsidR="00B2539F">
        <w:rPr>
          <w:rFonts w:ascii="Arial" w:eastAsia="Times New Roman" w:hAnsi="Arial" w:cs="Arial"/>
          <w:color w:val="2A2A2A"/>
          <w:shd w:val="clear" w:color="auto" w:fill="FFFFFF"/>
          <w:vertAlign w:val="superscript"/>
          <w:lang w:val="en-GB"/>
        </w:rPr>
        <w:t>2</w:t>
      </w:r>
      <w:r w:rsidR="001B6C4D">
        <w:rPr>
          <w:rFonts w:ascii="Arial" w:eastAsia="Times New Roman" w:hAnsi="Arial" w:cs="Arial"/>
          <w:color w:val="2A2A2A"/>
          <w:shd w:val="clear" w:color="auto" w:fill="FFFFFF"/>
          <w:vertAlign w:val="superscript"/>
          <w:lang w:val="en-GB"/>
        </w:rPr>
        <w:t>8</w:t>
      </w:r>
      <w:r>
        <w:rPr>
          <w:rFonts w:ascii="Arial" w:eastAsia="Times New Roman" w:hAnsi="Arial" w:cs="Arial"/>
          <w:color w:val="2A2A2A"/>
          <w:shd w:val="clear" w:color="auto" w:fill="FFFFFF"/>
          <w:vertAlign w:val="superscript"/>
          <w:lang w:val="en-GB"/>
        </w:rPr>
        <w:t>-3</w:t>
      </w:r>
      <w:r w:rsidR="001B6C4D">
        <w:rPr>
          <w:rFonts w:ascii="Arial" w:eastAsia="Times New Roman" w:hAnsi="Arial" w:cs="Arial"/>
          <w:color w:val="2A2A2A"/>
          <w:shd w:val="clear" w:color="auto" w:fill="FFFFFF"/>
          <w:vertAlign w:val="superscript"/>
          <w:lang w:val="en-GB"/>
        </w:rPr>
        <w:t>0</w:t>
      </w:r>
      <w:r w:rsidRPr="00DF12E5">
        <w:rPr>
          <w:rFonts w:ascii="Arial" w:eastAsia="Times New Roman" w:hAnsi="Arial" w:cs="Arial"/>
          <w:color w:val="2A2A2A"/>
          <w:shd w:val="clear" w:color="auto" w:fill="FFFFFF"/>
          <w:lang w:val="en-GB"/>
        </w:rPr>
        <w:t xml:space="preserve"> However, these </w:t>
      </w:r>
      <w:r w:rsidRPr="00DF12E5">
        <w:rPr>
          <w:rFonts w:ascii="Arial" w:eastAsia="Times New Roman" w:hAnsi="Arial" w:cs="Arial"/>
          <w:lang w:val="en-GB"/>
        </w:rPr>
        <w:t>guidelines recommend separation of the fungal structures (hyphae and conidia) through sedimentation for 15-20 min, and the use of the upper part of the suspension for susceptibility testing.</w:t>
      </w:r>
      <w:r>
        <w:rPr>
          <w:rFonts w:ascii="Arial" w:eastAsia="Times New Roman" w:hAnsi="Arial" w:cs="Arial"/>
          <w:vertAlign w:val="superscript"/>
          <w:lang w:val="en-GB"/>
        </w:rPr>
        <w:t>3</w:t>
      </w:r>
      <w:r w:rsidR="001B6C4D">
        <w:rPr>
          <w:rFonts w:ascii="Arial" w:eastAsia="Times New Roman" w:hAnsi="Arial" w:cs="Arial"/>
          <w:vertAlign w:val="superscript"/>
          <w:lang w:val="en-GB"/>
        </w:rPr>
        <w:t>0</w:t>
      </w:r>
      <w:r w:rsidRPr="00DF12E5">
        <w:rPr>
          <w:rFonts w:ascii="Arial" w:eastAsia="Times New Roman" w:hAnsi="Arial" w:cs="Arial"/>
          <w:lang w:val="en-GB"/>
        </w:rPr>
        <w:t xml:space="preserve"> The results of our study show that the sedimentation of the inoculum is inefficient for separating dermatophyte hyphae, and filtration might be required, similarly to </w:t>
      </w:r>
      <w:r w:rsidRPr="00DF12E5">
        <w:rPr>
          <w:rFonts w:ascii="Arial" w:eastAsia="Times New Roman" w:hAnsi="Arial" w:cs="Arial"/>
          <w:i/>
          <w:iCs/>
          <w:lang w:val="en-GB"/>
        </w:rPr>
        <w:t>T. rubrum</w:t>
      </w:r>
      <w:r w:rsidRPr="00DF12E5">
        <w:rPr>
          <w:rFonts w:ascii="Arial" w:eastAsia="Times New Roman" w:hAnsi="Arial" w:cs="Arial"/>
          <w:lang w:val="en-GB"/>
        </w:rPr>
        <w:t xml:space="preserve"> and </w:t>
      </w:r>
      <w:r w:rsidRPr="00DF12E5">
        <w:rPr>
          <w:rFonts w:ascii="Arial" w:eastAsia="Times New Roman" w:hAnsi="Arial" w:cs="Arial"/>
          <w:i/>
          <w:iCs/>
          <w:lang w:val="en-GB"/>
        </w:rPr>
        <w:t>T. mentagrophytes</w:t>
      </w:r>
      <w:r w:rsidRPr="00DF12E5">
        <w:rPr>
          <w:rFonts w:ascii="Arial" w:eastAsia="Times New Roman" w:hAnsi="Arial" w:cs="Arial"/>
          <w:lang w:val="en-GB"/>
        </w:rPr>
        <w:t>.</w:t>
      </w:r>
      <w:r w:rsidR="00B2539F">
        <w:rPr>
          <w:rFonts w:ascii="Arial" w:eastAsia="Times New Roman" w:hAnsi="Arial" w:cs="Arial"/>
          <w:vertAlign w:val="superscript"/>
          <w:lang w:val="en-GB"/>
        </w:rPr>
        <w:t>1</w:t>
      </w:r>
      <w:r w:rsidR="00B567E7">
        <w:rPr>
          <w:rFonts w:ascii="Arial" w:eastAsia="Times New Roman" w:hAnsi="Arial" w:cs="Arial"/>
          <w:vertAlign w:val="superscript"/>
          <w:lang w:val="en-GB"/>
        </w:rPr>
        <w:t>8</w:t>
      </w:r>
      <w:r w:rsidRPr="00DF12E5">
        <w:rPr>
          <w:rFonts w:ascii="Arial" w:eastAsia="Times New Roman" w:hAnsi="Arial" w:cs="Arial"/>
          <w:lang w:val="en-GB"/>
        </w:rPr>
        <w:t xml:space="preserve"> Using these </w:t>
      </w:r>
      <w:r w:rsidRPr="00DF12E5">
        <w:rPr>
          <w:rFonts w:ascii="Arial" w:eastAsia="Times New Roman" w:hAnsi="Arial" w:cs="Arial"/>
          <w:shd w:val="clear" w:color="auto" w:fill="FFFFFF"/>
          <w:lang w:val="en-GB"/>
        </w:rPr>
        <w:t xml:space="preserve">test conditions, the most effective drugs </w:t>
      </w:r>
      <w:r w:rsidRPr="00DF12E5">
        <w:rPr>
          <w:rFonts w:ascii="Arial" w:eastAsia="Times New Roman" w:hAnsi="Arial" w:cs="Arial"/>
          <w:lang w:val="en-GB"/>
        </w:rPr>
        <w:t xml:space="preserve">against </w:t>
      </w:r>
      <w:r w:rsidRPr="00DF12E5">
        <w:rPr>
          <w:rFonts w:ascii="Arial" w:eastAsia="Times New Roman" w:hAnsi="Arial" w:cs="Arial"/>
          <w:i/>
          <w:iCs/>
          <w:color w:val="2A2A2A"/>
          <w:shd w:val="clear" w:color="auto" w:fill="FFFFFF"/>
          <w:lang w:val="en-GB"/>
        </w:rPr>
        <w:t>M. canis</w:t>
      </w:r>
      <w:r w:rsidRPr="00DF12E5">
        <w:rPr>
          <w:rFonts w:ascii="Arial" w:eastAsia="Times New Roman" w:hAnsi="Arial" w:cs="Arial"/>
          <w:color w:val="2A2A2A"/>
          <w:shd w:val="clear" w:color="auto" w:fill="FFFFFF"/>
          <w:lang w:val="en-GB"/>
        </w:rPr>
        <w:t xml:space="preserve"> strains obtained from Group I and II</w:t>
      </w:r>
      <w:r w:rsidRPr="00DF12E5">
        <w:rPr>
          <w:rFonts w:ascii="Arial" w:eastAsia="Times New Roman" w:hAnsi="Arial" w:cs="Arial"/>
          <w:lang w:val="en-GB"/>
        </w:rPr>
        <w:t xml:space="preserve"> </w:t>
      </w:r>
      <w:r w:rsidRPr="00DF12E5">
        <w:rPr>
          <w:rFonts w:ascii="Arial" w:eastAsia="Times New Roman" w:hAnsi="Arial" w:cs="Arial"/>
          <w:shd w:val="clear" w:color="auto" w:fill="FFFFFF"/>
          <w:lang w:val="en-GB"/>
        </w:rPr>
        <w:t xml:space="preserve">were </w:t>
      </w:r>
      <w:r w:rsidRPr="00DF12E5">
        <w:rPr>
          <w:rFonts w:ascii="Arial" w:eastAsia="Times New Roman" w:hAnsi="Arial" w:cs="Arial"/>
          <w:lang w:val="en-GB"/>
        </w:rPr>
        <w:t xml:space="preserve">VRC, PSZ and TRB, </w:t>
      </w:r>
      <w:r w:rsidRPr="00DF12E5">
        <w:rPr>
          <w:rFonts w:ascii="Arial" w:eastAsia="Times New Roman" w:hAnsi="Arial" w:cs="Arial"/>
          <w:color w:val="2A2A2A"/>
          <w:shd w:val="clear" w:color="auto" w:fill="FFFFFF"/>
          <w:lang w:val="en-GB"/>
        </w:rPr>
        <w:t xml:space="preserve">thus </w:t>
      </w:r>
      <w:r w:rsidRPr="00DF12E5">
        <w:rPr>
          <w:rFonts w:ascii="Arial" w:eastAsia="Times New Roman" w:hAnsi="Arial" w:cs="Arial"/>
          <w:lang w:val="en-GB"/>
        </w:rPr>
        <w:t>confirming previous reports</w:t>
      </w:r>
      <w:r>
        <w:rPr>
          <w:rFonts w:ascii="Arial" w:eastAsia="Times New Roman" w:hAnsi="Arial" w:cs="Arial"/>
          <w:lang w:val="en-GB"/>
        </w:rPr>
        <w:t>.</w:t>
      </w:r>
      <w:r>
        <w:rPr>
          <w:rFonts w:ascii="Arial" w:eastAsia="Times New Roman" w:hAnsi="Arial" w:cs="Arial"/>
          <w:vertAlign w:val="superscript"/>
          <w:lang w:val="en-GB"/>
        </w:rPr>
        <w:t>2</w:t>
      </w:r>
      <w:r w:rsidR="00B567E7">
        <w:rPr>
          <w:rFonts w:ascii="Arial" w:eastAsia="Times New Roman" w:hAnsi="Arial" w:cs="Arial"/>
          <w:vertAlign w:val="superscript"/>
          <w:lang w:val="en-GB"/>
        </w:rPr>
        <w:t>0</w:t>
      </w:r>
      <w:r w:rsidR="00B2539F">
        <w:rPr>
          <w:rFonts w:ascii="Arial" w:eastAsia="Times New Roman" w:hAnsi="Arial" w:cs="Arial"/>
          <w:vertAlign w:val="superscript"/>
          <w:lang w:val="en-GB"/>
        </w:rPr>
        <w:t>,</w:t>
      </w:r>
      <w:r>
        <w:rPr>
          <w:rFonts w:ascii="Arial" w:eastAsia="Times New Roman" w:hAnsi="Arial" w:cs="Arial"/>
          <w:vertAlign w:val="superscript"/>
          <w:lang w:val="en-GB"/>
        </w:rPr>
        <w:t>3</w:t>
      </w:r>
      <w:r w:rsidR="00B567E7">
        <w:rPr>
          <w:rFonts w:ascii="Arial" w:eastAsia="Times New Roman" w:hAnsi="Arial" w:cs="Arial"/>
          <w:vertAlign w:val="superscript"/>
          <w:lang w:val="en-GB"/>
        </w:rPr>
        <w:t>1</w:t>
      </w:r>
      <w:r w:rsidRPr="00DF12E5">
        <w:rPr>
          <w:rFonts w:ascii="Arial" w:eastAsia="Times New Roman" w:hAnsi="Arial" w:cs="Arial"/>
          <w:lang w:val="en-GB"/>
        </w:rPr>
        <w:t xml:space="preserve"> The </w:t>
      </w:r>
      <w:r w:rsidRPr="00DF12E5">
        <w:rPr>
          <w:rFonts w:ascii="Arial" w:eastAsia="Times New Roman" w:hAnsi="Arial" w:cs="Arial"/>
          <w:color w:val="2A2A2A"/>
          <w:shd w:val="clear" w:color="auto" w:fill="FFFFFF"/>
          <w:lang w:val="en-GB"/>
        </w:rPr>
        <w:t xml:space="preserve">highest FLC MICs (i.e., MIC &gt; 64 μg/ml) were recorded using the strains  </w:t>
      </w:r>
      <w:r>
        <w:rPr>
          <w:rFonts w:ascii="Arial" w:eastAsia="Times New Roman" w:hAnsi="Arial" w:cs="Arial"/>
          <w:color w:val="2A2A2A"/>
          <w:shd w:val="clear" w:color="auto" w:fill="FFFFFF"/>
          <w:lang w:val="en-GB"/>
        </w:rPr>
        <w:t>with high</w:t>
      </w:r>
      <w:r w:rsidRPr="00DF12E5">
        <w:rPr>
          <w:rFonts w:ascii="Arial" w:eastAsia="Times New Roman" w:hAnsi="Arial" w:cs="Arial"/>
          <w:color w:val="2A2A2A"/>
          <w:shd w:val="clear" w:color="auto" w:fill="FFFFFF"/>
          <w:lang w:val="en-GB"/>
        </w:rPr>
        <w:t xml:space="preserve"> ITC (MIC &gt;1μg/ml), thus suggesting the occurrence of cross-resistance</w:t>
      </w:r>
      <w:r w:rsidRPr="00DF12E5">
        <w:rPr>
          <w:rFonts w:ascii="Arial" w:eastAsia="Times New Roman" w:hAnsi="Arial" w:cs="Arial"/>
          <w:lang w:val="en-GB"/>
        </w:rPr>
        <w:t>.</w:t>
      </w:r>
    </w:p>
    <w:p w14:paraId="442E4F61" w14:textId="77777777" w:rsidR="00476DF3" w:rsidRPr="00DF12E5" w:rsidRDefault="00476DF3" w:rsidP="00626AE5">
      <w:pPr>
        <w:jc w:val="both"/>
        <w:rPr>
          <w:rFonts w:ascii="Arial" w:eastAsia="Times New Roman" w:hAnsi="Arial" w:cs="Arial"/>
          <w:lang w:val="en-GB"/>
        </w:rPr>
      </w:pPr>
      <w:r w:rsidRPr="00DF12E5">
        <w:rPr>
          <w:rFonts w:ascii="Arial" w:eastAsia="Times New Roman" w:hAnsi="Arial" w:cs="Arial"/>
          <w:shd w:val="clear" w:color="auto" w:fill="FFFFFF"/>
          <w:lang w:val="en-GB"/>
        </w:rPr>
        <w:t xml:space="preserve">In conclusion, data herein reported suggest </w:t>
      </w:r>
      <w:r w:rsidRPr="00DF12E5">
        <w:rPr>
          <w:rFonts w:ascii="Arial" w:eastAsia="Times New Roman" w:hAnsi="Arial" w:cs="Arial"/>
          <w:lang w:val="en-GB"/>
        </w:rPr>
        <w:t xml:space="preserve">the importance of the inoculum type and incubation time in determining the </w:t>
      </w:r>
      <w:r w:rsidRPr="00DF12E5">
        <w:rPr>
          <w:rFonts w:ascii="Arial" w:eastAsia="Times New Roman" w:hAnsi="Arial" w:cs="Arial"/>
          <w:i/>
          <w:iCs/>
          <w:lang w:val="en-GB"/>
        </w:rPr>
        <w:t>in vitro</w:t>
      </w:r>
      <w:r w:rsidRPr="00DF12E5">
        <w:rPr>
          <w:rFonts w:ascii="Arial" w:eastAsia="Times New Roman" w:hAnsi="Arial" w:cs="Arial"/>
          <w:lang w:val="en-GB"/>
        </w:rPr>
        <w:t xml:space="preserve"> antifungal susceptibility of </w:t>
      </w:r>
      <w:r w:rsidRPr="00DF12E5">
        <w:rPr>
          <w:rFonts w:ascii="Arial" w:eastAsia="Times New Roman" w:hAnsi="Arial" w:cs="Arial"/>
          <w:i/>
          <w:iCs/>
          <w:lang w:val="en-GB"/>
        </w:rPr>
        <w:t>M. canis</w:t>
      </w:r>
      <w:r w:rsidRPr="00DF12E5">
        <w:rPr>
          <w:rFonts w:ascii="Arial" w:eastAsia="Times New Roman" w:hAnsi="Arial" w:cs="Arial"/>
          <w:lang w:val="en-GB"/>
        </w:rPr>
        <w:t xml:space="preserve"> using micro dilution assays. Based on our data, c</w:t>
      </w:r>
      <w:r w:rsidRPr="00DF12E5">
        <w:rPr>
          <w:rFonts w:ascii="Arial" w:eastAsia="Times New Roman" w:hAnsi="Arial" w:cs="Arial"/>
          <w:shd w:val="clear" w:color="auto" w:fill="FFFFFF"/>
          <w:lang w:val="en-GB"/>
        </w:rPr>
        <w:t xml:space="preserve">onidia and </w:t>
      </w:r>
      <w:r>
        <w:rPr>
          <w:rFonts w:ascii="Arial" w:eastAsia="Times New Roman" w:hAnsi="Arial" w:cs="Arial"/>
          <w:shd w:val="clear" w:color="auto" w:fill="FFFFFF"/>
          <w:lang w:val="en-GB"/>
        </w:rPr>
        <w:t>three</w:t>
      </w:r>
      <w:r w:rsidRPr="00DF12E5">
        <w:rPr>
          <w:rFonts w:ascii="Arial" w:eastAsia="Times New Roman" w:hAnsi="Arial" w:cs="Arial"/>
          <w:shd w:val="clear" w:color="auto" w:fill="FFFFFF"/>
          <w:lang w:val="en-GB"/>
        </w:rPr>
        <w:t xml:space="preserve"> day-incubation at </w:t>
      </w:r>
      <w:r w:rsidRPr="00DF12E5">
        <w:rPr>
          <w:rFonts w:ascii="Arial" w:eastAsia="Times New Roman" w:hAnsi="Arial" w:cs="Arial"/>
          <w:lang w:val="en-GB"/>
        </w:rPr>
        <w:t>30±2</w:t>
      </w:r>
      <w:r w:rsidRPr="00DF12E5">
        <w:rPr>
          <w:rFonts w:ascii="Arial" w:eastAsia="Times New Roman" w:hAnsi="Arial" w:cs="Arial"/>
          <w:vertAlign w:val="superscript"/>
          <w:lang w:val="en-GB"/>
        </w:rPr>
        <w:t>o</w:t>
      </w:r>
      <w:r w:rsidRPr="00DF12E5">
        <w:rPr>
          <w:rFonts w:ascii="Arial" w:eastAsia="Times New Roman" w:hAnsi="Arial" w:cs="Arial"/>
          <w:lang w:val="en-GB"/>
        </w:rPr>
        <w:t>C</w:t>
      </w:r>
      <w:r w:rsidRPr="00DF12E5">
        <w:rPr>
          <w:rFonts w:ascii="Arial" w:eastAsia="Times New Roman" w:hAnsi="Arial" w:cs="Arial"/>
          <w:shd w:val="clear" w:color="auto" w:fill="FFFFFF"/>
          <w:lang w:val="en-GB"/>
        </w:rPr>
        <w:t xml:space="preserve"> are most suitable for testing </w:t>
      </w:r>
      <w:r w:rsidRPr="00DF12E5">
        <w:rPr>
          <w:rFonts w:ascii="Arial" w:eastAsia="Times New Roman" w:hAnsi="Arial" w:cs="Arial"/>
          <w:i/>
          <w:iCs/>
          <w:shd w:val="clear" w:color="auto" w:fill="FFFFFF"/>
          <w:lang w:val="en-GB"/>
        </w:rPr>
        <w:t>in vitro</w:t>
      </w:r>
      <w:r w:rsidRPr="00DF12E5">
        <w:rPr>
          <w:rFonts w:ascii="Arial" w:eastAsia="Times New Roman" w:hAnsi="Arial" w:cs="Arial"/>
          <w:shd w:val="clear" w:color="auto" w:fill="FFFFFF"/>
          <w:lang w:val="en-GB"/>
        </w:rPr>
        <w:t xml:space="preserve"> antifungal susceptibility of </w:t>
      </w:r>
      <w:r w:rsidRPr="00DF12E5">
        <w:rPr>
          <w:rFonts w:ascii="Arial" w:eastAsia="Times New Roman" w:hAnsi="Arial" w:cs="Arial"/>
          <w:i/>
          <w:iCs/>
          <w:shd w:val="clear" w:color="auto" w:fill="FFFFFF"/>
          <w:lang w:val="en-GB"/>
        </w:rPr>
        <w:t>M. canis</w:t>
      </w:r>
      <w:r w:rsidRPr="00DF12E5">
        <w:rPr>
          <w:rFonts w:ascii="Arial" w:eastAsia="Times New Roman" w:hAnsi="Arial" w:cs="Arial"/>
          <w:shd w:val="clear" w:color="auto" w:fill="FFFFFF"/>
          <w:lang w:val="en-GB"/>
        </w:rPr>
        <w:t xml:space="preserve">. The above conditions may also assist in determining the occurrence of </w:t>
      </w:r>
      <w:r>
        <w:rPr>
          <w:rFonts w:ascii="Arial" w:eastAsia="Times New Roman" w:hAnsi="Arial" w:cs="Arial"/>
          <w:shd w:val="clear" w:color="auto" w:fill="FFFFFF"/>
          <w:lang w:val="en-GB"/>
        </w:rPr>
        <w:t xml:space="preserve">probable </w:t>
      </w:r>
      <w:r w:rsidRPr="00DF12E5">
        <w:rPr>
          <w:rFonts w:ascii="Arial" w:eastAsia="Times New Roman" w:hAnsi="Arial" w:cs="Arial"/>
          <w:shd w:val="clear" w:color="auto" w:fill="FFFFFF"/>
          <w:lang w:val="en-GB"/>
        </w:rPr>
        <w:t>drug resistance</w:t>
      </w:r>
      <w:r>
        <w:rPr>
          <w:rFonts w:ascii="Arial" w:eastAsia="Times New Roman" w:hAnsi="Arial" w:cs="Arial"/>
          <w:shd w:val="clear" w:color="auto" w:fill="FFFFFF"/>
          <w:lang w:val="en-GB"/>
        </w:rPr>
        <w:t xml:space="preserve"> phenomena. </w:t>
      </w:r>
      <w:r w:rsidRPr="00DF12E5">
        <w:rPr>
          <w:rFonts w:ascii="Arial" w:eastAsia="Times New Roman" w:hAnsi="Arial" w:cs="Arial"/>
          <w:shd w:val="clear" w:color="auto" w:fill="FFFFFF"/>
          <w:lang w:val="en-GB"/>
        </w:rPr>
        <w:t xml:space="preserve">Whilst the suitability of these test conditions must be tested in further studies conducted in other </w:t>
      </w:r>
      <w:r w:rsidRPr="00DF12E5">
        <w:rPr>
          <w:rFonts w:ascii="Arial" w:eastAsia="Times New Roman" w:hAnsi="Arial" w:cs="Arial"/>
          <w:lang w:val="en-GB"/>
        </w:rPr>
        <w:t>laboratories to ensure reproducibility, data from our work represent a solid foundation for</w:t>
      </w:r>
      <w:r w:rsidRPr="00DF12E5">
        <w:rPr>
          <w:rFonts w:ascii="Arial" w:eastAsia="Times New Roman" w:hAnsi="Arial" w:cs="Arial"/>
          <w:color w:val="292526"/>
          <w:lang w:val="en-GB"/>
        </w:rPr>
        <w:t xml:space="preserve"> the development of standardized </w:t>
      </w:r>
      <w:r w:rsidRPr="00DF12E5">
        <w:rPr>
          <w:rFonts w:ascii="Arial" w:eastAsia="Times New Roman" w:hAnsi="Arial" w:cs="Arial"/>
          <w:lang w:val="en-GB"/>
        </w:rPr>
        <w:t xml:space="preserve">antifungal susceptibility tests for </w:t>
      </w:r>
      <w:r w:rsidRPr="00DF12E5">
        <w:rPr>
          <w:rFonts w:ascii="Arial" w:eastAsia="Times New Roman" w:hAnsi="Arial" w:cs="Arial"/>
          <w:i/>
          <w:iCs/>
          <w:lang w:val="en-GB"/>
        </w:rPr>
        <w:t>M. canis</w:t>
      </w:r>
      <w:r w:rsidRPr="00DF12E5">
        <w:rPr>
          <w:rFonts w:ascii="Arial" w:eastAsia="Times New Roman" w:hAnsi="Arial" w:cs="Arial"/>
          <w:lang w:val="en-GB"/>
        </w:rPr>
        <w:t>.</w:t>
      </w:r>
      <w:r w:rsidRPr="00DF12E5">
        <w:rPr>
          <w:rFonts w:ascii="Arial" w:eastAsia="Times New Roman" w:hAnsi="Arial" w:cs="Arial"/>
          <w:lang w:val="en-US"/>
        </w:rPr>
        <w:t xml:space="preserve"> Furthermore, complementary studies on </w:t>
      </w:r>
      <w:r w:rsidRPr="00DF12E5">
        <w:rPr>
          <w:rFonts w:ascii="Arial" w:eastAsia="Times New Roman" w:hAnsi="Arial" w:cs="Arial"/>
          <w:i/>
          <w:iCs/>
          <w:lang w:val="en-US"/>
        </w:rPr>
        <w:t>M. canis</w:t>
      </w:r>
      <w:r w:rsidRPr="00DF12E5">
        <w:rPr>
          <w:rFonts w:ascii="Arial" w:eastAsia="Times New Roman" w:hAnsi="Arial" w:cs="Arial"/>
          <w:lang w:val="en-US"/>
        </w:rPr>
        <w:t xml:space="preserve"> resistance are advocated in order to investigate the molecular mechanisms of this phenomenon</w:t>
      </w:r>
      <w:r>
        <w:rPr>
          <w:rFonts w:ascii="Arial" w:eastAsia="Times New Roman" w:hAnsi="Arial" w:cs="Arial"/>
          <w:lang w:val="en-US"/>
        </w:rPr>
        <w:t>.</w:t>
      </w:r>
    </w:p>
    <w:p w14:paraId="3FA8133B" w14:textId="77777777" w:rsidR="00476DF3" w:rsidRPr="00626AE5" w:rsidRDefault="00476DF3" w:rsidP="00626AE5">
      <w:pPr>
        <w:spacing w:before="100" w:beforeAutospacing="1" w:after="100" w:afterAutospacing="1"/>
        <w:jc w:val="both"/>
        <w:rPr>
          <w:rFonts w:ascii="Arial" w:eastAsia="MS Mincho" w:hAnsi="Arial" w:cs="Arial"/>
          <w:b/>
          <w:bCs/>
          <w:color w:val="292526"/>
          <w:lang w:val="en-GB" w:eastAsia="it-IT"/>
        </w:rPr>
      </w:pPr>
      <w:r w:rsidRPr="00626AE5">
        <w:rPr>
          <w:rFonts w:ascii="Arial" w:eastAsia="Times New Roman" w:hAnsi="Arial" w:cs="Arial"/>
          <w:b/>
          <w:bCs/>
          <w:lang w:val="en-GB"/>
        </w:rPr>
        <w:t>References</w:t>
      </w:r>
    </w:p>
    <w:p w14:paraId="2DF693DA" w14:textId="77777777" w:rsidR="00476DF3" w:rsidRPr="00626AE5" w:rsidRDefault="00476DF3"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val="en-GB" w:eastAsia="it-IT"/>
        </w:rPr>
        <w:t xml:space="preserve">Ginter-Hanselmayer G, Weger W, Ilkit M </w:t>
      </w:r>
      <w:r w:rsidRPr="00626AE5">
        <w:rPr>
          <w:rFonts w:ascii="Arial" w:eastAsia="MS Mincho" w:hAnsi="Arial" w:cs="Arial"/>
          <w:i/>
          <w:iCs/>
          <w:color w:val="292526"/>
          <w:lang w:val="en-GB" w:eastAsia="it-IT"/>
        </w:rPr>
        <w:t>et al</w:t>
      </w:r>
      <w:r w:rsidRPr="00626AE5">
        <w:rPr>
          <w:rFonts w:ascii="Arial" w:eastAsia="MS Mincho" w:hAnsi="Arial" w:cs="Arial"/>
          <w:color w:val="292526"/>
          <w:lang w:val="en-GB" w:eastAsia="it-IT"/>
        </w:rPr>
        <w:t>. Epidemiology of tinea capitis in Europe: Current state and changing patterns. </w:t>
      </w:r>
      <w:r w:rsidRPr="00626AE5">
        <w:rPr>
          <w:rFonts w:ascii="Arial" w:eastAsia="MS Mincho" w:hAnsi="Arial" w:cs="Arial"/>
          <w:i/>
          <w:iCs/>
          <w:color w:val="292526"/>
          <w:lang w:val="en-GB" w:eastAsia="it-IT"/>
        </w:rPr>
        <w:t>Mycoses</w:t>
      </w:r>
      <w:r w:rsidRPr="00626AE5">
        <w:rPr>
          <w:rFonts w:ascii="Arial" w:eastAsia="MS Mincho" w:hAnsi="Arial" w:cs="Arial"/>
          <w:color w:val="292526"/>
          <w:lang w:val="en-GB" w:eastAsia="it-IT"/>
        </w:rPr>
        <w:t xml:space="preserve"> 2007; 50:6–13. </w:t>
      </w:r>
    </w:p>
    <w:p w14:paraId="6792EEBB" w14:textId="77777777" w:rsidR="00476DF3" w:rsidRPr="00626AE5" w:rsidRDefault="00476DF3" w:rsidP="00626AE5">
      <w:pPr>
        <w:numPr>
          <w:ilvl w:val="0"/>
          <w:numId w:val="1"/>
        </w:numPr>
        <w:spacing w:after="200"/>
        <w:contextualSpacing/>
        <w:jc w:val="both"/>
        <w:rPr>
          <w:rFonts w:ascii="Arial" w:eastAsia="MS Mincho" w:hAnsi="Arial" w:cs="Arial"/>
          <w:color w:val="292526"/>
          <w:lang w:val="en-GB" w:eastAsia="it-IT"/>
        </w:rPr>
      </w:pPr>
      <w:r w:rsidRPr="00626AE5">
        <w:rPr>
          <w:rFonts w:ascii="Arial" w:eastAsia="MS Mincho" w:hAnsi="Arial" w:cs="Arial"/>
          <w:color w:val="292526"/>
          <w:lang w:val="en-US" w:eastAsia="it-IT"/>
        </w:rPr>
        <w:t xml:space="preserve">Moriello KA, Coyner K, Paterson S </w:t>
      </w:r>
      <w:r w:rsidRPr="00626AE5">
        <w:rPr>
          <w:rFonts w:ascii="Arial" w:eastAsia="MS Mincho" w:hAnsi="Arial" w:cs="Arial"/>
          <w:i/>
          <w:iCs/>
          <w:color w:val="292526"/>
          <w:lang w:val="en-US" w:eastAsia="it-IT"/>
        </w:rPr>
        <w:t>et al</w:t>
      </w:r>
      <w:r w:rsidRPr="00626AE5">
        <w:rPr>
          <w:rFonts w:ascii="Arial" w:eastAsia="MS Mincho" w:hAnsi="Arial" w:cs="Arial"/>
          <w:color w:val="292526"/>
          <w:lang w:val="en-US" w:eastAsia="it-IT"/>
        </w:rPr>
        <w:t xml:space="preserve">. </w:t>
      </w:r>
      <w:r w:rsidRPr="00626AE5">
        <w:rPr>
          <w:rFonts w:ascii="Arial" w:eastAsia="MS Mincho" w:hAnsi="Arial" w:cs="Arial"/>
          <w:color w:val="292526"/>
          <w:lang w:val="en-GB" w:eastAsia="it-IT"/>
        </w:rPr>
        <w:t xml:space="preserve">Diagnosis and treatment of dermatophytosis in dogs and cats. </w:t>
      </w:r>
      <w:r w:rsidRPr="00626AE5">
        <w:rPr>
          <w:rFonts w:ascii="Arial" w:eastAsia="MS Mincho" w:hAnsi="Arial" w:cs="Arial"/>
          <w:i/>
          <w:iCs/>
          <w:color w:val="292526"/>
          <w:lang w:val="en-GB" w:eastAsia="it-IT"/>
        </w:rPr>
        <w:t>Veterinary Dermatol</w:t>
      </w:r>
      <w:r w:rsidRPr="00626AE5">
        <w:rPr>
          <w:rFonts w:ascii="Arial" w:eastAsia="MS Mincho" w:hAnsi="Arial" w:cs="Arial"/>
          <w:color w:val="292526"/>
          <w:lang w:val="en-GB" w:eastAsia="it-IT"/>
        </w:rPr>
        <w:t xml:space="preserve"> </w:t>
      </w:r>
      <w:r w:rsidRPr="00626AE5">
        <w:rPr>
          <w:rFonts w:ascii="Arial" w:eastAsia="MS Mincho" w:hAnsi="Arial" w:cs="Arial"/>
          <w:color w:val="292526"/>
          <w:lang w:val="en-US" w:eastAsia="it-IT"/>
        </w:rPr>
        <w:t>2017;</w:t>
      </w:r>
      <w:r w:rsidRPr="00626AE5">
        <w:rPr>
          <w:rFonts w:ascii="Arial" w:eastAsia="MS Mincho" w:hAnsi="Arial" w:cs="Arial"/>
          <w:color w:val="292526"/>
          <w:lang w:val="en-GB" w:eastAsia="it-IT"/>
        </w:rPr>
        <w:t xml:space="preserve"> 28:266–268. </w:t>
      </w:r>
    </w:p>
    <w:p w14:paraId="0ADD624A" w14:textId="77777777" w:rsidR="00476DF3" w:rsidRPr="00626AE5" w:rsidRDefault="00476DF3"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val="en-GB" w:eastAsia="it-IT"/>
        </w:rPr>
        <w:t xml:space="preserve">Degreef H. Clinical forms of dermatophytosis (ringworm infection). </w:t>
      </w:r>
      <w:r w:rsidRPr="00626AE5">
        <w:rPr>
          <w:rFonts w:ascii="Arial" w:eastAsia="MS Mincho" w:hAnsi="Arial" w:cs="Arial"/>
          <w:i/>
          <w:iCs/>
          <w:color w:val="292526"/>
          <w:lang w:val="en-GB" w:eastAsia="it-IT"/>
        </w:rPr>
        <w:t>Mycopathologia</w:t>
      </w:r>
      <w:r w:rsidRPr="00626AE5">
        <w:rPr>
          <w:rFonts w:ascii="Arial" w:eastAsia="MS Mincho" w:hAnsi="Arial" w:cs="Arial"/>
          <w:color w:val="292526"/>
          <w:lang w:val="en-GB" w:eastAsia="it-IT"/>
        </w:rPr>
        <w:t xml:space="preserve"> 2008; 166:257–65.</w:t>
      </w:r>
    </w:p>
    <w:p w14:paraId="6A106900" w14:textId="77777777" w:rsidR="00476DF3" w:rsidRPr="00626AE5" w:rsidRDefault="00476DF3" w:rsidP="00626AE5">
      <w:pPr>
        <w:numPr>
          <w:ilvl w:val="0"/>
          <w:numId w:val="1"/>
        </w:numPr>
        <w:autoSpaceDE w:val="0"/>
        <w:autoSpaceDN w:val="0"/>
        <w:adjustRightInd w:val="0"/>
        <w:snapToGrid w:val="0"/>
        <w:spacing w:after="200"/>
        <w:contextualSpacing/>
        <w:jc w:val="both"/>
        <w:rPr>
          <w:rFonts w:ascii="Arial" w:eastAsia="MS Mincho" w:hAnsi="Arial" w:cs="Arial"/>
          <w:color w:val="292526"/>
          <w:lang w:val="en-GB" w:eastAsia="it-IT"/>
        </w:rPr>
      </w:pPr>
      <w:r w:rsidRPr="00626AE5">
        <w:rPr>
          <w:rFonts w:ascii="Arial" w:eastAsia="MS Mincho" w:hAnsi="Arial" w:cs="Arial"/>
          <w:color w:val="292526"/>
          <w:lang w:val="en-GB" w:eastAsia="it-IT"/>
        </w:rPr>
        <w:t xml:space="preserve">Sparkes AH, Werrett G, Stokes, CR </w:t>
      </w:r>
      <w:r w:rsidRPr="00626AE5">
        <w:rPr>
          <w:rFonts w:ascii="Arial" w:eastAsia="MS Mincho" w:hAnsi="Arial" w:cs="Arial"/>
          <w:i/>
          <w:iCs/>
          <w:color w:val="292526"/>
          <w:lang w:val="en-GB" w:eastAsia="it-IT"/>
        </w:rPr>
        <w:t>et al</w:t>
      </w:r>
      <w:r w:rsidRPr="00626AE5">
        <w:rPr>
          <w:rFonts w:ascii="Arial" w:eastAsia="MS Mincho" w:hAnsi="Arial" w:cs="Arial"/>
          <w:color w:val="292526"/>
          <w:lang w:val="en-GB" w:eastAsia="it-IT"/>
        </w:rPr>
        <w:t xml:space="preserve">.  </w:t>
      </w:r>
      <w:r w:rsidRPr="00626AE5">
        <w:rPr>
          <w:rFonts w:ascii="Arial" w:eastAsia="MS Mincho" w:hAnsi="Arial" w:cs="Arial"/>
          <w:i/>
          <w:iCs/>
          <w:color w:val="292526"/>
          <w:lang w:val="en-GB" w:eastAsia="it-IT"/>
        </w:rPr>
        <w:t>Microsporum canis</w:t>
      </w:r>
      <w:r w:rsidRPr="00626AE5">
        <w:rPr>
          <w:rFonts w:ascii="Arial" w:eastAsia="MS Mincho" w:hAnsi="Arial" w:cs="Arial"/>
          <w:color w:val="292526"/>
          <w:lang w:val="en-GB" w:eastAsia="it-IT"/>
        </w:rPr>
        <w:t xml:space="preserve">: Inapparent carriage by cats and the viability of arthrospores. </w:t>
      </w:r>
      <w:r w:rsidRPr="00626AE5">
        <w:rPr>
          <w:rFonts w:ascii="Arial" w:eastAsia="MS Mincho" w:hAnsi="Arial" w:cs="Arial"/>
          <w:i/>
          <w:iCs/>
          <w:color w:val="292526"/>
          <w:lang w:val="en-GB" w:eastAsia="it-IT"/>
        </w:rPr>
        <w:t>J Small Anim Pract</w:t>
      </w:r>
      <w:r w:rsidRPr="00626AE5">
        <w:rPr>
          <w:rFonts w:ascii="Arial" w:eastAsia="MS Mincho" w:hAnsi="Arial" w:cs="Arial"/>
          <w:color w:val="292526"/>
          <w:lang w:val="en-GB" w:eastAsia="it-IT"/>
        </w:rPr>
        <w:t xml:space="preserve"> 1994; 3:397–401.</w:t>
      </w:r>
    </w:p>
    <w:p w14:paraId="12992714" w14:textId="064DAE82" w:rsidR="00476DF3" w:rsidRPr="00626AE5" w:rsidRDefault="00F53E84"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val="en-GB" w:eastAsia="it-IT"/>
        </w:rPr>
        <w:t>ESCCAP, European Scientific Counsel Companion Animal Parasites, Superficial Mycoses in Dogs and Cats. ESCCAP Guideline 02, 4th edition, 2019</w:t>
      </w:r>
      <w:r w:rsidR="00476DF3" w:rsidRPr="00626AE5">
        <w:rPr>
          <w:rFonts w:ascii="Arial" w:eastAsia="MS Mincho" w:hAnsi="Arial" w:cs="Arial"/>
          <w:color w:val="292526"/>
          <w:lang w:val="en-GB" w:eastAsia="it-IT"/>
        </w:rPr>
        <w:t xml:space="preserve">. </w:t>
      </w:r>
    </w:p>
    <w:p w14:paraId="3C6A378F" w14:textId="77777777" w:rsidR="00F53E84" w:rsidRPr="00626AE5" w:rsidRDefault="00F53E84"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val="en-GB" w:eastAsia="it-IT"/>
        </w:rPr>
        <w:t>Ghannoum M. Azole Resistance in Dermatophytes: Prevalence and Mechanism of Action. </w:t>
      </w:r>
      <w:r w:rsidRPr="00626AE5">
        <w:rPr>
          <w:rFonts w:ascii="Arial" w:eastAsia="MS Mincho" w:hAnsi="Arial" w:cs="Arial"/>
          <w:i/>
          <w:iCs/>
          <w:color w:val="292526"/>
          <w:lang w:val="en-GB" w:eastAsia="it-IT"/>
        </w:rPr>
        <w:t>J Am Paediatr Med Assoc</w:t>
      </w:r>
      <w:r w:rsidRPr="00626AE5">
        <w:rPr>
          <w:rFonts w:ascii="Arial" w:eastAsia="MS Mincho" w:hAnsi="Arial" w:cs="Arial"/>
          <w:color w:val="292526"/>
          <w:lang w:val="en-GB" w:eastAsia="it-IT"/>
        </w:rPr>
        <w:t xml:space="preserve"> 2016; 106:79–86. </w:t>
      </w:r>
    </w:p>
    <w:p w14:paraId="448B6AAF" w14:textId="77777777" w:rsidR="00476DF3" w:rsidRPr="00626AE5" w:rsidRDefault="00476DF3" w:rsidP="00626AE5">
      <w:pPr>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eastAsia="it-IT"/>
        </w:rPr>
        <w:t xml:space="preserve">Bueno JG, Martinez C, Zapata B </w:t>
      </w:r>
      <w:r w:rsidRPr="00626AE5">
        <w:rPr>
          <w:rFonts w:ascii="Arial" w:eastAsia="MS Mincho" w:hAnsi="Arial" w:cs="Arial"/>
          <w:i/>
          <w:iCs/>
          <w:color w:val="292526"/>
          <w:lang w:eastAsia="it-IT"/>
        </w:rPr>
        <w:t>et al</w:t>
      </w:r>
      <w:r w:rsidRPr="00626AE5">
        <w:rPr>
          <w:rFonts w:ascii="Arial" w:eastAsia="MS Mincho" w:hAnsi="Arial" w:cs="Arial"/>
          <w:color w:val="292526"/>
          <w:lang w:eastAsia="it-IT"/>
        </w:rPr>
        <w:t xml:space="preserve">.  </w:t>
      </w:r>
      <w:r w:rsidRPr="00626AE5">
        <w:rPr>
          <w:rFonts w:ascii="Arial" w:eastAsia="MS Mincho" w:hAnsi="Arial" w:cs="Arial"/>
          <w:i/>
          <w:iCs/>
          <w:color w:val="292526"/>
          <w:lang w:val="en-GB" w:eastAsia="it-IT"/>
        </w:rPr>
        <w:t>In vitro</w:t>
      </w:r>
      <w:r w:rsidRPr="00626AE5">
        <w:rPr>
          <w:rFonts w:ascii="Arial" w:eastAsia="MS Mincho" w:hAnsi="Arial" w:cs="Arial"/>
          <w:color w:val="292526"/>
          <w:lang w:val="en-GB" w:eastAsia="it-IT"/>
        </w:rPr>
        <w:t xml:space="preserve"> activity of fluconazole, itraconazole, voriconazole and terbinafine against fungi causing onychomycosis. </w:t>
      </w:r>
      <w:r w:rsidRPr="00626AE5">
        <w:rPr>
          <w:rFonts w:ascii="Arial" w:eastAsia="MS Mincho" w:hAnsi="Arial" w:cs="Arial"/>
          <w:i/>
          <w:iCs/>
          <w:color w:val="292526"/>
          <w:lang w:val="en-GB" w:eastAsia="it-IT"/>
        </w:rPr>
        <w:t>Clin Exp Dermatol</w:t>
      </w:r>
      <w:r w:rsidRPr="00626AE5">
        <w:rPr>
          <w:rFonts w:ascii="Arial" w:eastAsia="MS Mincho" w:hAnsi="Arial" w:cs="Arial"/>
          <w:color w:val="292526"/>
          <w:lang w:val="en-GB" w:eastAsia="it-IT"/>
        </w:rPr>
        <w:t xml:space="preserve"> </w:t>
      </w:r>
      <w:r w:rsidRPr="00626AE5">
        <w:rPr>
          <w:rFonts w:ascii="Arial" w:eastAsia="MS Mincho" w:hAnsi="Arial" w:cs="Arial"/>
          <w:color w:val="292526"/>
          <w:lang w:eastAsia="it-IT"/>
        </w:rPr>
        <w:t>2010;</w:t>
      </w:r>
      <w:r w:rsidRPr="00626AE5">
        <w:rPr>
          <w:rFonts w:ascii="Arial" w:eastAsia="MS Mincho" w:hAnsi="Arial" w:cs="Arial"/>
          <w:color w:val="292526"/>
          <w:lang w:val="en-GB" w:eastAsia="it-IT"/>
        </w:rPr>
        <w:t xml:space="preserve"> 35: 658–663. </w:t>
      </w:r>
    </w:p>
    <w:p w14:paraId="3388A260" w14:textId="77777777" w:rsidR="00476DF3" w:rsidRPr="00626AE5" w:rsidRDefault="00476DF3" w:rsidP="00626AE5">
      <w:pPr>
        <w:numPr>
          <w:ilvl w:val="0"/>
          <w:numId w:val="1"/>
        </w:numPr>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eastAsia="it-IT"/>
        </w:rPr>
        <w:lastRenderedPageBreak/>
        <w:t xml:space="preserve">Coelho LM, Ferreria RA, Maffei CM </w:t>
      </w:r>
      <w:r w:rsidRPr="00626AE5">
        <w:rPr>
          <w:rFonts w:ascii="Arial" w:eastAsia="MS Mincho" w:hAnsi="Arial" w:cs="Arial"/>
          <w:i/>
          <w:iCs/>
          <w:color w:val="292526"/>
          <w:lang w:eastAsia="it-IT"/>
        </w:rPr>
        <w:t>et al</w:t>
      </w:r>
      <w:r w:rsidRPr="00626AE5">
        <w:rPr>
          <w:rFonts w:ascii="Arial" w:eastAsia="MS Mincho" w:hAnsi="Arial" w:cs="Arial"/>
          <w:color w:val="292526"/>
          <w:lang w:eastAsia="it-IT"/>
        </w:rPr>
        <w:t xml:space="preserve">. </w:t>
      </w:r>
      <w:r w:rsidRPr="00626AE5">
        <w:rPr>
          <w:rFonts w:ascii="Arial" w:eastAsia="MS Mincho" w:hAnsi="Arial" w:cs="Arial"/>
          <w:i/>
          <w:iCs/>
          <w:color w:val="292526"/>
          <w:lang w:val="en-GB" w:eastAsia="it-IT"/>
        </w:rPr>
        <w:t>In vitro</w:t>
      </w:r>
      <w:r w:rsidRPr="00626AE5">
        <w:rPr>
          <w:rFonts w:ascii="Arial" w:eastAsia="MS Mincho" w:hAnsi="Arial" w:cs="Arial"/>
          <w:color w:val="292526"/>
          <w:lang w:val="en-GB" w:eastAsia="it-IT"/>
        </w:rPr>
        <w:t xml:space="preserve"> antifungal drug susceptibilities of dermatophytes microconidia and arthroconidia. </w:t>
      </w:r>
      <w:r w:rsidRPr="00626AE5">
        <w:rPr>
          <w:rFonts w:ascii="Arial" w:eastAsia="MS Mincho" w:hAnsi="Arial" w:cs="Arial"/>
          <w:i/>
          <w:iCs/>
          <w:color w:val="292526"/>
          <w:lang w:val="en-GB" w:eastAsia="it-IT"/>
        </w:rPr>
        <w:t>J Antimicrob Agents Chemother</w:t>
      </w:r>
      <w:r w:rsidRPr="00626AE5">
        <w:rPr>
          <w:rFonts w:ascii="Arial" w:eastAsia="MS Mincho" w:hAnsi="Arial" w:cs="Arial"/>
          <w:color w:val="292526"/>
          <w:lang w:val="en-GB" w:eastAsia="it-IT"/>
        </w:rPr>
        <w:t xml:space="preserve"> </w:t>
      </w:r>
      <w:r w:rsidRPr="00626AE5">
        <w:rPr>
          <w:rFonts w:ascii="Arial" w:eastAsia="MS Mincho" w:hAnsi="Arial" w:cs="Arial"/>
          <w:color w:val="292526"/>
          <w:lang w:val="en-US" w:eastAsia="it-IT"/>
        </w:rPr>
        <w:t>2008;</w:t>
      </w:r>
      <w:r w:rsidRPr="00626AE5">
        <w:rPr>
          <w:rFonts w:ascii="Arial" w:eastAsia="MS Mincho" w:hAnsi="Arial" w:cs="Arial"/>
          <w:color w:val="292526"/>
          <w:lang w:val="en-GB" w:eastAsia="it-IT"/>
        </w:rPr>
        <w:t xml:space="preserve"> 62:758–761. </w:t>
      </w:r>
    </w:p>
    <w:p w14:paraId="340CAE30" w14:textId="77777777" w:rsidR="00476DF3" w:rsidRPr="00626AE5" w:rsidRDefault="00476DF3" w:rsidP="00626AE5">
      <w:pPr>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rPr>
        <w:t xml:space="preserve">Yamada T, Maeda M, Alshahni MM </w:t>
      </w:r>
      <w:r w:rsidRPr="00626AE5">
        <w:rPr>
          <w:rFonts w:ascii="Arial" w:eastAsia="MS Mincho" w:hAnsi="Arial" w:cs="Arial"/>
          <w:i/>
          <w:iCs/>
          <w:color w:val="292526"/>
        </w:rPr>
        <w:t>et al</w:t>
      </w:r>
      <w:r w:rsidRPr="00626AE5">
        <w:rPr>
          <w:rFonts w:ascii="Arial" w:eastAsia="MS Mincho" w:hAnsi="Arial" w:cs="Arial"/>
          <w:color w:val="292526"/>
        </w:rPr>
        <w:t xml:space="preserve">.  </w:t>
      </w:r>
      <w:hyperlink r:id="rId9" w:history="1">
        <w:r w:rsidRPr="00626AE5">
          <w:rPr>
            <w:rFonts w:ascii="Arial" w:eastAsia="MS Mincho" w:hAnsi="Arial" w:cs="Arial"/>
            <w:color w:val="292526"/>
            <w:lang w:val="en-US"/>
          </w:rPr>
          <w:t xml:space="preserve">Terbinafine Resistance of </w:t>
        </w:r>
        <w:r w:rsidRPr="00626AE5">
          <w:rPr>
            <w:rFonts w:ascii="Arial" w:eastAsia="MS Mincho" w:hAnsi="Arial" w:cs="Arial"/>
            <w:i/>
            <w:iCs/>
            <w:color w:val="292526"/>
            <w:lang w:val="en-US"/>
          </w:rPr>
          <w:t>Trichophyton</w:t>
        </w:r>
        <w:r w:rsidRPr="00626AE5">
          <w:rPr>
            <w:rFonts w:ascii="Arial" w:eastAsia="MS Mincho" w:hAnsi="Arial" w:cs="Arial"/>
            <w:color w:val="292526"/>
            <w:lang w:val="en-US"/>
          </w:rPr>
          <w:t xml:space="preserve"> Clinical Isolates Caused by Specific Point Mutations in the Squalene Epoxidase Gene.</w:t>
        </w:r>
      </w:hyperlink>
      <w:r w:rsidRPr="00626AE5">
        <w:rPr>
          <w:rFonts w:ascii="Arial" w:eastAsia="MS Mincho" w:hAnsi="Arial" w:cs="Arial"/>
          <w:color w:val="292526"/>
          <w:lang w:val="en-US"/>
        </w:rPr>
        <w:t xml:space="preserve"> </w:t>
      </w:r>
      <w:r w:rsidRPr="00626AE5">
        <w:rPr>
          <w:rFonts w:ascii="Arial" w:eastAsia="MS Mincho" w:hAnsi="Arial" w:cs="Arial"/>
          <w:i/>
          <w:iCs/>
          <w:color w:val="292526"/>
          <w:lang w:val="en-GB"/>
        </w:rPr>
        <w:t>Antimicrob Agents Chemother</w:t>
      </w:r>
      <w:r w:rsidRPr="00626AE5">
        <w:rPr>
          <w:rFonts w:ascii="Arial" w:eastAsia="MS Mincho" w:hAnsi="Arial" w:cs="Arial"/>
          <w:color w:val="292526"/>
          <w:lang w:val="en-GB"/>
        </w:rPr>
        <w:t xml:space="preserve"> </w:t>
      </w:r>
      <w:r w:rsidRPr="001A6473">
        <w:rPr>
          <w:rFonts w:ascii="Arial" w:eastAsia="MS Mincho" w:hAnsi="Arial" w:cs="Arial"/>
          <w:color w:val="292526"/>
          <w:lang w:val="en-GB"/>
        </w:rPr>
        <w:t>2017;</w:t>
      </w:r>
      <w:r w:rsidRPr="00626AE5">
        <w:rPr>
          <w:rFonts w:ascii="Arial" w:eastAsia="MS Mincho" w:hAnsi="Arial" w:cs="Arial"/>
          <w:color w:val="292526"/>
          <w:lang w:val="en-GB"/>
        </w:rPr>
        <w:t xml:space="preserve"> 61:00115</w:t>
      </w:r>
      <w:r w:rsidRPr="00626AE5">
        <w:rPr>
          <w:rFonts w:ascii="Arial" w:eastAsia="MS Mincho" w:hAnsi="Arial" w:cs="Arial"/>
          <w:color w:val="292526"/>
          <w:lang w:val="en-GB" w:eastAsia="it-IT"/>
        </w:rPr>
        <w:t>–</w:t>
      </w:r>
      <w:r w:rsidRPr="00626AE5">
        <w:rPr>
          <w:rFonts w:ascii="Arial" w:eastAsia="MS Mincho" w:hAnsi="Arial" w:cs="Arial"/>
          <w:color w:val="292526"/>
          <w:lang w:val="en-GB"/>
        </w:rPr>
        <w:t>17.</w:t>
      </w:r>
    </w:p>
    <w:p w14:paraId="658329BF" w14:textId="77777777" w:rsidR="00476DF3" w:rsidRPr="00626AE5" w:rsidRDefault="00476DF3"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val="en-GB" w:eastAsia="it-IT"/>
        </w:rPr>
        <w:t xml:space="preserve">Hsiao YH, Chen C, Han HS </w:t>
      </w:r>
      <w:r w:rsidRPr="00626AE5">
        <w:rPr>
          <w:rFonts w:ascii="Arial" w:eastAsia="MS Mincho" w:hAnsi="Arial" w:cs="Arial"/>
          <w:i/>
          <w:iCs/>
          <w:color w:val="292526"/>
          <w:lang w:val="en-GB" w:eastAsia="it-IT"/>
        </w:rPr>
        <w:t>et al</w:t>
      </w:r>
      <w:r w:rsidRPr="00626AE5">
        <w:rPr>
          <w:rFonts w:ascii="Arial" w:eastAsia="MS Mincho" w:hAnsi="Arial" w:cs="Arial"/>
          <w:color w:val="292526"/>
          <w:lang w:val="en-GB" w:eastAsia="it-IT"/>
        </w:rPr>
        <w:t xml:space="preserve">.   </w:t>
      </w:r>
      <w:hyperlink r:id="rId10" w:history="1">
        <w:r w:rsidRPr="00626AE5">
          <w:rPr>
            <w:rFonts w:ascii="Arial" w:eastAsia="MS Mincho" w:hAnsi="Arial" w:cs="Arial"/>
            <w:color w:val="292526"/>
            <w:lang w:val="en-GB" w:eastAsia="it-IT"/>
          </w:rPr>
          <w:t xml:space="preserve">The first report of terbinafine resistance </w:t>
        </w:r>
        <w:r w:rsidRPr="00626AE5">
          <w:rPr>
            <w:rFonts w:ascii="Arial" w:eastAsia="MS Mincho" w:hAnsi="Arial" w:cs="Arial"/>
            <w:i/>
            <w:iCs/>
            <w:color w:val="292526"/>
            <w:lang w:val="en-GB" w:eastAsia="it-IT"/>
          </w:rPr>
          <w:t>Microsporum canis</w:t>
        </w:r>
        <w:r w:rsidRPr="00626AE5">
          <w:rPr>
            <w:rFonts w:ascii="Arial" w:eastAsia="MS Mincho" w:hAnsi="Arial" w:cs="Arial"/>
            <w:color w:val="292526"/>
            <w:lang w:val="en-GB" w:eastAsia="it-IT"/>
          </w:rPr>
          <w:t xml:space="preserve"> from a cat.</w:t>
        </w:r>
      </w:hyperlink>
      <w:r w:rsidRPr="00626AE5">
        <w:rPr>
          <w:rFonts w:ascii="Arial" w:eastAsia="MS Mincho" w:hAnsi="Arial" w:cs="Arial"/>
          <w:color w:val="292526"/>
          <w:lang w:val="en-GB" w:eastAsia="it-IT"/>
        </w:rPr>
        <w:t xml:space="preserve"> </w:t>
      </w:r>
      <w:r w:rsidRPr="00626AE5">
        <w:rPr>
          <w:rFonts w:ascii="Arial" w:eastAsia="MS Mincho" w:hAnsi="Arial" w:cs="Arial"/>
          <w:i/>
          <w:iCs/>
          <w:color w:val="292526"/>
          <w:lang w:val="en-GB" w:eastAsia="it-IT"/>
        </w:rPr>
        <w:t>J Vet Med Sci</w:t>
      </w:r>
      <w:r w:rsidRPr="00626AE5">
        <w:rPr>
          <w:rFonts w:ascii="Arial" w:eastAsia="MS Mincho" w:hAnsi="Arial" w:cs="Arial"/>
          <w:color w:val="292526"/>
          <w:lang w:val="en-GB" w:eastAsia="it-IT"/>
        </w:rPr>
        <w:t xml:space="preserve"> 2018; 80:898–900. </w:t>
      </w:r>
    </w:p>
    <w:p w14:paraId="2CD582AA" w14:textId="77777777" w:rsidR="00F53E84" w:rsidRPr="001A6473" w:rsidRDefault="00476DF3"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eastAsia="it-IT"/>
        </w:rPr>
        <w:t xml:space="preserve">Fernandez-Torres B, Carrillo-Munoz A, Inza I </w:t>
      </w:r>
      <w:r w:rsidRPr="00626AE5">
        <w:rPr>
          <w:rFonts w:ascii="Arial" w:eastAsia="MS Mincho" w:hAnsi="Arial" w:cs="Arial"/>
          <w:i/>
          <w:iCs/>
          <w:color w:val="292526"/>
          <w:lang w:eastAsia="it-IT"/>
        </w:rPr>
        <w:t>et al</w:t>
      </w:r>
      <w:r w:rsidRPr="00626AE5">
        <w:rPr>
          <w:rFonts w:ascii="Arial" w:eastAsia="MS Mincho" w:hAnsi="Arial" w:cs="Arial"/>
          <w:color w:val="292526"/>
          <w:lang w:eastAsia="it-IT"/>
        </w:rPr>
        <w:t xml:space="preserve">. </w:t>
      </w:r>
      <w:r w:rsidRPr="00626AE5">
        <w:rPr>
          <w:rFonts w:ascii="Arial" w:eastAsia="MS Mincho" w:hAnsi="Arial" w:cs="Arial"/>
          <w:color w:val="292526"/>
          <w:lang w:val="en-GB" w:eastAsia="it-IT"/>
        </w:rPr>
        <w:t>Effect of culture medium on the disk diffusion method for determining antifungal susceptibilities of dermatophytes.</w:t>
      </w:r>
      <w:r w:rsidRPr="00626AE5">
        <w:rPr>
          <w:rFonts w:ascii="Arial" w:eastAsia="Cambria" w:hAnsi="Arial" w:cs="Arial"/>
          <w:lang w:val="en-US"/>
        </w:rPr>
        <w:t xml:space="preserve"> </w:t>
      </w:r>
      <w:r w:rsidRPr="00626AE5">
        <w:rPr>
          <w:rFonts w:ascii="Arial" w:eastAsia="Cambria" w:hAnsi="Arial" w:cs="Arial"/>
          <w:i/>
          <w:iCs/>
          <w:lang w:val="en-US"/>
        </w:rPr>
        <w:t>Antimicrob Agents Chemother</w:t>
      </w:r>
      <w:r w:rsidRPr="00626AE5">
        <w:rPr>
          <w:rFonts w:ascii="Arial" w:eastAsia="Cambria" w:hAnsi="Arial" w:cs="Arial"/>
          <w:lang w:val="en-US"/>
        </w:rPr>
        <w:t xml:space="preserve"> </w:t>
      </w:r>
      <w:r w:rsidRPr="00626AE5">
        <w:rPr>
          <w:rFonts w:ascii="Arial" w:eastAsia="MS Mincho" w:hAnsi="Arial" w:cs="Arial"/>
          <w:color w:val="292526"/>
          <w:lang w:eastAsia="it-IT"/>
        </w:rPr>
        <w:t>2006;</w:t>
      </w:r>
      <w:r w:rsidRPr="00626AE5">
        <w:rPr>
          <w:rFonts w:ascii="Arial" w:eastAsia="Cambria" w:hAnsi="Arial" w:cs="Arial"/>
          <w:lang w:val="en-US"/>
        </w:rPr>
        <w:t xml:space="preserve"> 50:2222</w:t>
      </w:r>
      <w:r w:rsidRPr="00626AE5">
        <w:rPr>
          <w:rFonts w:ascii="Arial" w:eastAsia="MS Mincho" w:hAnsi="Arial" w:cs="Arial"/>
          <w:color w:val="292526"/>
          <w:lang w:val="en-GB" w:eastAsia="it-IT"/>
        </w:rPr>
        <w:t>–</w:t>
      </w:r>
      <w:r w:rsidRPr="00626AE5">
        <w:rPr>
          <w:rFonts w:ascii="Arial" w:eastAsia="Cambria" w:hAnsi="Arial" w:cs="Arial"/>
          <w:lang w:val="en-US"/>
        </w:rPr>
        <w:t>4</w:t>
      </w:r>
    </w:p>
    <w:p w14:paraId="73E57B12" w14:textId="1D319BD4" w:rsidR="00476DF3" w:rsidRPr="00626AE5" w:rsidRDefault="00F53E84" w:rsidP="001A6473">
      <w:pPr>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val="en-US" w:eastAsia="it-IT"/>
        </w:rPr>
        <w:t xml:space="preserve">Aneke CI, Otranto D, Cafarchia C. </w:t>
      </w:r>
      <w:r w:rsidRPr="00626AE5">
        <w:rPr>
          <w:rFonts w:ascii="Arial" w:eastAsia="MS Mincho" w:hAnsi="Arial" w:cs="Arial"/>
          <w:color w:val="292526"/>
          <w:lang w:val="en-GB" w:eastAsia="it-IT"/>
        </w:rPr>
        <w:t xml:space="preserve">Therapy and Antifungal Susceptibility Proﬁle of </w:t>
      </w:r>
      <w:r w:rsidRPr="00626AE5">
        <w:rPr>
          <w:rFonts w:ascii="Arial" w:eastAsia="MS Mincho" w:hAnsi="Arial" w:cs="Arial"/>
          <w:i/>
          <w:iCs/>
          <w:color w:val="292526"/>
          <w:lang w:val="en-GB" w:eastAsia="it-IT"/>
        </w:rPr>
        <w:t>Microsporum canis</w:t>
      </w:r>
      <w:r w:rsidRPr="00626AE5">
        <w:rPr>
          <w:rFonts w:ascii="Arial" w:eastAsia="MS Mincho" w:hAnsi="Arial" w:cs="Arial"/>
          <w:color w:val="292526"/>
          <w:lang w:val="en-GB" w:eastAsia="it-IT"/>
        </w:rPr>
        <w:t xml:space="preserve">. </w:t>
      </w:r>
      <w:r w:rsidRPr="00626AE5">
        <w:rPr>
          <w:rFonts w:ascii="Arial" w:eastAsia="MS Mincho" w:hAnsi="Arial" w:cs="Arial"/>
          <w:i/>
          <w:iCs/>
          <w:color w:val="292526"/>
          <w:lang w:val="en-GB" w:eastAsia="it-IT"/>
        </w:rPr>
        <w:t>J Fungi</w:t>
      </w:r>
      <w:r w:rsidRPr="00626AE5">
        <w:rPr>
          <w:rFonts w:ascii="Arial" w:eastAsia="MS Mincho" w:hAnsi="Arial" w:cs="Arial"/>
          <w:color w:val="292526"/>
          <w:lang w:val="en-GB" w:eastAsia="it-IT"/>
        </w:rPr>
        <w:t xml:space="preserve"> </w:t>
      </w:r>
      <w:r w:rsidRPr="00626AE5">
        <w:rPr>
          <w:rFonts w:ascii="Arial" w:eastAsia="MS Mincho" w:hAnsi="Arial" w:cs="Arial"/>
          <w:color w:val="292526"/>
          <w:lang w:eastAsia="it-IT"/>
        </w:rPr>
        <w:t xml:space="preserve">2018; </w:t>
      </w:r>
      <w:r w:rsidRPr="00626AE5">
        <w:rPr>
          <w:rFonts w:ascii="Arial" w:eastAsia="MS Mincho" w:hAnsi="Arial" w:cs="Arial"/>
          <w:color w:val="292526"/>
          <w:lang w:val="en-GB" w:eastAsia="it-IT"/>
        </w:rPr>
        <w:t>4:</w:t>
      </w:r>
      <w:r w:rsidRPr="00626AE5">
        <w:rPr>
          <w:rFonts w:ascii="Arial" w:eastAsia="MS Mincho" w:hAnsi="Arial" w:cs="Arial"/>
          <w:color w:val="292526"/>
          <w:lang w:eastAsia="it-IT"/>
        </w:rPr>
        <w:t>107.</w:t>
      </w:r>
      <w:r w:rsidR="00476DF3" w:rsidRPr="00626AE5">
        <w:rPr>
          <w:rFonts w:ascii="Arial" w:eastAsia="Cambria" w:hAnsi="Arial" w:cs="Arial"/>
          <w:lang w:val="en-US"/>
        </w:rPr>
        <w:t xml:space="preserve"> </w:t>
      </w:r>
    </w:p>
    <w:p w14:paraId="45AF56F4" w14:textId="77777777" w:rsidR="00476DF3" w:rsidRPr="00626AE5" w:rsidRDefault="00476DF3"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val="en-GB" w:eastAsia="it-IT"/>
        </w:rPr>
        <w:t xml:space="preserve">Mahajan S, Tilak R, Kaushal S </w:t>
      </w:r>
      <w:r w:rsidRPr="00626AE5">
        <w:rPr>
          <w:rFonts w:ascii="Arial" w:eastAsia="MS Mincho" w:hAnsi="Arial" w:cs="Arial"/>
          <w:i/>
          <w:iCs/>
          <w:color w:val="292526"/>
          <w:lang w:val="en-GB" w:eastAsia="it-IT"/>
        </w:rPr>
        <w:t>et al</w:t>
      </w:r>
      <w:r w:rsidRPr="00626AE5">
        <w:rPr>
          <w:rFonts w:ascii="Arial" w:eastAsia="MS Mincho" w:hAnsi="Arial" w:cs="Arial"/>
          <w:color w:val="292526"/>
          <w:lang w:val="en-GB" w:eastAsia="it-IT"/>
        </w:rPr>
        <w:t xml:space="preserve">. Clinico-mycological study of dermatophytic infections and their sensitivity to antifungal drugs in a tertiary care center. </w:t>
      </w:r>
      <w:r w:rsidRPr="00626AE5">
        <w:rPr>
          <w:rFonts w:ascii="Arial" w:eastAsia="MS Mincho" w:hAnsi="Arial" w:cs="Arial"/>
          <w:i/>
          <w:iCs/>
          <w:color w:val="292526"/>
          <w:lang w:val="en-GB" w:eastAsia="it-IT"/>
        </w:rPr>
        <w:t>Indian J Dermatol, Vener and Leprol</w:t>
      </w:r>
      <w:r w:rsidRPr="00626AE5">
        <w:rPr>
          <w:rFonts w:ascii="Arial" w:eastAsia="MS Mincho" w:hAnsi="Arial" w:cs="Arial"/>
          <w:color w:val="292526"/>
          <w:lang w:val="en-GB" w:eastAsia="it-IT"/>
        </w:rPr>
        <w:t xml:space="preserve"> 2017;</w:t>
      </w:r>
      <w:r w:rsidRPr="00626AE5">
        <w:rPr>
          <w:rFonts w:ascii="Arial" w:eastAsia="Cambria" w:hAnsi="Arial" w:cs="Arial"/>
          <w:color w:val="292526"/>
          <w:lang w:val="en-GB"/>
        </w:rPr>
        <w:t xml:space="preserve"> 83: 436</w:t>
      </w:r>
      <w:r w:rsidRPr="00626AE5">
        <w:rPr>
          <w:rFonts w:ascii="Arial" w:eastAsia="MS Mincho" w:hAnsi="Arial" w:cs="Arial"/>
          <w:color w:val="292526"/>
          <w:lang w:val="en-GB" w:eastAsia="it-IT"/>
        </w:rPr>
        <w:t>–</w:t>
      </w:r>
      <w:r w:rsidRPr="00626AE5">
        <w:rPr>
          <w:rFonts w:ascii="Arial" w:eastAsia="Cambria" w:hAnsi="Arial" w:cs="Arial"/>
          <w:color w:val="292526"/>
          <w:lang w:val="en-GB"/>
        </w:rPr>
        <w:t xml:space="preserve">440. </w:t>
      </w:r>
    </w:p>
    <w:p w14:paraId="72A79A64" w14:textId="77777777" w:rsidR="00476DF3" w:rsidRPr="00626AE5" w:rsidRDefault="00476DF3" w:rsidP="00626AE5">
      <w:pPr>
        <w:numPr>
          <w:ilvl w:val="0"/>
          <w:numId w:val="1"/>
        </w:numPr>
        <w:autoSpaceDE w:val="0"/>
        <w:autoSpaceDN w:val="0"/>
        <w:adjustRightInd w:val="0"/>
        <w:snapToGrid w:val="0"/>
        <w:spacing w:after="200"/>
        <w:ind w:left="1066" w:hanging="357"/>
        <w:contextualSpacing/>
        <w:jc w:val="both"/>
        <w:rPr>
          <w:rFonts w:ascii="Arial" w:eastAsia="MS Mincho" w:hAnsi="Arial" w:cs="Arial"/>
          <w:color w:val="292526"/>
          <w:lang w:val="en-GB" w:eastAsia="it-IT"/>
        </w:rPr>
      </w:pPr>
      <w:r w:rsidRPr="00626AE5">
        <w:rPr>
          <w:rFonts w:ascii="Arial" w:eastAsia="MS Mincho" w:hAnsi="Arial" w:cs="Arial"/>
          <w:color w:val="292526"/>
          <w:lang w:val="en-GB" w:eastAsia="it-IT"/>
        </w:rPr>
        <w:t>Yazdanparast SA, Barton RC. Arthroconidia production in </w:t>
      </w:r>
      <w:r w:rsidRPr="00626AE5">
        <w:rPr>
          <w:rFonts w:ascii="Arial" w:eastAsia="MS Mincho" w:hAnsi="Arial" w:cs="Arial"/>
          <w:i/>
          <w:iCs/>
          <w:color w:val="292526"/>
          <w:lang w:val="en-GB" w:eastAsia="it-IT"/>
        </w:rPr>
        <w:t>Trichophyton rubrum</w:t>
      </w:r>
      <w:r w:rsidRPr="00626AE5">
        <w:rPr>
          <w:rFonts w:ascii="Arial" w:eastAsia="MS Mincho" w:hAnsi="Arial" w:cs="Arial"/>
          <w:color w:val="292526"/>
          <w:lang w:val="en-GB" w:eastAsia="it-IT"/>
        </w:rPr>
        <w:t> and a new ex vivo model of onychomycosis. </w:t>
      </w:r>
      <w:r w:rsidRPr="00626AE5">
        <w:rPr>
          <w:rFonts w:ascii="Arial" w:eastAsia="MS Mincho" w:hAnsi="Arial" w:cs="Arial"/>
          <w:i/>
          <w:iCs/>
          <w:color w:val="292526"/>
          <w:lang w:val="en-GB" w:eastAsia="it-IT"/>
        </w:rPr>
        <w:t>J Med Microbiol</w:t>
      </w:r>
      <w:r w:rsidRPr="00626AE5">
        <w:rPr>
          <w:rFonts w:ascii="Arial" w:eastAsia="MS Mincho" w:hAnsi="Arial" w:cs="Arial"/>
          <w:color w:val="292526"/>
          <w:lang w:val="en-GB" w:eastAsia="it-IT"/>
        </w:rPr>
        <w:t xml:space="preserve"> 2006; 55: 1577–1581.</w:t>
      </w:r>
    </w:p>
    <w:p w14:paraId="43957A97" w14:textId="14F0D0B5" w:rsidR="00A072F1" w:rsidRPr="001A6473" w:rsidRDefault="0096028D" w:rsidP="00626AE5">
      <w:pPr>
        <w:pStyle w:val="ListParagraph"/>
        <w:numPr>
          <w:ilvl w:val="0"/>
          <w:numId w:val="1"/>
        </w:numPr>
        <w:jc w:val="both"/>
        <w:rPr>
          <w:rFonts w:ascii="Arial" w:eastAsia="Times New Roman" w:hAnsi="Arial" w:cs="Arial"/>
          <w:lang w:val="en-US"/>
        </w:rPr>
      </w:pPr>
      <w:r w:rsidRPr="001A6473">
        <w:rPr>
          <w:rFonts w:ascii="Arial" w:eastAsia="Times New Roman" w:hAnsi="Arial" w:cs="Arial"/>
          <w:color w:val="222222"/>
          <w:shd w:val="clear" w:color="auto" w:fill="FFFFFF"/>
          <w:lang w:val="en-US"/>
        </w:rPr>
        <w:t>Cafarchia C, Romito D, Sasanelli M, Lia R, Capelli G, Otranto D. The epidemiology of canine and feline dermatophytoses in southern Italy. Mycoses. 2004; 47(11</w:t>
      </w:r>
      <w:r w:rsidRPr="001A6473">
        <w:rPr>
          <w:rFonts w:ascii="Cambria Math" w:eastAsia="Times New Roman" w:hAnsi="Cambria Math" w:cs="Cambria Math"/>
          <w:color w:val="222222"/>
          <w:shd w:val="clear" w:color="auto" w:fill="FFFFFF"/>
          <w:lang w:val="en-US"/>
        </w:rPr>
        <w:t>‐</w:t>
      </w:r>
      <w:r w:rsidRPr="001A6473">
        <w:rPr>
          <w:rFonts w:ascii="Arial" w:eastAsia="Times New Roman" w:hAnsi="Arial" w:cs="Arial"/>
          <w:color w:val="222222"/>
          <w:shd w:val="clear" w:color="auto" w:fill="FFFFFF"/>
          <w:lang w:val="en-US"/>
        </w:rPr>
        <w:t>12): 508-13.</w:t>
      </w:r>
    </w:p>
    <w:p w14:paraId="27005E8E" w14:textId="4B494E34" w:rsidR="00AB651E" w:rsidRPr="001A6473" w:rsidRDefault="00A072F1" w:rsidP="001A6473">
      <w:pPr>
        <w:pStyle w:val="ListParagraph"/>
        <w:numPr>
          <w:ilvl w:val="0"/>
          <w:numId w:val="1"/>
        </w:numPr>
        <w:autoSpaceDE w:val="0"/>
        <w:autoSpaceDN w:val="0"/>
        <w:adjustRightInd w:val="0"/>
        <w:snapToGrid w:val="0"/>
        <w:spacing w:after="200"/>
        <w:jc w:val="both"/>
        <w:rPr>
          <w:rFonts w:ascii="Arial" w:eastAsia="MS Mincho" w:hAnsi="Arial" w:cs="Arial"/>
          <w:color w:val="292526"/>
          <w:lang w:val="en-US" w:eastAsia="it-IT"/>
        </w:rPr>
      </w:pPr>
      <w:r w:rsidRPr="001A6473">
        <w:rPr>
          <w:rFonts w:ascii="Arial" w:hAnsi="Arial" w:cs="Arial"/>
          <w:lang w:val="en-US"/>
        </w:rPr>
        <w:t xml:space="preserve"> </w:t>
      </w:r>
      <w:r w:rsidRPr="00626AE5">
        <w:rPr>
          <w:rFonts w:ascii="Arial" w:eastAsia="MS Mincho" w:hAnsi="Arial" w:cs="Arial"/>
          <w:color w:val="292526"/>
          <w:lang w:val="en-US" w:eastAsia="it-IT"/>
        </w:rPr>
        <w:t>de Hoog GS, Guarro J, Gené J, Figueras MJ. Atlas of Clinical Fungi. Amer Society for Microbiology, 2000. Centraalbureau voor Schimmelcultures / Universitat Rovira i Virgili, Utrecht / Reus</w:t>
      </w:r>
    </w:p>
    <w:p w14:paraId="23557D33" w14:textId="29CB71DA" w:rsidR="00A072F1" w:rsidRPr="001A6473" w:rsidRDefault="00A072F1" w:rsidP="001A6473">
      <w:pPr>
        <w:numPr>
          <w:ilvl w:val="0"/>
          <w:numId w:val="1"/>
        </w:numPr>
        <w:autoSpaceDE w:val="0"/>
        <w:autoSpaceDN w:val="0"/>
        <w:adjustRightInd w:val="0"/>
        <w:snapToGrid w:val="0"/>
        <w:spacing w:after="200"/>
        <w:ind w:left="1066" w:hanging="357"/>
        <w:contextualSpacing/>
        <w:jc w:val="both"/>
        <w:rPr>
          <w:rFonts w:ascii="Arial" w:eastAsia="MS Mincho" w:hAnsi="Arial" w:cs="Arial"/>
          <w:color w:val="292526"/>
          <w:lang w:val="en-US" w:eastAsia="it-IT"/>
        </w:rPr>
      </w:pPr>
      <w:r w:rsidRPr="00626AE5">
        <w:rPr>
          <w:rFonts w:ascii="Arial" w:eastAsia="MS Mincho" w:hAnsi="Arial" w:cs="Arial"/>
          <w:color w:val="292526"/>
          <w:lang w:eastAsia="it-IT"/>
        </w:rPr>
        <w:t xml:space="preserve">Cafarchia C, Gasser RB, Figueredo LA </w:t>
      </w:r>
      <w:r w:rsidRPr="00626AE5">
        <w:rPr>
          <w:rFonts w:ascii="Arial" w:eastAsia="MS Mincho" w:hAnsi="Arial" w:cs="Arial"/>
          <w:i/>
          <w:iCs/>
          <w:color w:val="292526"/>
          <w:lang w:eastAsia="it-IT"/>
        </w:rPr>
        <w:t>et al</w:t>
      </w:r>
      <w:r w:rsidRPr="00626AE5">
        <w:rPr>
          <w:rFonts w:ascii="Arial" w:eastAsia="MS Mincho" w:hAnsi="Arial" w:cs="Arial"/>
          <w:color w:val="292526"/>
          <w:lang w:eastAsia="it-IT"/>
        </w:rPr>
        <w:t xml:space="preserve">. </w:t>
      </w:r>
      <w:r w:rsidRPr="00626AE5">
        <w:rPr>
          <w:rFonts w:ascii="Arial" w:eastAsia="MS Mincho" w:hAnsi="Arial" w:cs="Arial"/>
          <w:color w:val="292526"/>
          <w:lang w:val="en-US" w:eastAsia="it-IT"/>
        </w:rPr>
        <w:t xml:space="preserve">An improved molecular diagnostic assay for canine and feline dermatophytosis. </w:t>
      </w:r>
      <w:r w:rsidRPr="00626AE5">
        <w:rPr>
          <w:rFonts w:ascii="Arial" w:eastAsia="MS Mincho" w:hAnsi="Arial" w:cs="Arial"/>
          <w:i/>
          <w:iCs/>
          <w:color w:val="292526"/>
          <w:lang w:val="en-US" w:eastAsia="it-IT"/>
        </w:rPr>
        <w:t>Med Mycol</w:t>
      </w:r>
      <w:r w:rsidRPr="00626AE5">
        <w:rPr>
          <w:rFonts w:ascii="Arial" w:eastAsia="MS Mincho" w:hAnsi="Arial" w:cs="Arial"/>
          <w:color w:val="292526"/>
          <w:lang w:val="en-US" w:eastAsia="it-IT"/>
        </w:rPr>
        <w:t xml:space="preserve"> 2013; 51:136</w:t>
      </w:r>
      <w:r w:rsidRPr="00626AE5">
        <w:rPr>
          <w:rFonts w:ascii="Arial" w:eastAsia="Cambria" w:hAnsi="Arial" w:cs="Arial"/>
          <w:lang w:val="en-GB"/>
        </w:rPr>
        <w:t>–</w:t>
      </w:r>
      <w:r w:rsidRPr="00626AE5">
        <w:rPr>
          <w:rFonts w:ascii="Arial" w:eastAsia="MS Mincho" w:hAnsi="Arial" w:cs="Arial"/>
          <w:color w:val="292526"/>
          <w:lang w:val="en-US" w:eastAsia="it-IT"/>
        </w:rPr>
        <w:t>143</w:t>
      </w:r>
      <w:r w:rsidR="0026253A" w:rsidRPr="00626AE5">
        <w:rPr>
          <w:rFonts w:ascii="Arial" w:eastAsia="MS Mincho" w:hAnsi="Arial" w:cs="Arial"/>
          <w:color w:val="292526"/>
          <w:lang w:val="en-US" w:eastAsia="it-IT"/>
        </w:rPr>
        <w:t>.</w:t>
      </w:r>
    </w:p>
    <w:p w14:paraId="446F77A0" w14:textId="72723B2F" w:rsidR="00476DF3" w:rsidRPr="00626AE5" w:rsidRDefault="00476DF3" w:rsidP="00626AE5">
      <w:pPr>
        <w:numPr>
          <w:ilvl w:val="0"/>
          <w:numId w:val="1"/>
        </w:numPr>
        <w:spacing w:after="200"/>
        <w:contextualSpacing/>
        <w:jc w:val="both"/>
        <w:rPr>
          <w:rFonts w:ascii="Arial" w:eastAsia="MS Mincho" w:hAnsi="Arial" w:cs="Arial"/>
          <w:color w:val="292526"/>
          <w:lang w:val="en-GB" w:eastAsia="it-IT"/>
        </w:rPr>
      </w:pPr>
      <w:r w:rsidRPr="00626AE5">
        <w:rPr>
          <w:rFonts w:ascii="Arial" w:eastAsia="MS Mincho" w:hAnsi="Arial" w:cs="Arial"/>
          <w:color w:val="292526"/>
          <w:lang w:val="en-GB" w:eastAsia="it-IT"/>
        </w:rPr>
        <w:t xml:space="preserve">Santos DA, Barros MES, Hamdan JS. Establishing a method of inoculum preparation for susceptibility testing of </w:t>
      </w:r>
      <w:r w:rsidRPr="00626AE5">
        <w:rPr>
          <w:rFonts w:ascii="Arial" w:eastAsia="MS Mincho" w:hAnsi="Arial" w:cs="Arial"/>
          <w:i/>
          <w:iCs/>
          <w:color w:val="292526"/>
          <w:lang w:val="en-GB" w:eastAsia="it-IT"/>
        </w:rPr>
        <w:t>Trichophyton rubrum</w:t>
      </w:r>
      <w:r w:rsidRPr="00626AE5">
        <w:rPr>
          <w:rFonts w:ascii="Arial" w:eastAsia="MS Mincho" w:hAnsi="Arial" w:cs="Arial"/>
          <w:color w:val="292526"/>
          <w:lang w:val="en-GB" w:eastAsia="it-IT"/>
        </w:rPr>
        <w:t xml:space="preserve"> and </w:t>
      </w:r>
      <w:r w:rsidRPr="00626AE5">
        <w:rPr>
          <w:rFonts w:ascii="Arial" w:eastAsia="MS Mincho" w:hAnsi="Arial" w:cs="Arial"/>
          <w:i/>
          <w:iCs/>
          <w:color w:val="292526"/>
          <w:lang w:val="en-GB" w:eastAsia="it-IT"/>
        </w:rPr>
        <w:t>Trichophyton mentagrophytes</w:t>
      </w:r>
      <w:r w:rsidRPr="00626AE5">
        <w:rPr>
          <w:rFonts w:ascii="Arial" w:eastAsia="MS Mincho" w:hAnsi="Arial" w:cs="Arial"/>
          <w:color w:val="292526"/>
          <w:lang w:val="en-GB" w:eastAsia="it-IT"/>
        </w:rPr>
        <w:t xml:space="preserve">. </w:t>
      </w:r>
      <w:r w:rsidRPr="00626AE5">
        <w:rPr>
          <w:rFonts w:ascii="Arial" w:eastAsia="MS Mincho" w:hAnsi="Arial" w:cs="Arial"/>
          <w:i/>
          <w:iCs/>
          <w:color w:val="292526"/>
          <w:lang w:val="en-GB" w:eastAsia="it-IT"/>
        </w:rPr>
        <w:t>J Clin Microbiol</w:t>
      </w:r>
      <w:r w:rsidRPr="00626AE5">
        <w:rPr>
          <w:rFonts w:ascii="Arial" w:eastAsia="MS Mincho" w:hAnsi="Arial" w:cs="Arial"/>
          <w:color w:val="292526"/>
          <w:lang w:val="en-GB" w:eastAsia="it-IT"/>
        </w:rPr>
        <w:t xml:space="preserve"> 2006; 144:98–101. </w:t>
      </w:r>
    </w:p>
    <w:p w14:paraId="034D0288" w14:textId="77777777" w:rsidR="00476DF3" w:rsidRPr="00626AE5" w:rsidRDefault="00476DF3" w:rsidP="00626AE5">
      <w:pPr>
        <w:numPr>
          <w:ilvl w:val="0"/>
          <w:numId w:val="1"/>
        </w:numPr>
        <w:spacing w:after="200"/>
        <w:contextualSpacing/>
        <w:jc w:val="both"/>
        <w:rPr>
          <w:rFonts w:ascii="Arial" w:eastAsia="MS Mincho" w:hAnsi="Arial" w:cs="Arial"/>
          <w:color w:val="292526"/>
          <w:lang w:val="en-GB" w:eastAsia="it-IT"/>
        </w:rPr>
      </w:pPr>
      <w:r w:rsidRPr="00626AE5">
        <w:rPr>
          <w:rFonts w:ascii="Arial" w:eastAsia="MS Mincho" w:hAnsi="Arial" w:cs="Arial"/>
          <w:color w:val="292526"/>
          <w:lang w:val="en-GB" w:eastAsia="it-IT"/>
        </w:rPr>
        <w:t xml:space="preserve">CLSI. Reference Method for Broth Dilution Antifungal Susceptibility Testing of Filamentous Fungi. Approved Standard. CLSI Document M38-A2. 2nd ed. Wayne, PA: 2008. </w:t>
      </w:r>
    </w:p>
    <w:p w14:paraId="3C66C0DF" w14:textId="77777777" w:rsidR="00476DF3" w:rsidRPr="00626AE5" w:rsidRDefault="00476DF3" w:rsidP="00626AE5">
      <w:pPr>
        <w:widowControl w:val="0"/>
        <w:numPr>
          <w:ilvl w:val="0"/>
          <w:numId w:val="1"/>
        </w:numPr>
        <w:autoSpaceDE w:val="0"/>
        <w:autoSpaceDN w:val="0"/>
        <w:adjustRightInd w:val="0"/>
        <w:snapToGrid w:val="0"/>
        <w:jc w:val="both"/>
        <w:rPr>
          <w:rFonts w:ascii="Arial" w:eastAsia="Cambria" w:hAnsi="Arial" w:cs="Arial"/>
          <w:lang w:val="en-US"/>
        </w:rPr>
      </w:pPr>
      <w:r w:rsidRPr="00626AE5">
        <w:rPr>
          <w:rFonts w:ascii="Arial" w:eastAsia="Cambria" w:hAnsi="Arial" w:cs="Arial"/>
          <w:lang w:val="en-GB"/>
        </w:rPr>
        <w:t xml:space="preserve">Fernández-Torres B, Cabañes FJ, Carrillo-Munõz AJ </w:t>
      </w:r>
      <w:r w:rsidRPr="00626AE5">
        <w:rPr>
          <w:rFonts w:ascii="Arial" w:eastAsia="Cambria" w:hAnsi="Arial" w:cs="Arial"/>
          <w:i/>
          <w:iCs/>
          <w:lang w:val="en-GB"/>
        </w:rPr>
        <w:t>et al</w:t>
      </w:r>
      <w:r w:rsidRPr="00626AE5">
        <w:rPr>
          <w:rFonts w:ascii="Arial" w:eastAsia="Cambria" w:hAnsi="Arial" w:cs="Arial"/>
          <w:lang w:val="en-GB"/>
        </w:rPr>
        <w:t xml:space="preserve">. </w:t>
      </w:r>
      <w:r w:rsidRPr="00626AE5">
        <w:rPr>
          <w:rFonts w:ascii="Arial" w:eastAsia="Cambria" w:hAnsi="Arial" w:cs="Arial"/>
          <w:lang w:val="en-US"/>
        </w:rPr>
        <w:t xml:space="preserve">Collaborative evaluation of optimal antifungal susceptibility testing condition for dermatophytes. </w:t>
      </w:r>
      <w:r w:rsidRPr="00626AE5">
        <w:rPr>
          <w:rFonts w:ascii="Arial" w:eastAsia="Cambria" w:hAnsi="Arial" w:cs="Arial"/>
          <w:i/>
          <w:iCs/>
          <w:lang w:val="en-US"/>
        </w:rPr>
        <w:t>J Clin Microbiol</w:t>
      </w:r>
      <w:r w:rsidRPr="00626AE5">
        <w:rPr>
          <w:rFonts w:ascii="Arial" w:eastAsia="Cambria" w:hAnsi="Arial" w:cs="Arial"/>
          <w:lang w:val="en-US"/>
        </w:rPr>
        <w:t xml:space="preserve"> </w:t>
      </w:r>
      <w:r w:rsidRPr="00626AE5">
        <w:rPr>
          <w:rFonts w:ascii="Arial" w:eastAsia="Cambria" w:hAnsi="Arial" w:cs="Arial"/>
          <w:lang w:val="en-GB"/>
        </w:rPr>
        <w:t>2002;</w:t>
      </w:r>
      <w:r w:rsidRPr="00626AE5">
        <w:rPr>
          <w:rFonts w:ascii="Arial" w:eastAsia="Cambria" w:hAnsi="Arial" w:cs="Arial"/>
          <w:lang w:val="en-US"/>
        </w:rPr>
        <w:t xml:space="preserve"> 40:3999–4003. </w:t>
      </w:r>
    </w:p>
    <w:p w14:paraId="4D01FDF6" w14:textId="77777777" w:rsidR="00476DF3" w:rsidRPr="00626AE5" w:rsidRDefault="00476DF3" w:rsidP="00626AE5">
      <w:pPr>
        <w:widowControl w:val="0"/>
        <w:numPr>
          <w:ilvl w:val="0"/>
          <w:numId w:val="1"/>
        </w:numPr>
        <w:autoSpaceDE w:val="0"/>
        <w:autoSpaceDN w:val="0"/>
        <w:adjustRightInd w:val="0"/>
        <w:snapToGrid w:val="0"/>
        <w:jc w:val="both"/>
        <w:rPr>
          <w:rFonts w:ascii="Arial" w:eastAsia="Cambria" w:hAnsi="Arial" w:cs="Arial"/>
          <w:lang w:val="en-US"/>
        </w:rPr>
      </w:pPr>
      <w:r w:rsidRPr="00626AE5">
        <w:rPr>
          <w:rFonts w:ascii="Arial" w:eastAsia="Cambria" w:hAnsi="Arial" w:cs="Arial"/>
          <w:color w:val="000000"/>
          <w:shd w:val="clear" w:color="auto" w:fill="FFFFFF"/>
        </w:rPr>
        <w:t xml:space="preserve">Ghannoum MA, Chaturvedi V, Espinel-Ingroff A </w:t>
      </w:r>
      <w:r w:rsidRPr="00626AE5">
        <w:rPr>
          <w:rFonts w:ascii="Arial" w:eastAsia="Cambria" w:hAnsi="Arial" w:cs="Arial"/>
          <w:i/>
          <w:iCs/>
          <w:color w:val="000000"/>
          <w:shd w:val="clear" w:color="auto" w:fill="FFFFFF"/>
        </w:rPr>
        <w:t>et al</w:t>
      </w:r>
      <w:r w:rsidRPr="00626AE5">
        <w:rPr>
          <w:rFonts w:ascii="Arial" w:eastAsia="Cambria" w:hAnsi="Arial" w:cs="Arial"/>
          <w:color w:val="000000"/>
          <w:shd w:val="clear" w:color="auto" w:fill="FFFFFF"/>
        </w:rPr>
        <w:t xml:space="preserve">. </w:t>
      </w:r>
      <w:r w:rsidRPr="00626AE5">
        <w:rPr>
          <w:rFonts w:ascii="Arial" w:eastAsia="Cambria" w:hAnsi="Arial" w:cs="Arial"/>
          <w:color w:val="000000"/>
          <w:shd w:val="clear" w:color="auto" w:fill="FFFFFF"/>
          <w:lang w:val="en-US"/>
        </w:rPr>
        <w:t xml:space="preserve">Intra- and inter-laboratory study of a method for testing the antifungal susceptibilities of dermatophytes. </w:t>
      </w:r>
      <w:r w:rsidRPr="00626AE5">
        <w:rPr>
          <w:rFonts w:ascii="Arial" w:eastAsia="Cambria" w:hAnsi="Arial" w:cs="Arial"/>
          <w:i/>
          <w:iCs/>
          <w:color w:val="000000"/>
          <w:shd w:val="clear" w:color="auto" w:fill="FFFFFF"/>
          <w:lang w:val="en-US"/>
        </w:rPr>
        <w:t>J Clin Microbiol</w:t>
      </w:r>
      <w:r w:rsidRPr="00626AE5">
        <w:rPr>
          <w:rFonts w:ascii="Arial" w:eastAsia="Cambria" w:hAnsi="Arial" w:cs="Arial"/>
          <w:color w:val="000000"/>
          <w:shd w:val="clear" w:color="auto" w:fill="FFFFFF"/>
          <w:lang w:val="en-US"/>
        </w:rPr>
        <w:t xml:space="preserve"> </w:t>
      </w:r>
      <w:r w:rsidRPr="00626AE5">
        <w:rPr>
          <w:rFonts w:ascii="Arial" w:eastAsia="Cambria" w:hAnsi="Arial" w:cs="Arial"/>
          <w:color w:val="000000"/>
          <w:shd w:val="clear" w:color="auto" w:fill="FFFFFF"/>
          <w:lang w:val="en-GB"/>
        </w:rPr>
        <w:t>2004;</w:t>
      </w:r>
      <w:r w:rsidRPr="00626AE5">
        <w:rPr>
          <w:rFonts w:ascii="Arial" w:eastAsia="Cambria" w:hAnsi="Arial" w:cs="Arial"/>
          <w:color w:val="000000"/>
          <w:shd w:val="clear" w:color="auto" w:fill="FFFFFF"/>
          <w:lang w:val="en-US"/>
        </w:rPr>
        <w:t xml:space="preserve"> 42:2977</w:t>
      </w:r>
      <w:r w:rsidRPr="00626AE5">
        <w:rPr>
          <w:rFonts w:ascii="Arial" w:eastAsia="Cambria" w:hAnsi="Arial" w:cs="Arial"/>
          <w:lang w:val="en-US"/>
        </w:rPr>
        <w:t>–297</w:t>
      </w:r>
      <w:r w:rsidRPr="00626AE5">
        <w:rPr>
          <w:rFonts w:ascii="Arial" w:eastAsia="Cambria" w:hAnsi="Arial" w:cs="Arial"/>
          <w:color w:val="000000"/>
          <w:shd w:val="clear" w:color="auto" w:fill="FFFFFF"/>
          <w:lang w:val="en-US"/>
        </w:rPr>
        <w:t>9.</w:t>
      </w:r>
    </w:p>
    <w:p w14:paraId="607893C4" w14:textId="77777777" w:rsidR="00476DF3" w:rsidRPr="00626AE5" w:rsidRDefault="00476DF3" w:rsidP="00626AE5">
      <w:pPr>
        <w:widowControl w:val="0"/>
        <w:numPr>
          <w:ilvl w:val="0"/>
          <w:numId w:val="1"/>
        </w:numPr>
        <w:autoSpaceDE w:val="0"/>
        <w:autoSpaceDN w:val="0"/>
        <w:adjustRightInd w:val="0"/>
        <w:snapToGrid w:val="0"/>
        <w:jc w:val="both"/>
        <w:rPr>
          <w:rFonts w:ascii="Arial" w:eastAsia="Cambria" w:hAnsi="Arial" w:cs="Arial"/>
          <w:lang w:val="en-US"/>
        </w:rPr>
      </w:pPr>
      <w:r w:rsidRPr="00626AE5">
        <w:rPr>
          <w:rFonts w:ascii="Arial" w:eastAsia="Cambria" w:hAnsi="Arial" w:cs="Arial"/>
          <w:lang w:val="en-US"/>
        </w:rPr>
        <w:t xml:space="preserve">Jessup CJ, Warner J, Isham N et al. Antifungal susceptibility testing of dermatophytes: Estabilishing a medium for inducing conidial growth and evaluation of susceptibility of clinical isolates. </w:t>
      </w:r>
      <w:r w:rsidRPr="00626AE5">
        <w:rPr>
          <w:rFonts w:ascii="Arial" w:eastAsia="Cambria" w:hAnsi="Arial" w:cs="Arial"/>
          <w:i/>
          <w:iCs/>
          <w:lang w:val="en-US"/>
        </w:rPr>
        <w:t>J Clin Microbiol</w:t>
      </w:r>
      <w:r w:rsidRPr="00626AE5">
        <w:rPr>
          <w:rFonts w:ascii="Arial" w:eastAsia="Cambria" w:hAnsi="Arial" w:cs="Arial"/>
          <w:lang w:val="en-US"/>
        </w:rPr>
        <w:t xml:space="preserve"> 2000; 38:341–344. </w:t>
      </w:r>
    </w:p>
    <w:p w14:paraId="0CC9B866" w14:textId="77777777" w:rsidR="00476DF3" w:rsidRPr="00626AE5" w:rsidRDefault="00476DF3" w:rsidP="00626AE5">
      <w:pPr>
        <w:widowControl w:val="0"/>
        <w:numPr>
          <w:ilvl w:val="0"/>
          <w:numId w:val="1"/>
        </w:numPr>
        <w:autoSpaceDE w:val="0"/>
        <w:autoSpaceDN w:val="0"/>
        <w:adjustRightInd w:val="0"/>
        <w:snapToGrid w:val="0"/>
        <w:jc w:val="both"/>
        <w:rPr>
          <w:rFonts w:ascii="Arial" w:eastAsia="MS Mincho" w:hAnsi="Arial" w:cs="Arial"/>
          <w:color w:val="292526"/>
          <w:lang w:val="en-GB"/>
        </w:rPr>
      </w:pPr>
      <w:r w:rsidRPr="00626AE5">
        <w:rPr>
          <w:rFonts w:ascii="Arial" w:eastAsia="MS Mincho" w:hAnsi="Arial" w:cs="Arial"/>
          <w:color w:val="292526"/>
          <w:lang w:val="en-GB"/>
        </w:rPr>
        <w:t xml:space="preserve">Favre B, Hofbauer B, Hildering KS </w:t>
      </w:r>
      <w:r w:rsidRPr="00626AE5">
        <w:rPr>
          <w:rFonts w:ascii="Arial" w:eastAsia="MS Mincho" w:hAnsi="Arial" w:cs="Arial"/>
          <w:i/>
          <w:iCs/>
          <w:color w:val="292526"/>
          <w:lang w:val="en-GB"/>
        </w:rPr>
        <w:t>et al</w:t>
      </w:r>
      <w:r w:rsidRPr="00626AE5">
        <w:rPr>
          <w:rFonts w:ascii="Arial" w:eastAsia="MS Mincho" w:hAnsi="Arial" w:cs="Arial"/>
          <w:color w:val="292526"/>
          <w:lang w:val="en-GB"/>
        </w:rPr>
        <w:t>.  Comparison of </w:t>
      </w:r>
      <w:r w:rsidRPr="00626AE5">
        <w:rPr>
          <w:rFonts w:ascii="Arial" w:eastAsia="MS Mincho" w:hAnsi="Arial" w:cs="Arial"/>
          <w:i/>
          <w:iCs/>
          <w:color w:val="292526"/>
          <w:lang w:val="en-GB"/>
        </w:rPr>
        <w:t>in vitro</w:t>
      </w:r>
      <w:r w:rsidRPr="00626AE5">
        <w:rPr>
          <w:rFonts w:ascii="Arial" w:eastAsia="MS Mincho" w:hAnsi="Arial" w:cs="Arial"/>
          <w:color w:val="292526"/>
          <w:lang w:val="en-GB"/>
        </w:rPr>
        <w:t xml:space="preserve"> activities of 17 antifungal drugs against a panel of 20 dermatophytes by using a micro dilution assay. </w:t>
      </w:r>
      <w:r w:rsidRPr="00626AE5">
        <w:rPr>
          <w:rFonts w:ascii="Arial" w:eastAsia="MS Mincho" w:hAnsi="Arial" w:cs="Arial"/>
          <w:i/>
          <w:iCs/>
          <w:color w:val="292526"/>
          <w:lang w:val="en-GB"/>
        </w:rPr>
        <w:t>J Clin Microbiol</w:t>
      </w:r>
      <w:r w:rsidRPr="00626AE5">
        <w:rPr>
          <w:rFonts w:ascii="Arial" w:eastAsia="MS Mincho" w:hAnsi="Arial" w:cs="Arial"/>
          <w:color w:val="292526"/>
          <w:lang w:val="en-GB"/>
        </w:rPr>
        <w:t xml:space="preserve"> 2003; 41:4817</w:t>
      </w:r>
      <w:r w:rsidRPr="00626AE5">
        <w:rPr>
          <w:rFonts w:ascii="Arial" w:eastAsia="Cambria" w:hAnsi="Arial" w:cs="Arial"/>
          <w:lang w:val="en-US"/>
        </w:rPr>
        <w:t>–481</w:t>
      </w:r>
      <w:r w:rsidRPr="00626AE5">
        <w:rPr>
          <w:rFonts w:ascii="Arial" w:eastAsia="MS Mincho" w:hAnsi="Arial" w:cs="Arial"/>
          <w:color w:val="292526"/>
          <w:lang w:val="en-GB"/>
        </w:rPr>
        <w:t>9. </w:t>
      </w:r>
    </w:p>
    <w:p w14:paraId="31B3CDA3" w14:textId="77777777" w:rsidR="00476DF3" w:rsidRPr="00626AE5" w:rsidRDefault="00476DF3"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MS Mincho" w:hAnsi="Arial" w:cs="Arial"/>
          <w:color w:val="292526"/>
          <w:lang w:val="en-US" w:eastAsia="it-IT"/>
        </w:rPr>
        <w:t xml:space="preserve">Fernández-Torres B, Inza I, Guarro J. Comparison of </w:t>
      </w:r>
      <w:r w:rsidRPr="00626AE5">
        <w:rPr>
          <w:rFonts w:ascii="Arial" w:eastAsia="MS Mincho" w:hAnsi="Arial" w:cs="Arial"/>
          <w:i/>
          <w:iCs/>
          <w:color w:val="292526"/>
          <w:lang w:val="en-US" w:eastAsia="it-IT"/>
        </w:rPr>
        <w:t>in vitro</w:t>
      </w:r>
      <w:r w:rsidRPr="00626AE5">
        <w:rPr>
          <w:rFonts w:ascii="Arial" w:eastAsia="MS Mincho" w:hAnsi="Arial" w:cs="Arial"/>
          <w:color w:val="292526"/>
          <w:lang w:val="en-US" w:eastAsia="it-IT"/>
        </w:rPr>
        <w:t xml:space="preserve"> antifungal susceptibilities of conidia and hyphae of dermatophytes with thick-wall macroconidia. </w:t>
      </w:r>
      <w:r w:rsidRPr="00626AE5">
        <w:rPr>
          <w:rFonts w:ascii="Arial" w:eastAsia="MS Mincho" w:hAnsi="Arial" w:cs="Arial"/>
          <w:i/>
          <w:iCs/>
          <w:color w:val="292526"/>
          <w:lang w:val="en-US" w:eastAsia="it-IT"/>
        </w:rPr>
        <w:t>Antimicrob Agents Chemother</w:t>
      </w:r>
      <w:r w:rsidRPr="00626AE5">
        <w:rPr>
          <w:rFonts w:ascii="Arial" w:eastAsia="MS Mincho" w:hAnsi="Arial" w:cs="Arial"/>
          <w:color w:val="292526"/>
          <w:lang w:val="en-US" w:eastAsia="it-IT"/>
        </w:rPr>
        <w:t xml:space="preserve"> </w:t>
      </w:r>
      <w:r w:rsidRPr="00626AE5">
        <w:rPr>
          <w:rFonts w:ascii="Arial" w:eastAsia="MS Mincho" w:hAnsi="Arial" w:cs="Arial"/>
          <w:color w:val="292526"/>
          <w:lang w:eastAsia="it-IT"/>
        </w:rPr>
        <w:t>2003;</w:t>
      </w:r>
      <w:r w:rsidRPr="00626AE5">
        <w:rPr>
          <w:rFonts w:ascii="Arial" w:eastAsia="MS Mincho" w:hAnsi="Arial" w:cs="Arial"/>
          <w:color w:val="292526"/>
          <w:lang w:val="en-US" w:eastAsia="it-IT"/>
        </w:rPr>
        <w:t xml:space="preserve"> 47:3371</w:t>
      </w:r>
      <w:r w:rsidRPr="00626AE5">
        <w:rPr>
          <w:rFonts w:ascii="Arial" w:eastAsia="Cambria" w:hAnsi="Arial" w:cs="Arial"/>
          <w:lang w:val="en-US"/>
        </w:rPr>
        <w:t>–337</w:t>
      </w:r>
      <w:r w:rsidRPr="00626AE5">
        <w:rPr>
          <w:rFonts w:ascii="Arial" w:eastAsia="MS Mincho" w:hAnsi="Arial" w:cs="Arial"/>
          <w:color w:val="292526"/>
          <w:lang w:val="en-US" w:eastAsia="it-IT"/>
        </w:rPr>
        <w:t xml:space="preserve">2. </w:t>
      </w:r>
    </w:p>
    <w:p w14:paraId="59E4C2FA" w14:textId="77777777" w:rsidR="00476DF3" w:rsidRPr="00626AE5" w:rsidRDefault="00476DF3" w:rsidP="00626AE5">
      <w:pPr>
        <w:widowControl w:val="0"/>
        <w:numPr>
          <w:ilvl w:val="0"/>
          <w:numId w:val="1"/>
        </w:numPr>
        <w:autoSpaceDE w:val="0"/>
        <w:autoSpaceDN w:val="0"/>
        <w:adjustRightInd w:val="0"/>
        <w:snapToGrid w:val="0"/>
        <w:jc w:val="both"/>
        <w:rPr>
          <w:rFonts w:ascii="Arial" w:eastAsia="MS Mincho" w:hAnsi="Arial" w:cs="Arial"/>
          <w:color w:val="292526"/>
          <w:lang w:val="en-GB" w:eastAsia="it-IT"/>
        </w:rPr>
      </w:pPr>
      <w:r w:rsidRPr="00626AE5">
        <w:rPr>
          <w:rFonts w:ascii="Arial" w:eastAsia="Cambria" w:hAnsi="Arial" w:cs="Arial"/>
        </w:rPr>
        <w:t xml:space="preserve">Espinel-Ingroff A, Diekema DJ, Fothergill A </w:t>
      </w:r>
      <w:r w:rsidRPr="00626AE5">
        <w:rPr>
          <w:rFonts w:ascii="Arial" w:eastAsia="Cambria" w:hAnsi="Arial" w:cs="Arial"/>
          <w:i/>
          <w:iCs/>
        </w:rPr>
        <w:t>et al</w:t>
      </w:r>
      <w:r w:rsidRPr="00626AE5">
        <w:rPr>
          <w:rFonts w:ascii="Arial" w:eastAsia="Cambria" w:hAnsi="Arial" w:cs="Arial"/>
        </w:rPr>
        <w:t xml:space="preserve">.  </w:t>
      </w:r>
      <w:r w:rsidRPr="00626AE5">
        <w:rPr>
          <w:rFonts w:ascii="Arial" w:eastAsia="Cambria" w:hAnsi="Arial" w:cs="Arial"/>
          <w:lang w:val="en-GB"/>
        </w:rPr>
        <w:t xml:space="preserve">Wild-type MIC distributions and epidemiological cutoff values for the triazoles and six </w:t>
      </w:r>
      <w:r w:rsidRPr="00626AE5">
        <w:rPr>
          <w:rFonts w:ascii="Arial" w:eastAsia="Cambria" w:hAnsi="Arial" w:cs="Arial"/>
          <w:i/>
          <w:iCs/>
          <w:lang w:val="en-GB"/>
        </w:rPr>
        <w:t>Aspergillus</w:t>
      </w:r>
      <w:r w:rsidRPr="00626AE5">
        <w:rPr>
          <w:rFonts w:ascii="Arial" w:eastAsia="Cambria" w:hAnsi="Arial" w:cs="Arial"/>
          <w:lang w:val="en-GB"/>
        </w:rPr>
        <w:t xml:space="preserve"> spp. for the CLSI </w:t>
      </w:r>
      <w:r w:rsidRPr="00626AE5">
        <w:rPr>
          <w:rFonts w:ascii="Arial" w:eastAsia="Cambria" w:hAnsi="Arial" w:cs="Arial"/>
          <w:lang w:val="en-GB"/>
        </w:rPr>
        <w:lastRenderedPageBreak/>
        <w:t xml:space="preserve">broth microdilution method (M38-A2 document). </w:t>
      </w:r>
      <w:r w:rsidRPr="00626AE5">
        <w:rPr>
          <w:rFonts w:ascii="Arial" w:eastAsia="Cambria" w:hAnsi="Arial" w:cs="Arial"/>
          <w:i/>
          <w:iCs/>
          <w:lang w:val="en-GB"/>
        </w:rPr>
        <w:t>J Clin Microbiol</w:t>
      </w:r>
      <w:r w:rsidRPr="00626AE5">
        <w:rPr>
          <w:rFonts w:ascii="Arial" w:eastAsia="Cambria" w:hAnsi="Arial" w:cs="Arial"/>
          <w:lang w:val="en-GB"/>
        </w:rPr>
        <w:t xml:space="preserve"> </w:t>
      </w:r>
      <w:r w:rsidRPr="00626AE5">
        <w:rPr>
          <w:rFonts w:ascii="Arial" w:eastAsia="Cambria" w:hAnsi="Arial" w:cs="Arial"/>
        </w:rPr>
        <w:t xml:space="preserve">2010; </w:t>
      </w:r>
      <w:r w:rsidRPr="00626AE5">
        <w:rPr>
          <w:rFonts w:ascii="Arial" w:eastAsia="Cambria" w:hAnsi="Arial" w:cs="Arial"/>
          <w:lang w:val="en-GB"/>
        </w:rPr>
        <w:t>48:3251–7.</w:t>
      </w:r>
    </w:p>
    <w:p w14:paraId="3818C5B7" w14:textId="77777777" w:rsidR="00476DF3" w:rsidRPr="00626AE5" w:rsidRDefault="00476DF3" w:rsidP="00626AE5">
      <w:pPr>
        <w:numPr>
          <w:ilvl w:val="0"/>
          <w:numId w:val="1"/>
        </w:numPr>
        <w:spacing w:after="200"/>
        <w:contextualSpacing/>
        <w:jc w:val="both"/>
        <w:rPr>
          <w:rFonts w:ascii="Arial" w:eastAsia="Cambria" w:hAnsi="Arial" w:cs="Arial"/>
          <w:lang w:val="en-GB"/>
        </w:rPr>
      </w:pPr>
      <w:r w:rsidRPr="00626AE5">
        <w:rPr>
          <w:rFonts w:ascii="Arial" w:eastAsia="Cambria" w:hAnsi="Arial" w:cs="Arial"/>
          <w:lang w:val="en-GB"/>
        </w:rPr>
        <w:t xml:space="preserve">Pfaller MA, Diekema DJ. Progress in antifungal susceptibility testing of </w:t>
      </w:r>
      <w:r w:rsidRPr="00626AE5">
        <w:rPr>
          <w:rFonts w:ascii="Arial" w:eastAsia="Cambria" w:hAnsi="Arial" w:cs="Arial"/>
          <w:i/>
          <w:iCs/>
          <w:lang w:val="en-GB"/>
        </w:rPr>
        <w:t>Candida</w:t>
      </w:r>
      <w:r w:rsidRPr="00626AE5">
        <w:rPr>
          <w:rFonts w:ascii="Arial" w:eastAsia="Cambria" w:hAnsi="Arial" w:cs="Arial"/>
          <w:lang w:val="en-GB"/>
        </w:rPr>
        <w:t xml:space="preserve"> spp. by use of Clinical and Laboratory Standards Institute broth microdilution methods, 2010 to 2012. </w:t>
      </w:r>
      <w:r w:rsidRPr="00626AE5">
        <w:rPr>
          <w:rFonts w:ascii="Arial" w:eastAsia="Cambria" w:hAnsi="Arial" w:cs="Arial"/>
          <w:i/>
          <w:iCs/>
          <w:lang w:val="en-GB"/>
        </w:rPr>
        <w:t>J Clin Microbiol</w:t>
      </w:r>
      <w:r w:rsidRPr="00626AE5">
        <w:rPr>
          <w:rFonts w:ascii="Arial" w:eastAsia="Cambria" w:hAnsi="Arial" w:cs="Arial"/>
          <w:lang w:val="en-GB"/>
        </w:rPr>
        <w:t xml:space="preserve"> 2012; 50:2846–56.</w:t>
      </w:r>
    </w:p>
    <w:p w14:paraId="2965CF9B" w14:textId="77777777" w:rsidR="00476DF3" w:rsidRPr="00626AE5" w:rsidRDefault="00476DF3" w:rsidP="00626AE5">
      <w:pPr>
        <w:widowControl w:val="0"/>
        <w:numPr>
          <w:ilvl w:val="0"/>
          <w:numId w:val="1"/>
        </w:numPr>
        <w:autoSpaceDE w:val="0"/>
        <w:autoSpaceDN w:val="0"/>
        <w:adjustRightInd w:val="0"/>
        <w:snapToGrid w:val="0"/>
        <w:jc w:val="both"/>
        <w:rPr>
          <w:rFonts w:ascii="Arial" w:eastAsia="Cambria" w:hAnsi="Arial" w:cs="Arial"/>
          <w:lang w:val="en-US"/>
        </w:rPr>
      </w:pPr>
      <w:r w:rsidRPr="00626AE5">
        <w:rPr>
          <w:rFonts w:ascii="Arial" w:eastAsia="Cambria" w:hAnsi="Arial" w:cs="Arial"/>
        </w:rPr>
        <w:t xml:space="preserve">Galuppi R, Gambarara A, Bonoli C </w:t>
      </w:r>
      <w:r w:rsidRPr="00626AE5">
        <w:rPr>
          <w:rFonts w:ascii="Arial" w:eastAsia="Cambria" w:hAnsi="Arial" w:cs="Arial"/>
          <w:i/>
          <w:iCs/>
        </w:rPr>
        <w:t>et al</w:t>
      </w:r>
      <w:r w:rsidRPr="00626AE5">
        <w:rPr>
          <w:rFonts w:ascii="Arial" w:eastAsia="Cambria" w:hAnsi="Arial" w:cs="Arial"/>
        </w:rPr>
        <w:t xml:space="preserve">. </w:t>
      </w:r>
      <w:r w:rsidRPr="00626AE5">
        <w:rPr>
          <w:rFonts w:ascii="Arial" w:eastAsia="Cambria" w:hAnsi="Arial" w:cs="Arial"/>
          <w:lang w:val="en-US"/>
        </w:rPr>
        <w:t xml:space="preserve">Antimycotic effectiveness against dermatophytes: comparison of two </w:t>
      </w:r>
      <w:r w:rsidRPr="00626AE5">
        <w:rPr>
          <w:rFonts w:ascii="Arial" w:eastAsia="Cambria" w:hAnsi="Arial" w:cs="Arial"/>
          <w:i/>
          <w:iCs/>
          <w:lang w:val="en-US"/>
        </w:rPr>
        <w:t>in vitro</w:t>
      </w:r>
      <w:r w:rsidRPr="00626AE5">
        <w:rPr>
          <w:rFonts w:ascii="Arial" w:eastAsia="Cambria" w:hAnsi="Arial" w:cs="Arial"/>
          <w:lang w:val="en-US"/>
        </w:rPr>
        <w:t xml:space="preserve"> tests. </w:t>
      </w:r>
      <w:r w:rsidRPr="00626AE5">
        <w:rPr>
          <w:rFonts w:ascii="Arial" w:eastAsia="Cambria" w:hAnsi="Arial" w:cs="Arial"/>
          <w:i/>
          <w:iCs/>
          <w:lang w:val="en-US"/>
        </w:rPr>
        <w:t>Vet Res Commun</w:t>
      </w:r>
      <w:r w:rsidRPr="00626AE5">
        <w:rPr>
          <w:rFonts w:ascii="Arial" w:eastAsia="Cambria" w:hAnsi="Arial" w:cs="Arial"/>
          <w:lang w:val="en-US"/>
        </w:rPr>
        <w:t xml:space="preserve"> </w:t>
      </w:r>
      <w:r w:rsidRPr="00626AE5">
        <w:rPr>
          <w:rFonts w:ascii="Arial" w:eastAsia="Cambria" w:hAnsi="Arial" w:cs="Arial"/>
        </w:rPr>
        <w:t>2010;</w:t>
      </w:r>
      <w:r w:rsidRPr="00626AE5">
        <w:rPr>
          <w:rFonts w:ascii="Arial" w:eastAsia="Cambria" w:hAnsi="Arial" w:cs="Arial"/>
          <w:lang w:val="en-US"/>
        </w:rPr>
        <w:t xml:space="preserve"> 34: 57–61. </w:t>
      </w:r>
    </w:p>
    <w:p w14:paraId="41DA23C8" w14:textId="77777777" w:rsidR="00476DF3" w:rsidRPr="00626AE5" w:rsidRDefault="00476DF3" w:rsidP="00626AE5">
      <w:pPr>
        <w:numPr>
          <w:ilvl w:val="0"/>
          <w:numId w:val="1"/>
        </w:numPr>
        <w:jc w:val="both"/>
        <w:rPr>
          <w:rFonts w:ascii="Arial" w:eastAsia="MS Mincho" w:hAnsi="Arial" w:cs="Arial"/>
          <w:color w:val="000000" w:themeColor="text1"/>
          <w:lang w:val="en-GB" w:eastAsia="it-IT"/>
        </w:rPr>
      </w:pPr>
      <w:r w:rsidRPr="00626AE5">
        <w:rPr>
          <w:rFonts w:ascii="Arial" w:eastAsia="MS Mincho" w:hAnsi="Arial" w:cs="Arial"/>
          <w:color w:val="000000" w:themeColor="text1"/>
          <w:lang w:val="en-GB" w:eastAsia="it-IT"/>
        </w:rPr>
        <w:t xml:space="preserve">CLSI. Clinical and Laboratory Standards Institute. Reference Method for Broth Dilution Antifungal Susceptibility Testing of Conidium-Forming Filamentous Fungi; Approved Standard M38-A, M51; Clinical and Laboratory Standards Institute: Wayne, PA, USA: 2002. </w:t>
      </w:r>
    </w:p>
    <w:p w14:paraId="689B8B84" w14:textId="77777777" w:rsidR="00476DF3" w:rsidRPr="00626AE5" w:rsidRDefault="00476DF3" w:rsidP="00626AE5">
      <w:pPr>
        <w:numPr>
          <w:ilvl w:val="0"/>
          <w:numId w:val="1"/>
        </w:numPr>
        <w:spacing w:after="200"/>
        <w:contextualSpacing/>
        <w:jc w:val="both"/>
        <w:rPr>
          <w:rFonts w:ascii="Arial" w:eastAsia="Cambria" w:hAnsi="Arial" w:cs="Arial"/>
          <w:lang w:val="en-GB"/>
        </w:rPr>
      </w:pPr>
      <w:r w:rsidRPr="00626AE5">
        <w:rPr>
          <w:rFonts w:ascii="Arial" w:eastAsia="Cambria" w:hAnsi="Arial" w:cs="Arial"/>
          <w:lang w:val="en-GB"/>
        </w:rPr>
        <w:t xml:space="preserve">Nweze EI, Mukherjee PK, Ghannoum MA. </w:t>
      </w:r>
      <w:r w:rsidRPr="00626AE5">
        <w:rPr>
          <w:rFonts w:ascii="Arial" w:eastAsia="Cambria" w:hAnsi="Arial" w:cs="Arial"/>
          <w:lang w:val="en-US"/>
        </w:rPr>
        <w:t xml:space="preserve">Agar-based disk diffusion assay for susceptibility testing of dermatophytes. </w:t>
      </w:r>
      <w:r w:rsidRPr="00626AE5">
        <w:rPr>
          <w:rFonts w:ascii="Arial" w:eastAsia="Cambria" w:hAnsi="Arial" w:cs="Arial"/>
          <w:i/>
          <w:iCs/>
          <w:lang w:val="en-US"/>
        </w:rPr>
        <w:t>J Clin Microbiol</w:t>
      </w:r>
      <w:r w:rsidRPr="00626AE5">
        <w:rPr>
          <w:rFonts w:ascii="Arial" w:eastAsia="Cambria" w:hAnsi="Arial" w:cs="Arial"/>
          <w:lang w:val="en-US"/>
        </w:rPr>
        <w:t xml:space="preserve"> </w:t>
      </w:r>
      <w:r w:rsidRPr="00626AE5">
        <w:rPr>
          <w:rFonts w:ascii="Arial" w:eastAsia="Cambria" w:hAnsi="Arial" w:cs="Arial"/>
          <w:lang w:val="en-GB"/>
        </w:rPr>
        <w:t>2010;</w:t>
      </w:r>
      <w:r w:rsidRPr="00626AE5">
        <w:rPr>
          <w:rFonts w:ascii="Arial" w:eastAsia="Cambria" w:hAnsi="Arial" w:cs="Arial"/>
          <w:lang w:val="en-US"/>
        </w:rPr>
        <w:t xml:space="preserve"> 48:3750–3752. </w:t>
      </w:r>
    </w:p>
    <w:p w14:paraId="32443B51" w14:textId="77777777" w:rsidR="00476DF3" w:rsidRPr="00626AE5" w:rsidRDefault="00476DF3" w:rsidP="00626AE5">
      <w:pPr>
        <w:numPr>
          <w:ilvl w:val="0"/>
          <w:numId w:val="1"/>
        </w:numPr>
        <w:contextualSpacing/>
        <w:jc w:val="both"/>
        <w:rPr>
          <w:rFonts w:ascii="Arial" w:eastAsia="Cambria" w:hAnsi="Arial" w:cs="Arial"/>
          <w:lang w:val="en-US"/>
        </w:rPr>
      </w:pPr>
      <w:r w:rsidRPr="00626AE5">
        <w:rPr>
          <w:rFonts w:ascii="Arial" w:eastAsia="Cambria" w:hAnsi="Arial" w:cs="Arial"/>
          <w:color w:val="000000"/>
          <w:shd w:val="clear" w:color="auto" w:fill="FFFFFF"/>
          <w:lang w:val="en-US"/>
        </w:rPr>
        <w:t>da Silva Barros ME, de Assis Santos D, Hamdan JS. Evaluation of susceptibility of </w:t>
      </w:r>
      <w:r w:rsidRPr="00626AE5">
        <w:rPr>
          <w:rFonts w:ascii="Arial" w:eastAsia="Cambria" w:hAnsi="Arial" w:cs="Arial"/>
          <w:i/>
          <w:iCs/>
          <w:color w:val="000000"/>
          <w:shd w:val="clear" w:color="auto" w:fill="FFFFFF"/>
          <w:lang w:val="en-US"/>
        </w:rPr>
        <w:t>Trichophyton mentagrophytes</w:t>
      </w:r>
      <w:r w:rsidRPr="00626AE5">
        <w:rPr>
          <w:rFonts w:ascii="Arial" w:eastAsia="Cambria" w:hAnsi="Arial" w:cs="Arial"/>
          <w:color w:val="000000"/>
          <w:shd w:val="clear" w:color="auto" w:fill="FFFFFF"/>
          <w:lang w:val="en-US"/>
        </w:rPr>
        <w:t> and </w:t>
      </w:r>
      <w:r w:rsidRPr="00626AE5">
        <w:rPr>
          <w:rFonts w:ascii="Arial" w:eastAsia="Cambria" w:hAnsi="Arial" w:cs="Arial"/>
          <w:i/>
          <w:iCs/>
          <w:color w:val="000000"/>
          <w:shd w:val="clear" w:color="auto" w:fill="FFFFFF"/>
          <w:lang w:val="en-US"/>
        </w:rPr>
        <w:t>Trichophyton rubrum</w:t>
      </w:r>
      <w:r w:rsidRPr="00626AE5">
        <w:rPr>
          <w:rFonts w:ascii="Arial" w:eastAsia="Cambria" w:hAnsi="Arial" w:cs="Arial"/>
          <w:color w:val="000000"/>
          <w:shd w:val="clear" w:color="auto" w:fill="FFFFFF"/>
          <w:lang w:val="en-US"/>
        </w:rPr>
        <w:t xml:space="preserve"> clinical isolates to antifungal drugs using a modified CLSI microdilution method (M38-A). </w:t>
      </w:r>
      <w:r w:rsidRPr="00626AE5">
        <w:rPr>
          <w:rFonts w:ascii="Arial" w:eastAsia="Cambria" w:hAnsi="Arial" w:cs="Arial"/>
          <w:i/>
          <w:iCs/>
          <w:color w:val="000000"/>
          <w:shd w:val="clear" w:color="auto" w:fill="FFFFFF"/>
          <w:lang w:val="en-US"/>
        </w:rPr>
        <w:t>J Med Microbiol</w:t>
      </w:r>
      <w:r w:rsidRPr="00626AE5">
        <w:rPr>
          <w:rFonts w:ascii="Arial" w:eastAsia="Cambria" w:hAnsi="Arial" w:cs="Arial"/>
          <w:color w:val="000000"/>
          <w:shd w:val="clear" w:color="auto" w:fill="FFFFFF"/>
          <w:lang w:val="en-US"/>
        </w:rPr>
        <w:t xml:space="preserve"> 2007; 56:514</w:t>
      </w:r>
      <w:r w:rsidRPr="00626AE5">
        <w:rPr>
          <w:rFonts w:ascii="Arial" w:eastAsia="Cambria" w:hAnsi="Arial" w:cs="Arial"/>
          <w:lang w:val="en-US"/>
        </w:rPr>
        <w:t>–51</w:t>
      </w:r>
      <w:r w:rsidRPr="00626AE5">
        <w:rPr>
          <w:rFonts w:ascii="Arial" w:eastAsia="Cambria" w:hAnsi="Arial" w:cs="Arial"/>
          <w:color w:val="000000"/>
          <w:shd w:val="clear" w:color="auto" w:fill="FFFFFF"/>
          <w:lang w:val="en-US"/>
        </w:rPr>
        <w:t>8. </w:t>
      </w:r>
    </w:p>
    <w:p w14:paraId="7EA46FA2" w14:textId="77777777" w:rsidR="00476DF3" w:rsidRPr="00626AE5" w:rsidRDefault="00476DF3" w:rsidP="00626AE5">
      <w:pPr>
        <w:numPr>
          <w:ilvl w:val="0"/>
          <w:numId w:val="1"/>
        </w:numPr>
        <w:autoSpaceDE w:val="0"/>
        <w:autoSpaceDN w:val="0"/>
        <w:adjustRightInd w:val="0"/>
        <w:snapToGrid w:val="0"/>
        <w:spacing w:after="200"/>
        <w:ind w:left="1066" w:hanging="357"/>
        <w:contextualSpacing/>
        <w:jc w:val="both"/>
        <w:rPr>
          <w:rFonts w:ascii="Arial" w:eastAsia="MS Mincho" w:hAnsi="Arial" w:cs="Arial"/>
          <w:color w:val="292526"/>
          <w:lang w:val="en-US" w:eastAsia="it-IT"/>
        </w:rPr>
      </w:pPr>
      <w:r w:rsidRPr="00626AE5">
        <w:rPr>
          <w:rFonts w:ascii="Arial" w:eastAsia="MS Mincho" w:hAnsi="Arial" w:cs="Arial"/>
          <w:color w:val="292526"/>
          <w:lang w:val="en-GB" w:eastAsia="it-IT"/>
        </w:rPr>
        <w:t xml:space="preserve">Korting HC, Schäfer-Korting M, Zienicke H </w:t>
      </w:r>
      <w:r w:rsidRPr="00626AE5">
        <w:rPr>
          <w:rFonts w:ascii="Arial" w:eastAsia="MS Mincho" w:hAnsi="Arial" w:cs="Arial"/>
          <w:i/>
          <w:iCs/>
          <w:color w:val="292526"/>
          <w:lang w:val="en-GB" w:eastAsia="it-IT"/>
        </w:rPr>
        <w:t>et al</w:t>
      </w:r>
      <w:r w:rsidRPr="00626AE5">
        <w:rPr>
          <w:rFonts w:ascii="Arial" w:eastAsia="MS Mincho" w:hAnsi="Arial" w:cs="Arial"/>
          <w:color w:val="292526"/>
          <w:lang w:val="en-GB" w:eastAsia="it-IT"/>
        </w:rPr>
        <w:t xml:space="preserve">. Treatment of tinea unguium with medium and high doses of ultra microsize griseofulvin compared with that with itraconazole. </w:t>
      </w:r>
      <w:r w:rsidRPr="00626AE5">
        <w:rPr>
          <w:rFonts w:ascii="Arial" w:eastAsia="MS Mincho" w:hAnsi="Arial" w:cs="Arial"/>
          <w:i/>
          <w:iCs/>
          <w:color w:val="292526"/>
          <w:lang w:val="en-GB" w:eastAsia="it-IT"/>
        </w:rPr>
        <w:t>Antimicrob Agents Chemother</w:t>
      </w:r>
      <w:r w:rsidRPr="00626AE5">
        <w:rPr>
          <w:rFonts w:ascii="Arial" w:eastAsia="MS Mincho" w:hAnsi="Arial" w:cs="Arial"/>
          <w:color w:val="292526"/>
          <w:lang w:val="en-GB" w:eastAsia="it-IT"/>
        </w:rPr>
        <w:t xml:space="preserve"> 1993; 37:2064</w:t>
      </w:r>
      <w:r w:rsidRPr="00626AE5">
        <w:rPr>
          <w:rFonts w:ascii="Arial" w:eastAsia="Cambria" w:hAnsi="Arial" w:cs="Arial"/>
          <w:lang w:val="en-US"/>
        </w:rPr>
        <w:t>–</w:t>
      </w:r>
      <w:r w:rsidRPr="00626AE5">
        <w:rPr>
          <w:rFonts w:ascii="Arial" w:eastAsia="MS Mincho" w:hAnsi="Arial" w:cs="Arial"/>
          <w:color w:val="292526"/>
          <w:lang w:val="en-GB" w:eastAsia="it-IT"/>
        </w:rPr>
        <w:t>2068.</w:t>
      </w:r>
    </w:p>
    <w:p w14:paraId="5B7BEE71" w14:textId="1562F7A5" w:rsidR="00476DF3" w:rsidRDefault="00476DF3" w:rsidP="00626AE5">
      <w:pPr>
        <w:jc w:val="both"/>
        <w:rPr>
          <w:rFonts w:ascii="Arial" w:hAnsi="Arial" w:cs="Arial"/>
          <w:lang w:val="en-GB"/>
        </w:rPr>
      </w:pPr>
    </w:p>
    <w:p w14:paraId="10C33502" w14:textId="5A8CDC58" w:rsidR="00191534" w:rsidRDefault="00191534" w:rsidP="00626AE5">
      <w:pPr>
        <w:jc w:val="both"/>
        <w:rPr>
          <w:rFonts w:ascii="Arial" w:hAnsi="Arial" w:cs="Arial"/>
          <w:lang w:val="en-GB"/>
        </w:rPr>
      </w:pPr>
    </w:p>
    <w:p w14:paraId="68EE04CB" w14:textId="73C2CEED" w:rsidR="00191534" w:rsidRDefault="00191534" w:rsidP="00626AE5">
      <w:pPr>
        <w:jc w:val="both"/>
        <w:rPr>
          <w:rFonts w:ascii="Arial" w:hAnsi="Arial" w:cs="Arial"/>
          <w:lang w:val="en-GB"/>
        </w:rPr>
      </w:pPr>
    </w:p>
    <w:p w14:paraId="1389585B" w14:textId="6B692617" w:rsidR="00191534" w:rsidRDefault="00191534" w:rsidP="00626AE5">
      <w:pPr>
        <w:jc w:val="both"/>
        <w:rPr>
          <w:rFonts w:ascii="Arial" w:hAnsi="Arial" w:cs="Arial"/>
          <w:lang w:val="en-GB"/>
        </w:rPr>
      </w:pPr>
    </w:p>
    <w:p w14:paraId="3BE728A8" w14:textId="1EA05E3D" w:rsidR="00191534" w:rsidRDefault="00191534" w:rsidP="00626AE5">
      <w:pPr>
        <w:jc w:val="both"/>
        <w:rPr>
          <w:rFonts w:ascii="Arial" w:hAnsi="Arial" w:cs="Arial"/>
          <w:lang w:val="en-GB"/>
        </w:rPr>
      </w:pPr>
    </w:p>
    <w:p w14:paraId="094C14F1" w14:textId="02FEC0D0" w:rsidR="00191534" w:rsidRDefault="00191534" w:rsidP="00626AE5">
      <w:pPr>
        <w:jc w:val="both"/>
        <w:rPr>
          <w:rFonts w:ascii="Arial" w:hAnsi="Arial" w:cs="Arial"/>
          <w:lang w:val="en-GB"/>
        </w:rPr>
      </w:pPr>
    </w:p>
    <w:p w14:paraId="0237AD34" w14:textId="519323F6" w:rsidR="00191534" w:rsidRDefault="00191534" w:rsidP="00626AE5">
      <w:pPr>
        <w:jc w:val="both"/>
        <w:rPr>
          <w:rFonts w:ascii="Arial" w:hAnsi="Arial" w:cs="Arial"/>
          <w:lang w:val="en-GB"/>
        </w:rPr>
      </w:pPr>
    </w:p>
    <w:p w14:paraId="14D77733" w14:textId="2AB144D8" w:rsidR="00191534" w:rsidRDefault="00191534" w:rsidP="00626AE5">
      <w:pPr>
        <w:jc w:val="both"/>
        <w:rPr>
          <w:rFonts w:ascii="Arial" w:hAnsi="Arial" w:cs="Arial"/>
          <w:lang w:val="en-GB"/>
        </w:rPr>
      </w:pPr>
    </w:p>
    <w:p w14:paraId="6DAAEDF4" w14:textId="4FA43DD3" w:rsidR="00191534" w:rsidRDefault="00191534" w:rsidP="00626AE5">
      <w:pPr>
        <w:jc w:val="both"/>
        <w:rPr>
          <w:rFonts w:ascii="Arial" w:hAnsi="Arial" w:cs="Arial"/>
          <w:lang w:val="en-GB"/>
        </w:rPr>
      </w:pPr>
    </w:p>
    <w:p w14:paraId="6AE4A323" w14:textId="34117E56" w:rsidR="00191534" w:rsidRDefault="00191534" w:rsidP="00626AE5">
      <w:pPr>
        <w:jc w:val="both"/>
        <w:rPr>
          <w:rFonts w:ascii="Arial" w:hAnsi="Arial" w:cs="Arial"/>
          <w:lang w:val="en-GB"/>
        </w:rPr>
      </w:pPr>
    </w:p>
    <w:p w14:paraId="1E2884BB" w14:textId="2F307B64" w:rsidR="00191534" w:rsidRDefault="00191534" w:rsidP="00626AE5">
      <w:pPr>
        <w:jc w:val="both"/>
        <w:rPr>
          <w:rFonts w:ascii="Arial" w:hAnsi="Arial" w:cs="Arial"/>
          <w:lang w:val="en-GB"/>
        </w:rPr>
      </w:pPr>
    </w:p>
    <w:p w14:paraId="71FA68B2" w14:textId="48B217DA" w:rsidR="00191534" w:rsidRDefault="00191534" w:rsidP="00626AE5">
      <w:pPr>
        <w:jc w:val="both"/>
        <w:rPr>
          <w:rFonts w:ascii="Arial" w:hAnsi="Arial" w:cs="Arial"/>
          <w:lang w:val="en-GB"/>
        </w:rPr>
      </w:pPr>
    </w:p>
    <w:p w14:paraId="7349D265" w14:textId="5DF7D241" w:rsidR="00191534" w:rsidRDefault="00191534" w:rsidP="00626AE5">
      <w:pPr>
        <w:jc w:val="both"/>
        <w:rPr>
          <w:rFonts w:ascii="Arial" w:hAnsi="Arial" w:cs="Arial"/>
          <w:lang w:val="en-GB"/>
        </w:rPr>
      </w:pPr>
    </w:p>
    <w:p w14:paraId="0749ED38" w14:textId="75E1E5B4" w:rsidR="00191534" w:rsidRDefault="00191534" w:rsidP="00626AE5">
      <w:pPr>
        <w:jc w:val="both"/>
        <w:rPr>
          <w:rFonts w:ascii="Arial" w:hAnsi="Arial" w:cs="Arial"/>
          <w:lang w:val="en-GB"/>
        </w:rPr>
      </w:pPr>
    </w:p>
    <w:p w14:paraId="763624D2" w14:textId="69E4E2DE" w:rsidR="00191534" w:rsidRDefault="00191534" w:rsidP="00626AE5">
      <w:pPr>
        <w:jc w:val="both"/>
        <w:rPr>
          <w:rFonts w:ascii="Arial" w:hAnsi="Arial" w:cs="Arial"/>
          <w:lang w:val="en-GB"/>
        </w:rPr>
      </w:pPr>
    </w:p>
    <w:p w14:paraId="0CE04262" w14:textId="691C8C60" w:rsidR="00191534" w:rsidRDefault="00191534" w:rsidP="00626AE5">
      <w:pPr>
        <w:jc w:val="both"/>
        <w:rPr>
          <w:rFonts w:ascii="Arial" w:hAnsi="Arial" w:cs="Arial"/>
          <w:lang w:val="en-GB"/>
        </w:rPr>
      </w:pPr>
    </w:p>
    <w:p w14:paraId="074230D8" w14:textId="73B5624B" w:rsidR="00191534" w:rsidRDefault="00191534" w:rsidP="00626AE5">
      <w:pPr>
        <w:jc w:val="both"/>
        <w:rPr>
          <w:rFonts w:ascii="Arial" w:hAnsi="Arial" w:cs="Arial"/>
          <w:lang w:val="en-GB"/>
        </w:rPr>
      </w:pPr>
    </w:p>
    <w:p w14:paraId="1088D3DB" w14:textId="1D6EFE1D" w:rsidR="00191534" w:rsidRDefault="00191534" w:rsidP="00626AE5">
      <w:pPr>
        <w:jc w:val="both"/>
        <w:rPr>
          <w:rFonts w:ascii="Arial" w:hAnsi="Arial" w:cs="Arial"/>
          <w:lang w:val="en-GB"/>
        </w:rPr>
      </w:pPr>
    </w:p>
    <w:p w14:paraId="46175E60" w14:textId="0C203559" w:rsidR="00191534" w:rsidRDefault="00191534" w:rsidP="00626AE5">
      <w:pPr>
        <w:jc w:val="both"/>
        <w:rPr>
          <w:rFonts w:ascii="Arial" w:hAnsi="Arial" w:cs="Arial"/>
          <w:lang w:val="en-GB"/>
        </w:rPr>
      </w:pPr>
    </w:p>
    <w:p w14:paraId="4AAB5406" w14:textId="79B46021" w:rsidR="00191534" w:rsidRDefault="00191534" w:rsidP="00626AE5">
      <w:pPr>
        <w:jc w:val="both"/>
        <w:rPr>
          <w:rFonts w:ascii="Arial" w:hAnsi="Arial" w:cs="Arial"/>
          <w:lang w:val="en-GB"/>
        </w:rPr>
      </w:pPr>
    </w:p>
    <w:p w14:paraId="17D8D976" w14:textId="450CB639" w:rsidR="00191534" w:rsidRDefault="00191534" w:rsidP="00626AE5">
      <w:pPr>
        <w:jc w:val="both"/>
        <w:rPr>
          <w:rFonts w:ascii="Arial" w:hAnsi="Arial" w:cs="Arial"/>
          <w:lang w:val="en-GB"/>
        </w:rPr>
      </w:pPr>
    </w:p>
    <w:p w14:paraId="13B78E2A" w14:textId="7F31231C" w:rsidR="00191534" w:rsidRDefault="00191534" w:rsidP="00626AE5">
      <w:pPr>
        <w:jc w:val="both"/>
        <w:rPr>
          <w:rFonts w:ascii="Arial" w:hAnsi="Arial" w:cs="Arial"/>
          <w:lang w:val="en-GB"/>
        </w:rPr>
      </w:pPr>
    </w:p>
    <w:p w14:paraId="1B1CDFDC" w14:textId="470751C3" w:rsidR="00191534" w:rsidRDefault="00191534" w:rsidP="00626AE5">
      <w:pPr>
        <w:jc w:val="both"/>
        <w:rPr>
          <w:rFonts w:ascii="Arial" w:hAnsi="Arial" w:cs="Arial"/>
          <w:lang w:val="en-GB"/>
        </w:rPr>
      </w:pPr>
    </w:p>
    <w:p w14:paraId="7ED87F13" w14:textId="033E39FD" w:rsidR="00191534" w:rsidRDefault="00191534" w:rsidP="00626AE5">
      <w:pPr>
        <w:jc w:val="both"/>
        <w:rPr>
          <w:rFonts w:ascii="Arial" w:hAnsi="Arial" w:cs="Arial"/>
          <w:lang w:val="en-GB"/>
        </w:rPr>
      </w:pPr>
    </w:p>
    <w:p w14:paraId="05436186" w14:textId="1445B9F8" w:rsidR="00191534" w:rsidRDefault="00191534" w:rsidP="00626AE5">
      <w:pPr>
        <w:jc w:val="both"/>
        <w:rPr>
          <w:rFonts w:ascii="Arial" w:hAnsi="Arial" w:cs="Arial"/>
          <w:lang w:val="en-GB"/>
        </w:rPr>
      </w:pPr>
    </w:p>
    <w:p w14:paraId="51FC1BB6" w14:textId="135440C2" w:rsidR="00191534" w:rsidRDefault="00191534" w:rsidP="00626AE5">
      <w:pPr>
        <w:jc w:val="both"/>
        <w:rPr>
          <w:rFonts w:ascii="Arial" w:hAnsi="Arial" w:cs="Arial"/>
          <w:lang w:val="en-GB"/>
        </w:rPr>
      </w:pPr>
    </w:p>
    <w:p w14:paraId="22450B59" w14:textId="243C7929" w:rsidR="00191534" w:rsidRDefault="00191534" w:rsidP="00626AE5">
      <w:pPr>
        <w:jc w:val="both"/>
        <w:rPr>
          <w:rFonts w:ascii="Arial" w:hAnsi="Arial" w:cs="Arial"/>
          <w:lang w:val="en-GB"/>
        </w:rPr>
      </w:pPr>
    </w:p>
    <w:p w14:paraId="3F00E832" w14:textId="3C7F6A76" w:rsidR="00191534" w:rsidRDefault="00191534" w:rsidP="00626AE5">
      <w:pPr>
        <w:jc w:val="both"/>
        <w:rPr>
          <w:rFonts w:ascii="Arial" w:hAnsi="Arial" w:cs="Arial"/>
          <w:lang w:val="en-GB"/>
        </w:rPr>
      </w:pPr>
    </w:p>
    <w:p w14:paraId="7F23FDD1" w14:textId="27807712" w:rsidR="00191534" w:rsidRDefault="00191534" w:rsidP="00626AE5">
      <w:pPr>
        <w:jc w:val="both"/>
        <w:rPr>
          <w:rFonts w:ascii="Arial" w:hAnsi="Arial" w:cs="Arial"/>
          <w:lang w:val="en-GB"/>
        </w:rPr>
      </w:pPr>
    </w:p>
    <w:p w14:paraId="0664B819" w14:textId="3E8474F8" w:rsidR="00191534" w:rsidRDefault="00191534" w:rsidP="00626AE5">
      <w:pPr>
        <w:jc w:val="both"/>
        <w:rPr>
          <w:rFonts w:ascii="Arial" w:hAnsi="Arial" w:cs="Arial"/>
          <w:lang w:val="en-GB"/>
        </w:rPr>
      </w:pPr>
    </w:p>
    <w:p w14:paraId="7A881114" w14:textId="5FA50B01" w:rsidR="00191534" w:rsidRDefault="00191534" w:rsidP="00626AE5">
      <w:pPr>
        <w:jc w:val="both"/>
        <w:rPr>
          <w:rFonts w:ascii="Arial" w:hAnsi="Arial" w:cs="Arial"/>
          <w:lang w:val="en-GB"/>
        </w:rPr>
      </w:pPr>
    </w:p>
    <w:p w14:paraId="59A406D8" w14:textId="4BB0109A" w:rsidR="00191534" w:rsidRDefault="00191534" w:rsidP="00626AE5">
      <w:pPr>
        <w:jc w:val="both"/>
        <w:rPr>
          <w:rFonts w:ascii="Arial" w:hAnsi="Arial" w:cs="Arial"/>
          <w:lang w:val="en-GB"/>
        </w:rPr>
      </w:pPr>
    </w:p>
    <w:p w14:paraId="38241361" w14:textId="77777777" w:rsidR="00191534" w:rsidRDefault="00191534" w:rsidP="00626AE5">
      <w:pPr>
        <w:jc w:val="both"/>
        <w:rPr>
          <w:rFonts w:ascii="Arial" w:hAnsi="Arial" w:cs="Arial"/>
          <w:lang w:val="en-GB"/>
        </w:rPr>
        <w:sectPr w:rsidR="00191534" w:rsidSect="00D81B97">
          <w:headerReference w:type="even" r:id="rId11"/>
          <w:headerReference w:type="default" r:id="rId12"/>
          <w:footerReference w:type="even" r:id="rId13"/>
          <w:footerReference w:type="default" r:id="rId14"/>
          <w:headerReference w:type="first" r:id="rId15"/>
          <w:footerReference w:type="first" r:id="rId16"/>
          <w:pgSz w:w="11900" w:h="16840"/>
          <w:pgMar w:top="1411" w:right="1138" w:bottom="1138" w:left="1138" w:header="706" w:footer="706" w:gutter="0"/>
          <w:lnNumType w:countBy="1" w:restart="continuous"/>
          <w:cols w:space="708"/>
          <w:docGrid w:linePitch="360"/>
        </w:sectPr>
      </w:pPr>
    </w:p>
    <w:p w14:paraId="51554BBF" w14:textId="77777777" w:rsidR="00191534" w:rsidRDefault="00191534" w:rsidP="00191534">
      <w:pPr>
        <w:rPr>
          <w:rFonts w:ascii="Arial" w:hAnsi="Arial" w:cs="Arial"/>
          <w:lang w:val="en-GB"/>
        </w:rPr>
      </w:pPr>
      <w:r w:rsidRPr="000770BE">
        <w:rPr>
          <w:rFonts w:ascii="Arial" w:hAnsi="Arial" w:cs="Arial"/>
          <w:b/>
          <w:lang w:val="en-GB"/>
        </w:rPr>
        <w:lastRenderedPageBreak/>
        <w:t>Table 1</w:t>
      </w:r>
      <w:r>
        <w:rPr>
          <w:rFonts w:ascii="Arial" w:hAnsi="Arial" w:cs="Arial"/>
          <w:b/>
          <w:lang w:val="en-GB"/>
        </w:rPr>
        <w:t xml:space="preserve">: </w:t>
      </w:r>
      <w:r w:rsidRPr="00AF5877">
        <w:rPr>
          <w:rFonts w:ascii="Arial" w:hAnsi="Arial" w:cs="Arial"/>
          <w:bCs/>
          <w:lang w:val="en-GB"/>
        </w:rPr>
        <w:t xml:space="preserve">Itraconazole MIC values (μg/ml) of </w:t>
      </w:r>
      <w:r w:rsidRPr="00AF5877">
        <w:rPr>
          <w:rFonts w:ascii="Arial" w:hAnsi="Arial" w:cs="Arial"/>
          <w:bCs/>
          <w:i/>
          <w:iCs/>
          <w:lang w:val="en-GB"/>
        </w:rPr>
        <w:t>Microsporum canis</w:t>
      </w:r>
      <w:r w:rsidRPr="00AF5877">
        <w:rPr>
          <w:rFonts w:ascii="Arial" w:hAnsi="Arial" w:cs="Arial"/>
          <w:bCs/>
          <w:lang w:val="en-GB"/>
        </w:rPr>
        <w:t xml:space="preserve"> from Group </w:t>
      </w:r>
      <w:r>
        <w:rPr>
          <w:rFonts w:ascii="Arial" w:hAnsi="Arial" w:cs="Arial"/>
          <w:bCs/>
          <w:lang w:val="en-GB"/>
        </w:rPr>
        <w:t>I</w:t>
      </w:r>
      <w:r w:rsidRPr="00AF5877">
        <w:rPr>
          <w:rFonts w:ascii="Arial" w:hAnsi="Arial" w:cs="Arial"/>
          <w:bCs/>
          <w:lang w:val="en-GB"/>
        </w:rPr>
        <w:t xml:space="preserve"> (animals with a negative clinical outcome) and Group </w:t>
      </w:r>
      <w:r>
        <w:rPr>
          <w:rFonts w:ascii="Arial" w:hAnsi="Arial" w:cs="Arial"/>
          <w:bCs/>
          <w:lang w:val="en-GB"/>
        </w:rPr>
        <w:t>II</w:t>
      </w:r>
      <w:r w:rsidRPr="00AF5877">
        <w:rPr>
          <w:rFonts w:ascii="Arial" w:hAnsi="Arial" w:cs="Arial"/>
          <w:bCs/>
          <w:lang w:val="en-GB"/>
        </w:rPr>
        <w:t xml:space="preserve"> (animals with a positive clinical outcome) using hyphae-conidia, conidia and arthroconidia at 3 and 7 days of incubation</w:t>
      </w:r>
    </w:p>
    <w:p w14:paraId="67FA0EAA" w14:textId="77777777" w:rsidR="00191534" w:rsidRDefault="00191534" w:rsidP="00191534">
      <w:pPr>
        <w:rPr>
          <w:rFonts w:ascii="Arial" w:hAnsi="Arial" w:cs="Arial"/>
          <w:lang w:val="en-GB"/>
        </w:rPr>
      </w:pPr>
    </w:p>
    <w:tbl>
      <w:tblPr>
        <w:tblStyle w:val="TableGrid"/>
        <w:tblpPr w:leftFromText="141" w:rightFromText="141" w:vertAnchor="page" w:horzAnchor="margin" w:tblpXSpec="right" w:tblpY="2101"/>
        <w:tblW w:w="14964"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47"/>
        <w:gridCol w:w="946"/>
        <w:gridCol w:w="1134"/>
        <w:gridCol w:w="850"/>
        <w:gridCol w:w="851"/>
        <w:gridCol w:w="850"/>
        <w:gridCol w:w="1134"/>
        <w:gridCol w:w="993"/>
        <w:gridCol w:w="1134"/>
        <w:gridCol w:w="992"/>
        <w:gridCol w:w="992"/>
        <w:gridCol w:w="992"/>
        <w:gridCol w:w="992"/>
        <w:gridCol w:w="1047"/>
        <w:gridCol w:w="910"/>
      </w:tblGrid>
      <w:tr w:rsidR="00191534" w:rsidRPr="00D14972" w14:paraId="08367D15" w14:textId="77777777" w:rsidTr="00191534">
        <w:tc>
          <w:tcPr>
            <w:tcW w:w="1147" w:type="dxa"/>
            <w:vMerge w:val="restart"/>
            <w:tcBorders>
              <w:top w:val="single" w:sz="4" w:space="0" w:color="auto"/>
              <w:bottom w:val="single" w:sz="4" w:space="0" w:color="auto"/>
            </w:tcBorders>
          </w:tcPr>
          <w:p w14:paraId="164812FA" w14:textId="77777777" w:rsidR="00191534" w:rsidRPr="00D14972" w:rsidRDefault="00191534" w:rsidP="00191534">
            <w:pPr>
              <w:rPr>
                <w:rFonts w:ascii="Arial" w:hAnsi="Arial" w:cs="Arial"/>
                <w:lang w:val="en-GB"/>
              </w:rPr>
            </w:pPr>
            <w:r w:rsidRPr="00D14972">
              <w:rPr>
                <w:rFonts w:ascii="Arial" w:hAnsi="Arial" w:cs="Arial"/>
                <w:lang w:val="en-GB"/>
              </w:rPr>
              <w:t>Groups</w:t>
            </w:r>
          </w:p>
        </w:tc>
        <w:tc>
          <w:tcPr>
            <w:tcW w:w="946" w:type="dxa"/>
            <w:vMerge w:val="restart"/>
            <w:tcBorders>
              <w:top w:val="single" w:sz="4" w:space="0" w:color="auto"/>
              <w:bottom w:val="single" w:sz="4" w:space="0" w:color="auto"/>
            </w:tcBorders>
          </w:tcPr>
          <w:p w14:paraId="660CCBBF" w14:textId="77777777" w:rsidR="00191534" w:rsidRPr="00D14972" w:rsidRDefault="00191534" w:rsidP="00191534">
            <w:pPr>
              <w:rPr>
                <w:rFonts w:ascii="Arial" w:hAnsi="Arial" w:cs="Arial"/>
                <w:lang w:val="en-GB"/>
              </w:rPr>
            </w:pPr>
            <w:r w:rsidRPr="00D14972">
              <w:rPr>
                <w:rFonts w:ascii="Arial" w:hAnsi="Arial" w:cs="Arial"/>
                <w:lang w:val="en-GB"/>
              </w:rPr>
              <w:t>N. Strains</w:t>
            </w:r>
          </w:p>
        </w:tc>
        <w:tc>
          <w:tcPr>
            <w:tcW w:w="1134" w:type="dxa"/>
            <w:vMerge w:val="restart"/>
            <w:tcBorders>
              <w:top w:val="single" w:sz="4" w:space="0" w:color="auto"/>
              <w:bottom w:val="single" w:sz="4" w:space="0" w:color="auto"/>
            </w:tcBorders>
          </w:tcPr>
          <w:p w14:paraId="13F150CE" w14:textId="77777777" w:rsidR="00191534" w:rsidRPr="00D14972" w:rsidRDefault="00191534" w:rsidP="00191534">
            <w:pPr>
              <w:rPr>
                <w:rFonts w:ascii="Arial" w:hAnsi="Arial" w:cs="Arial"/>
                <w:lang w:val="en-GB"/>
              </w:rPr>
            </w:pPr>
            <w:r w:rsidRPr="00D14972">
              <w:rPr>
                <w:rFonts w:ascii="Arial" w:hAnsi="Arial" w:cs="Arial"/>
                <w:lang w:val="en-GB"/>
              </w:rPr>
              <w:t>Reading time</w:t>
            </w:r>
          </w:p>
        </w:tc>
        <w:tc>
          <w:tcPr>
            <w:tcW w:w="3685" w:type="dxa"/>
            <w:gridSpan w:val="4"/>
            <w:tcBorders>
              <w:top w:val="single" w:sz="4" w:space="0" w:color="auto"/>
              <w:bottom w:val="single" w:sz="4" w:space="0" w:color="auto"/>
            </w:tcBorders>
          </w:tcPr>
          <w:p w14:paraId="2BB5B053" w14:textId="77777777" w:rsidR="00191534" w:rsidRPr="00D14972" w:rsidRDefault="00191534" w:rsidP="00191534">
            <w:pPr>
              <w:jc w:val="center"/>
              <w:rPr>
                <w:rFonts w:ascii="Arial" w:hAnsi="Arial" w:cs="Arial"/>
                <w:lang w:val="en-GB"/>
              </w:rPr>
            </w:pPr>
            <w:r w:rsidRPr="00D14972">
              <w:rPr>
                <w:rFonts w:ascii="Arial" w:hAnsi="Arial" w:cs="Arial"/>
                <w:lang w:val="en-GB"/>
              </w:rPr>
              <w:t>Hyphae and conidia</w:t>
            </w:r>
          </w:p>
        </w:tc>
        <w:tc>
          <w:tcPr>
            <w:tcW w:w="4111" w:type="dxa"/>
            <w:gridSpan w:val="4"/>
            <w:tcBorders>
              <w:top w:val="single" w:sz="4" w:space="0" w:color="auto"/>
              <w:bottom w:val="single" w:sz="4" w:space="0" w:color="auto"/>
            </w:tcBorders>
          </w:tcPr>
          <w:p w14:paraId="743A308C" w14:textId="77777777" w:rsidR="00191534" w:rsidRPr="00D14972" w:rsidRDefault="00191534" w:rsidP="00191534">
            <w:pPr>
              <w:jc w:val="center"/>
              <w:rPr>
                <w:rFonts w:ascii="Arial" w:hAnsi="Arial" w:cs="Arial"/>
                <w:lang w:val="en-GB"/>
              </w:rPr>
            </w:pPr>
            <w:r w:rsidRPr="00D14972">
              <w:rPr>
                <w:rFonts w:ascii="Arial" w:hAnsi="Arial" w:cs="Arial"/>
                <w:lang w:val="en-GB"/>
              </w:rPr>
              <w:t>Conidia</w:t>
            </w:r>
          </w:p>
        </w:tc>
        <w:tc>
          <w:tcPr>
            <w:tcW w:w="3941" w:type="dxa"/>
            <w:gridSpan w:val="4"/>
            <w:tcBorders>
              <w:top w:val="single" w:sz="4" w:space="0" w:color="auto"/>
              <w:bottom w:val="single" w:sz="4" w:space="0" w:color="auto"/>
            </w:tcBorders>
          </w:tcPr>
          <w:p w14:paraId="7765673D" w14:textId="77777777" w:rsidR="00191534" w:rsidRPr="00D14972" w:rsidRDefault="00191534" w:rsidP="00191534">
            <w:pPr>
              <w:jc w:val="center"/>
              <w:rPr>
                <w:rFonts w:ascii="Arial" w:hAnsi="Arial" w:cs="Arial"/>
                <w:lang w:val="en-GB"/>
              </w:rPr>
            </w:pPr>
            <w:r w:rsidRPr="00D14972">
              <w:rPr>
                <w:rFonts w:ascii="Arial" w:hAnsi="Arial" w:cs="Arial"/>
                <w:lang w:val="en-GB"/>
              </w:rPr>
              <w:t>Arthroconidia</w:t>
            </w:r>
          </w:p>
        </w:tc>
      </w:tr>
      <w:tr w:rsidR="00191534" w:rsidRPr="00D14972" w14:paraId="22EBC562" w14:textId="77777777" w:rsidTr="00191534">
        <w:trPr>
          <w:trHeight w:val="100"/>
        </w:trPr>
        <w:tc>
          <w:tcPr>
            <w:tcW w:w="1147" w:type="dxa"/>
            <w:vMerge/>
            <w:tcBorders>
              <w:top w:val="single" w:sz="4" w:space="0" w:color="auto"/>
              <w:bottom w:val="single" w:sz="4" w:space="0" w:color="auto"/>
            </w:tcBorders>
          </w:tcPr>
          <w:p w14:paraId="2D695417" w14:textId="77777777" w:rsidR="00191534" w:rsidRPr="00D14972" w:rsidRDefault="00191534" w:rsidP="00191534">
            <w:pPr>
              <w:rPr>
                <w:rFonts w:ascii="Arial" w:hAnsi="Arial" w:cs="Arial"/>
                <w:lang w:val="en-GB"/>
              </w:rPr>
            </w:pPr>
          </w:p>
        </w:tc>
        <w:tc>
          <w:tcPr>
            <w:tcW w:w="946" w:type="dxa"/>
            <w:vMerge/>
            <w:tcBorders>
              <w:top w:val="single" w:sz="4" w:space="0" w:color="auto"/>
              <w:bottom w:val="single" w:sz="4" w:space="0" w:color="auto"/>
            </w:tcBorders>
          </w:tcPr>
          <w:p w14:paraId="3CCBB871" w14:textId="77777777" w:rsidR="00191534" w:rsidRPr="00D14972" w:rsidRDefault="00191534" w:rsidP="00191534">
            <w:pPr>
              <w:rPr>
                <w:rFonts w:ascii="Arial" w:hAnsi="Arial" w:cs="Arial"/>
                <w:lang w:val="en-GB"/>
              </w:rPr>
            </w:pPr>
          </w:p>
        </w:tc>
        <w:tc>
          <w:tcPr>
            <w:tcW w:w="1134" w:type="dxa"/>
            <w:vMerge/>
            <w:tcBorders>
              <w:top w:val="single" w:sz="4" w:space="0" w:color="auto"/>
              <w:bottom w:val="single" w:sz="4" w:space="0" w:color="auto"/>
            </w:tcBorders>
          </w:tcPr>
          <w:p w14:paraId="6E6FA8D4" w14:textId="77777777" w:rsidR="00191534" w:rsidRPr="00D14972" w:rsidRDefault="00191534" w:rsidP="00191534">
            <w:pPr>
              <w:rPr>
                <w:rFonts w:ascii="Arial" w:hAnsi="Arial" w:cs="Arial"/>
                <w:lang w:val="en-GB"/>
              </w:rPr>
            </w:pPr>
          </w:p>
        </w:tc>
        <w:tc>
          <w:tcPr>
            <w:tcW w:w="850" w:type="dxa"/>
            <w:tcBorders>
              <w:top w:val="single" w:sz="4" w:space="0" w:color="auto"/>
              <w:bottom w:val="single" w:sz="4" w:space="0" w:color="auto"/>
            </w:tcBorders>
          </w:tcPr>
          <w:p w14:paraId="4CACCECA" w14:textId="77777777" w:rsidR="00191534" w:rsidRPr="00D14972" w:rsidRDefault="00191534" w:rsidP="00191534">
            <w:pPr>
              <w:rPr>
                <w:rFonts w:ascii="Arial" w:hAnsi="Arial" w:cs="Arial"/>
                <w:lang w:val="en-GB"/>
              </w:rPr>
            </w:pPr>
            <w:r w:rsidRPr="00D14972">
              <w:rPr>
                <w:rFonts w:ascii="Arial" w:hAnsi="Arial" w:cs="Arial"/>
                <w:lang w:val="en-GB"/>
              </w:rPr>
              <w:t>range</w:t>
            </w:r>
          </w:p>
        </w:tc>
        <w:tc>
          <w:tcPr>
            <w:tcW w:w="851" w:type="dxa"/>
            <w:tcBorders>
              <w:top w:val="single" w:sz="4" w:space="0" w:color="auto"/>
              <w:bottom w:val="single" w:sz="4" w:space="0" w:color="auto"/>
            </w:tcBorders>
          </w:tcPr>
          <w:p w14:paraId="1C860C4D" w14:textId="77777777" w:rsidR="00191534" w:rsidRPr="00D14972" w:rsidRDefault="00191534" w:rsidP="00191534">
            <w:pPr>
              <w:rPr>
                <w:rFonts w:ascii="Arial" w:hAnsi="Arial" w:cs="Arial"/>
                <w:lang w:val="en-GB"/>
              </w:rPr>
            </w:pPr>
            <w:r w:rsidRPr="00D14972">
              <w:rPr>
                <w:rFonts w:ascii="Arial" w:hAnsi="Arial" w:cs="Arial"/>
                <w:lang w:val="en-GB"/>
              </w:rPr>
              <w:t>MIC mean (SD)</w:t>
            </w:r>
          </w:p>
        </w:tc>
        <w:tc>
          <w:tcPr>
            <w:tcW w:w="850" w:type="dxa"/>
            <w:tcBorders>
              <w:top w:val="single" w:sz="4" w:space="0" w:color="auto"/>
              <w:bottom w:val="single" w:sz="4" w:space="0" w:color="auto"/>
            </w:tcBorders>
          </w:tcPr>
          <w:p w14:paraId="5D92B58C" w14:textId="77777777" w:rsidR="00191534" w:rsidRPr="00D14972" w:rsidRDefault="00191534" w:rsidP="00191534">
            <w:pPr>
              <w:rPr>
                <w:rFonts w:ascii="Arial" w:hAnsi="Arial" w:cs="Arial"/>
                <w:lang w:val="en-GB"/>
              </w:rPr>
            </w:pPr>
            <w:r w:rsidRPr="00D14972">
              <w:rPr>
                <w:rFonts w:ascii="Arial" w:hAnsi="Arial" w:cs="Arial"/>
                <w:lang w:val="en-GB"/>
              </w:rPr>
              <w:t>MIC</w:t>
            </w:r>
            <w:r w:rsidRPr="00D14972">
              <w:rPr>
                <w:rFonts w:ascii="Arial" w:hAnsi="Arial" w:cs="Arial"/>
                <w:vertAlign w:val="subscript"/>
                <w:lang w:val="en-GB"/>
              </w:rPr>
              <w:t>50</w:t>
            </w:r>
          </w:p>
        </w:tc>
        <w:tc>
          <w:tcPr>
            <w:tcW w:w="1134" w:type="dxa"/>
            <w:tcBorders>
              <w:top w:val="single" w:sz="4" w:space="0" w:color="auto"/>
              <w:bottom w:val="single" w:sz="4" w:space="0" w:color="auto"/>
            </w:tcBorders>
          </w:tcPr>
          <w:p w14:paraId="604B91F3" w14:textId="77777777" w:rsidR="00191534" w:rsidRPr="00D14972" w:rsidRDefault="00191534" w:rsidP="00191534">
            <w:pPr>
              <w:rPr>
                <w:rFonts w:ascii="Arial" w:hAnsi="Arial" w:cs="Arial"/>
                <w:lang w:val="en-GB"/>
              </w:rPr>
            </w:pPr>
            <w:r w:rsidRPr="00D14972">
              <w:rPr>
                <w:rFonts w:ascii="Arial" w:hAnsi="Arial" w:cs="Arial"/>
                <w:lang w:val="en-GB"/>
              </w:rPr>
              <w:t>MIC</w:t>
            </w:r>
            <w:r w:rsidRPr="00D14972">
              <w:rPr>
                <w:rFonts w:ascii="Arial" w:hAnsi="Arial" w:cs="Arial"/>
                <w:vertAlign w:val="subscript"/>
                <w:lang w:val="en-GB"/>
              </w:rPr>
              <w:t>90</w:t>
            </w:r>
          </w:p>
        </w:tc>
        <w:tc>
          <w:tcPr>
            <w:tcW w:w="993" w:type="dxa"/>
            <w:tcBorders>
              <w:top w:val="single" w:sz="4" w:space="0" w:color="auto"/>
              <w:bottom w:val="single" w:sz="4" w:space="0" w:color="auto"/>
            </w:tcBorders>
          </w:tcPr>
          <w:p w14:paraId="4E2B0C2A" w14:textId="77777777" w:rsidR="00191534" w:rsidRPr="00D14972" w:rsidRDefault="00191534" w:rsidP="00191534">
            <w:pPr>
              <w:rPr>
                <w:rFonts w:ascii="Arial" w:hAnsi="Arial" w:cs="Arial"/>
                <w:lang w:val="en-GB"/>
              </w:rPr>
            </w:pPr>
            <w:r w:rsidRPr="00D14972">
              <w:rPr>
                <w:rFonts w:ascii="Arial" w:hAnsi="Arial" w:cs="Arial"/>
                <w:lang w:val="en-GB"/>
              </w:rPr>
              <w:t>range</w:t>
            </w:r>
          </w:p>
        </w:tc>
        <w:tc>
          <w:tcPr>
            <w:tcW w:w="1134" w:type="dxa"/>
            <w:tcBorders>
              <w:top w:val="single" w:sz="4" w:space="0" w:color="auto"/>
              <w:bottom w:val="single" w:sz="4" w:space="0" w:color="auto"/>
            </w:tcBorders>
          </w:tcPr>
          <w:p w14:paraId="647E8EE2" w14:textId="77777777" w:rsidR="00191534" w:rsidRPr="00D14972" w:rsidRDefault="00191534" w:rsidP="00191534">
            <w:pPr>
              <w:rPr>
                <w:rFonts w:ascii="Arial" w:hAnsi="Arial" w:cs="Arial"/>
                <w:lang w:val="en-GB"/>
              </w:rPr>
            </w:pPr>
            <w:r w:rsidRPr="00D14972">
              <w:rPr>
                <w:rFonts w:ascii="Arial" w:hAnsi="Arial" w:cs="Arial"/>
                <w:lang w:val="en-GB"/>
              </w:rPr>
              <w:t>MIC mean (SD)</w:t>
            </w:r>
          </w:p>
        </w:tc>
        <w:tc>
          <w:tcPr>
            <w:tcW w:w="992" w:type="dxa"/>
            <w:tcBorders>
              <w:top w:val="single" w:sz="4" w:space="0" w:color="auto"/>
              <w:bottom w:val="single" w:sz="4" w:space="0" w:color="auto"/>
            </w:tcBorders>
          </w:tcPr>
          <w:p w14:paraId="663C55F5" w14:textId="77777777" w:rsidR="00191534" w:rsidRPr="00D14972" w:rsidRDefault="00191534" w:rsidP="00191534">
            <w:pPr>
              <w:rPr>
                <w:rFonts w:ascii="Arial" w:hAnsi="Arial" w:cs="Arial"/>
                <w:lang w:val="en-GB"/>
              </w:rPr>
            </w:pPr>
            <w:r w:rsidRPr="00D14972">
              <w:rPr>
                <w:rFonts w:ascii="Arial" w:hAnsi="Arial" w:cs="Arial"/>
                <w:lang w:val="en-GB"/>
              </w:rPr>
              <w:t>MIC</w:t>
            </w:r>
            <w:r w:rsidRPr="00D14972">
              <w:rPr>
                <w:rFonts w:ascii="Arial" w:hAnsi="Arial" w:cs="Arial"/>
                <w:vertAlign w:val="subscript"/>
                <w:lang w:val="en-GB"/>
              </w:rPr>
              <w:t>50</w:t>
            </w:r>
          </w:p>
        </w:tc>
        <w:tc>
          <w:tcPr>
            <w:tcW w:w="992" w:type="dxa"/>
            <w:tcBorders>
              <w:top w:val="single" w:sz="4" w:space="0" w:color="auto"/>
              <w:bottom w:val="single" w:sz="4" w:space="0" w:color="auto"/>
            </w:tcBorders>
          </w:tcPr>
          <w:p w14:paraId="33BA7A63" w14:textId="77777777" w:rsidR="00191534" w:rsidRPr="00D14972" w:rsidRDefault="00191534" w:rsidP="00191534">
            <w:pPr>
              <w:rPr>
                <w:rFonts w:ascii="Arial" w:hAnsi="Arial" w:cs="Arial"/>
                <w:lang w:val="en-GB"/>
              </w:rPr>
            </w:pPr>
            <w:r w:rsidRPr="00D14972">
              <w:rPr>
                <w:rFonts w:ascii="Arial" w:hAnsi="Arial" w:cs="Arial"/>
                <w:lang w:val="en-GB"/>
              </w:rPr>
              <w:t>MIC</w:t>
            </w:r>
            <w:r w:rsidRPr="00D14972">
              <w:rPr>
                <w:rFonts w:ascii="Arial" w:hAnsi="Arial" w:cs="Arial"/>
                <w:vertAlign w:val="subscript"/>
                <w:lang w:val="en-GB"/>
              </w:rPr>
              <w:t>90</w:t>
            </w:r>
          </w:p>
        </w:tc>
        <w:tc>
          <w:tcPr>
            <w:tcW w:w="992" w:type="dxa"/>
            <w:tcBorders>
              <w:top w:val="single" w:sz="4" w:space="0" w:color="auto"/>
              <w:bottom w:val="single" w:sz="4" w:space="0" w:color="auto"/>
            </w:tcBorders>
          </w:tcPr>
          <w:p w14:paraId="13F5EE67" w14:textId="77777777" w:rsidR="00191534" w:rsidRPr="00D14972" w:rsidRDefault="00191534" w:rsidP="00191534">
            <w:pPr>
              <w:rPr>
                <w:rFonts w:ascii="Arial" w:hAnsi="Arial" w:cs="Arial"/>
                <w:lang w:val="en-GB"/>
              </w:rPr>
            </w:pPr>
            <w:r w:rsidRPr="00D14972">
              <w:rPr>
                <w:rFonts w:ascii="Arial" w:hAnsi="Arial" w:cs="Arial"/>
                <w:lang w:val="en-GB"/>
              </w:rPr>
              <w:t>range</w:t>
            </w:r>
          </w:p>
        </w:tc>
        <w:tc>
          <w:tcPr>
            <w:tcW w:w="992" w:type="dxa"/>
            <w:tcBorders>
              <w:top w:val="single" w:sz="4" w:space="0" w:color="auto"/>
              <w:bottom w:val="single" w:sz="4" w:space="0" w:color="auto"/>
            </w:tcBorders>
          </w:tcPr>
          <w:p w14:paraId="5CC78F00" w14:textId="77777777" w:rsidR="00191534" w:rsidRPr="00D14972" w:rsidRDefault="00191534" w:rsidP="00191534">
            <w:pPr>
              <w:rPr>
                <w:rFonts w:ascii="Arial" w:hAnsi="Arial" w:cs="Arial"/>
                <w:lang w:val="en-GB"/>
              </w:rPr>
            </w:pPr>
            <w:r w:rsidRPr="00D14972">
              <w:rPr>
                <w:rFonts w:ascii="Arial" w:hAnsi="Arial" w:cs="Arial"/>
                <w:lang w:val="en-GB"/>
              </w:rPr>
              <w:t>MIC mean (SD)</w:t>
            </w:r>
          </w:p>
        </w:tc>
        <w:tc>
          <w:tcPr>
            <w:tcW w:w="1047" w:type="dxa"/>
            <w:tcBorders>
              <w:top w:val="single" w:sz="4" w:space="0" w:color="auto"/>
              <w:bottom w:val="single" w:sz="4" w:space="0" w:color="auto"/>
            </w:tcBorders>
          </w:tcPr>
          <w:p w14:paraId="6EC5EBEF" w14:textId="77777777" w:rsidR="00191534" w:rsidRPr="00D14972" w:rsidRDefault="00191534" w:rsidP="00191534">
            <w:pPr>
              <w:rPr>
                <w:rFonts w:ascii="Arial" w:hAnsi="Arial" w:cs="Arial"/>
                <w:lang w:val="en-GB"/>
              </w:rPr>
            </w:pPr>
            <w:r w:rsidRPr="00D14972">
              <w:rPr>
                <w:rFonts w:ascii="Arial" w:hAnsi="Arial" w:cs="Arial"/>
                <w:lang w:val="en-GB"/>
              </w:rPr>
              <w:t>MIC</w:t>
            </w:r>
            <w:r w:rsidRPr="00D14972">
              <w:rPr>
                <w:rFonts w:ascii="Arial" w:hAnsi="Arial" w:cs="Arial"/>
                <w:vertAlign w:val="subscript"/>
                <w:lang w:val="en-GB"/>
              </w:rPr>
              <w:t>50</w:t>
            </w:r>
          </w:p>
        </w:tc>
        <w:tc>
          <w:tcPr>
            <w:tcW w:w="910" w:type="dxa"/>
            <w:tcBorders>
              <w:top w:val="single" w:sz="4" w:space="0" w:color="auto"/>
              <w:bottom w:val="single" w:sz="4" w:space="0" w:color="auto"/>
            </w:tcBorders>
          </w:tcPr>
          <w:p w14:paraId="39F9101C" w14:textId="77777777" w:rsidR="00191534" w:rsidRPr="00D14972" w:rsidRDefault="00191534" w:rsidP="00191534">
            <w:pPr>
              <w:rPr>
                <w:rFonts w:ascii="Arial" w:hAnsi="Arial" w:cs="Arial"/>
                <w:lang w:val="en-GB"/>
              </w:rPr>
            </w:pPr>
            <w:r w:rsidRPr="00D14972">
              <w:rPr>
                <w:rFonts w:ascii="Arial" w:hAnsi="Arial" w:cs="Arial"/>
                <w:lang w:val="en-GB"/>
              </w:rPr>
              <w:t>MIC</w:t>
            </w:r>
            <w:r w:rsidRPr="00D14972">
              <w:rPr>
                <w:rFonts w:ascii="Arial" w:hAnsi="Arial" w:cs="Arial"/>
                <w:vertAlign w:val="subscript"/>
                <w:lang w:val="en-GB"/>
              </w:rPr>
              <w:t>90</w:t>
            </w:r>
          </w:p>
        </w:tc>
      </w:tr>
      <w:tr w:rsidR="00191534" w:rsidRPr="00D14972" w14:paraId="25901A91" w14:textId="77777777" w:rsidTr="00191534">
        <w:tc>
          <w:tcPr>
            <w:tcW w:w="1147" w:type="dxa"/>
            <w:vMerge w:val="restart"/>
            <w:tcBorders>
              <w:top w:val="single" w:sz="4" w:space="0" w:color="auto"/>
            </w:tcBorders>
          </w:tcPr>
          <w:p w14:paraId="4A0017D1" w14:textId="77777777" w:rsidR="00191534" w:rsidRPr="00D14972" w:rsidRDefault="00191534" w:rsidP="00191534">
            <w:pPr>
              <w:rPr>
                <w:rFonts w:ascii="Arial" w:hAnsi="Arial" w:cs="Arial"/>
                <w:lang w:val="en-GB"/>
              </w:rPr>
            </w:pPr>
            <w:r w:rsidRPr="00D14972">
              <w:rPr>
                <w:rFonts w:ascii="Arial" w:hAnsi="Arial" w:cs="Arial"/>
                <w:lang w:val="en-GB"/>
              </w:rPr>
              <w:t xml:space="preserve">Group I </w:t>
            </w:r>
          </w:p>
        </w:tc>
        <w:tc>
          <w:tcPr>
            <w:tcW w:w="946" w:type="dxa"/>
            <w:vMerge w:val="restart"/>
            <w:tcBorders>
              <w:top w:val="single" w:sz="4" w:space="0" w:color="auto"/>
            </w:tcBorders>
          </w:tcPr>
          <w:p w14:paraId="009E9741" w14:textId="77777777" w:rsidR="00191534" w:rsidRPr="00D14972" w:rsidRDefault="00191534" w:rsidP="00191534">
            <w:pPr>
              <w:rPr>
                <w:rFonts w:ascii="Arial" w:hAnsi="Arial" w:cs="Arial"/>
                <w:lang w:val="en-GB"/>
              </w:rPr>
            </w:pPr>
            <w:r w:rsidRPr="00D14972">
              <w:rPr>
                <w:rFonts w:ascii="Arial" w:hAnsi="Arial" w:cs="Arial"/>
                <w:lang w:val="en-GB"/>
              </w:rPr>
              <w:t>13</w:t>
            </w:r>
          </w:p>
        </w:tc>
        <w:tc>
          <w:tcPr>
            <w:tcW w:w="1134" w:type="dxa"/>
            <w:tcBorders>
              <w:top w:val="single" w:sz="4" w:space="0" w:color="auto"/>
            </w:tcBorders>
          </w:tcPr>
          <w:p w14:paraId="5F1D426C" w14:textId="77777777" w:rsidR="00191534" w:rsidRPr="00D14972" w:rsidRDefault="00191534" w:rsidP="00191534">
            <w:pPr>
              <w:rPr>
                <w:rFonts w:ascii="Arial" w:hAnsi="Arial" w:cs="Arial"/>
                <w:lang w:val="en-GB"/>
              </w:rPr>
            </w:pPr>
            <w:r w:rsidRPr="00D14972">
              <w:rPr>
                <w:rFonts w:ascii="Arial" w:hAnsi="Arial" w:cs="Arial"/>
                <w:lang w:val="en-GB"/>
              </w:rPr>
              <w:t>3 days</w:t>
            </w:r>
          </w:p>
        </w:tc>
        <w:tc>
          <w:tcPr>
            <w:tcW w:w="850" w:type="dxa"/>
            <w:tcBorders>
              <w:top w:val="single" w:sz="4" w:space="0" w:color="auto"/>
            </w:tcBorders>
          </w:tcPr>
          <w:p w14:paraId="008A10B7" w14:textId="77777777" w:rsidR="00191534" w:rsidRPr="00D14972" w:rsidRDefault="00191534" w:rsidP="00191534">
            <w:pPr>
              <w:rPr>
                <w:rFonts w:ascii="Arial" w:hAnsi="Arial" w:cs="Arial"/>
                <w:lang w:val="en-GB"/>
              </w:rPr>
            </w:pPr>
            <w:r w:rsidRPr="00D14972">
              <w:rPr>
                <w:rFonts w:ascii="Arial" w:hAnsi="Arial" w:cs="Arial"/>
                <w:lang w:val="en-GB"/>
              </w:rPr>
              <w:t>1-16</w:t>
            </w:r>
          </w:p>
        </w:tc>
        <w:tc>
          <w:tcPr>
            <w:tcW w:w="851" w:type="dxa"/>
            <w:tcBorders>
              <w:top w:val="single" w:sz="4" w:space="0" w:color="auto"/>
            </w:tcBorders>
          </w:tcPr>
          <w:p w14:paraId="4BAFF580" w14:textId="77777777" w:rsidR="00191534" w:rsidRPr="00D14972" w:rsidRDefault="00191534" w:rsidP="00191534">
            <w:pPr>
              <w:rPr>
                <w:rFonts w:ascii="Arial" w:hAnsi="Arial" w:cs="Arial"/>
                <w:lang w:val="en-GB"/>
              </w:rPr>
            </w:pPr>
            <w:r w:rsidRPr="00D14972">
              <w:rPr>
                <w:rFonts w:ascii="Arial" w:hAnsi="Arial" w:cs="Arial"/>
                <w:lang w:val="en-GB"/>
              </w:rPr>
              <w:t>4.4</w:t>
            </w:r>
            <w:r w:rsidRPr="00D14972">
              <w:rPr>
                <w:rFonts w:ascii="Arial" w:hAnsi="Arial" w:cs="Arial"/>
                <w:vertAlign w:val="superscript"/>
                <w:lang w:val="en-GB"/>
              </w:rPr>
              <w:t>f</w:t>
            </w:r>
            <w:r w:rsidRPr="00D14972">
              <w:rPr>
                <w:rFonts w:ascii="Arial" w:hAnsi="Arial" w:cs="Arial"/>
                <w:lang w:val="en-GB"/>
              </w:rPr>
              <w:t xml:space="preserve"> </w:t>
            </w:r>
          </w:p>
          <w:p w14:paraId="386A121C" w14:textId="77777777" w:rsidR="00191534" w:rsidRPr="00D14972" w:rsidRDefault="00191534" w:rsidP="00191534">
            <w:pPr>
              <w:rPr>
                <w:rFonts w:ascii="Arial" w:hAnsi="Arial" w:cs="Arial"/>
                <w:lang w:val="en-GB"/>
              </w:rPr>
            </w:pPr>
            <w:r w:rsidRPr="00D14972">
              <w:rPr>
                <w:rFonts w:ascii="Arial" w:hAnsi="Arial" w:cs="Arial"/>
                <w:lang w:val="en-GB"/>
              </w:rPr>
              <w:t>(5.2)</w:t>
            </w:r>
          </w:p>
        </w:tc>
        <w:tc>
          <w:tcPr>
            <w:tcW w:w="850" w:type="dxa"/>
            <w:tcBorders>
              <w:top w:val="single" w:sz="4" w:space="0" w:color="auto"/>
            </w:tcBorders>
          </w:tcPr>
          <w:p w14:paraId="58457C9C" w14:textId="77777777" w:rsidR="00191534" w:rsidRPr="00D14972" w:rsidRDefault="00191534" w:rsidP="00191534">
            <w:pPr>
              <w:rPr>
                <w:rFonts w:ascii="Arial" w:hAnsi="Arial" w:cs="Arial"/>
                <w:lang w:val="en-GB"/>
              </w:rPr>
            </w:pPr>
            <w:r w:rsidRPr="00D14972">
              <w:rPr>
                <w:rFonts w:ascii="Arial" w:hAnsi="Arial" w:cs="Arial"/>
                <w:lang w:val="en-GB"/>
              </w:rPr>
              <w:t>2</w:t>
            </w:r>
          </w:p>
        </w:tc>
        <w:tc>
          <w:tcPr>
            <w:tcW w:w="1134" w:type="dxa"/>
            <w:tcBorders>
              <w:top w:val="single" w:sz="4" w:space="0" w:color="auto"/>
            </w:tcBorders>
          </w:tcPr>
          <w:p w14:paraId="7CCA4E9A" w14:textId="77777777" w:rsidR="00191534" w:rsidRPr="00D14972" w:rsidRDefault="00191534" w:rsidP="00191534">
            <w:pPr>
              <w:rPr>
                <w:rFonts w:ascii="Arial" w:hAnsi="Arial" w:cs="Arial"/>
                <w:lang w:val="en-GB"/>
              </w:rPr>
            </w:pPr>
            <w:r w:rsidRPr="00D14972">
              <w:rPr>
                <w:rFonts w:ascii="Arial" w:hAnsi="Arial" w:cs="Arial"/>
                <w:lang w:val="en-GB"/>
              </w:rPr>
              <w:t>4</w:t>
            </w:r>
          </w:p>
        </w:tc>
        <w:tc>
          <w:tcPr>
            <w:tcW w:w="993" w:type="dxa"/>
            <w:tcBorders>
              <w:top w:val="single" w:sz="4" w:space="0" w:color="auto"/>
            </w:tcBorders>
          </w:tcPr>
          <w:p w14:paraId="7836534B" w14:textId="77777777" w:rsidR="00191534" w:rsidRPr="00D14972" w:rsidRDefault="00191534" w:rsidP="00191534">
            <w:pPr>
              <w:rPr>
                <w:rFonts w:ascii="Arial" w:hAnsi="Arial" w:cs="Arial"/>
                <w:lang w:val="en-GB"/>
              </w:rPr>
            </w:pPr>
            <w:r w:rsidRPr="00D14972">
              <w:rPr>
                <w:rFonts w:ascii="Arial" w:hAnsi="Arial" w:cs="Arial"/>
                <w:lang w:val="en-GB"/>
              </w:rPr>
              <w:t>0.5-16</w:t>
            </w:r>
          </w:p>
        </w:tc>
        <w:tc>
          <w:tcPr>
            <w:tcW w:w="1134" w:type="dxa"/>
            <w:tcBorders>
              <w:top w:val="single" w:sz="4" w:space="0" w:color="auto"/>
            </w:tcBorders>
          </w:tcPr>
          <w:p w14:paraId="57264D12" w14:textId="77777777" w:rsidR="00191534" w:rsidRPr="00D14972" w:rsidRDefault="00191534" w:rsidP="00191534">
            <w:pPr>
              <w:rPr>
                <w:rFonts w:ascii="Arial" w:hAnsi="Arial" w:cs="Arial"/>
                <w:vertAlign w:val="superscript"/>
                <w:lang w:val="en-GB"/>
              </w:rPr>
            </w:pPr>
            <w:r w:rsidRPr="00D14972">
              <w:rPr>
                <w:rFonts w:ascii="Arial" w:hAnsi="Arial" w:cs="Arial"/>
                <w:lang w:val="en-GB"/>
              </w:rPr>
              <w:t>4.5</w:t>
            </w:r>
            <w:r w:rsidRPr="00D14972">
              <w:rPr>
                <w:rFonts w:ascii="Arial" w:hAnsi="Arial" w:cs="Arial"/>
                <w:vertAlign w:val="superscript"/>
                <w:lang w:val="en-GB"/>
              </w:rPr>
              <w:t>a, e</w:t>
            </w:r>
          </w:p>
          <w:p w14:paraId="736789DF" w14:textId="77777777" w:rsidR="00191534" w:rsidRPr="00D14972" w:rsidRDefault="00191534" w:rsidP="00191534">
            <w:pPr>
              <w:rPr>
                <w:rFonts w:ascii="Arial" w:hAnsi="Arial" w:cs="Arial"/>
                <w:lang w:val="en-GB"/>
              </w:rPr>
            </w:pPr>
            <w:r w:rsidRPr="00D14972">
              <w:rPr>
                <w:rFonts w:ascii="Arial" w:hAnsi="Arial" w:cs="Arial"/>
                <w:lang w:val="en-GB"/>
              </w:rPr>
              <w:t>(5.2)</w:t>
            </w:r>
          </w:p>
        </w:tc>
        <w:tc>
          <w:tcPr>
            <w:tcW w:w="992" w:type="dxa"/>
            <w:tcBorders>
              <w:top w:val="single" w:sz="4" w:space="0" w:color="auto"/>
            </w:tcBorders>
          </w:tcPr>
          <w:p w14:paraId="66212426" w14:textId="77777777" w:rsidR="00191534" w:rsidRPr="00D14972" w:rsidRDefault="00191534" w:rsidP="00191534">
            <w:pPr>
              <w:rPr>
                <w:rFonts w:ascii="Arial" w:hAnsi="Arial" w:cs="Arial"/>
                <w:lang w:val="en-GB"/>
              </w:rPr>
            </w:pPr>
            <w:r w:rsidRPr="00D14972">
              <w:rPr>
                <w:rFonts w:ascii="Arial" w:hAnsi="Arial" w:cs="Arial"/>
                <w:lang w:val="en-GB"/>
              </w:rPr>
              <w:t>2</w:t>
            </w:r>
          </w:p>
        </w:tc>
        <w:tc>
          <w:tcPr>
            <w:tcW w:w="992" w:type="dxa"/>
            <w:tcBorders>
              <w:top w:val="single" w:sz="4" w:space="0" w:color="auto"/>
            </w:tcBorders>
          </w:tcPr>
          <w:p w14:paraId="2074B4A0" w14:textId="77777777" w:rsidR="00191534" w:rsidRPr="00D14972" w:rsidRDefault="00191534" w:rsidP="00191534">
            <w:pPr>
              <w:rPr>
                <w:rFonts w:ascii="Arial" w:hAnsi="Arial" w:cs="Arial"/>
                <w:lang w:val="en-GB"/>
              </w:rPr>
            </w:pPr>
            <w:r w:rsidRPr="00D14972">
              <w:rPr>
                <w:rFonts w:ascii="Arial" w:hAnsi="Arial" w:cs="Arial"/>
                <w:lang w:val="en-GB"/>
              </w:rPr>
              <w:t>8</w:t>
            </w:r>
          </w:p>
        </w:tc>
        <w:tc>
          <w:tcPr>
            <w:tcW w:w="992" w:type="dxa"/>
            <w:tcBorders>
              <w:top w:val="single" w:sz="4" w:space="0" w:color="auto"/>
            </w:tcBorders>
          </w:tcPr>
          <w:p w14:paraId="38422A67" w14:textId="77777777" w:rsidR="00191534" w:rsidRPr="00D14972" w:rsidRDefault="00191534" w:rsidP="00191534">
            <w:pPr>
              <w:rPr>
                <w:rFonts w:ascii="Arial" w:hAnsi="Arial" w:cs="Arial"/>
                <w:lang w:val="en-GB"/>
              </w:rPr>
            </w:pPr>
            <w:r w:rsidRPr="00D14972">
              <w:rPr>
                <w:rFonts w:ascii="Arial" w:hAnsi="Arial" w:cs="Arial"/>
                <w:lang w:val="en-GB"/>
              </w:rPr>
              <w:t>0.25-4</w:t>
            </w:r>
          </w:p>
        </w:tc>
        <w:tc>
          <w:tcPr>
            <w:tcW w:w="992" w:type="dxa"/>
            <w:tcBorders>
              <w:top w:val="single" w:sz="4" w:space="0" w:color="auto"/>
            </w:tcBorders>
          </w:tcPr>
          <w:p w14:paraId="5D6187CF" w14:textId="77777777" w:rsidR="00191534" w:rsidRPr="00D14972" w:rsidRDefault="00191534" w:rsidP="00191534">
            <w:pPr>
              <w:rPr>
                <w:rFonts w:ascii="Arial" w:hAnsi="Arial" w:cs="Arial"/>
                <w:lang w:val="en-GB"/>
              </w:rPr>
            </w:pPr>
            <w:r w:rsidRPr="00D14972">
              <w:rPr>
                <w:rFonts w:ascii="Arial" w:hAnsi="Arial" w:cs="Arial"/>
                <w:lang w:val="en-GB"/>
              </w:rPr>
              <w:t>1.5</w:t>
            </w:r>
            <w:r w:rsidRPr="00D14972">
              <w:rPr>
                <w:rFonts w:ascii="Arial" w:hAnsi="Arial" w:cs="Arial"/>
                <w:vertAlign w:val="superscript"/>
                <w:lang w:val="en-GB"/>
              </w:rPr>
              <w:t>a, i</w:t>
            </w:r>
            <w:r w:rsidRPr="00D14972">
              <w:rPr>
                <w:rFonts w:ascii="Arial" w:hAnsi="Arial" w:cs="Arial"/>
                <w:lang w:val="en-GB"/>
              </w:rPr>
              <w:t xml:space="preserve"> (1.4) </w:t>
            </w:r>
          </w:p>
        </w:tc>
        <w:tc>
          <w:tcPr>
            <w:tcW w:w="1047" w:type="dxa"/>
            <w:tcBorders>
              <w:top w:val="single" w:sz="4" w:space="0" w:color="auto"/>
            </w:tcBorders>
          </w:tcPr>
          <w:p w14:paraId="01A3FA9A" w14:textId="77777777" w:rsidR="00191534" w:rsidRPr="00D14972" w:rsidRDefault="00191534" w:rsidP="00191534">
            <w:pPr>
              <w:rPr>
                <w:rFonts w:ascii="Arial" w:hAnsi="Arial" w:cs="Arial"/>
                <w:lang w:val="en-GB"/>
              </w:rPr>
            </w:pPr>
            <w:r w:rsidRPr="00D14972">
              <w:rPr>
                <w:rFonts w:ascii="Arial" w:hAnsi="Arial" w:cs="Arial"/>
                <w:lang w:val="en-GB"/>
              </w:rPr>
              <w:t>0. 5</w:t>
            </w:r>
          </w:p>
        </w:tc>
        <w:tc>
          <w:tcPr>
            <w:tcW w:w="910" w:type="dxa"/>
            <w:tcBorders>
              <w:top w:val="single" w:sz="4" w:space="0" w:color="auto"/>
            </w:tcBorders>
          </w:tcPr>
          <w:p w14:paraId="0AD196BA" w14:textId="77777777" w:rsidR="00191534" w:rsidRPr="00D14972" w:rsidRDefault="00191534" w:rsidP="00191534">
            <w:pPr>
              <w:rPr>
                <w:rFonts w:ascii="Arial" w:hAnsi="Arial" w:cs="Arial"/>
                <w:lang w:val="en-GB"/>
              </w:rPr>
            </w:pPr>
            <w:r w:rsidRPr="00D14972">
              <w:rPr>
                <w:rFonts w:ascii="Arial" w:hAnsi="Arial" w:cs="Arial"/>
                <w:lang w:val="en-GB"/>
              </w:rPr>
              <w:t>2</w:t>
            </w:r>
          </w:p>
        </w:tc>
      </w:tr>
      <w:tr w:rsidR="00191534" w:rsidRPr="00D14972" w14:paraId="5BFA8B7F" w14:textId="77777777" w:rsidTr="00191534">
        <w:trPr>
          <w:trHeight w:val="299"/>
        </w:trPr>
        <w:tc>
          <w:tcPr>
            <w:tcW w:w="1147" w:type="dxa"/>
            <w:vMerge/>
          </w:tcPr>
          <w:p w14:paraId="2457E61C" w14:textId="77777777" w:rsidR="00191534" w:rsidRPr="00D14972" w:rsidRDefault="00191534" w:rsidP="00191534">
            <w:pPr>
              <w:rPr>
                <w:rFonts w:ascii="Arial" w:hAnsi="Arial" w:cs="Arial"/>
                <w:lang w:val="en-GB"/>
              </w:rPr>
            </w:pPr>
          </w:p>
        </w:tc>
        <w:tc>
          <w:tcPr>
            <w:tcW w:w="946" w:type="dxa"/>
            <w:vMerge/>
          </w:tcPr>
          <w:p w14:paraId="5B238F8F" w14:textId="77777777" w:rsidR="00191534" w:rsidRPr="00D14972" w:rsidRDefault="00191534" w:rsidP="00191534">
            <w:pPr>
              <w:rPr>
                <w:rFonts w:ascii="Arial" w:hAnsi="Arial" w:cs="Arial"/>
                <w:lang w:val="en-GB"/>
              </w:rPr>
            </w:pPr>
          </w:p>
        </w:tc>
        <w:tc>
          <w:tcPr>
            <w:tcW w:w="1134" w:type="dxa"/>
          </w:tcPr>
          <w:p w14:paraId="7E4738CD" w14:textId="77777777" w:rsidR="00191534" w:rsidRPr="00D14972" w:rsidRDefault="00191534" w:rsidP="00191534">
            <w:pPr>
              <w:rPr>
                <w:rFonts w:ascii="Arial" w:hAnsi="Arial" w:cs="Arial"/>
                <w:lang w:val="en-GB"/>
              </w:rPr>
            </w:pPr>
            <w:r w:rsidRPr="00D14972">
              <w:rPr>
                <w:rFonts w:ascii="Arial" w:hAnsi="Arial" w:cs="Arial"/>
                <w:lang w:val="en-GB"/>
              </w:rPr>
              <w:t>7 days</w:t>
            </w:r>
          </w:p>
        </w:tc>
        <w:tc>
          <w:tcPr>
            <w:tcW w:w="850" w:type="dxa"/>
          </w:tcPr>
          <w:p w14:paraId="0D5AFC86" w14:textId="77777777" w:rsidR="00191534" w:rsidRPr="00D14972" w:rsidRDefault="00191534" w:rsidP="00191534">
            <w:pPr>
              <w:rPr>
                <w:rFonts w:ascii="Arial" w:hAnsi="Arial" w:cs="Arial"/>
                <w:lang w:val="en-GB"/>
              </w:rPr>
            </w:pPr>
            <w:r w:rsidRPr="00D14972">
              <w:rPr>
                <w:rFonts w:ascii="Arial" w:hAnsi="Arial" w:cs="Arial"/>
                <w:lang w:val="en-GB"/>
              </w:rPr>
              <w:t>1-16</w:t>
            </w:r>
          </w:p>
        </w:tc>
        <w:tc>
          <w:tcPr>
            <w:tcW w:w="851" w:type="dxa"/>
          </w:tcPr>
          <w:p w14:paraId="76965174" w14:textId="77777777" w:rsidR="00191534" w:rsidRPr="00D14972" w:rsidRDefault="00191534" w:rsidP="00191534">
            <w:pPr>
              <w:rPr>
                <w:rFonts w:ascii="Arial" w:hAnsi="Arial" w:cs="Arial"/>
                <w:vertAlign w:val="superscript"/>
                <w:lang w:val="en-GB"/>
              </w:rPr>
            </w:pPr>
            <w:r w:rsidRPr="00D14972">
              <w:rPr>
                <w:rFonts w:ascii="Arial" w:hAnsi="Arial" w:cs="Arial"/>
                <w:lang w:val="en-GB"/>
              </w:rPr>
              <w:t>5.5</w:t>
            </w:r>
            <w:r w:rsidRPr="00D14972">
              <w:rPr>
                <w:rFonts w:ascii="Arial" w:hAnsi="Arial" w:cs="Arial"/>
                <w:vertAlign w:val="superscript"/>
                <w:lang w:val="en-GB"/>
              </w:rPr>
              <w:t>b, g</w:t>
            </w:r>
          </w:p>
          <w:p w14:paraId="7FBFD8DB" w14:textId="77777777" w:rsidR="00191534" w:rsidRPr="00D14972" w:rsidRDefault="00191534" w:rsidP="00191534">
            <w:pPr>
              <w:rPr>
                <w:rFonts w:ascii="Arial" w:hAnsi="Arial" w:cs="Arial"/>
                <w:lang w:val="en-GB"/>
              </w:rPr>
            </w:pPr>
            <w:r w:rsidRPr="00D14972">
              <w:rPr>
                <w:rFonts w:ascii="Arial" w:hAnsi="Arial" w:cs="Arial"/>
                <w:lang w:val="en-GB"/>
              </w:rPr>
              <w:t xml:space="preserve">(5.9) </w:t>
            </w:r>
          </w:p>
        </w:tc>
        <w:tc>
          <w:tcPr>
            <w:tcW w:w="850" w:type="dxa"/>
          </w:tcPr>
          <w:p w14:paraId="7DEF445D" w14:textId="77777777" w:rsidR="00191534" w:rsidRPr="00D14972" w:rsidRDefault="00191534" w:rsidP="00191534">
            <w:pPr>
              <w:rPr>
                <w:rFonts w:ascii="Arial" w:hAnsi="Arial" w:cs="Arial"/>
                <w:lang w:val="en-GB"/>
              </w:rPr>
            </w:pPr>
            <w:r w:rsidRPr="00D14972">
              <w:rPr>
                <w:rFonts w:ascii="Arial" w:hAnsi="Arial" w:cs="Arial"/>
                <w:lang w:val="en-GB"/>
              </w:rPr>
              <w:t>2</w:t>
            </w:r>
          </w:p>
        </w:tc>
        <w:tc>
          <w:tcPr>
            <w:tcW w:w="1134" w:type="dxa"/>
          </w:tcPr>
          <w:p w14:paraId="5F1E98E6" w14:textId="77777777" w:rsidR="00191534" w:rsidRPr="00D14972" w:rsidRDefault="00191534" w:rsidP="00191534">
            <w:pPr>
              <w:rPr>
                <w:rFonts w:ascii="Arial" w:hAnsi="Arial" w:cs="Arial"/>
                <w:lang w:val="en-GB"/>
              </w:rPr>
            </w:pPr>
            <w:r w:rsidRPr="00D14972">
              <w:rPr>
                <w:rFonts w:ascii="Arial" w:hAnsi="Arial" w:cs="Arial"/>
                <w:lang w:val="en-GB"/>
              </w:rPr>
              <w:t>8</w:t>
            </w:r>
          </w:p>
        </w:tc>
        <w:tc>
          <w:tcPr>
            <w:tcW w:w="993" w:type="dxa"/>
          </w:tcPr>
          <w:p w14:paraId="33DC85CC" w14:textId="77777777" w:rsidR="00191534" w:rsidRPr="00D14972" w:rsidRDefault="00191534" w:rsidP="00191534">
            <w:pPr>
              <w:rPr>
                <w:rFonts w:ascii="Arial" w:hAnsi="Arial" w:cs="Arial"/>
                <w:lang w:val="en-GB"/>
              </w:rPr>
            </w:pPr>
            <w:r w:rsidRPr="00D14972">
              <w:rPr>
                <w:rFonts w:ascii="Arial" w:hAnsi="Arial" w:cs="Arial"/>
                <w:lang w:val="en-GB"/>
              </w:rPr>
              <w:t>0.5-16</w:t>
            </w:r>
          </w:p>
        </w:tc>
        <w:tc>
          <w:tcPr>
            <w:tcW w:w="1134" w:type="dxa"/>
          </w:tcPr>
          <w:p w14:paraId="2E05BF93" w14:textId="77777777" w:rsidR="00191534" w:rsidRPr="00D14972" w:rsidRDefault="00191534" w:rsidP="00191534">
            <w:pPr>
              <w:rPr>
                <w:rFonts w:ascii="Arial" w:hAnsi="Arial" w:cs="Arial"/>
                <w:vertAlign w:val="superscript"/>
                <w:lang w:val="en-GB"/>
              </w:rPr>
            </w:pPr>
            <w:r w:rsidRPr="00D14972">
              <w:rPr>
                <w:rFonts w:ascii="Arial" w:hAnsi="Arial" w:cs="Arial"/>
                <w:lang w:val="en-GB"/>
              </w:rPr>
              <w:t>5.4</w:t>
            </w:r>
            <w:r w:rsidRPr="00D14972">
              <w:rPr>
                <w:rFonts w:ascii="Arial" w:hAnsi="Arial" w:cs="Arial"/>
                <w:vertAlign w:val="superscript"/>
                <w:lang w:val="en-GB"/>
              </w:rPr>
              <w:t>c, h</w:t>
            </w:r>
          </w:p>
          <w:p w14:paraId="2D93236D" w14:textId="77777777" w:rsidR="00191534" w:rsidRPr="00D14972" w:rsidRDefault="00191534" w:rsidP="00191534">
            <w:pPr>
              <w:rPr>
                <w:rFonts w:ascii="Arial" w:hAnsi="Arial" w:cs="Arial"/>
                <w:lang w:val="en-GB"/>
              </w:rPr>
            </w:pPr>
            <w:r w:rsidRPr="00D14972">
              <w:rPr>
                <w:rFonts w:ascii="Arial" w:hAnsi="Arial" w:cs="Arial"/>
                <w:lang w:val="en-GB"/>
              </w:rPr>
              <w:t xml:space="preserve">(5.9) </w:t>
            </w:r>
          </w:p>
        </w:tc>
        <w:tc>
          <w:tcPr>
            <w:tcW w:w="992" w:type="dxa"/>
          </w:tcPr>
          <w:p w14:paraId="00C2C8D8" w14:textId="77777777" w:rsidR="00191534" w:rsidRPr="00D14972" w:rsidRDefault="00191534" w:rsidP="00191534">
            <w:pPr>
              <w:rPr>
                <w:rFonts w:ascii="Arial" w:hAnsi="Arial" w:cs="Arial"/>
                <w:lang w:val="en-GB"/>
              </w:rPr>
            </w:pPr>
            <w:r w:rsidRPr="00D14972">
              <w:rPr>
                <w:rFonts w:ascii="Arial" w:hAnsi="Arial" w:cs="Arial"/>
                <w:lang w:val="en-GB"/>
              </w:rPr>
              <w:t>2</w:t>
            </w:r>
          </w:p>
        </w:tc>
        <w:tc>
          <w:tcPr>
            <w:tcW w:w="992" w:type="dxa"/>
          </w:tcPr>
          <w:p w14:paraId="4B9FBB71" w14:textId="77777777" w:rsidR="00191534" w:rsidRPr="00D14972" w:rsidRDefault="00191534" w:rsidP="00191534">
            <w:pPr>
              <w:rPr>
                <w:rFonts w:ascii="Arial" w:hAnsi="Arial" w:cs="Arial"/>
                <w:lang w:val="en-GB"/>
              </w:rPr>
            </w:pPr>
            <w:r w:rsidRPr="00D14972">
              <w:rPr>
                <w:rFonts w:ascii="Arial" w:hAnsi="Arial" w:cs="Arial"/>
                <w:lang w:val="en-GB"/>
              </w:rPr>
              <w:t>8</w:t>
            </w:r>
          </w:p>
        </w:tc>
        <w:tc>
          <w:tcPr>
            <w:tcW w:w="992" w:type="dxa"/>
          </w:tcPr>
          <w:p w14:paraId="49E6C800" w14:textId="77777777" w:rsidR="00191534" w:rsidRPr="00D14972" w:rsidRDefault="00191534" w:rsidP="00191534">
            <w:pPr>
              <w:rPr>
                <w:rFonts w:ascii="Arial" w:hAnsi="Arial" w:cs="Arial"/>
                <w:lang w:val="en-GB"/>
              </w:rPr>
            </w:pPr>
            <w:r w:rsidRPr="00D14972">
              <w:rPr>
                <w:rFonts w:ascii="Arial" w:hAnsi="Arial" w:cs="Arial"/>
                <w:lang w:val="en-GB"/>
              </w:rPr>
              <w:t>0.008-8</w:t>
            </w:r>
          </w:p>
        </w:tc>
        <w:tc>
          <w:tcPr>
            <w:tcW w:w="992" w:type="dxa"/>
          </w:tcPr>
          <w:p w14:paraId="35938729" w14:textId="77777777" w:rsidR="00191534" w:rsidRPr="00D14972" w:rsidRDefault="00191534" w:rsidP="00191534">
            <w:pPr>
              <w:rPr>
                <w:rFonts w:ascii="Arial" w:hAnsi="Arial" w:cs="Arial"/>
                <w:vertAlign w:val="superscript"/>
                <w:lang w:val="en-GB"/>
              </w:rPr>
            </w:pPr>
            <w:r w:rsidRPr="00D14972">
              <w:rPr>
                <w:rFonts w:ascii="Arial" w:hAnsi="Arial" w:cs="Arial"/>
                <w:lang w:val="en-GB"/>
              </w:rPr>
              <w:t>1.8</w:t>
            </w:r>
            <w:r w:rsidRPr="00D14972">
              <w:rPr>
                <w:rFonts w:ascii="Arial" w:hAnsi="Arial" w:cs="Arial"/>
                <w:vertAlign w:val="superscript"/>
                <w:lang w:val="en-GB"/>
              </w:rPr>
              <w:t>b, c</w:t>
            </w:r>
          </w:p>
          <w:p w14:paraId="77B4FD98" w14:textId="77777777" w:rsidR="00191534" w:rsidRPr="00D14972" w:rsidRDefault="00191534" w:rsidP="00191534">
            <w:pPr>
              <w:rPr>
                <w:rFonts w:ascii="Arial" w:hAnsi="Arial" w:cs="Arial"/>
                <w:lang w:val="en-GB"/>
              </w:rPr>
            </w:pPr>
            <w:r w:rsidRPr="00D14972">
              <w:rPr>
                <w:rFonts w:ascii="Arial" w:hAnsi="Arial" w:cs="Arial"/>
                <w:lang w:val="en-GB"/>
              </w:rPr>
              <w:t xml:space="preserve">(2.2) </w:t>
            </w:r>
          </w:p>
        </w:tc>
        <w:tc>
          <w:tcPr>
            <w:tcW w:w="1047" w:type="dxa"/>
          </w:tcPr>
          <w:p w14:paraId="757197EB" w14:textId="77777777" w:rsidR="00191534" w:rsidRPr="00D14972" w:rsidRDefault="00191534" w:rsidP="00191534">
            <w:pPr>
              <w:rPr>
                <w:rFonts w:ascii="Arial" w:hAnsi="Arial" w:cs="Arial"/>
                <w:lang w:val="en-GB"/>
              </w:rPr>
            </w:pPr>
            <w:r w:rsidRPr="00D14972">
              <w:rPr>
                <w:rFonts w:ascii="Arial" w:hAnsi="Arial" w:cs="Arial"/>
                <w:lang w:val="en-GB"/>
              </w:rPr>
              <w:t>0.5</w:t>
            </w:r>
          </w:p>
        </w:tc>
        <w:tc>
          <w:tcPr>
            <w:tcW w:w="910" w:type="dxa"/>
          </w:tcPr>
          <w:p w14:paraId="21DDFB33" w14:textId="77777777" w:rsidR="00191534" w:rsidRPr="00D14972" w:rsidRDefault="00191534" w:rsidP="00191534">
            <w:pPr>
              <w:rPr>
                <w:rFonts w:ascii="Arial" w:hAnsi="Arial" w:cs="Arial"/>
                <w:lang w:val="en-GB"/>
              </w:rPr>
            </w:pPr>
            <w:r w:rsidRPr="00D14972">
              <w:rPr>
                <w:rFonts w:ascii="Arial" w:hAnsi="Arial" w:cs="Arial"/>
                <w:lang w:val="en-GB"/>
              </w:rPr>
              <w:t>2</w:t>
            </w:r>
          </w:p>
        </w:tc>
      </w:tr>
      <w:tr w:rsidR="00191534" w:rsidRPr="00D14972" w14:paraId="3B5E023D" w14:textId="77777777" w:rsidTr="00191534">
        <w:trPr>
          <w:trHeight w:val="474"/>
        </w:trPr>
        <w:tc>
          <w:tcPr>
            <w:tcW w:w="1147" w:type="dxa"/>
            <w:vMerge w:val="restart"/>
          </w:tcPr>
          <w:p w14:paraId="35C67B47" w14:textId="77777777" w:rsidR="00191534" w:rsidRPr="00D14972" w:rsidRDefault="00191534" w:rsidP="00191534">
            <w:pPr>
              <w:rPr>
                <w:rFonts w:ascii="Arial" w:hAnsi="Arial" w:cs="Arial"/>
                <w:lang w:val="en-GB"/>
              </w:rPr>
            </w:pPr>
            <w:r w:rsidRPr="00D14972">
              <w:rPr>
                <w:rFonts w:ascii="Arial" w:hAnsi="Arial" w:cs="Arial"/>
                <w:lang w:val="en-GB"/>
              </w:rPr>
              <w:t xml:space="preserve">Group II </w:t>
            </w:r>
          </w:p>
        </w:tc>
        <w:tc>
          <w:tcPr>
            <w:tcW w:w="946" w:type="dxa"/>
            <w:vMerge w:val="restart"/>
          </w:tcPr>
          <w:p w14:paraId="1A741B1A" w14:textId="77777777" w:rsidR="00191534" w:rsidRPr="00D14972" w:rsidRDefault="00191534" w:rsidP="00191534">
            <w:pPr>
              <w:rPr>
                <w:rFonts w:ascii="Arial" w:hAnsi="Arial" w:cs="Arial"/>
                <w:lang w:val="en-GB"/>
              </w:rPr>
            </w:pPr>
            <w:r w:rsidRPr="00D14972">
              <w:rPr>
                <w:rFonts w:ascii="Arial" w:hAnsi="Arial" w:cs="Arial"/>
                <w:lang w:val="en-GB"/>
              </w:rPr>
              <w:t>14</w:t>
            </w:r>
          </w:p>
        </w:tc>
        <w:tc>
          <w:tcPr>
            <w:tcW w:w="1134" w:type="dxa"/>
          </w:tcPr>
          <w:p w14:paraId="734072C8" w14:textId="77777777" w:rsidR="00191534" w:rsidRPr="00D14972" w:rsidRDefault="00191534" w:rsidP="00191534">
            <w:pPr>
              <w:rPr>
                <w:rFonts w:ascii="Arial" w:hAnsi="Arial" w:cs="Arial"/>
                <w:lang w:val="en-GB"/>
              </w:rPr>
            </w:pPr>
            <w:r w:rsidRPr="00D14972">
              <w:rPr>
                <w:rFonts w:ascii="Arial" w:hAnsi="Arial" w:cs="Arial"/>
                <w:lang w:val="en-GB"/>
              </w:rPr>
              <w:t>3 days</w:t>
            </w:r>
          </w:p>
        </w:tc>
        <w:tc>
          <w:tcPr>
            <w:tcW w:w="850" w:type="dxa"/>
          </w:tcPr>
          <w:p w14:paraId="0A8067A8" w14:textId="77777777" w:rsidR="00191534" w:rsidRPr="00D14972" w:rsidRDefault="00191534" w:rsidP="00191534">
            <w:pPr>
              <w:rPr>
                <w:rFonts w:ascii="Arial" w:hAnsi="Arial" w:cs="Arial"/>
                <w:lang w:val="en-GB"/>
              </w:rPr>
            </w:pPr>
            <w:r w:rsidRPr="00D14972">
              <w:rPr>
                <w:rFonts w:ascii="Arial" w:hAnsi="Arial" w:cs="Arial"/>
                <w:lang w:val="en-GB"/>
              </w:rPr>
              <w:t>0.008-1</w:t>
            </w:r>
          </w:p>
        </w:tc>
        <w:tc>
          <w:tcPr>
            <w:tcW w:w="851" w:type="dxa"/>
          </w:tcPr>
          <w:p w14:paraId="7B155B63" w14:textId="77777777" w:rsidR="00191534" w:rsidRPr="00D14972" w:rsidRDefault="00191534" w:rsidP="00191534">
            <w:pPr>
              <w:rPr>
                <w:rFonts w:ascii="Arial" w:hAnsi="Arial" w:cs="Arial"/>
                <w:vertAlign w:val="superscript"/>
                <w:lang w:val="en-GB"/>
              </w:rPr>
            </w:pPr>
            <w:r w:rsidRPr="00D14972">
              <w:rPr>
                <w:rFonts w:ascii="Arial" w:hAnsi="Arial" w:cs="Arial"/>
                <w:lang w:val="en-GB"/>
              </w:rPr>
              <w:t>0.8</w:t>
            </w:r>
            <w:r w:rsidRPr="00D14972">
              <w:rPr>
                <w:rFonts w:ascii="Arial" w:hAnsi="Arial" w:cs="Arial"/>
                <w:vertAlign w:val="superscript"/>
                <w:lang w:val="en-GB"/>
              </w:rPr>
              <w:t>d, f</w:t>
            </w:r>
          </w:p>
          <w:p w14:paraId="7D5FF07A" w14:textId="77777777" w:rsidR="00191534" w:rsidRPr="00D14972" w:rsidRDefault="00191534" w:rsidP="00191534">
            <w:pPr>
              <w:rPr>
                <w:rFonts w:ascii="Arial" w:hAnsi="Arial" w:cs="Arial"/>
                <w:lang w:val="en-GB"/>
              </w:rPr>
            </w:pPr>
            <w:r w:rsidRPr="00D14972">
              <w:rPr>
                <w:rFonts w:ascii="Arial" w:hAnsi="Arial" w:cs="Arial"/>
                <w:lang w:val="en-GB"/>
              </w:rPr>
              <w:t xml:space="preserve">(0.5) </w:t>
            </w:r>
          </w:p>
        </w:tc>
        <w:tc>
          <w:tcPr>
            <w:tcW w:w="850" w:type="dxa"/>
          </w:tcPr>
          <w:p w14:paraId="649980EA" w14:textId="77777777" w:rsidR="00191534" w:rsidRPr="00D14972" w:rsidRDefault="00191534" w:rsidP="00191534">
            <w:pPr>
              <w:rPr>
                <w:rFonts w:ascii="Arial" w:hAnsi="Arial" w:cs="Arial"/>
                <w:lang w:val="en-GB"/>
              </w:rPr>
            </w:pPr>
            <w:r w:rsidRPr="00D14972">
              <w:rPr>
                <w:rFonts w:ascii="Arial" w:hAnsi="Arial" w:cs="Arial"/>
                <w:lang w:val="en-GB"/>
              </w:rPr>
              <w:t>1</w:t>
            </w:r>
          </w:p>
        </w:tc>
        <w:tc>
          <w:tcPr>
            <w:tcW w:w="1134" w:type="dxa"/>
          </w:tcPr>
          <w:p w14:paraId="6FF36FF0" w14:textId="77777777" w:rsidR="00191534" w:rsidRPr="00D14972" w:rsidRDefault="00191534" w:rsidP="00191534">
            <w:pPr>
              <w:rPr>
                <w:rFonts w:ascii="Arial" w:hAnsi="Arial" w:cs="Arial"/>
                <w:lang w:val="en-GB"/>
              </w:rPr>
            </w:pPr>
            <w:r w:rsidRPr="00D14972">
              <w:rPr>
                <w:rFonts w:ascii="Arial" w:hAnsi="Arial" w:cs="Arial"/>
                <w:lang w:val="en-GB"/>
              </w:rPr>
              <w:t>1</w:t>
            </w:r>
          </w:p>
        </w:tc>
        <w:tc>
          <w:tcPr>
            <w:tcW w:w="993" w:type="dxa"/>
          </w:tcPr>
          <w:p w14:paraId="691A4FB5" w14:textId="77777777" w:rsidR="00191534" w:rsidRPr="00D14972" w:rsidRDefault="00191534" w:rsidP="00191534">
            <w:pPr>
              <w:rPr>
                <w:rFonts w:ascii="Arial" w:hAnsi="Arial" w:cs="Arial"/>
                <w:lang w:val="en-GB"/>
              </w:rPr>
            </w:pPr>
            <w:r w:rsidRPr="00D14972">
              <w:rPr>
                <w:rFonts w:ascii="Arial" w:hAnsi="Arial" w:cs="Arial"/>
                <w:lang w:val="en-GB"/>
              </w:rPr>
              <w:t>0.008-1</w:t>
            </w:r>
          </w:p>
        </w:tc>
        <w:tc>
          <w:tcPr>
            <w:tcW w:w="1134" w:type="dxa"/>
          </w:tcPr>
          <w:p w14:paraId="3170C6F8" w14:textId="77777777" w:rsidR="00191534" w:rsidRPr="00D14972" w:rsidRDefault="00191534" w:rsidP="00191534">
            <w:pPr>
              <w:rPr>
                <w:rFonts w:ascii="Arial" w:hAnsi="Arial" w:cs="Arial"/>
                <w:vertAlign w:val="superscript"/>
                <w:lang w:val="en-GB"/>
              </w:rPr>
            </w:pPr>
            <w:r w:rsidRPr="00D14972">
              <w:rPr>
                <w:rFonts w:ascii="Arial" w:hAnsi="Arial" w:cs="Arial"/>
                <w:lang w:val="en-GB"/>
              </w:rPr>
              <w:t>0.4</w:t>
            </w:r>
            <w:r w:rsidRPr="00D14972">
              <w:rPr>
                <w:rFonts w:ascii="Arial" w:hAnsi="Arial" w:cs="Arial"/>
                <w:vertAlign w:val="superscript"/>
                <w:lang w:val="en-GB"/>
              </w:rPr>
              <w:t>d, e</w:t>
            </w:r>
          </w:p>
          <w:p w14:paraId="4E8DE75E" w14:textId="77777777" w:rsidR="00191534" w:rsidRPr="00D14972" w:rsidRDefault="00191534" w:rsidP="00191534">
            <w:pPr>
              <w:rPr>
                <w:rFonts w:ascii="Arial" w:hAnsi="Arial" w:cs="Arial"/>
                <w:lang w:val="en-GB"/>
              </w:rPr>
            </w:pPr>
            <w:r w:rsidRPr="00D14972">
              <w:rPr>
                <w:rFonts w:ascii="Arial" w:hAnsi="Arial" w:cs="Arial"/>
                <w:lang w:val="en-GB"/>
              </w:rPr>
              <w:t>(0.3)</w:t>
            </w:r>
          </w:p>
        </w:tc>
        <w:tc>
          <w:tcPr>
            <w:tcW w:w="992" w:type="dxa"/>
          </w:tcPr>
          <w:p w14:paraId="34F1E1BB" w14:textId="77777777" w:rsidR="00191534" w:rsidRPr="00D14972" w:rsidRDefault="00191534" w:rsidP="00191534">
            <w:pPr>
              <w:rPr>
                <w:rFonts w:ascii="Arial" w:hAnsi="Arial" w:cs="Arial"/>
                <w:lang w:val="en-GB"/>
              </w:rPr>
            </w:pPr>
            <w:r w:rsidRPr="00D14972">
              <w:rPr>
                <w:rFonts w:ascii="Arial" w:hAnsi="Arial" w:cs="Arial"/>
                <w:lang w:val="en-GB"/>
              </w:rPr>
              <w:t>0.5</w:t>
            </w:r>
          </w:p>
        </w:tc>
        <w:tc>
          <w:tcPr>
            <w:tcW w:w="992" w:type="dxa"/>
          </w:tcPr>
          <w:p w14:paraId="3E6DA1F1" w14:textId="77777777" w:rsidR="00191534" w:rsidRPr="00D14972" w:rsidRDefault="00191534" w:rsidP="00191534">
            <w:pPr>
              <w:rPr>
                <w:rFonts w:ascii="Arial" w:hAnsi="Arial" w:cs="Arial"/>
                <w:lang w:val="en-GB"/>
              </w:rPr>
            </w:pPr>
            <w:r w:rsidRPr="00D14972">
              <w:rPr>
                <w:rFonts w:ascii="Arial" w:hAnsi="Arial" w:cs="Arial"/>
                <w:lang w:val="en-GB"/>
              </w:rPr>
              <w:t>0.5</w:t>
            </w:r>
          </w:p>
        </w:tc>
        <w:tc>
          <w:tcPr>
            <w:tcW w:w="992" w:type="dxa"/>
          </w:tcPr>
          <w:p w14:paraId="0EEA80AE" w14:textId="77777777" w:rsidR="00191534" w:rsidRPr="00D14972" w:rsidRDefault="00191534" w:rsidP="00191534">
            <w:pPr>
              <w:rPr>
                <w:rFonts w:ascii="Arial" w:hAnsi="Arial" w:cs="Arial"/>
                <w:lang w:val="en-GB"/>
              </w:rPr>
            </w:pPr>
            <w:r w:rsidRPr="00D14972">
              <w:rPr>
                <w:rFonts w:ascii="Arial" w:hAnsi="Arial" w:cs="Arial"/>
                <w:lang w:val="en-GB"/>
              </w:rPr>
              <w:t>0.008-1</w:t>
            </w:r>
          </w:p>
        </w:tc>
        <w:tc>
          <w:tcPr>
            <w:tcW w:w="992" w:type="dxa"/>
          </w:tcPr>
          <w:p w14:paraId="55575CCA" w14:textId="77777777" w:rsidR="00191534" w:rsidRPr="00D14972" w:rsidRDefault="00191534" w:rsidP="00191534">
            <w:pPr>
              <w:rPr>
                <w:rFonts w:ascii="Arial" w:hAnsi="Arial" w:cs="Arial"/>
                <w:vertAlign w:val="superscript"/>
                <w:lang w:val="en-GB"/>
              </w:rPr>
            </w:pPr>
            <w:r w:rsidRPr="00D14972">
              <w:rPr>
                <w:rFonts w:ascii="Arial" w:hAnsi="Arial" w:cs="Arial"/>
                <w:lang w:val="en-GB"/>
              </w:rPr>
              <w:t>0.5</w:t>
            </w:r>
            <w:r w:rsidRPr="00D14972">
              <w:rPr>
                <w:rFonts w:ascii="Arial" w:hAnsi="Arial" w:cs="Arial"/>
                <w:vertAlign w:val="superscript"/>
                <w:lang w:val="en-GB"/>
              </w:rPr>
              <w:t>i</w:t>
            </w:r>
          </w:p>
          <w:p w14:paraId="138F9976" w14:textId="77777777" w:rsidR="00191534" w:rsidRPr="00D14972" w:rsidRDefault="00191534" w:rsidP="00191534">
            <w:pPr>
              <w:rPr>
                <w:rFonts w:ascii="Arial" w:hAnsi="Arial" w:cs="Arial"/>
                <w:lang w:val="en-GB"/>
              </w:rPr>
            </w:pPr>
            <w:r w:rsidRPr="00D14972">
              <w:rPr>
                <w:rFonts w:ascii="Arial" w:hAnsi="Arial" w:cs="Arial"/>
                <w:lang w:val="en-GB"/>
              </w:rPr>
              <w:t>(0.4)</w:t>
            </w:r>
          </w:p>
        </w:tc>
        <w:tc>
          <w:tcPr>
            <w:tcW w:w="1047" w:type="dxa"/>
          </w:tcPr>
          <w:p w14:paraId="06FF02D0" w14:textId="77777777" w:rsidR="00191534" w:rsidRPr="00D14972" w:rsidRDefault="00191534" w:rsidP="00191534">
            <w:pPr>
              <w:rPr>
                <w:rFonts w:ascii="Arial" w:hAnsi="Arial" w:cs="Arial"/>
                <w:lang w:val="en-GB"/>
              </w:rPr>
            </w:pPr>
            <w:r w:rsidRPr="00D14972">
              <w:rPr>
                <w:rFonts w:ascii="Arial" w:hAnsi="Arial" w:cs="Arial"/>
                <w:lang w:val="en-GB"/>
              </w:rPr>
              <w:t>0.5</w:t>
            </w:r>
          </w:p>
        </w:tc>
        <w:tc>
          <w:tcPr>
            <w:tcW w:w="910" w:type="dxa"/>
          </w:tcPr>
          <w:p w14:paraId="001B88DC" w14:textId="77777777" w:rsidR="00191534" w:rsidRPr="00D14972" w:rsidRDefault="00191534" w:rsidP="00191534">
            <w:pPr>
              <w:rPr>
                <w:rFonts w:ascii="Arial" w:hAnsi="Arial" w:cs="Arial"/>
                <w:lang w:val="en-GB"/>
              </w:rPr>
            </w:pPr>
            <w:r w:rsidRPr="00D14972">
              <w:rPr>
                <w:rFonts w:ascii="Arial" w:hAnsi="Arial" w:cs="Arial"/>
                <w:lang w:val="en-GB"/>
              </w:rPr>
              <w:t>1</w:t>
            </w:r>
          </w:p>
        </w:tc>
      </w:tr>
      <w:tr w:rsidR="00191534" w:rsidRPr="00D14972" w14:paraId="5BAFB7BF" w14:textId="77777777" w:rsidTr="00191534">
        <w:tc>
          <w:tcPr>
            <w:tcW w:w="1147" w:type="dxa"/>
            <w:vMerge/>
          </w:tcPr>
          <w:p w14:paraId="2088BF59" w14:textId="77777777" w:rsidR="00191534" w:rsidRPr="00D14972" w:rsidRDefault="00191534" w:rsidP="00191534">
            <w:pPr>
              <w:rPr>
                <w:rFonts w:ascii="Arial" w:hAnsi="Arial" w:cs="Arial"/>
                <w:lang w:val="en-GB"/>
              </w:rPr>
            </w:pPr>
          </w:p>
        </w:tc>
        <w:tc>
          <w:tcPr>
            <w:tcW w:w="946" w:type="dxa"/>
            <w:vMerge/>
          </w:tcPr>
          <w:p w14:paraId="39216B63" w14:textId="77777777" w:rsidR="00191534" w:rsidRPr="00D14972" w:rsidRDefault="00191534" w:rsidP="00191534">
            <w:pPr>
              <w:rPr>
                <w:rFonts w:ascii="Arial" w:hAnsi="Arial" w:cs="Arial"/>
                <w:lang w:val="en-GB"/>
              </w:rPr>
            </w:pPr>
          </w:p>
        </w:tc>
        <w:tc>
          <w:tcPr>
            <w:tcW w:w="1134" w:type="dxa"/>
          </w:tcPr>
          <w:p w14:paraId="52217554" w14:textId="77777777" w:rsidR="00191534" w:rsidRPr="00D14972" w:rsidRDefault="00191534" w:rsidP="00191534">
            <w:pPr>
              <w:rPr>
                <w:rFonts w:ascii="Arial" w:hAnsi="Arial" w:cs="Arial"/>
                <w:lang w:val="en-GB"/>
              </w:rPr>
            </w:pPr>
            <w:r w:rsidRPr="00D14972">
              <w:rPr>
                <w:rFonts w:ascii="Arial" w:hAnsi="Arial" w:cs="Arial"/>
                <w:lang w:val="en-GB"/>
              </w:rPr>
              <w:t>7 days</w:t>
            </w:r>
          </w:p>
        </w:tc>
        <w:tc>
          <w:tcPr>
            <w:tcW w:w="850" w:type="dxa"/>
          </w:tcPr>
          <w:p w14:paraId="689EF27A" w14:textId="77777777" w:rsidR="00191534" w:rsidRPr="00D14972" w:rsidRDefault="00191534" w:rsidP="00191534">
            <w:pPr>
              <w:rPr>
                <w:rFonts w:ascii="Arial" w:hAnsi="Arial" w:cs="Arial"/>
                <w:lang w:val="en-GB"/>
              </w:rPr>
            </w:pPr>
            <w:r w:rsidRPr="00D14972">
              <w:rPr>
                <w:rFonts w:ascii="Arial" w:hAnsi="Arial" w:cs="Arial"/>
                <w:lang w:val="en-GB"/>
              </w:rPr>
              <w:t>0.008-2</w:t>
            </w:r>
          </w:p>
        </w:tc>
        <w:tc>
          <w:tcPr>
            <w:tcW w:w="851" w:type="dxa"/>
          </w:tcPr>
          <w:p w14:paraId="34C91FCB" w14:textId="77777777" w:rsidR="00191534" w:rsidRPr="00D14972" w:rsidRDefault="00191534" w:rsidP="00191534">
            <w:pPr>
              <w:rPr>
                <w:rFonts w:ascii="Arial" w:hAnsi="Arial" w:cs="Arial"/>
                <w:lang w:val="en-GB"/>
              </w:rPr>
            </w:pPr>
            <w:r w:rsidRPr="00D14972">
              <w:rPr>
                <w:rFonts w:ascii="Arial" w:hAnsi="Arial" w:cs="Arial"/>
                <w:lang w:val="en-GB"/>
              </w:rPr>
              <w:t>1.1</w:t>
            </w:r>
            <w:r w:rsidRPr="00D14972">
              <w:rPr>
                <w:rFonts w:ascii="Arial" w:hAnsi="Arial" w:cs="Arial"/>
                <w:vertAlign w:val="superscript"/>
                <w:lang w:val="en-GB"/>
              </w:rPr>
              <w:t>g</w:t>
            </w:r>
          </w:p>
          <w:p w14:paraId="22D570AF" w14:textId="77777777" w:rsidR="00191534" w:rsidRPr="00D14972" w:rsidRDefault="00191534" w:rsidP="00191534">
            <w:pPr>
              <w:rPr>
                <w:rFonts w:ascii="Arial" w:hAnsi="Arial" w:cs="Arial"/>
                <w:lang w:val="en-GB"/>
              </w:rPr>
            </w:pPr>
            <w:r w:rsidRPr="00D14972">
              <w:rPr>
                <w:rFonts w:ascii="Arial" w:hAnsi="Arial" w:cs="Arial"/>
                <w:lang w:val="en-GB"/>
              </w:rPr>
              <w:t xml:space="preserve">(0.7) </w:t>
            </w:r>
          </w:p>
        </w:tc>
        <w:tc>
          <w:tcPr>
            <w:tcW w:w="850" w:type="dxa"/>
          </w:tcPr>
          <w:p w14:paraId="7150BD6B" w14:textId="77777777" w:rsidR="00191534" w:rsidRPr="00D14972" w:rsidRDefault="00191534" w:rsidP="00191534">
            <w:pPr>
              <w:rPr>
                <w:rFonts w:ascii="Arial" w:hAnsi="Arial" w:cs="Arial"/>
                <w:lang w:val="en-GB"/>
              </w:rPr>
            </w:pPr>
            <w:r w:rsidRPr="00D14972">
              <w:rPr>
                <w:rFonts w:ascii="Arial" w:hAnsi="Arial" w:cs="Arial"/>
                <w:lang w:val="en-GB"/>
              </w:rPr>
              <w:t>1</w:t>
            </w:r>
          </w:p>
        </w:tc>
        <w:tc>
          <w:tcPr>
            <w:tcW w:w="1134" w:type="dxa"/>
          </w:tcPr>
          <w:p w14:paraId="417F9587" w14:textId="77777777" w:rsidR="00191534" w:rsidRPr="00D14972" w:rsidRDefault="00191534" w:rsidP="00191534">
            <w:pPr>
              <w:rPr>
                <w:rFonts w:ascii="Arial" w:hAnsi="Arial" w:cs="Arial"/>
                <w:lang w:val="en-GB"/>
              </w:rPr>
            </w:pPr>
            <w:r w:rsidRPr="00D14972">
              <w:rPr>
                <w:rFonts w:ascii="Arial" w:hAnsi="Arial" w:cs="Arial"/>
                <w:lang w:val="en-GB"/>
              </w:rPr>
              <w:t>2</w:t>
            </w:r>
          </w:p>
        </w:tc>
        <w:tc>
          <w:tcPr>
            <w:tcW w:w="993" w:type="dxa"/>
          </w:tcPr>
          <w:p w14:paraId="569825FF" w14:textId="77777777" w:rsidR="00191534" w:rsidRPr="00D14972" w:rsidRDefault="00191534" w:rsidP="00191534">
            <w:pPr>
              <w:rPr>
                <w:rFonts w:ascii="Arial" w:hAnsi="Arial" w:cs="Arial"/>
                <w:lang w:val="en-GB"/>
              </w:rPr>
            </w:pPr>
            <w:r w:rsidRPr="00D14972">
              <w:rPr>
                <w:rFonts w:ascii="Arial" w:hAnsi="Arial" w:cs="Arial"/>
                <w:lang w:val="en-GB"/>
              </w:rPr>
              <w:t>0.008-1</w:t>
            </w:r>
          </w:p>
        </w:tc>
        <w:tc>
          <w:tcPr>
            <w:tcW w:w="1134" w:type="dxa"/>
          </w:tcPr>
          <w:p w14:paraId="25F68C31" w14:textId="77777777" w:rsidR="00191534" w:rsidRPr="00D14972" w:rsidRDefault="00191534" w:rsidP="00191534">
            <w:pPr>
              <w:rPr>
                <w:rFonts w:ascii="Arial" w:hAnsi="Arial" w:cs="Arial"/>
                <w:vertAlign w:val="superscript"/>
                <w:lang w:val="en-GB"/>
              </w:rPr>
            </w:pPr>
            <w:r w:rsidRPr="00D14972">
              <w:rPr>
                <w:rFonts w:ascii="Arial" w:hAnsi="Arial" w:cs="Arial"/>
                <w:lang w:val="en-GB"/>
              </w:rPr>
              <w:t>0.7</w:t>
            </w:r>
            <w:r w:rsidRPr="00D14972">
              <w:rPr>
                <w:rFonts w:ascii="Arial" w:hAnsi="Arial" w:cs="Arial"/>
                <w:vertAlign w:val="superscript"/>
                <w:lang w:val="en-GB"/>
              </w:rPr>
              <w:t>h</w:t>
            </w:r>
          </w:p>
          <w:p w14:paraId="7E6D047F" w14:textId="77777777" w:rsidR="00191534" w:rsidRPr="00D14972" w:rsidRDefault="00191534" w:rsidP="00191534">
            <w:pPr>
              <w:rPr>
                <w:rFonts w:ascii="Arial" w:hAnsi="Arial" w:cs="Arial"/>
                <w:lang w:val="en-GB"/>
              </w:rPr>
            </w:pPr>
            <w:r w:rsidRPr="00D14972">
              <w:rPr>
                <w:rFonts w:ascii="Arial" w:hAnsi="Arial" w:cs="Arial"/>
                <w:lang w:val="en-GB"/>
              </w:rPr>
              <w:t>(0.5)</w:t>
            </w:r>
          </w:p>
        </w:tc>
        <w:tc>
          <w:tcPr>
            <w:tcW w:w="992" w:type="dxa"/>
          </w:tcPr>
          <w:p w14:paraId="37526E07" w14:textId="77777777" w:rsidR="00191534" w:rsidRPr="00D14972" w:rsidRDefault="00191534" w:rsidP="00191534">
            <w:pPr>
              <w:rPr>
                <w:rFonts w:ascii="Arial" w:hAnsi="Arial" w:cs="Arial"/>
                <w:lang w:val="en-GB"/>
              </w:rPr>
            </w:pPr>
            <w:r w:rsidRPr="00D14972">
              <w:rPr>
                <w:rFonts w:ascii="Arial" w:hAnsi="Arial" w:cs="Arial"/>
                <w:lang w:val="en-GB"/>
              </w:rPr>
              <w:t>1</w:t>
            </w:r>
          </w:p>
        </w:tc>
        <w:tc>
          <w:tcPr>
            <w:tcW w:w="992" w:type="dxa"/>
          </w:tcPr>
          <w:p w14:paraId="7053DFFA" w14:textId="77777777" w:rsidR="00191534" w:rsidRPr="00D14972" w:rsidRDefault="00191534" w:rsidP="00191534">
            <w:pPr>
              <w:rPr>
                <w:rFonts w:ascii="Arial" w:hAnsi="Arial" w:cs="Arial"/>
                <w:lang w:val="en-GB"/>
              </w:rPr>
            </w:pPr>
            <w:r w:rsidRPr="00D14972">
              <w:rPr>
                <w:rFonts w:ascii="Arial" w:hAnsi="Arial" w:cs="Arial"/>
                <w:lang w:val="en-GB"/>
              </w:rPr>
              <w:t>1</w:t>
            </w:r>
          </w:p>
        </w:tc>
        <w:tc>
          <w:tcPr>
            <w:tcW w:w="992" w:type="dxa"/>
          </w:tcPr>
          <w:p w14:paraId="5CC46710" w14:textId="77777777" w:rsidR="00191534" w:rsidRPr="00D14972" w:rsidRDefault="00191534" w:rsidP="00191534">
            <w:pPr>
              <w:rPr>
                <w:rFonts w:ascii="Arial" w:hAnsi="Arial" w:cs="Arial"/>
                <w:lang w:val="en-GB"/>
              </w:rPr>
            </w:pPr>
            <w:r w:rsidRPr="00D14972">
              <w:rPr>
                <w:rFonts w:ascii="Arial" w:hAnsi="Arial" w:cs="Arial"/>
                <w:lang w:val="en-GB"/>
              </w:rPr>
              <w:t>0.008-2</w:t>
            </w:r>
          </w:p>
        </w:tc>
        <w:tc>
          <w:tcPr>
            <w:tcW w:w="992" w:type="dxa"/>
          </w:tcPr>
          <w:p w14:paraId="75B2CAB8" w14:textId="77777777" w:rsidR="00191534" w:rsidRPr="00D14972" w:rsidRDefault="00191534" w:rsidP="00191534">
            <w:pPr>
              <w:rPr>
                <w:rFonts w:ascii="Arial" w:hAnsi="Arial" w:cs="Arial"/>
                <w:lang w:val="en-GB"/>
              </w:rPr>
            </w:pPr>
            <w:r w:rsidRPr="00D14972">
              <w:rPr>
                <w:rFonts w:ascii="Arial" w:hAnsi="Arial" w:cs="Arial"/>
                <w:lang w:val="en-GB"/>
              </w:rPr>
              <w:t>0.8</w:t>
            </w:r>
          </w:p>
          <w:p w14:paraId="6717E2FC" w14:textId="77777777" w:rsidR="00191534" w:rsidRPr="00D14972" w:rsidRDefault="00191534" w:rsidP="00191534">
            <w:pPr>
              <w:rPr>
                <w:rFonts w:ascii="Arial" w:hAnsi="Arial" w:cs="Arial"/>
                <w:lang w:val="en-GB"/>
              </w:rPr>
            </w:pPr>
            <w:r w:rsidRPr="00D14972">
              <w:rPr>
                <w:rFonts w:ascii="Arial" w:hAnsi="Arial" w:cs="Arial"/>
                <w:lang w:val="en-GB"/>
              </w:rPr>
              <w:t>(0.6)</w:t>
            </w:r>
          </w:p>
        </w:tc>
        <w:tc>
          <w:tcPr>
            <w:tcW w:w="1047" w:type="dxa"/>
          </w:tcPr>
          <w:p w14:paraId="1A6BDE5A" w14:textId="77777777" w:rsidR="00191534" w:rsidRPr="00D14972" w:rsidRDefault="00191534" w:rsidP="00191534">
            <w:pPr>
              <w:rPr>
                <w:rFonts w:ascii="Arial" w:hAnsi="Arial" w:cs="Arial"/>
                <w:lang w:val="en-GB"/>
              </w:rPr>
            </w:pPr>
            <w:r w:rsidRPr="00D14972">
              <w:rPr>
                <w:rFonts w:ascii="Arial" w:hAnsi="Arial" w:cs="Arial"/>
                <w:lang w:val="en-GB"/>
              </w:rPr>
              <w:t>1</w:t>
            </w:r>
          </w:p>
        </w:tc>
        <w:tc>
          <w:tcPr>
            <w:tcW w:w="910" w:type="dxa"/>
          </w:tcPr>
          <w:p w14:paraId="373DDF63" w14:textId="77777777" w:rsidR="00191534" w:rsidRPr="00D14972" w:rsidRDefault="00191534" w:rsidP="00191534">
            <w:pPr>
              <w:rPr>
                <w:rFonts w:ascii="Arial" w:hAnsi="Arial" w:cs="Arial"/>
                <w:lang w:val="en-GB"/>
              </w:rPr>
            </w:pPr>
            <w:r w:rsidRPr="00D14972">
              <w:rPr>
                <w:rFonts w:ascii="Arial" w:hAnsi="Arial" w:cs="Arial"/>
                <w:lang w:val="en-GB"/>
              </w:rPr>
              <w:t>1</w:t>
            </w:r>
          </w:p>
        </w:tc>
      </w:tr>
    </w:tbl>
    <w:p w14:paraId="5E76916D" w14:textId="77777777" w:rsidR="00191534" w:rsidRPr="00F83585" w:rsidRDefault="00191534" w:rsidP="00191534">
      <w:pPr>
        <w:rPr>
          <w:lang w:val="en-GB"/>
        </w:rPr>
      </w:pPr>
      <w:r>
        <w:rPr>
          <w:vertAlign w:val="superscript"/>
          <w:lang w:val="en-GB"/>
        </w:rPr>
        <w:t xml:space="preserve">a-i </w:t>
      </w:r>
      <w:r w:rsidRPr="00F83585">
        <w:rPr>
          <w:lang w:val="en-GB"/>
        </w:rPr>
        <w:t xml:space="preserve">Students t-test–statistically </w:t>
      </w:r>
      <w:r>
        <w:rPr>
          <w:lang w:val="en-GB"/>
        </w:rPr>
        <w:t>signiﬁcant differences (p≤0.05) are</w:t>
      </w:r>
      <w:r w:rsidRPr="00F83585">
        <w:rPr>
          <w:lang w:val="en-GB"/>
        </w:rPr>
        <w:t xml:space="preserve"> marked with the same letters.</w:t>
      </w:r>
    </w:p>
    <w:p w14:paraId="05B5FA1D" w14:textId="77777777" w:rsidR="00191534" w:rsidRPr="00F753CC" w:rsidRDefault="00191534" w:rsidP="00191534">
      <w:pPr>
        <w:spacing w:line="480" w:lineRule="auto"/>
        <w:rPr>
          <w:lang w:val="en-GB"/>
        </w:rPr>
      </w:pPr>
    </w:p>
    <w:p w14:paraId="2625EDDA" w14:textId="4D1948DF" w:rsidR="00191534" w:rsidRDefault="00191534" w:rsidP="00626AE5">
      <w:pPr>
        <w:jc w:val="both"/>
        <w:rPr>
          <w:rFonts w:ascii="Arial" w:hAnsi="Arial" w:cs="Arial"/>
          <w:lang w:val="en-GB"/>
        </w:rPr>
      </w:pPr>
    </w:p>
    <w:p w14:paraId="5E0D789D" w14:textId="089CDB24" w:rsidR="00191534" w:rsidRDefault="00191534" w:rsidP="00626AE5">
      <w:pPr>
        <w:jc w:val="both"/>
        <w:rPr>
          <w:rFonts w:ascii="Arial" w:hAnsi="Arial" w:cs="Arial"/>
          <w:lang w:val="en-GB"/>
        </w:rPr>
      </w:pPr>
    </w:p>
    <w:p w14:paraId="048FA1CA" w14:textId="3F283BD2" w:rsidR="00191534" w:rsidRDefault="00191534" w:rsidP="00626AE5">
      <w:pPr>
        <w:jc w:val="both"/>
        <w:rPr>
          <w:rFonts w:ascii="Arial" w:hAnsi="Arial" w:cs="Arial"/>
          <w:lang w:val="en-GB"/>
        </w:rPr>
      </w:pPr>
    </w:p>
    <w:p w14:paraId="058BB8F7" w14:textId="73757FE7" w:rsidR="00191534" w:rsidRDefault="00191534" w:rsidP="00626AE5">
      <w:pPr>
        <w:jc w:val="both"/>
        <w:rPr>
          <w:rFonts w:ascii="Arial" w:hAnsi="Arial" w:cs="Arial"/>
          <w:lang w:val="en-GB"/>
        </w:rPr>
      </w:pPr>
    </w:p>
    <w:p w14:paraId="7DB8A35F" w14:textId="5B43BFCA" w:rsidR="00191534" w:rsidRDefault="00191534" w:rsidP="00626AE5">
      <w:pPr>
        <w:jc w:val="both"/>
        <w:rPr>
          <w:rFonts w:ascii="Arial" w:hAnsi="Arial" w:cs="Arial"/>
          <w:lang w:val="en-GB"/>
        </w:rPr>
      </w:pPr>
    </w:p>
    <w:p w14:paraId="51217F99" w14:textId="2AC919EC" w:rsidR="00191534" w:rsidRDefault="00191534" w:rsidP="00626AE5">
      <w:pPr>
        <w:jc w:val="both"/>
        <w:rPr>
          <w:rFonts w:ascii="Arial" w:hAnsi="Arial" w:cs="Arial"/>
          <w:lang w:val="en-GB"/>
        </w:rPr>
      </w:pPr>
    </w:p>
    <w:p w14:paraId="7FF4344B" w14:textId="7ED8BFCF" w:rsidR="00191534" w:rsidRDefault="00191534" w:rsidP="00626AE5">
      <w:pPr>
        <w:jc w:val="both"/>
        <w:rPr>
          <w:rFonts w:ascii="Arial" w:hAnsi="Arial" w:cs="Arial"/>
          <w:lang w:val="en-GB"/>
        </w:rPr>
      </w:pPr>
    </w:p>
    <w:p w14:paraId="5C436F4B" w14:textId="70D2231E" w:rsidR="00191534" w:rsidRDefault="00191534" w:rsidP="00626AE5">
      <w:pPr>
        <w:jc w:val="both"/>
        <w:rPr>
          <w:rFonts w:ascii="Arial" w:hAnsi="Arial" w:cs="Arial"/>
          <w:lang w:val="en-GB"/>
        </w:rPr>
      </w:pPr>
    </w:p>
    <w:p w14:paraId="489A3B6C" w14:textId="5525602B" w:rsidR="00191534" w:rsidRDefault="00191534" w:rsidP="00626AE5">
      <w:pPr>
        <w:jc w:val="both"/>
        <w:rPr>
          <w:rFonts w:ascii="Arial" w:hAnsi="Arial" w:cs="Arial"/>
          <w:lang w:val="en-GB"/>
        </w:rPr>
      </w:pPr>
    </w:p>
    <w:p w14:paraId="15E74191" w14:textId="5654FE25" w:rsidR="00191534" w:rsidRDefault="00191534" w:rsidP="00626AE5">
      <w:pPr>
        <w:jc w:val="both"/>
        <w:rPr>
          <w:rFonts w:ascii="Arial" w:hAnsi="Arial" w:cs="Arial"/>
          <w:lang w:val="en-GB"/>
        </w:rPr>
      </w:pPr>
    </w:p>
    <w:p w14:paraId="15A6A284" w14:textId="6AA4D29B" w:rsidR="00191534" w:rsidRDefault="00191534" w:rsidP="00626AE5">
      <w:pPr>
        <w:jc w:val="both"/>
        <w:rPr>
          <w:rFonts w:ascii="Arial" w:hAnsi="Arial" w:cs="Arial"/>
          <w:lang w:val="en-GB"/>
        </w:rPr>
      </w:pPr>
    </w:p>
    <w:p w14:paraId="50308735" w14:textId="2C48A8CE" w:rsidR="00191534" w:rsidRDefault="00191534" w:rsidP="00626AE5">
      <w:pPr>
        <w:jc w:val="both"/>
        <w:rPr>
          <w:rFonts w:ascii="Arial" w:hAnsi="Arial" w:cs="Arial"/>
          <w:lang w:val="en-GB"/>
        </w:rPr>
      </w:pPr>
    </w:p>
    <w:p w14:paraId="7A80BECC" w14:textId="27F328B5" w:rsidR="00191534" w:rsidRDefault="00191534" w:rsidP="00626AE5">
      <w:pPr>
        <w:jc w:val="both"/>
        <w:rPr>
          <w:rFonts w:ascii="Arial" w:hAnsi="Arial" w:cs="Arial"/>
          <w:lang w:val="en-GB"/>
        </w:rPr>
      </w:pPr>
    </w:p>
    <w:p w14:paraId="366D7CA6" w14:textId="2EDB4EE6" w:rsidR="00191534" w:rsidRDefault="00191534" w:rsidP="00626AE5">
      <w:pPr>
        <w:jc w:val="both"/>
        <w:rPr>
          <w:rFonts w:ascii="Arial" w:hAnsi="Arial" w:cs="Arial"/>
          <w:lang w:val="en-GB"/>
        </w:rPr>
      </w:pPr>
    </w:p>
    <w:p w14:paraId="2E6EA5E6" w14:textId="6063DF61" w:rsidR="00191534" w:rsidRDefault="00191534" w:rsidP="00626AE5">
      <w:pPr>
        <w:jc w:val="both"/>
        <w:rPr>
          <w:rFonts w:ascii="Arial" w:hAnsi="Arial" w:cs="Arial"/>
          <w:lang w:val="en-GB"/>
        </w:rPr>
      </w:pPr>
    </w:p>
    <w:p w14:paraId="727D6E04" w14:textId="6259D9AD" w:rsidR="00191534" w:rsidRDefault="00191534" w:rsidP="00626AE5">
      <w:pPr>
        <w:jc w:val="both"/>
        <w:rPr>
          <w:rFonts w:ascii="Arial" w:hAnsi="Arial" w:cs="Arial"/>
          <w:lang w:val="en-GB"/>
        </w:rPr>
      </w:pPr>
    </w:p>
    <w:p w14:paraId="0FAFA547" w14:textId="77777777" w:rsidR="00191534" w:rsidRPr="000E3188" w:rsidRDefault="00191534" w:rsidP="00191534">
      <w:pPr>
        <w:rPr>
          <w:rFonts w:ascii="Arial" w:hAnsi="Arial" w:cs="Arial"/>
          <w:lang w:val="en-GB"/>
        </w:rPr>
      </w:pPr>
      <w:r w:rsidRPr="000E3188">
        <w:rPr>
          <w:rFonts w:ascii="Arial" w:hAnsi="Arial" w:cs="Arial"/>
          <w:b/>
          <w:lang w:val="en-GB"/>
        </w:rPr>
        <w:lastRenderedPageBreak/>
        <w:t>Table 2</w:t>
      </w:r>
      <w:r w:rsidRPr="000E3188">
        <w:rPr>
          <w:rFonts w:ascii="Arial" w:hAnsi="Arial" w:cs="Arial"/>
          <w:lang w:val="en-GB"/>
        </w:rPr>
        <w:t xml:space="preserve">. Itraconazole (ITC), ketoconazole (KTC), voriconazole (VRC), posaconazole (POS), terbinafine (TRB), fluconazole (FLC) and griseofulvin (GRI) MIC (μg/ml) data of </w:t>
      </w:r>
      <w:r w:rsidRPr="000E3188">
        <w:rPr>
          <w:rFonts w:ascii="Arial" w:hAnsi="Arial" w:cs="Arial"/>
          <w:i/>
          <w:lang w:val="en-GB"/>
        </w:rPr>
        <w:t xml:space="preserve">Microsporum canis </w:t>
      </w:r>
      <w:r w:rsidRPr="000E3188">
        <w:rPr>
          <w:rFonts w:ascii="Arial" w:hAnsi="Arial" w:cs="Arial"/>
          <w:lang w:val="en-GB"/>
        </w:rPr>
        <w:t xml:space="preserve">from Group 1 and Group II at 3 and 7 days of incubation using conidia  </w:t>
      </w:r>
    </w:p>
    <w:p w14:paraId="04B09429" w14:textId="77777777" w:rsidR="00191534" w:rsidRDefault="00191534" w:rsidP="00191534">
      <w:pPr>
        <w:rPr>
          <w:b/>
          <w:lang w:val="en-GB"/>
        </w:rPr>
      </w:pPr>
    </w:p>
    <w:tbl>
      <w:tblPr>
        <w:tblStyle w:val="PlainTable21"/>
        <w:tblpPr w:leftFromText="141" w:rightFromText="141" w:vertAnchor="page" w:horzAnchor="page" w:tblpX="1429" w:tblpY="1983"/>
        <w:tblW w:w="4519" w:type="pct"/>
        <w:tblBorders>
          <w:top w:val="none" w:sz="0" w:space="0" w:color="auto"/>
          <w:bottom w:val="none" w:sz="0" w:space="0" w:color="auto"/>
        </w:tblBorders>
        <w:tblLayout w:type="fixed"/>
        <w:tblLook w:val="04A0" w:firstRow="1" w:lastRow="0" w:firstColumn="1" w:lastColumn="0" w:noHBand="0" w:noVBand="1"/>
      </w:tblPr>
      <w:tblGrid>
        <w:gridCol w:w="1080"/>
        <w:gridCol w:w="1173"/>
        <w:gridCol w:w="951"/>
        <w:gridCol w:w="1369"/>
        <w:gridCol w:w="1506"/>
        <w:gridCol w:w="1069"/>
        <w:gridCol w:w="927"/>
        <w:gridCol w:w="236"/>
        <w:gridCol w:w="36"/>
        <w:gridCol w:w="1255"/>
        <w:gridCol w:w="1395"/>
        <w:gridCol w:w="860"/>
        <w:gridCol w:w="1059"/>
      </w:tblGrid>
      <w:tr w:rsidR="00191534" w:rsidRPr="001A6473" w14:paraId="10A34C1F" w14:textId="77777777" w:rsidTr="00191534">
        <w:trPr>
          <w:cnfStyle w:val="100000000000" w:firstRow="1" w:lastRow="0" w:firstColumn="0" w:lastColumn="0" w:oddVBand="0" w:evenVBand="0" w:oddHBand="0"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418" w:type="pct"/>
            <w:vMerge w:val="restart"/>
            <w:tcBorders>
              <w:top w:val="single" w:sz="4" w:space="0" w:color="auto"/>
              <w:bottom w:val="none" w:sz="0" w:space="0" w:color="auto"/>
            </w:tcBorders>
          </w:tcPr>
          <w:p w14:paraId="1A6737C0" w14:textId="77777777" w:rsidR="00191534" w:rsidRPr="000E3188" w:rsidRDefault="00191534" w:rsidP="00191534">
            <w:pPr>
              <w:rPr>
                <w:rFonts w:ascii="Arial" w:hAnsi="Arial" w:cs="Arial"/>
                <w:lang w:val="en-GB"/>
              </w:rPr>
            </w:pPr>
            <w:r w:rsidRPr="000E3188">
              <w:rPr>
                <w:rFonts w:ascii="Arial" w:hAnsi="Arial" w:cs="Arial"/>
                <w:lang w:val="en-GB"/>
              </w:rPr>
              <w:t>Groups</w:t>
            </w:r>
          </w:p>
        </w:tc>
        <w:tc>
          <w:tcPr>
            <w:tcW w:w="454" w:type="pct"/>
            <w:vMerge w:val="restart"/>
            <w:tcBorders>
              <w:top w:val="single" w:sz="4" w:space="0" w:color="auto"/>
              <w:bottom w:val="none" w:sz="0" w:space="0" w:color="auto"/>
            </w:tcBorders>
          </w:tcPr>
          <w:p w14:paraId="04D284DD" w14:textId="77777777" w:rsidR="00191534" w:rsidRPr="000E3188" w:rsidRDefault="00191534" w:rsidP="00191534">
            <w:pPr>
              <w:cnfStyle w:val="100000000000" w:firstRow="1"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Number</w:t>
            </w:r>
          </w:p>
        </w:tc>
        <w:tc>
          <w:tcPr>
            <w:tcW w:w="368" w:type="pct"/>
            <w:vMerge w:val="restart"/>
            <w:tcBorders>
              <w:top w:val="single" w:sz="4" w:space="0" w:color="auto"/>
              <w:bottom w:val="none" w:sz="0" w:space="0" w:color="auto"/>
            </w:tcBorders>
          </w:tcPr>
          <w:p w14:paraId="1B3FCA09" w14:textId="77777777" w:rsidR="00191534" w:rsidRPr="000E3188" w:rsidRDefault="00191534" w:rsidP="00191534">
            <w:pPr>
              <w:cnfStyle w:val="100000000000" w:firstRow="1"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Drugs</w:t>
            </w:r>
          </w:p>
        </w:tc>
        <w:tc>
          <w:tcPr>
            <w:tcW w:w="1991" w:type="pct"/>
            <w:gridSpan w:val="6"/>
            <w:tcBorders>
              <w:top w:val="single" w:sz="4" w:space="0" w:color="auto"/>
              <w:bottom w:val="single" w:sz="4" w:space="0" w:color="auto"/>
            </w:tcBorders>
          </w:tcPr>
          <w:p w14:paraId="79367423" w14:textId="77777777" w:rsidR="00191534" w:rsidRPr="000E3188" w:rsidRDefault="00191534" w:rsidP="00191534">
            <w:pPr>
              <w:cnfStyle w:val="100000000000" w:firstRow="1"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Conidia at 3 days of incubation</w:t>
            </w:r>
          </w:p>
        </w:tc>
        <w:tc>
          <w:tcPr>
            <w:tcW w:w="1769" w:type="pct"/>
            <w:gridSpan w:val="4"/>
            <w:tcBorders>
              <w:top w:val="single" w:sz="4" w:space="0" w:color="auto"/>
              <w:bottom w:val="single" w:sz="4" w:space="0" w:color="auto"/>
            </w:tcBorders>
          </w:tcPr>
          <w:p w14:paraId="39125DBF" w14:textId="77777777" w:rsidR="00191534" w:rsidRPr="000E3188" w:rsidRDefault="00191534" w:rsidP="00191534">
            <w:pPr>
              <w:cnfStyle w:val="100000000000" w:firstRow="1"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Conidia at 7 days of incubation</w:t>
            </w:r>
          </w:p>
        </w:tc>
      </w:tr>
      <w:tr w:rsidR="00191534" w:rsidRPr="000E3188" w14:paraId="5E6E1241" w14:textId="77777777" w:rsidTr="00191534">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418" w:type="pct"/>
            <w:vMerge/>
            <w:tcBorders>
              <w:top w:val="none" w:sz="0" w:space="0" w:color="auto"/>
              <w:bottom w:val="single" w:sz="4" w:space="0" w:color="auto"/>
            </w:tcBorders>
          </w:tcPr>
          <w:p w14:paraId="63ABEBAB" w14:textId="77777777" w:rsidR="00191534" w:rsidRPr="000E3188" w:rsidRDefault="00191534" w:rsidP="00191534">
            <w:pPr>
              <w:rPr>
                <w:rFonts w:ascii="Arial" w:hAnsi="Arial" w:cs="Arial"/>
                <w:lang w:val="en-GB"/>
              </w:rPr>
            </w:pPr>
          </w:p>
        </w:tc>
        <w:tc>
          <w:tcPr>
            <w:tcW w:w="454" w:type="pct"/>
            <w:vMerge/>
            <w:tcBorders>
              <w:top w:val="none" w:sz="0" w:space="0" w:color="auto"/>
              <w:bottom w:val="single" w:sz="4" w:space="0" w:color="auto"/>
            </w:tcBorders>
          </w:tcPr>
          <w:p w14:paraId="557CF7FB"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368" w:type="pct"/>
            <w:vMerge/>
            <w:tcBorders>
              <w:top w:val="none" w:sz="0" w:space="0" w:color="auto"/>
              <w:bottom w:val="single" w:sz="4" w:space="0" w:color="auto"/>
            </w:tcBorders>
          </w:tcPr>
          <w:p w14:paraId="36423180"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530" w:type="pct"/>
            <w:tcBorders>
              <w:top w:val="single" w:sz="4" w:space="0" w:color="auto"/>
              <w:bottom w:val="single" w:sz="4" w:space="0" w:color="auto"/>
            </w:tcBorders>
          </w:tcPr>
          <w:p w14:paraId="2471C2C2"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MIC Range</w:t>
            </w:r>
          </w:p>
        </w:tc>
        <w:tc>
          <w:tcPr>
            <w:tcW w:w="583" w:type="pct"/>
            <w:tcBorders>
              <w:top w:val="single" w:sz="4" w:space="0" w:color="auto"/>
              <w:bottom w:val="single" w:sz="4" w:space="0" w:color="auto"/>
            </w:tcBorders>
          </w:tcPr>
          <w:p w14:paraId="3B495C5A"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MIC mean (SD)</w:t>
            </w:r>
          </w:p>
        </w:tc>
        <w:tc>
          <w:tcPr>
            <w:tcW w:w="414" w:type="pct"/>
            <w:tcBorders>
              <w:top w:val="single" w:sz="4" w:space="0" w:color="auto"/>
              <w:bottom w:val="single" w:sz="4" w:space="0" w:color="auto"/>
            </w:tcBorders>
          </w:tcPr>
          <w:p w14:paraId="0868B44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MIC</w:t>
            </w:r>
            <w:r w:rsidRPr="000E3188">
              <w:rPr>
                <w:rFonts w:ascii="Arial" w:hAnsi="Arial" w:cs="Arial"/>
                <w:vertAlign w:val="subscript"/>
                <w:lang w:val="en-GB"/>
              </w:rPr>
              <w:t>50</w:t>
            </w:r>
          </w:p>
        </w:tc>
        <w:tc>
          <w:tcPr>
            <w:tcW w:w="359" w:type="pct"/>
            <w:tcBorders>
              <w:top w:val="single" w:sz="4" w:space="0" w:color="auto"/>
              <w:bottom w:val="single" w:sz="4" w:space="0" w:color="auto"/>
            </w:tcBorders>
          </w:tcPr>
          <w:p w14:paraId="33D9AC0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MIC</w:t>
            </w:r>
            <w:r w:rsidRPr="000E3188">
              <w:rPr>
                <w:rFonts w:ascii="Arial" w:hAnsi="Arial" w:cs="Arial"/>
                <w:vertAlign w:val="subscript"/>
                <w:lang w:val="en-GB"/>
              </w:rPr>
              <w:t>90</w:t>
            </w:r>
          </w:p>
        </w:tc>
        <w:tc>
          <w:tcPr>
            <w:tcW w:w="91" w:type="pct"/>
            <w:tcBorders>
              <w:top w:val="single" w:sz="4" w:space="0" w:color="auto"/>
              <w:bottom w:val="single" w:sz="4" w:space="0" w:color="auto"/>
            </w:tcBorders>
          </w:tcPr>
          <w:p w14:paraId="40A8D837"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500" w:type="pct"/>
            <w:gridSpan w:val="2"/>
            <w:tcBorders>
              <w:top w:val="single" w:sz="4" w:space="0" w:color="auto"/>
              <w:bottom w:val="single" w:sz="4" w:space="0" w:color="auto"/>
            </w:tcBorders>
          </w:tcPr>
          <w:p w14:paraId="287B89C1"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MIC Range</w:t>
            </w:r>
          </w:p>
        </w:tc>
        <w:tc>
          <w:tcPr>
            <w:tcW w:w="540" w:type="pct"/>
            <w:tcBorders>
              <w:top w:val="single" w:sz="4" w:space="0" w:color="auto"/>
              <w:bottom w:val="single" w:sz="4" w:space="0" w:color="auto"/>
            </w:tcBorders>
          </w:tcPr>
          <w:p w14:paraId="26606770"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MIC mean (SD)</w:t>
            </w:r>
          </w:p>
        </w:tc>
        <w:tc>
          <w:tcPr>
            <w:tcW w:w="333" w:type="pct"/>
            <w:tcBorders>
              <w:top w:val="single" w:sz="4" w:space="0" w:color="auto"/>
              <w:bottom w:val="single" w:sz="4" w:space="0" w:color="auto"/>
            </w:tcBorders>
          </w:tcPr>
          <w:p w14:paraId="5B6D019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MIC</w:t>
            </w:r>
            <w:r w:rsidRPr="000E3188">
              <w:rPr>
                <w:rFonts w:ascii="Arial" w:hAnsi="Arial" w:cs="Arial"/>
                <w:vertAlign w:val="subscript"/>
                <w:lang w:val="en-GB"/>
              </w:rPr>
              <w:t>50</w:t>
            </w:r>
          </w:p>
        </w:tc>
        <w:tc>
          <w:tcPr>
            <w:tcW w:w="410" w:type="pct"/>
            <w:tcBorders>
              <w:top w:val="single" w:sz="4" w:space="0" w:color="auto"/>
              <w:bottom w:val="single" w:sz="4" w:space="0" w:color="auto"/>
            </w:tcBorders>
          </w:tcPr>
          <w:p w14:paraId="7FE3BA46"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MIC</w:t>
            </w:r>
            <w:r w:rsidRPr="000E3188">
              <w:rPr>
                <w:rFonts w:ascii="Arial" w:hAnsi="Arial" w:cs="Arial"/>
                <w:vertAlign w:val="subscript"/>
                <w:lang w:val="en-GB"/>
              </w:rPr>
              <w:t>90</w:t>
            </w:r>
          </w:p>
        </w:tc>
      </w:tr>
      <w:tr w:rsidR="00191534" w:rsidRPr="000E3188" w14:paraId="3716C7CC" w14:textId="77777777" w:rsidTr="00191534">
        <w:trPr>
          <w:trHeight w:val="100"/>
        </w:trPr>
        <w:tc>
          <w:tcPr>
            <w:cnfStyle w:val="001000000000" w:firstRow="0" w:lastRow="0" w:firstColumn="1" w:lastColumn="0" w:oddVBand="0" w:evenVBand="0" w:oddHBand="0" w:evenHBand="0" w:firstRowFirstColumn="0" w:firstRowLastColumn="0" w:lastRowFirstColumn="0" w:lastRowLastColumn="0"/>
            <w:tcW w:w="418" w:type="pct"/>
            <w:vMerge w:val="restart"/>
            <w:tcBorders>
              <w:top w:val="single" w:sz="4" w:space="0" w:color="auto"/>
            </w:tcBorders>
          </w:tcPr>
          <w:p w14:paraId="3FBF2726" w14:textId="77777777" w:rsidR="00191534" w:rsidRPr="000E3188" w:rsidRDefault="00191534" w:rsidP="00191534">
            <w:pPr>
              <w:rPr>
                <w:rFonts w:ascii="Arial" w:hAnsi="Arial" w:cs="Arial"/>
                <w:lang w:val="en-GB"/>
              </w:rPr>
            </w:pPr>
            <w:r w:rsidRPr="000E3188">
              <w:rPr>
                <w:rFonts w:ascii="Arial" w:hAnsi="Arial" w:cs="Arial"/>
                <w:lang w:val="en-GB"/>
              </w:rPr>
              <w:t>Group I</w:t>
            </w:r>
          </w:p>
        </w:tc>
        <w:tc>
          <w:tcPr>
            <w:tcW w:w="454" w:type="pct"/>
            <w:vMerge w:val="restart"/>
            <w:tcBorders>
              <w:top w:val="single" w:sz="4" w:space="0" w:color="auto"/>
            </w:tcBorders>
          </w:tcPr>
          <w:p w14:paraId="234DA6FC"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13</w:t>
            </w:r>
          </w:p>
        </w:tc>
        <w:tc>
          <w:tcPr>
            <w:tcW w:w="368" w:type="pct"/>
            <w:tcBorders>
              <w:top w:val="single" w:sz="4" w:space="0" w:color="auto"/>
            </w:tcBorders>
          </w:tcPr>
          <w:p w14:paraId="750BE4A4"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ITC</w:t>
            </w:r>
          </w:p>
        </w:tc>
        <w:tc>
          <w:tcPr>
            <w:tcW w:w="530" w:type="pct"/>
            <w:tcBorders>
              <w:top w:val="single" w:sz="4" w:space="0" w:color="auto"/>
            </w:tcBorders>
          </w:tcPr>
          <w:p w14:paraId="644F5246"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0.5-16</w:t>
            </w:r>
          </w:p>
        </w:tc>
        <w:tc>
          <w:tcPr>
            <w:tcW w:w="583" w:type="pct"/>
            <w:tcBorders>
              <w:top w:val="single" w:sz="4" w:space="0" w:color="auto"/>
            </w:tcBorders>
          </w:tcPr>
          <w:p w14:paraId="52143A72"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4.5 (5.2)</w:t>
            </w:r>
            <w:r w:rsidRPr="000E3188">
              <w:rPr>
                <w:rFonts w:ascii="Arial" w:hAnsi="Arial" w:cs="Arial"/>
                <w:color w:val="000000"/>
                <w:vertAlign w:val="superscript"/>
                <w:lang w:val="en-GB"/>
              </w:rPr>
              <w:t>a</w:t>
            </w:r>
          </w:p>
        </w:tc>
        <w:tc>
          <w:tcPr>
            <w:tcW w:w="414" w:type="pct"/>
            <w:tcBorders>
              <w:top w:val="single" w:sz="4" w:space="0" w:color="auto"/>
            </w:tcBorders>
          </w:tcPr>
          <w:p w14:paraId="6D12FA48"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2</w:t>
            </w:r>
          </w:p>
        </w:tc>
        <w:tc>
          <w:tcPr>
            <w:tcW w:w="359" w:type="pct"/>
            <w:tcBorders>
              <w:top w:val="single" w:sz="4" w:space="0" w:color="auto"/>
            </w:tcBorders>
          </w:tcPr>
          <w:p w14:paraId="0C189851"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8</w:t>
            </w:r>
          </w:p>
        </w:tc>
        <w:tc>
          <w:tcPr>
            <w:tcW w:w="91" w:type="pct"/>
            <w:tcBorders>
              <w:top w:val="single" w:sz="4" w:space="0" w:color="auto"/>
            </w:tcBorders>
          </w:tcPr>
          <w:p w14:paraId="26980E2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p>
        </w:tc>
        <w:tc>
          <w:tcPr>
            <w:tcW w:w="500" w:type="pct"/>
            <w:gridSpan w:val="2"/>
            <w:tcBorders>
              <w:top w:val="single" w:sz="4" w:space="0" w:color="auto"/>
            </w:tcBorders>
          </w:tcPr>
          <w:p w14:paraId="3263C6E2"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0.5-16</w:t>
            </w:r>
          </w:p>
        </w:tc>
        <w:tc>
          <w:tcPr>
            <w:tcW w:w="540" w:type="pct"/>
            <w:tcBorders>
              <w:top w:val="single" w:sz="4" w:space="0" w:color="auto"/>
            </w:tcBorders>
          </w:tcPr>
          <w:p w14:paraId="38D1A85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vertAlign w:val="superscript"/>
                <w:lang w:val="en-GB"/>
              </w:rPr>
            </w:pPr>
            <w:r w:rsidRPr="000E3188">
              <w:rPr>
                <w:rFonts w:ascii="Arial" w:hAnsi="Arial" w:cs="Arial"/>
                <w:color w:val="000000"/>
                <w:lang w:val="en-GB"/>
              </w:rPr>
              <w:t>5.4 (6)</w:t>
            </w:r>
            <w:r w:rsidRPr="000E3188">
              <w:rPr>
                <w:rFonts w:ascii="Arial" w:hAnsi="Arial" w:cs="Arial"/>
                <w:color w:val="000000"/>
                <w:vertAlign w:val="superscript"/>
                <w:lang w:val="en-GB"/>
              </w:rPr>
              <w:t>d</w:t>
            </w:r>
          </w:p>
        </w:tc>
        <w:tc>
          <w:tcPr>
            <w:tcW w:w="333" w:type="pct"/>
            <w:tcBorders>
              <w:top w:val="single" w:sz="4" w:space="0" w:color="auto"/>
            </w:tcBorders>
          </w:tcPr>
          <w:p w14:paraId="5E33DC15"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2</w:t>
            </w:r>
          </w:p>
        </w:tc>
        <w:tc>
          <w:tcPr>
            <w:tcW w:w="410" w:type="pct"/>
            <w:tcBorders>
              <w:top w:val="single" w:sz="4" w:space="0" w:color="auto"/>
            </w:tcBorders>
          </w:tcPr>
          <w:p w14:paraId="068F009A"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8</w:t>
            </w:r>
          </w:p>
        </w:tc>
      </w:tr>
      <w:tr w:rsidR="00191534" w:rsidRPr="000E3188" w14:paraId="2A6DA6B4" w14:textId="77777777" w:rsidTr="00191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8" w:type="pct"/>
            <w:vMerge/>
            <w:tcBorders>
              <w:top w:val="none" w:sz="0" w:space="0" w:color="auto"/>
              <w:bottom w:val="none" w:sz="0" w:space="0" w:color="auto"/>
            </w:tcBorders>
          </w:tcPr>
          <w:p w14:paraId="7FFBAB42" w14:textId="77777777" w:rsidR="00191534" w:rsidRPr="000E3188" w:rsidRDefault="00191534" w:rsidP="00191534">
            <w:pPr>
              <w:rPr>
                <w:rFonts w:ascii="Arial" w:hAnsi="Arial" w:cs="Arial"/>
                <w:lang w:val="en-GB"/>
              </w:rPr>
            </w:pPr>
          </w:p>
        </w:tc>
        <w:tc>
          <w:tcPr>
            <w:tcW w:w="454" w:type="pct"/>
            <w:vMerge/>
            <w:tcBorders>
              <w:top w:val="none" w:sz="0" w:space="0" w:color="auto"/>
              <w:bottom w:val="none" w:sz="0" w:space="0" w:color="auto"/>
            </w:tcBorders>
          </w:tcPr>
          <w:p w14:paraId="74E5EE1F"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368" w:type="pct"/>
            <w:tcBorders>
              <w:top w:val="none" w:sz="0" w:space="0" w:color="auto"/>
              <w:bottom w:val="none" w:sz="0" w:space="0" w:color="auto"/>
            </w:tcBorders>
          </w:tcPr>
          <w:p w14:paraId="33ED11E0"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KTC</w:t>
            </w:r>
          </w:p>
        </w:tc>
        <w:tc>
          <w:tcPr>
            <w:tcW w:w="530" w:type="pct"/>
            <w:tcBorders>
              <w:top w:val="none" w:sz="0" w:space="0" w:color="auto"/>
              <w:bottom w:val="none" w:sz="0" w:space="0" w:color="auto"/>
            </w:tcBorders>
          </w:tcPr>
          <w:p w14:paraId="28D38688"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0.125-4</w:t>
            </w:r>
          </w:p>
        </w:tc>
        <w:tc>
          <w:tcPr>
            <w:tcW w:w="583" w:type="pct"/>
            <w:tcBorders>
              <w:top w:val="none" w:sz="0" w:space="0" w:color="auto"/>
              <w:bottom w:val="none" w:sz="0" w:space="0" w:color="auto"/>
            </w:tcBorders>
          </w:tcPr>
          <w:p w14:paraId="55DCE62C"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1.4</w:t>
            </w:r>
            <w:r w:rsidRPr="000E3188" w:rsidDel="000E0DCF">
              <w:rPr>
                <w:rFonts w:ascii="Arial" w:hAnsi="Arial" w:cs="Arial"/>
                <w:color w:val="000000"/>
                <w:lang w:val="en-GB"/>
              </w:rPr>
              <w:t xml:space="preserve"> </w:t>
            </w:r>
            <w:r w:rsidRPr="000E3188">
              <w:rPr>
                <w:rFonts w:ascii="Arial" w:hAnsi="Arial" w:cs="Arial"/>
                <w:color w:val="000000"/>
                <w:lang w:val="en-GB"/>
              </w:rPr>
              <w:t>(1.2)</w:t>
            </w:r>
          </w:p>
        </w:tc>
        <w:tc>
          <w:tcPr>
            <w:tcW w:w="414" w:type="pct"/>
            <w:tcBorders>
              <w:top w:val="none" w:sz="0" w:space="0" w:color="auto"/>
              <w:bottom w:val="none" w:sz="0" w:space="0" w:color="auto"/>
            </w:tcBorders>
          </w:tcPr>
          <w:p w14:paraId="16770CD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w:t>
            </w:r>
          </w:p>
        </w:tc>
        <w:tc>
          <w:tcPr>
            <w:tcW w:w="359" w:type="pct"/>
            <w:tcBorders>
              <w:top w:val="none" w:sz="0" w:space="0" w:color="auto"/>
              <w:bottom w:val="none" w:sz="0" w:space="0" w:color="auto"/>
            </w:tcBorders>
          </w:tcPr>
          <w:p w14:paraId="70353CD2"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2</w:t>
            </w:r>
          </w:p>
        </w:tc>
        <w:tc>
          <w:tcPr>
            <w:tcW w:w="91" w:type="pct"/>
            <w:tcBorders>
              <w:top w:val="none" w:sz="0" w:space="0" w:color="auto"/>
              <w:bottom w:val="none" w:sz="0" w:space="0" w:color="auto"/>
            </w:tcBorders>
          </w:tcPr>
          <w:p w14:paraId="456B298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p>
        </w:tc>
        <w:tc>
          <w:tcPr>
            <w:tcW w:w="500" w:type="pct"/>
            <w:gridSpan w:val="2"/>
            <w:tcBorders>
              <w:top w:val="none" w:sz="0" w:space="0" w:color="auto"/>
              <w:bottom w:val="none" w:sz="0" w:space="0" w:color="auto"/>
            </w:tcBorders>
          </w:tcPr>
          <w:p w14:paraId="3B24961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0.125-4</w:t>
            </w:r>
          </w:p>
        </w:tc>
        <w:tc>
          <w:tcPr>
            <w:tcW w:w="540" w:type="pct"/>
            <w:tcBorders>
              <w:top w:val="none" w:sz="0" w:space="0" w:color="auto"/>
              <w:bottom w:val="none" w:sz="0" w:space="0" w:color="auto"/>
            </w:tcBorders>
          </w:tcPr>
          <w:p w14:paraId="059E510A"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1.4</w:t>
            </w:r>
            <w:r w:rsidRPr="000E3188" w:rsidDel="000E0DCF">
              <w:rPr>
                <w:rFonts w:ascii="Arial" w:hAnsi="Arial" w:cs="Arial"/>
                <w:color w:val="000000"/>
                <w:lang w:val="en-GB"/>
              </w:rPr>
              <w:t xml:space="preserve"> </w:t>
            </w:r>
            <w:r w:rsidRPr="000E3188">
              <w:rPr>
                <w:rFonts w:ascii="Arial" w:hAnsi="Arial" w:cs="Arial"/>
                <w:color w:val="000000"/>
                <w:lang w:val="en-GB"/>
              </w:rPr>
              <w:t>(1.26)</w:t>
            </w:r>
          </w:p>
        </w:tc>
        <w:tc>
          <w:tcPr>
            <w:tcW w:w="333" w:type="pct"/>
            <w:tcBorders>
              <w:top w:val="none" w:sz="0" w:space="0" w:color="auto"/>
              <w:bottom w:val="none" w:sz="0" w:space="0" w:color="auto"/>
            </w:tcBorders>
          </w:tcPr>
          <w:p w14:paraId="2597A2F5"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w:t>
            </w:r>
          </w:p>
        </w:tc>
        <w:tc>
          <w:tcPr>
            <w:tcW w:w="410" w:type="pct"/>
            <w:tcBorders>
              <w:top w:val="none" w:sz="0" w:space="0" w:color="auto"/>
              <w:bottom w:val="none" w:sz="0" w:space="0" w:color="auto"/>
            </w:tcBorders>
          </w:tcPr>
          <w:p w14:paraId="45535EEE"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2</w:t>
            </w:r>
          </w:p>
        </w:tc>
      </w:tr>
      <w:tr w:rsidR="00191534" w:rsidRPr="000E3188" w14:paraId="52790705" w14:textId="77777777" w:rsidTr="00191534">
        <w:trPr>
          <w:trHeight w:val="87"/>
        </w:trPr>
        <w:tc>
          <w:tcPr>
            <w:cnfStyle w:val="001000000000" w:firstRow="0" w:lastRow="0" w:firstColumn="1" w:lastColumn="0" w:oddVBand="0" w:evenVBand="0" w:oddHBand="0" w:evenHBand="0" w:firstRowFirstColumn="0" w:firstRowLastColumn="0" w:lastRowFirstColumn="0" w:lastRowLastColumn="0"/>
            <w:tcW w:w="418" w:type="pct"/>
            <w:vMerge/>
          </w:tcPr>
          <w:p w14:paraId="4BA123DA" w14:textId="77777777" w:rsidR="00191534" w:rsidRPr="000E3188" w:rsidRDefault="00191534" w:rsidP="00191534">
            <w:pPr>
              <w:rPr>
                <w:rFonts w:ascii="Arial" w:hAnsi="Arial" w:cs="Arial"/>
                <w:lang w:val="en-GB"/>
              </w:rPr>
            </w:pPr>
          </w:p>
        </w:tc>
        <w:tc>
          <w:tcPr>
            <w:tcW w:w="454" w:type="pct"/>
            <w:vMerge/>
          </w:tcPr>
          <w:p w14:paraId="7FE94193"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p>
        </w:tc>
        <w:tc>
          <w:tcPr>
            <w:tcW w:w="368" w:type="pct"/>
          </w:tcPr>
          <w:p w14:paraId="3285AD5F"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VRC</w:t>
            </w:r>
          </w:p>
        </w:tc>
        <w:tc>
          <w:tcPr>
            <w:tcW w:w="530" w:type="pct"/>
          </w:tcPr>
          <w:p w14:paraId="4D58F0D9"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0.008-1</w:t>
            </w:r>
          </w:p>
        </w:tc>
        <w:tc>
          <w:tcPr>
            <w:tcW w:w="583" w:type="pct"/>
          </w:tcPr>
          <w:p w14:paraId="681C9EC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0.14 (0.27)</w:t>
            </w:r>
          </w:p>
        </w:tc>
        <w:tc>
          <w:tcPr>
            <w:tcW w:w="414" w:type="pct"/>
          </w:tcPr>
          <w:p w14:paraId="2D04325A"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0.03</w:t>
            </w:r>
          </w:p>
        </w:tc>
        <w:tc>
          <w:tcPr>
            <w:tcW w:w="359" w:type="pct"/>
          </w:tcPr>
          <w:p w14:paraId="150C7C6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0.125</w:t>
            </w:r>
          </w:p>
        </w:tc>
        <w:tc>
          <w:tcPr>
            <w:tcW w:w="91" w:type="pct"/>
          </w:tcPr>
          <w:p w14:paraId="1B0DC08F"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p>
        </w:tc>
        <w:tc>
          <w:tcPr>
            <w:tcW w:w="500" w:type="pct"/>
            <w:gridSpan w:val="2"/>
          </w:tcPr>
          <w:p w14:paraId="79A0DD73"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0.016-1</w:t>
            </w:r>
          </w:p>
        </w:tc>
        <w:tc>
          <w:tcPr>
            <w:tcW w:w="540" w:type="pct"/>
          </w:tcPr>
          <w:p w14:paraId="2B5C8B20"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0.14</w:t>
            </w:r>
            <w:r w:rsidRPr="000E3188" w:rsidDel="000E0DCF">
              <w:rPr>
                <w:rFonts w:ascii="Arial" w:hAnsi="Arial" w:cs="Arial"/>
                <w:color w:val="000000"/>
                <w:lang w:val="en-GB"/>
              </w:rPr>
              <w:t xml:space="preserve"> </w:t>
            </w:r>
            <w:r w:rsidRPr="000E3188">
              <w:rPr>
                <w:rFonts w:ascii="Arial" w:hAnsi="Arial" w:cs="Arial"/>
                <w:color w:val="000000"/>
                <w:lang w:val="en-GB"/>
              </w:rPr>
              <w:t>(0.28)</w:t>
            </w:r>
          </w:p>
        </w:tc>
        <w:tc>
          <w:tcPr>
            <w:tcW w:w="333" w:type="pct"/>
          </w:tcPr>
          <w:p w14:paraId="18521854"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0.03</w:t>
            </w:r>
          </w:p>
        </w:tc>
        <w:tc>
          <w:tcPr>
            <w:tcW w:w="410" w:type="pct"/>
          </w:tcPr>
          <w:p w14:paraId="207C0FD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0.125</w:t>
            </w:r>
          </w:p>
        </w:tc>
      </w:tr>
      <w:tr w:rsidR="00191534" w:rsidRPr="000E3188" w14:paraId="3EF82FD2" w14:textId="77777777" w:rsidTr="00191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8" w:type="pct"/>
            <w:vMerge/>
            <w:tcBorders>
              <w:top w:val="none" w:sz="0" w:space="0" w:color="auto"/>
              <w:bottom w:val="none" w:sz="0" w:space="0" w:color="auto"/>
            </w:tcBorders>
          </w:tcPr>
          <w:p w14:paraId="080F2914" w14:textId="77777777" w:rsidR="00191534" w:rsidRPr="000E3188" w:rsidRDefault="00191534" w:rsidP="00191534">
            <w:pPr>
              <w:rPr>
                <w:rFonts w:ascii="Arial" w:hAnsi="Arial" w:cs="Arial"/>
                <w:lang w:val="en-GB"/>
              </w:rPr>
            </w:pPr>
          </w:p>
        </w:tc>
        <w:tc>
          <w:tcPr>
            <w:tcW w:w="454" w:type="pct"/>
            <w:vMerge/>
            <w:tcBorders>
              <w:top w:val="none" w:sz="0" w:space="0" w:color="auto"/>
              <w:bottom w:val="none" w:sz="0" w:space="0" w:color="auto"/>
            </w:tcBorders>
          </w:tcPr>
          <w:p w14:paraId="48A7AB13"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368" w:type="pct"/>
            <w:tcBorders>
              <w:top w:val="none" w:sz="0" w:space="0" w:color="auto"/>
              <w:bottom w:val="none" w:sz="0" w:space="0" w:color="auto"/>
            </w:tcBorders>
          </w:tcPr>
          <w:p w14:paraId="635AC45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PZ</w:t>
            </w:r>
          </w:p>
        </w:tc>
        <w:tc>
          <w:tcPr>
            <w:tcW w:w="530" w:type="pct"/>
            <w:tcBorders>
              <w:top w:val="none" w:sz="0" w:space="0" w:color="auto"/>
              <w:bottom w:val="none" w:sz="0" w:space="0" w:color="auto"/>
            </w:tcBorders>
          </w:tcPr>
          <w:p w14:paraId="2C2AAED9"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0.008-2</w:t>
            </w:r>
          </w:p>
        </w:tc>
        <w:tc>
          <w:tcPr>
            <w:tcW w:w="583" w:type="pct"/>
            <w:tcBorders>
              <w:top w:val="none" w:sz="0" w:space="0" w:color="auto"/>
              <w:bottom w:val="none" w:sz="0" w:space="0" w:color="auto"/>
            </w:tcBorders>
          </w:tcPr>
          <w:p w14:paraId="7C82769F"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vertAlign w:val="superscript"/>
                <w:lang w:val="en-GB"/>
              </w:rPr>
            </w:pPr>
            <w:r w:rsidRPr="000E3188">
              <w:rPr>
                <w:rFonts w:ascii="Arial" w:hAnsi="Arial" w:cs="Arial"/>
                <w:color w:val="000000"/>
                <w:lang w:val="en-GB"/>
              </w:rPr>
              <w:t>0.5 (0.6)</w:t>
            </w:r>
            <w:r w:rsidRPr="000E3188">
              <w:rPr>
                <w:rFonts w:ascii="Arial" w:hAnsi="Arial" w:cs="Arial"/>
                <w:color w:val="000000"/>
                <w:vertAlign w:val="superscript"/>
                <w:lang w:val="en-GB"/>
              </w:rPr>
              <w:t>b</w:t>
            </w:r>
          </w:p>
        </w:tc>
        <w:tc>
          <w:tcPr>
            <w:tcW w:w="414" w:type="pct"/>
            <w:tcBorders>
              <w:top w:val="none" w:sz="0" w:space="0" w:color="auto"/>
              <w:bottom w:val="none" w:sz="0" w:space="0" w:color="auto"/>
            </w:tcBorders>
          </w:tcPr>
          <w:p w14:paraId="340DB00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0.25</w:t>
            </w:r>
          </w:p>
        </w:tc>
        <w:tc>
          <w:tcPr>
            <w:tcW w:w="359" w:type="pct"/>
            <w:tcBorders>
              <w:top w:val="none" w:sz="0" w:space="0" w:color="auto"/>
              <w:bottom w:val="none" w:sz="0" w:space="0" w:color="auto"/>
            </w:tcBorders>
          </w:tcPr>
          <w:p w14:paraId="0C2665D8"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w:t>
            </w:r>
          </w:p>
        </w:tc>
        <w:tc>
          <w:tcPr>
            <w:tcW w:w="91" w:type="pct"/>
            <w:tcBorders>
              <w:top w:val="none" w:sz="0" w:space="0" w:color="auto"/>
              <w:bottom w:val="none" w:sz="0" w:space="0" w:color="auto"/>
            </w:tcBorders>
          </w:tcPr>
          <w:p w14:paraId="381DC186"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p>
        </w:tc>
        <w:tc>
          <w:tcPr>
            <w:tcW w:w="500" w:type="pct"/>
            <w:gridSpan w:val="2"/>
            <w:tcBorders>
              <w:top w:val="none" w:sz="0" w:space="0" w:color="auto"/>
              <w:bottom w:val="none" w:sz="0" w:space="0" w:color="auto"/>
            </w:tcBorders>
          </w:tcPr>
          <w:p w14:paraId="6895F20A"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0.008-2</w:t>
            </w:r>
          </w:p>
        </w:tc>
        <w:tc>
          <w:tcPr>
            <w:tcW w:w="540" w:type="pct"/>
            <w:tcBorders>
              <w:top w:val="none" w:sz="0" w:space="0" w:color="auto"/>
              <w:bottom w:val="none" w:sz="0" w:space="0" w:color="auto"/>
            </w:tcBorders>
          </w:tcPr>
          <w:p w14:paraId="5B736AF5"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0.5</w:t>
            </w:r>
            <w:r w:rsidRPr="000E3188" w:rsidDel="000E0DCF">
              <w:rPr>
                <w:rFonts w:ascii="Arial" w:hAnsi="Arial" w:cs="Arial"/>
                <w:color w:val="000000"/>
                <w:lang w:val="en-GB"/>
              </w:rPr>
              <w:t xml:space="preserve"> </w:t>
            </w:r>
            <w:r w:rsidRPr="000E3188">
              <w:rPr>
                <w:rFonts w:ascii="Arial" w:hAnsi="Arial" w:cs="Arial"/>
                <w:color w:val="000000"/>
                <w:lang w:val="en-GB"/>
              </w:rPr>
              <w:t>(0.60)</w:t>
            </w:r>
          </w:p>
        </w:tc>
        <w:tc>
          <w:tcPr>
            <w:tcW w:w="333" w:type="pct"/>
            <w:tcBorders>
              <w:top w:val="none" w:sz="0" w:space="0" w:color="auto"/>
              <w:bottom w:val="none" w:sz="0" w:space="0" w:color="auto"/>
            </w:tcBorders>
          </w:tcPr>
          <w:p w14:paraId="75DB2679"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0.25</w:t>
            </w:r>
          </w:p>
        </w:tc>
        <w:tc>
          <w:tcPr>
            <w:tcW w:w="410" w:type="pct"/>
            <w:tcBorders>
              <w:top w:val="none" w:sz="0" w:space="0" w:color="auto"/>
              <w:bottom w:val="none" w:sz="0" w:space="0" w:color="auto"/>
            </w:tcBorders>
          </w:tcPr>
          <w:p w14:paraId="735FD841"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w:t>
            </w:r>
          </w:p>
        </w:tc>
      </w:tr>
      <w:tr w:rsidR="00191534" w:rsidRPr="000E3188" w14:paraId="40CCD08D" w14:textId="77777777" w:rsidTr="00191534">
        <w:tc>
          <w:tcPr>
            <w:cnfStyle w:val="001000000000" w:firstRow="0" w:lastRow="0" w:firstColumn="1" w:lastColumn="0" w:oddVBand="0" w:evenVBand="0" w:oddHBand="0" w:evenHBand="0" w:firstRowFirstColumn="0" w:firstRowLastColumn="0" w:lastRowFirstColumn="0" w:lastRowLastColumn="0"/>
            <w:tcW w:w="418" w:type="pct"/>
            <w:vMerge/>
          </w:tcPr>
          <w:p w14:paraId="524F6F05" w14:textId="77777777" w:rsidR="00191534" w:rsidRPr="000E3188" w:rsidRDefault="00191534" w:rsidP="00191534">
            <w:pPr>
              <w:rPr>
                <w:rFonts w:ascii="Arial" w:hAnsi="Arial" w:cs="Arial"/>
                <w:lang w:val="en-GB"/>
              </w:rPr>
            </w:pPr>
          </w:p>
        </w:tc>
        <w:tc>
          <w:tcPr>
            <w:tcW w:w="454" w:type="pct"/>
            <w:vMerge/>
          </w:tcPr>
          <w:p w14:paraId="4C62E39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p>
        </w:tc>
        <w:tc>
          <w:tcPr>
            <w:tcW w:w="368" w:type="pct"/>
          </w:tcPr>
          <w:p w14:paraId="08C1EA5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TRB</w:t>
            </w:r>
          </w:p>
        </w:tc>
        <w:tc>
          <w:tcPr>
            <w:tcW w:w="530" w:type="pct"/>
          </w:tcPr>
          <w:p w14:paraId="12485803"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0.008-0.25</w:t>
            </w:r>
          </w:p>
        </w:tc>
        <w:tc>
          <w:tcPr>
            <w:tcW w:w="583" w:type="pct"/>
          </w:tcPr>
          <w:p w14:paraId="7C653258"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0.07 (0.09)</w:t>
            </w:r>
          </w:p>
        </w:tc>
        <w:tc>
          <w:tcPr>
            <w:tcW w:w="414" w:type="pct"/>
          </w:tcPr>
          <w:p w14:paraId="51495034"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0.016</w:t>
            </w:r>
          </w:p>
        </w:tc>
        <w:tc>
          <w:tcPr>
            <w:tcW w:w="359" w:type="pct"/>
          </w:tcPr>
          <w:p w14:paraId="0496CD03"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0.25</w:t>
            </w:r>
          </w:p>
        </w:tc>
        <w:tc>
          <w:tcPr>
            <w:tcW w:w="91" w:type="pct"/>
          </w:tcPr>
          <w:p w14:paraId="284391B5"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p>
        </w:tc>
        <w:tc>
          <w:tcPr>
            <w:tcW w:w="500" w:type="pct"/>
            <w:gridSpan w:val="2"/>
          </w:tcPr>
          <w:p w14:paraId="43398746"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0.008-0.25</w:t>
            </w:r>
          </w:p>
        </w:tc>
        <w:tc>
          <w:tcPr>
            <w:tcW w:w="540" w:type="pct"/>
          </w:tcPr>
          <w:p w14:paraId="11075CF4"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0.07 (0.10)</w:t>
            </w:r>
          </w:p>
        </w:tc>
        <w:tc>
          <w:tcPr>
            <w:tcW w:w="333" w:type="pct"/>
          </w:tcPr>
          <w:p w14:paraId="6285ABE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0.016</w:t>
            </w:r>
          </w:p>
        </w:tc>
        <w:tc>
          <w:tcPr>
            <w:tcW w:w="410" w:type="pct"/>
          </w:tcPr>
          <w:p w14:paraId="3D2147D0"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0.25</w:t>
            </w:r>
          </w:p>
        </w:tc>
      </w:tr>
      <w:tr w:rsidR="00191534" w:rsidRPr="000E3188" w14:paraId="3785B3B8" w14:textId="77777777" w:rsidTr="0019153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418" w:type="pct"/>
            <w:vMerge/>
            <w:tcBorders>
              <w:top w:val="none" w:sz="0" w:space="0" w:color="auto"/>
              <w:bottom w:val="none" w:sz="0" w:space="0" w:color="auto"/>
            </w:tcBorders>
          </w:tcPr>
          <w:p w14:paraId="0C6990D6" w14:textId="77777777" w:rsidR="00191534" w:rsidRPr="000E3188" w:rsidRDefault="00191534" w:rsidP="00191534">
            <w:pPr>
              <w:rPr>
                <w:rFonts w:ascii="Arial" w:hAnsi="Arial" w:cs="Arial"/>
                <w:lang w:val="en-GB"/>
              </w:rPr>
            </w:pPr>
          </w:p>
        </w:tc>
        <w:tc>
          <w:tcPr>
            <w:tcW w:w="454" w:type="pct"/>
            <w:vMerge/>
            <w:tcBorders>
              <w:top w:val="none" w:sz="0" w:space="0" w:color="auto"/>
              <w:bottom w:val="none" w:sz="0" w:space="0" w:color="auto"/>
            </w:tcBorders>
          </w:tcPr>
          <w:p w14:paraId="48E60C87"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368" w:type="pct"/>
            <w:tcBorders>
              <w:top w:val="none" w:sz="0" w:space="0" w:color="auto"/>
              <w:bottom w:val="none" w:sz="0" w:space="0" w:color="auto"/>
            </w:tcBorders>
          </w:tcPr>
          <w:p w14:paraId="3C7B6605"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FLC</w:t>
            </w:r>
          </w:p>
        </w:tc>
        <w:tc>
          <w:tcPr>
            <w:tcW w:w="530" w:type="pct"/>
            <w:tcBorders>
              <w:top w:val="none" w:sz="0" w:space="0" w:color="auto"/>
              <w:bottom w:val="none" w:sz="0" w:space="0" w:color="auto"/>
            </w:tcBorders>
          </w:tcPr>
          <w:p w14:paraId="65059286"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4-128</w:t>
            </w:r>
          </w:p>
        </w:tc>
        <w:tc>
          <w:tcPr>
            <w:tcW w:w="583" w:type="pct"/>
            <w:tcBorders>
              <w:top w:val="none" w:sz="0" w:space="0" w:color="auto"/>
              <w:bottom w:val="none" w:sz="0" w:space="0" w:color="auto"/>
            </w:tcBorders>
          </w:tcPr>
          <w:p w14:paraId="21D30E2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36.9</w:t>
            </w:r>
            <w:r w:rsidRPr="000E3188" w:rsidDel="000E0DCF">
              <w:rPr>
                <w:rFonts w:ascii="Arial" w:hAnsi="Arial" w:cs="Arial"/>
                <w:color w:val="000000"/>
                <w:lang w:val="en-GB"/>
              </w:rPr>
              <w:t xml:space="preserve"> </w:t>
            </w:r>
            <w:r w:rsidRPr="000E3188">
              <w:rPr>
                <w:rFonts w:ascii="Arial" w:hAnsi="Arial" w:cs="Arial"/>
                <w:color w:val="000000"/>
                <w:lang w:val="en-GB"/>
              </w:rPr>
              <w:t>(44.0)</w:t>
            </w:r>
            <w:r w:rsidRPr="000E3188">
              <w:rPr>
                <w:rFonts w:ascii="Arial" w:hAnsi="Arial" w:cs="Arial"/>
                <w:color w:val="000000"/>
                <w:vertAlign w:val="superscript"/>
                <w:lang w:val="en-GB"/>
              </w:rPr>
              <w:t>c</w:t>
            </w:r>
          </w:p>
        </w:tc>
        <w:tc>
          <w:tcPr>
            <w:tcW w:w="414" w:type="pct"/>
            <w:tcBorders>
              <w:top w:val="none" w:sz="0" w:space="0" w:color="auto"/>
              <w:bottom w:val="none" w:sz="0" w:space="0" w:color="auto"/>
            </w:tcBorders>
          </w:tcPr>
          <w:p w14:paraId="38D3929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8</w:t>
            </w:r>
          </w:p>
        </w:tc>
        <w:tc>
          <w:tcPr>
            <w:tcW w:w="359" w:type="pct"/>
            <w:tcBorders>
              <w:top w:val="none" w:sz="0" w:space="0" w:color="auto"/>
              <w:bottom w:val="none" w:sz="0" w:space="0" w:color="auto"/>
            </w:tcBorders>
          </w:tcPr>
          <w:p w14:paraId="27AC68B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64</w:t>
            </w:r>
          </w:p>
        </w:tc>
        <w:tc>
          <w:tcPr>
            <w:tcW w:w="91" w:type="pct"/>
            <w:tcBorders>
              <w:top w:val="none" w:sz="0" w:space="0" w:color="auto"/>
              <w:bottom w:val="none" w:sz="0" w:space="0" w:color="auto"/>
            </w:tcBorders>
          </w:tcPr>
          <w:p w14:paraId="1C3988C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p>
        </w:tc>
        <w:tc>
          <w:tcPr>
            <w:tcW w:w="500" w:type="pct"/>
            <w:gridSpan w:val="2"/>
            <w:tcBorders>
              <w:top w:val="none" w:sz="0" w:space="0" w:color="auto"/>
              <w:bottom w:val="none" w:sz="0" w:space="0" w:color="auto"/>
            </w:tcBorders>
          </w:tcPr>
          <w:p w14:paraId="6641D7EB"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4-128</w:t>
            </w:r>
          </w:p>
        </w:tc>
        <w:tc>
          <w:tcPr>
            <w:tcW w:w="540" w:type="pct"/>
            <w:tcBorders>
              <w:top w:val="none" w:sz="0" w:space="0" w:color="auto"/>
              <w:bottom w:val="none" w:sz="0" w:space="0" w:color="auto"/>
            </w:tcBorders>
          </w:tcPr>
          <w:p w14:paraId="07053C19"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36.9 (44.0)</w:t>
            </w:r>
            <w:r w:rsidRPr="000E3188">
              <w:rPr>
                <w:rFonts w:ascii="Arial" w:hAnsi="Arial" w:cs="Arial"/>
                <w:color w:val="000000"/>
                <w:vertAlign w:val="superscript"/>
                <w:lang w:val="en-GB"/>
              </w:rPr>
              <w:t>e</w:t>
            </w:r>
          </w:p>
        </w:tc>
        <w:tc>
          <w:tcPr>
            <w:tcW w:w="333" w:type="pct"/>
            <w:tcBorders>
              <w:top w:val="none" w:sz="0" w:space="0" w:color="auto"/>
              <w:bottom w:val="none" w:sz="0" w:space="0" w:color="auto"/>
            </w:tcBorders>
          </w:tcPr>
          <w:p w14:paraId="6EDF49DF"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8</w:t>
            </w:r>
          </w:p>
        </w:tc>
        <w:tc>
          <w:tcPr>
            <w:tcW w:w="410" w:type="pct"/>
            <w:tcBorders>
              <w:top w:val="none" w:sz="0" w:space="0" w:color="auto"/>
              <w:bottom w:val="none" w:sz="0" w:space="0" w:color="auto"/>
            </w:tcBorders>
          </w:tcPr>
          <w:p w14:paraId="0721D219"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64</w:t>
            </w:r>
          </w:p>
        </w:tc>
      </w:tr>
      <w:tr w:rsidR="00191534" w:rsidRPr="000E3188" w14:paraId="792BE655" w14:textId="77777777" w:rsidTr="00191534">
        <w:trPr>
          <w:trHeight w:val="60"/>
        </w:trPr>
        <w:tc>
          <w:tcPr>
            <w:cnfStyle w:val="001000000000" w:firstRow="0" w:lastRow="0" w:firstColumn="1" w:lastColumn="0" w:oddVBand="0" w:evenVBand="0" w:oddHBand="0" w:evenHBand="0" w:firstRowFirstColumn="0" w:firstRowLastColumn="0" w:lastRowFirstColumn="0" w:lastRowLastColumn="0"/>
            <w:tcW w:w="418" w:type="pct"/>
            <w:vMerge/>
            <w:tcBorders>
              <w:bottom w:val="single" w:sz="4" w:space="0" w:color="auto"/>
            </w:tcBorders>
          </w:tcPr>
          <w:p w14:paraId="1F4C5AE2" w14:textId="77777777" w:rsidR="00191534" w:rsidRPr="000E3188" w:rsidRDefault="00191534" w:rsidP="00191534">
            <w:pPr>
              <w:rPr>
                <w:rFonts w:ascii="Arial" w:hAnsi="Arial" w:cs="Arial"/>
                <w:lang w:val="en-GB"/>
              </w:rPr>
            </w:pPr>
          </w:p>
        </w:tc>
        <w:tc>
          <w:tcPr>
            <w:tcW w:w="454" w:type="pct"/>
            <w:vMerge/>
            <w:tcBorders>
              <w:bottom w:val="single" w:sz="4" w:space="0" w:color="auto"/>
            </w:tcBorders>
          </w:tcPr>
          <w:p w14:paraId="4F475D0D"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p>
        </w:tc>
        <w:tc>
          <w:tcPr>
            <w:tcW w:w="368" w:type="pct"/>
            <w:tcBorders>
              <w:bottom w:val="single" w:sz="4" w:space="0" w:color="auto"/>
            </w:tcBorders>
          </w:tcPr>
          <w:p w14:paraId="7FC9AA7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GRI</w:t>
            </w:r>
          </w:p>
        </w:tc>
        <w:tc>
          <w:tcPr>
            <w:tcW w:w="530" w:type="pct"/>
            <w:tcBorders>
              <w:bottom w:val="single" w:sz="4" w:space="0" w:color="auto"/>
            </w:tcBorders>
          </w:tcPr>
          <w:p w14:paraId="769D82E6"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0.125-2</w:t>
            </w:r>
          </w:p>
        </w:tc>
        <w:tc>
          <w:tcPr>
            <w:tcW w:w="583" w:type="pct"/>
            <w:tcBorders>
              <w:bottom w:val="single" w:sz="4" w:space="0" w:color="auto"/>
            </w:tcBorders>
          </w:tcPr>
          <w:p w14:paraId="13B3B282"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1.0 (0.72)</w:t>
            </w:r>
          </w:p>
        </w:tc>
        <w:tc>
          <w:tcPr>
            <w:tcW w:w="414" w:type="pct"/>
            <w:tcBorders>
              <w:bottom w:val="single" w:sz="4" w:space="0" w:color="auto"/>
            </w:tcBorders>
          </w:tcPr>
          <w:p w14:paraId="6FD3EFED"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0.5</w:t>
            </w:r>
          </w:p>
        </w:tc>
        <w:tc>
          <w:tcPr>
            <w:tcW w:w="359" w:type="pct"/>
            <w:tcBorders>
              <w:bottom w:val="single" w:sz="4" w:space="0" w:color="auto"/>
            </w:tcBorders>
          </w:tcPr>
          <w:p w14:paraId="30A85AF9"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2</w:t>
            </w:r>
          </w:p>
        </w:tc>
        <w:tc>
          <w:tcPr>
            <w:tcW w:w="91" w:type="pct"/>
            <w:tcBorders>
              <w:bottom w:val="single" w:sz="4" w:space="0" w:color="auto"/>
            </w:tcBorders>
          </w:tcPr>
          <w:p w14:paraId="45B6D04F"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p>
        </w:tc>
        <w:tc>
          <w:tcPr>
            <w:tcW w:w="500" w:type="pct"/>
            <w:gridSpan w:val="2"/>
            <w:tcBorders>
              <w:bottom w:val="single" w:sz="4" w:space="0" w:color="auto"/>
            </w:tcBorders>
          </w:tcPr>
          <w:p w14:paraId="116235FA"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0.125-2</w:t>
            </w:r>
          </w:p>
        </w:tc>
        <w:tc>
          <w:tcPr>
            <w:tcW w:w="540" w:type="pct"/>
            <w:tcBorders>
              <w:bottom w:val="single" w:sz="4" w:space="0" w:color="auto"/>
            </w:tcBorders>
          </w:tcPr>
          <w:p w14:paraId="7FBD7209"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1.0 (0.72)</w:t>
            </w:r>
          </w:p>
        </w:tc>
        <w:tc>
          <w:tcPr>
            <w:tcW w:w="333" w:type="pct"/>
            <w:tcBorders>
              <w:bottom w:val="single" w:sz="4" w:space="0" w:color="auto"/>
            </w:tcBorders>
          </w:tcPr>
          <w:p w14:paraId="21CCC8A5"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0.5</w:t>
            </w:r>
          </w:p>
        </w:tc>
        <w:tc>
          <w:tcPr>
            <w:tcW w:w="410" w:type="pct"/>
            <w:tcBorders>
              <w:bottom w:val="single" w:sz="4" w:space="0" w:color="auto"/>
            </w:tcBorders>
          </w:tcPr>
          <w:p w14:paraId="483A21B5"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2</w:t>
            </w:r>
          </w:p>
        </w:tc>
      </w:tr>
      <w:tr w:rsidR="00191534" w:rsidRPr="000E3188" w14:paraId="1DB77ED6" w14:textId="77777777" w:rsidTr="00191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8" w:type="pct"/>
            <w:vMerge w:val="restart"/>
            <w:tcBorders>
              <w:top w:val="single" w:sz="4" w:space="0" w:color="auto"/>
              <w:bottom w:val="none" w:sz="0" w:space="0" w:color="auto"/>
            </w:tcBorders>
          </w:tcPr>
          <w:p w14:paraId="243032F5" w14:textId="77777777" w:rsidR="00191534" w:rsidRPr="000E3188" w:rsidRDefault="00191534" w:rsidP="00191534">
            <w:pPr>
              <w:rPr>
                <w:rFonts w:ascii="Arial" w:hAnsi="Arial" w:cs="Arial"/>
                <w:lang w:val="en-GB"/>
              </w:rPr>
            </w:pPr>
            <w:r w:rsidRPr="000E3188">
              <w:rPr>
                <w:rFonts w:ascii="Arial" w:hAnsi="Arial" w:cs="Arial"/>
                <w:lang w:val="en-GB"/>
              </w:rPr>
              <w:t>Group II</w:t>
            </w:r>
          </w:p>
        </w:tc>
        <w:tc>
          <w:tcPr>
            <w:tcW w:w="454" w:type="pct"/>
            <w:vMerge w:val="restart"/>
            <w:tcBorders>
              <w:top w:val="single" w:sz="4" w:space="0" w:color="auto"/>
              <w:bottom w:val="none" w:sz="0" w:space="0" w:color="auto"/>
            </w:tcBorders>
          </w:tcPr>
          <w:p w14:paraId="681FA00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 xml:space="preserve">14 </w:t>
            </w:r>
          </w:p>
        </w:tc>
        <w:tc>
          <w:tcPr>
            <w:tcW w:w="368" w:type="pct"/>
            <w:tcBorders>
              <w:top w:val="single" w:sz="4" w:space="0" w:color="auto"/>
              <w:bottom w:val="none" w:sz="0" w:space="0" w:color="auto"/>
            </w:tcBorders>
          </w:tcPr>
          <w:p w14:paraId="204AB071"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ITC</w:t>
            </w:r>
          </w:p>
        </w:tc>
        <w:tc>
          <w:tcPr>
            <w:tcW w:w="530" w:type="pct"/>
            <w:tcBorders>
              <w:top w:val="single" w:sz="4" w:space="0" w:color="auto"/>
              <w:bottom w:val="none" w:sz="0" w:space="0" w:color="auto"/>
            </w:tcBorders>
          </w:tcPr>
          <w:p w14:paraId="6C5FA39C"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0.008-1</w:t>
            </w:r>
          </w:p>
        </w:tc>
        <w:tc>
          <w:tcPr>
            <w:tcW w:w="583" w:type="pct"/>
            <w:tcBorders>
              <w:top w:val="single" w:sz="4" w:space="0" w:color="auto"/>
              <w:bottom w:val="none" w:sz="0" w:space="0" w:color="auto"/>
            </w:tcBorders>
          </w:tcPr>
          <w:p w14:paraId="2C14793B"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0.4 (0.3)</w:t>
            </w:r>
            <w:r w:rsidRPr="000E3188">
              <w:rPr>
                <w:rFonts w:ascii="Arial" w:hAnsi="Arial" w:cs="Arial"/>
                <w:color w:val="000000"/>
                <w:vertAlign w:val="superscript"/>
                <w:lang w:val="en-GB"/>
              </w:rPr>
              <w:t>a</w:t>
            </w:r>
          </w:p>
        </w:tc>
        <w:tc>
          <w:tcPr>
            <w:tcW w:w="414" w:type="pct"/>
            <w:tcBorders>
              <w:top w:val="single" w:sz="4" w:space="0" w:color="auto"/>
              <w:bottom w:val="none" w:sz="0" w:space="0" w:color="auto"/>
            </w:tcBorders>
          </w:tcPr>
          <w:p w14:paraId="287B9318"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0.5</w:t>
            </w:r>
          </w:p>
        </w:tc>
        <w:tc>
          <w:tcPr>
            <w:tcW w:w="359" w:type="pct"/>
            <w:tcBorders>
              <w:top w:val="single" w:sz="4" w:space="0" w:color="auto"/>
              <w:bottom w:val="none" w:sz="0" w:space="0" w:color="auto"/>
            </w:tcBorders>
          </w:tcPr>
          <w:p w14:paraId="27C6BE36"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0.5</w:t>
            </w:r>
          </w:p>
        </w:tc>
        <w:tc>
          <w:tcPr>
            <w:tcW w:w="91" w:type="pct"/>
            <w:tcBorders>
              <w:top w:val="single" w:sz="4" w:space="0" w:color="auto"/>
              <w:bottom w:val="none" w:sz="0" w:space="0" w:color="auto"/>
            </w:tcBorders>
          </w:tcPr>
          <w:p w14:paraId="0E7BE3D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p>
        </w:tc>
        <w:tc>
          <w:tcPr>
            <w:tcW w:w="500" w:type="pct"/>
            <w:gridSpan w:val="2"/>
            <w:tcBorders>
              <w:top w:val="single" w:sz="4" w:space="0" w:color="auto"/>
              <w:bottom w:val="none" w:sz="0" w:space="0" w:color="auto"/>
            </w:tcBorders>
          </w:tcPr>
          <w:p w14:paraId="41DFF70F"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0.008-1</w:t>
            </w:r>
          </w:p>
        </w:tc>
        <w:tc>
          <w:tcPr>
            <w:tcW w:w="540" w:type="pct"/>
            <w:tcBorders>
              <w:top w:val="single" w:sz="4" w:space="0" w:color="auto"/>
              <w:bottom w:val="none" w:sz="0" w:space="0" w:color="auto"/>
            </w:tcBorders>
          </w:tcPr>
          <w:p w14:paraId="4815D962"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vertAlign w:val="superscript"/>
                <w:lang w:val="en-GB"/>
              </w:rPr>
            </w:pPr>
            <w:r w:rsidRPr="000E3188">
              <w:rPr>
                <w:rFonts w:ascii="Arial" w:hAnsi="Arial" w:cs="Arial"/>
                <w:color w:val="000000" w:themeColor="text1"/>
                <w:lang w:val="en-GB"/>
              </w:rPr>
              <w:t>0.7 (0.5)</w:t>
            </w:r>
            <w:r w:rsidRPr="000E3188">
              <w:rPr>
                <w:rFonts w:ascii="Arial" w:hAnsi="Arial" w:cs="Arial"/>
                <w:color w:val="000000" w:themeColor="text1"/>
                <w:vertAlign w:val="superscript"/>
                <w:lang w:val="en-GB"/>
              </w:rPr>
              <w:t>d</w:t>
            </w:r>
          </w:p>
        </w:tc>
        <w:tc>
          <w:tcPr>
            <w:tcW w:w="333" w:type="pct"/>
            <w:tcBorders>
              <w:top w:val="single" w:sz="4" w:space="0" w:color="auto"/>
              <w:bottom w:val="none" w:sz="0" w:space="0" w:color="auto"/>
            </w:tcBorders>
          </w:tcPr>
          <w:p w14:paraId="094163C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1</w:t>
            </w:r>
          </w:p>
        </w:tc>
        <w:tc>
          <w:tcPr>
            <w:tcW w:w="410" w:type="pct"/>
            <w:tcBorders>
              <w:top w:val="single" w:sz="4" w:space="0" w:color="auto"/>
              <w:bottom w:val="none" w:sz="0" w:space="0" w:color="auto"/>
            </w:tcBorders>
          </w:tcPr>
          <w:p w14:paraId="2C9CFD8B"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1</w:t>
            </w:r>
          </w:p>
        </w:tc>
      </w:tr>
      <w:tr w:rsidR="00191534" w:rsidRPr="000E3188" w14:paraId="73E927ED" w14:textId="77777777" w:rsidTr="00191534">
        <w:tc>
          <w:tcPr>
            <w:cnfStyle w:val="001000000000" w:firstRow="0" w:lastRow="0" w:firstColumn="1" w:lastColumn="0" w:oddVBand="0" w:evenVBand="0" w:oddHBand="0" w:evenHBand="0" w:firstRowFirstColumn="0" w:firstRowLastColumn="0" w:lastRowFirstColumn="0" w:lastRowLastColumn="0"/>
            <w:tcW w:w="418" w:type="pct"/>
            <w:vMerge/>
          </w:tcPr>
          <w:p w14:paraId="23899A35" w14:textId="77777777" w:rsidR="00191534" w:rsidRPr="000E3188" w:rsidRDefault="00191534" w:rsidP="00191534">
            <w:pPr>
              <w:rPr>
                <w:rFonts w:ascii="Arial" w:hAnsi="Arial" w:cs="Arial"/>
                <w:lang w:val="en-GB"/>
              </w:rPr>
            </w:pPr>
          </w:p>
        </w:tc>
        <w:tc>
          <w:tcPr>
            <w:tcW w:w="454" w:type="pct"/>
            <w:vMerge/>
          </w:tcPr>
          <w:p w14:paraId="70ED9B26"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p>
        </w:tc>
        <w:tc>
          <w:tcPr>
            <w:tcW w:w="368" w:type="pct"/>
          </w:tcPr>
          <w:p w14:paraId="6665EDF9"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KTC</w:t>
            </w:r>
          </w:p>
        </w:tc>
        <w:tc>
          <w:tcPr>
            <w:tcW w:w="530" w:type="pct"/>
          </w:tcPr>
          <w:p w14:paraId="6F675C52"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0.008-4</w:t>
            </w:r>
          </w:p>
        </w:tc>
        <w:tc>
          <w:tcPr>
            <w:tcW w:w="583" w:type="pct"/>
          </w:tcPr>
          <w:p w14:paraId="6B4DA116"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0.7 (1.0)</w:t>
            </w:r>
          </w:p>
        </w:tc>
        <w:tc>
          <w:tcPr>
            <w:tcW w:w="414" w:type="pct"/>
          </w:tcPr>
          <w:p w14:paraId="1C29A708"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0.25</w:t>
            </w:r>
          </w:p>
        </w:tc>
        <w:tc>
          <w:tcPr>
            <w:tcW w:w="359" w:type="pct"/>
          </w:tcPr>
          <w:p w14:paraId="04F98FE3"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w:t>
            </w:r>
          </w:p>
        </w:tc>
        <w:tc>
          <w:tcPr>
            <w:tcW w:w="91" w:type="pct"/>
          </w:tcPr>
          <w:p w14:paraId="7511B0D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p>
        </w:tc>
        <w:tc>
          <w:tcPr>
            <w:tcW w:w="500" w:type="pct"/>
            <w:gridSpan w:val="2"/>
          </w:tcPr>
          <w:p w14:paraId="42BAC702"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0.008-4</w:t>
            </w:r>
          </w:p>
        </w:tc>
        <w:tc>
          <w:tcPr>
            <w:tcW w:w="540" w:type="pct"/>
          </w:tcPr>
          <w:p w14:paraId="12715E89"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1.2</w:t>
            </w:r>
            <w:r w:rsidRPr="000E3188" w:rsidDel="000E0DCF">
              <w:rPr>
                <w:rFonts w:ascii="Arial" w:hAnsi="Arial" w:cs="Arial"/>
                <w:color w:val="000000" w:themeColor="text1"/>
                <w:lang w:val="en-GB"/>
              </w:rPr>
              <w:t xml:space="preserve"> </w:t>
            </w:r>
            <w:r w:rsidRPr="000E3188">
              <w:rPr>
                <w:rFonts w:ascii="Arial" w:hAnsi="Arial" w:cs="Arial"/>
                <w:color w:val="000000" w:themeColor="text1"/>
                <w:lang w:val="en-GB"/>
              </w:rPr>
              <w:t>(1.4)</w:t>
            </w:r>
          </w:p>
        </w:tc>
        <w:tc>
          <w:tcPr>
            <w:tcW w:w="333" w:type="pct"/>
          </w:tcPr>
          <w:p w14:paraId="22447A33"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0.5</w:t>
            </w:r>
          </w:p>
        </w:tc>
        <w:tc>
          <w:tcPr>
            <w:tcW w:w="410" w:type="pct"/>
          </w:tcPr>
          <w:p w14:paraId="3810B47E"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2</w:t>
            </w:r>
          </w:p>
        </w:tc>
      </w:tr>
      <w:tr w:rsidR="00191534" w:rsidRPr="000E3188" w14:paraId="301F9A04" w14:textId="77777777" w:rsidTr="00191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8" w:type="pct"/>
            <w:vMerge/>
            <w:tcBorders>
              <w:top w:val="none" w:sz="0" w:space="0" w:color="auto"/>
              <w:bottom w:val="none" w:sz="0" w:space="0" w:color="auto"/>
            </w:tcBorders>
          </w:tcPr>
          <w:p w14:paraId="52ADAD5A" w14:textId="77777777" w:rsidR="00191534" w:rsidRPr="000E3188" w:rsidRDefault="00191534" w:rsidP="00191534">
            <w:pPr>
              <w:rPr>
                <w:rFonts w:ascii="Arial" w:hAnsi="Arial" w:cs="Arial"/>
                <w:lang w:val="en-GB"/>
              </w:rPr>
            </w:pPr>
          </w:p>
        </w:tc>
        <w:tc>
          <w:tcPr>
            <w:tcW w:w="454" w:type="pct"/>
            <w:vMerge/>
            <w:tcBorders>
              <w:top w:val="none" w:sz="0" w:space="0" w:color="auto"/>
              <w:bottom w:val="none" w:sz="0" w:space="0" w:color="auto"/>
            </w:tcBorders>
          </w:tcPr>
          <w:p w14:paraId="6BE03214"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368" w:type="pct"/>
            <w:tcBorders>
              <w:top w:val="none" w:sz="0" w:space="0" w:color="auto"/>
              <w:bottom w:val="none" w:sz="0" w:space="0" w:color="auto"/>
            </w:tcBorders>
          </w:tcPr>
          <w:p w14:paraId="12EE280C"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VRC</w:t>
            </w:r>
          </w:p>
        </w:tc>
        <w:tc>
          <w:tcPr>
            <w:tcW w:w="530" w:type="pct"/>
            <w:tcBorders>
              <w:top w:val="none" w:sz="0" w:space="0" w:color="auto"/>
              <w:bottom w:val="none" w:sz="0" w:space="0" w:color="auto"/>
            </w:tcBorders>
          </w:tcPr>
          <w:p w14:paraId="558314B9"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0.008-0.125</w:t>
            </w:r>
          </w:p>
        </w:tc>
        <w:tc>
          <w:tcPr>
            <w:tcW w:w="583" w:type="pct"/>
            <w:tcBorders>
              <w:top w:val="none" w:sz="0" w:space="0" w:color="auto"/>
              <w:bottom w:val="none" w:sz="0" w:space="0" w:color="auto"/>
            </w:tcBorders>
          </w:tcPr>
          <w:p w14:paraId="20BED82C"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0.03 (0.03)</w:t>
            </w:r>
          </w:p>
        </w:tc>
        <w:tc>
          <w:tcPr>
            <w:tcW w:w="414" w:type="pct"/>
            <w:tcBorders>
              <w:top w:val="none" w:sz="0" w:space="0" w:color="auto"/>
              <w:bottom w:val="none" w:sz="0" w:space="0" w:color="auto"/>
            </w:tcBorders>
          </w:tcPr>
          <w:p w14:paraId="5477D717"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0.016</w:t>
            </w:r>
          </w:p>
        </w:tc>
        <w:tc>
          <w:tcPr>
            <w:tcW w:w="359" w:type="pct"/>
            <w:tcBorders>
              <w:top w:val="none" w:sz="0" w:space="0" w:color="auto"/>
              <w:bottom w:val="none" w:sz="0" w:space="0" w:color="auto"/>
            </w:tcBorders>
          </w:tcPr>
          <w:p w14:paraId="148375A9"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0.06</w:t>
            </w:r>
          </w:p>
        </w:tc>
        <w:tc>
          <w:tcPr>
            <w:tcW w:w="91" w:type="pct"/>
            <w:tcBorders>
              <w:top w:val="none" w:sz="0" w:space="0" w:color="auto"/>
              <w:bottom w:val="none" w:sz="0" w:space="0" w:color="auto"/>
            </w:tcBorders>
          </w:tcPr>
          <w:p w14:paraId="124581E1"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p>
        </w:tc>
        <w:tc>
          <w:tcPr>
            <w:tcW w:w="500" w:type="pct"/>
            <w:gridSpan w:val="2"/>
            <w:tcBorders>
              <w:top w:val="none" w:sz="0" w:space="0" w:color="auto"/>
              <w:bottom w:val="none" w:sz="0" w:space="0" w:color="auto"/>
            </w:tcBorders>
          </w:tcPr>
          <w:p w14:paraId="0F945208"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0.008-0.125</w:t>
            </w:r>
          </w:p>
        </w:tc>
        <w:tc>
          <w:tcPr>
            <w:tcW w:w="540" w:type="pct"/>
            <w:tcBorders>
              <w:top w:val="none" w:sz="0" w:space="0" w:color="auto"/>
              <w:bottom w:val="none" w:sz="0" w:space="0" w:color="auto"/>
            </w:tcBorders>
          </w:tcPr>
          <w:p w14:paraId="481BC6B6"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0.03 (0.03)</w:t>
            </w:r>
          </w:p>
        </w:tc>
        <w:tc>
          <w:tcPr>
            <w:tcW w:w="333" w:type="pct"/>
            <w:tcBorders>
              <w:top w:val="none" w:sz="0" w:space="0" w:color="auto"/>
              <w:bottom w:val="none" w:sz="0" w:space="0" w:color="auto"/>
            </w:tcBorders>
          </w:tcPr>
          <w:p w14:paraId="6CA30ABB"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0.016</w:t>
            </w:r>
          </w:p>
        </w:tc>
        <w:tc>
          <w:tcPr>
            <w:tcW w:w="410" w:type="pct"/>
            <w:tcBorders>
              <w:top w:val="none" w:sz="0" w:space="0" w:color="auto"/>
              <w:bottom w:val="none" w:sz="0" w:space="0" w:color="auto"/>
            </w:tcBorders>
          </w:tcPr>
          <w:p w14:paraId="45DFA73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0.06</w:t>
            </w:r>
          </w:p>
        </w:tc>
      </w:tr>
      <w:tr w:rsidR="00191534" w:rsidRPr="000E3188" w14:paraId="385A31D5" w14:textId="77777777" w:rsidTr="00191534">
        <w:tc>
          <w:tcPr>
            <w:cnfStyle w:val="001000000000" w:firstRow="0" w:lastRow="0" w:firstColumn="1" w:lastColumn="0" w:oddVBand="0" w:evenVBand="0" w:oddHBand="0" w:evenHBand="0" w:firstRowFirstColumn="0" w:firstRowLastColumn="0" w:lastRowFirstColumn="0" w:lastRowLastColumn="0"/>
            <w:tcW w:w="418" w:type="pct"/>
            <w:vMerge/>
          </w:tcPr>
          <w:p w14:paraId="47645089" w14:textId="77777777" w:rsidR="00191534" w:rsidRPr="000E3188" w:rsidRDefault="00191534" w:rsidP="00191534">
            <w:pPr>
              <w:rPr>
                <w:rFonts w:ascii="Arial" w:hAnsi="Arial" w:cs="Arial"/>
                <w:lang w:val="en-GB"/>
              </w:rPr>
            </w:pPr>
          </w:p>
        </w:tc>
        <w:tc>
          <w:tcPr>
            <w:tcW w:w="454" w:type="pct"/>
            <w:vMerge/>
          </w:tcPr>
          <w:p w14:paraId="6E7283BD"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p>
        </w:tc>
        <w:tc>
          <w:tcPr>
            <w:tcW w:w="368" w:type="pct"/>
          </w:tcPr>
          <w:p w14:paraId="3A34E00C"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PZ</w:t>
            </w:r>
          </w:p>
        </w:tc>
        <w:tc>
          <w:tcPr>
            <w:tcW w:w="530" w:type="pct"/>
          </w:tcPr>
          <w:p w14:paraId="198405E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0.008-1</w:t>
            </w:r>
          </w:p>
        </w:tc>
        <w:tc>
          <w:tcPr>
            <w:tcW w:w="583" w:type="pct"/>
          </w:tcPr>
          <w:p w14:paraId="78E324B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vertAlign w:val="superscript"/>
                <w:lang w:val="en-GB"/>
              </w:rPr>
            </w:pPr>
            <w:r w:rsidRPr="000E3188">
              <w:rPr>
                <w:rFonts w:ascii="Arial" w:hAnsi="Arial" w:cs="Arial"/>
                <w:color w:val="000000"/>
                <w:lang w:val="en-GB"/>
              </w:rPr>
              <w:t>0.1 (0.30)</w:t>
            </w:r>
            <w:r w:rsidRPr="000E3188">
              <w:rPr>
                <w:rFonts w:ascii="Arial" w:hAnsi="Arial" w:cs="Arial"/>
                <w:color w:val="000000"/>
                <w:vertAlign w:val="superscript"/>
                <w:lang w:val="en-GB"/>
              </w:rPr>
              <w:t>b</w:t>
            </w:r>
          </w:p>
        </w:tc>
        <w:tc>
          <w:tcPr>
            <w:tcW w:w="414" w:type="pct"/>
          </w:tcPr>
          <w:p w14:paraId="3D046A5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0.03</w:t>
            </w:r>
          </w:p>
        </w:tc>
        <w:tc>
          <w:tcPr>
            <w:tcW w:w="359" w:type="pct"/>
          </w:tcPr>
          <w:p w14:paraId="6D70F1DC"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0.06</w:t>
            </w:r>
          </w:p>
        </w:tc>
        <w:tc>
          <w:tcPr>
            <w:tcW w:w="91" w:type="pct"/>
          </w:tcPr>
          <w:p w14:paraId="20FB65B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p>
        </w:tc>
        <w:tc>
          <w:tcPr>
            <w:tcW w:w="500" w:type="pct"/>
            <w:gridSpan w:val="2"/>
          </w:tcPr>
          <w:p w14:paraId="677A847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0.008-1</w:t>
            </w:r>
          </w:p>
        </w:tc>
        <w:tc>
          <w:tcPr>
            <w:tcW w:w="540" w:type="pct"/>
          </w:tcPr>
          <w:p w14:paraId="623962CF"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0.1</w:t>
            </w:r>
            <w:r w:rsidRPr="000E3188" w:rsidDel="000E0DCF">
              <w:rPr>
                <w:rFonts w:ascii="Arial" w:hAnsi="Arial" w:cs="Arial"/>
                <w:color w:val="000000" w:themeColor="text1"/>
                <w:lang w:val="en-GB"/>
              </w:rPr>
              <w:t xml:space="preserve"> </w:t>
            </w:r>
            <w:r w:rsidRPr="000E3188">
              <w:rPr>
                <w:rFonts w:ascii="Arial" w:hAnsi="Arial" w:cs="Arial"/>
                <w:color w:val="000000" w:themeColor="text1"/>
                <w:lang w:val="en-GB"/>
              </w:rPr>
              <w:t>(0.3)</w:t>
            </w:r>
          </w:p>
        </w:tc>
        <w:tc>
          <w:tcPr>
            <w:tcW w:w="333" w:type="pct"/>
          </w:tcPr>
          <w:p w14:paraId="4E909044"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0.03</w:t>
            </w:r>
          </w:p>
        </w:tc>
        <w:tc>
          <w:tcPr>
            <w:tcW w:w="410" w:type="pct"/>
          </w:tcPr>
          <w:p w14:paraId="1AFB5E3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0.25</w:t>
            </w:r>
          </w:p>
        </w:tc>
      </w:tr>
      <w:tr w:rsidR="00191534" w:rsidRPr="000E3188" w14:paraId="5D92070A" w14:textId="77777777" w:rsidTr="00191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8" w:type="pct"/>
            <w:vMerge/>
            <w:tcBorders>
              <w:top w:val="none" w:sz="0" w:space="0" w:color="auto"/>
              <w:bottom w:val="none" w:sz="0" w:space="0" w:color="auto"/>
            </w:tcBorders>
          </w:tcPr>
          <w:p w14:paraId="773687A6" w14:textId="77777777" w:rsidR="00191534" w:rsidRPr="000E3188" w:rsidRDefault="00191534" w:rsidP="00191534">
            <w:pPr>
              <w:rPr>
                <w:rFonts w:ascii="Arial" w:hAnsi="Arial" w:cs="Arial"/>
                <w:lang w:val="en-GB"/>
              </w:rPr>
            </w:pPr>
          </w:p>
        </w:tc>
        <w:tc>
          <w:tcPr>
            <w:tcW w:w="454" w:type="pct"/>
            <w:vMerge/>
            <w:tcBorders>
              <w:top w:val="none" w:sz="0" w:space="0" w:color="auto"/>
              <w:bottom w:val="none" w:sz="0" w:space="0" w:color="auto"/>
            </w:tcBorders>
          </w:tcPr>
          <w:p w14:paraId="01FEF241"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368" w:type="pct"/>
            <w:tcBorders>
              <w:top w:val="none" w:sz="0" w:space="0" w:color="auto"/>
              <w:bottom w:val="none" w:sz="0" w:space="0" w:color="auto"/>
            </w:tcBorders>
          </w:tcPr>
          <w:p w14:paraId="2CA06056"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TRB</w:t>
            </w:r>
          </w:p>
        </w:tc>
        <w:tc>
          <w:tcPr>
            <w:tcW w:w="530" w:type="pct"/>
            <w:tcBorders>
              <w:top w:val="none" w:sz="0" w:space="0" w:color="auto"/>
              <w:bottom w:val="none" w:sz="0" w:space="0" w:color="auto"/>
            </w:tcBorders>
          </w:tcPr>
          <w:p w14:paraId="1F9C89FB"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0.008-0.5</w:t>
            </w:r>
          </w:p>
        </w:tc>
        <w:tc>
          <w:tcPr>
            <w:tcW w:w="583" w:type="pct"/>
            <w:tcBorders>
              <w:top w:val="none" w:sz="0" w:space="0" w:color="auto"/>
              <w:bottom w:val="none" w:sz="0" w:space="0" w:color="auto"/>
            </w:tcBorders>
          </w:tcPr>
          <w:p w14:paraId="53661848"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0.08 (0.14)</w:t>
            </w:r>
          </w:p>
        </w:tc>
        <w:tc>
          <w:tcPr>
            <w:tcW w:w="414" w:type="pct"/>
            <w:tcBorders>
              <w:top w:val="none" w:sz="0" w:space="0" w:color="auto"/>
              <w:bottom w:val="none" w:sz="0" w:space="0" w:color="auto"/>
            </w:tcBorders>
          </w:tcPr>
          <w:p w14:paraId="0EBE618B"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0.016</w:t>
            </w:r>
          </w:p>
        </w:tc>
        <w:tc>
          <w:tcPr>
            <w:tcW w:w="359" w:type="pct"/>
            <w:tcBorders>
              <w:top w:val="none" w:sz="0" w:space="0" w:color="auto"/>
              <w:bottom w:val="none" w:sz="0" w:space="0" w:color="auto"/>
            </w:tcBorders>
          </w:tcPr>
          <w:p w14:paraId="38B0CDB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0.125</w:t>
            </w:r>
          </w:p>
        </w:tc>
        <w:tc>
          <w:tcPr>
            <w:tcW w:w="91" w:type="pct"/>
            <w:tcBorders>
              <w:top w:val="none" w:sz="0" w:space="0" w:color="auto"/>
              <w:bottom w:val="none" w:sz="0" w:space="0" w:color="auto"/>
            </w:tcBorders>
          </w:tcPr>
          <w:p w14:paraId="71D1A6FF"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p>
        </w:tc>
        <w:tc>
          <w:tcPr>
            <w:tcW w:w="500" w:type="pct"/>
            <w:gridSpan w:val="2"/>
            <w:tcBorders>
              <w:top w:val="none" w:sz="0" w:space="0" w:color="auto"/>
              <w:bottom w:val="none" w:sz="0" w:space="0" w:color="auto"/>
            </w:tcBorders>
          </w:tcPr>
          <w:p w14:paraId="13006E97"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 xml:space="preserve">0.008-0.5 </w:t>
            </w:r>
          </w:p>
        </w:tc>
        <w:tc>
          <w:tcPr>
            <w:tcW w:w="540" w:type="pct"/>
            <w:tcBorders>
              <w:top w:val="none" w:sz="0" w:space="0" w:color="auto"/>
              <w:bottom w:val="none" w:sz="0" w:space="0" w:color="auto"/>
            </w:tcBorders>
          </w:tcPr>
          <w:p w14:paraId="129F4457"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0.13 (0.14)</w:t>
            </w:r>
          </w:p>
        </w:tc>
        <w:tc>
          <w:tcPr>
            <w:tcW w:w="333" w:type="pct"/>
            <w:tcBorders>
              <w:top w:val="none" w:sz="0" w:space="0" w:color="auto"/>
              <w:bottom w:val="none" w:sz="0" w:space="0" w:color="auto"/>
            </w:tcBorders>
          </w:tcPr>
          <w:p w14:paraId="030D7AE7"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0.125</w:t>
            </w:r>
          </w:p>
        </w:tc>
        <w:tc>
          <w:tcPr>
            <w:tcW w:w="410" w:type="pct"/>
            <w:tcBorders>
              <w:top w:val="none" w:sz="0" w:space="0" w:color="auto"/>
              <w:bottom w:val="none" w:sz="0" w:space="0" w:color="auto"/>
            </w:tcBorders>
          </w:tcPr>
          <w:p w14:paraId="3730935C"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0.25</w:t>
            </w:r>
          </w:p>
        </w:tc>
      </w:tr>
      <w:tr w:rsidR="00191534" w:rsidRPr="000E3188" w14:paraId="28DE26F7" w14:textId="77777777" w:rsidTr="00191534">
        <w:tc>
          <w:tcPr>
            <w:cnfStyle w:val="001000000000" w:firstRow="0" w:lastRow="0" w:firstColumn="1" w:lastColumn="0" w:oddVBand="0" w:evenVBand="0" w:oddHBand="0" w:evenHBand="0" w:firstRowFirstColumn="0" w:firstRowLastColumn="0" w:lastRowFirstColumn="0" w:lastRowLastColumn="0"/>
            <w:tcW w:w="418" w:type="pct"/>
            <w:vMerge/>
          </w:tcPr>
          <w:p w14:paraId="4624FA93" w14:textId="77777777" w:rsidR="00191534" w:rsidRPr="000E3188" w:rsidRDefault="00191534" w:rsidP="00191534">
            <w:pPr>
              <w:rPr>
                <w:rFonts w:ascii="Arial" w:hAnsi="Arial" w:cs="Arial"/>
                <w:lang w:val="en-GB"/>
              </w:rPr>
            </w:pPr>
          </w:p>
        </w:tc>
        <w:tc>
          <w:tcPr>
            <w:tcW w:w="454" w:type="pct"/>
            <w:vMerge/>
          </w:tcPr>
          <w:p w14:paraId="13ADC17B"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p>
        </w:tc>
        <w:tc>
          <w:tcPr>
            <w:tcW w:w="368" w:type="pct"/>
          </w:tcPr>
          <w:p w14:paraId="0BE44AA0"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lang w:val="en-GB"/>
              </w:rPr>
            </w:pPr>
            <w:r w:rsidRPr="000E3188">
              <w:rPr>
                <w:rFonts w:ascii="Arial" w:hAnsi="Arial" w:cs="Arial"/>
                <w:lang w:val="en-GB"/>
              </w:rPr>
              <w:t>FLC</w:t>
            </w:r>
          </w:p>
        </w:tc>
        <w:tc>
          <w:tcPr>
            <w:tcW w:w="530" w:type="pct"/>
          </w:tcPr>
          <w:p w14:paraId="500FA5C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0.06-32</w:t>
            </w:r>
          </w:p>
        </w:tc>
        <w:tc>
          <w:tcPr>
            <w:tcW w:w="583" w:type="pct"/>
          </w:tcPr>
          <w:p w14:paraId="0357B257"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7.9 (10.5)</w:t>
            </w:r>
            <w:r w:rsidRPr="000E3188">
              <w:rPr>
                <w:rFonts w:ascii="Arial" w:hAnsi="Arial" w:cs="Arial"/>
                <w:color w:val="000000"/>
                <w:vertAlign w:val="superscript"/>
                <w:lang w:val="en-GB"/>
              </w:rPr>
              <w:t>c</w:t>
            </w:r>
          </w:p>
        </w:tc>
        <w:tc>
          <w:tcPr>
            <w:tcW w:w="414" w:type="pct"/>
          </w:tcPr>
          <w:p w14:paraId="56616E6C"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4</w:t>
            </w:r>
          </w:p>
        </w:tc>
        <w:tc>
          <w:tcPr>
            <w:tcW w:w="359" w:type="pct"/>
          </w:tcPr>
          <w:p w14:paraId="72D615A0"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8</w:t>
            </w:r>
          </w:p>
        </w:tc>
        <w:tc>
          <w:tcPr>
            <w:tcW w:w="91" w:type="pct"/>
          </w:tcPr>
          <w:p w14:paraId="1A0886A6"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val="en-GB"/>
              </w:rPr>
            </w:pPr>
          </w:p>
        </w:tc>
        <w:tc>
          <w:tcPr>
            <w:tcW w:w="500" w:type="pct"/>
            <w:gridSpan w:val="2"/>
          </w:tcPr>
          <w:p w14:paraId="54225AF5"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1-32</w:t>
            </w:r>
          </w:p>
        </w:tc>
        <w:tc>
          <w:tcPr>
            <w:tcW w:w="540" w:type="pct"/>
          </w:tcPr>
          <w:p w14:paraId="45083BE0"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8.2 (10.4)</w:t>
            </w:r>
            <w:r w:rsidRPr="000E3188">
              <w:rPr>
                <w:rFonts w:ascii="Arial" w:hAnsi="Arial" w:cs="Arial"/>
                <w:color w:val="000000" w:themeColor="text1"/>
                <w:vertAlign w:val="superscript"/>
                <w:lang w:val="en-GB"/>
              </w:rPr>
              <w:t xml:space="preserve">e </w:t>
            </w:r>
          </w:p>
        </w:tc>
        <w:tc>
          <w:tcPr>
            <w:tcW w:w="333" w:type="pct"/>
          </w:tcPr>
          <w:p w14:paraId="67EDD62A"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4</w:t>
            </w:r>
          </w:p>
        </w:tc>
        <w:tc>
          <w:tcPr>
            <w:tcW w:w="410" w:type="pct"/>
          </w:tcPr>
          <w:p w14:paraId="2A3E08A3" w14:textId="77777777" w:rsidR="00191534" w:rsidRPr="000E3188" w:rsidRDefault="00191534" w:rsidP="00191534">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8</w:t>
            </w:r>
          </w:p>
        </w:tc>
      </w:tr>
      <w:tr w:rsidR="00191534" w:rsidRPr="000E3188" w14:paraId="7AAA59E7" w14:textId="77777777" w:rsidTr="00191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8" w:type="pct"/>
            <w:vMerge/>
            <w:tcBorders>
              <w:top w:val="none" w:sz="0" w:space="0" w:color="auto"/>
              <w:bottom w:val="single" w:sz="4" w:space="0" w:color="auto"/>
            </w:tcBorders>
          </w:tcPr>
          <w:p w14:paraId="6D898BB9" w14:textId="77777777" w:rsidR="00191534" w:rsidRPr="000E3188" w:rsidRDefault="00191534" w:rsidP="00191534">
            <w:pPr>
              <w:rPr>
                <w:rFonts w:ascii="Arial" w:hAnsi="Arial" w:cs="Arial"/>
                <w:lang w:val="en-GB"/>
              </w:rPr>
            </w:pPr>
          </w:p>
        </w:tc>
        <w:tc>
          <w:tcPr>
            <w:tcW w:w="454" w:type="pct"/>
            <w:vMerge/>
            <w:tcBorders>
              <w:top w:val="none" w:sz="0" w:space="0" w:color="auto"/>
              <w:bottom w:val="single" w:sz="4" w:space="0" w:color="auto"/>
            </w:tcBorders>
          </w:tcPr>
          <w:p w14:paraId="50C228AC"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p>
        </w:tc>
        <w:tc>
          <w:tcPr>
            <w:tcW w:w="368" w:type="pct"/>
            <w:tcBorders>
              <w:top w:val="none" w:sz="0" w:space="0" w:color="auto"/>
              <w:bottom w:val="single" w:sz="4" w:space="0" w:color="auto"/>
            </w:tcBorders>
          </w:tcPr>
          <w:p w14:paraId="439F410D"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lang w:val="en-GB"/>
              </w:rPr>
            </w:pPr>
            <w:r w:rsidRPr="000E3188">
              <w:rPr>
                <w:rFonts w:ascii="Arial" w:hAnsi="Arial" w:cs="Arial"/>
                <w:lang w:val="en-GB"/>
              </w:rPr>
              <w:t>GRI</w:t>
            </w:r>
          </w:p>
        </w:tc>
        <w:tc>
          <w:tcPr>
            <w:tcW w:w="530" w:type="pct"/>
            <w:tcBorders>
              <w:top w:val="none" w:sz="0" w:space="0" w:color="auto"/>
              <w:bottom w:val="single" w:sz="4" w:space="0" w:color="auto"/>
            </w:tcBorders>
          </w:tcPr>
          <w:p w14:paraId="4F8F5F25"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0.03-2</w:t>
            </w:r>
          </w:p>
        </w:tc>
        <w:tc>
          <w:tcPr>
            <w:tcW w:w="583" w:type="pct"/>
            <w:tcBorders>
              <w:top w:val="none" w:sz="0" w:space="0" w:color="auto"/>
              <w:bottom w:val="single" w:sz="4" w:space="0" w:color="auto"/>
            </w:tcBorders>
          </w:tcPr>
          <w:p w14:paraId="4A41FCF6"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0.6 (0.51)</w:t>
            </w:r>
          </w:p>
        </w:tc>
        <w:tc>
          <w:tcPr>
            <w:tcW w:w="414" w:type="pct"/>
            <w:tcBorders>
              <w:top w:val="none" w:sz="0" w:space="0" w:color="auto"/>
              <w:bottom w:val="single" w:sz="4" w:space="0" w:color="auto"/>
            </w:tcBorders>
          </w:tcPr>
          <w:p w14:paraId="60924022"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0.5</w:t>
            </w:r>
          </w:p>
        </w:tc>
        <w:tc>
          <w:tcPr>
            <w:tcW w:w="359" w:type="pct"/>
            <w:tcBorders>
              <w:top w:val="none" w:sz="0" w:space="0" w:color="auto"/>
              <w:bottom w:val="single" w:sz="4" w:space="0" w:color="auto"/>
            </w:tcBorders>
          </w:tcPr>
          <w:p w14:paraId="65B33F3A"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r w:rsidRPr="000E3188">
              <w:rPr>
                <w:rFonts w:ascii="Arial" w:hAnsi="Arial" w:cs="Arial"/>
                <w:color w:val="000000"/>
                <w:lang w:val="en-GB"/>
              </w:rPr>
              <w:t>1</w:t>
            </w:r>
          </w:p>
        </w:tc>
        <w:tc>
          <w:tcPr>
            <w:tcW w:w="91" w:type="pct"/>
            <w:tcBorders>
              <w:top w:val="none" w:sz="0" w:space="0" w:color="auto"/>
              <w:bottom w:val="single" w:sz="4" w:space="0" w:color="auto"/>
            </w:tcBorders>
          </w:tcPr>
          <w:p w14:paraId="288D7CF9"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lang w:val="en-GB"/>
              </w:rPr>
            </w:pPr>
          </w:p>
        </w:tc>
        <w:tc>
          <w:tcPr>
            <w:tcW w:w="500" w:type="pct"/>
            <w:gridSpan w:val="2"/>
            <w:tcBorders>
              <w:top w:val="none" w:sz="0" w:space="0" w:color="auto"/>
              <w:bottom w:val="single" w:sz="4" w:space="0" w:color="auto"/>
            </w:tcBorders>
          </w:tcPr>
          <w:p w14:paraId="57001B52"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0.03-2</w:t>
            </w:r>
          </w:p>
        </w:tc>
        <w:tc>
          <w:tcPr>
            <w:tcW w:w="540" w:type="pct"/>
            <w:tcBorders>
              <w:top w:val="none" w:sz="0" w:space="0" w:color="auto"/>
              <w:bottom w:val="single" w:sz="4" w:space="0" w:color="auto"/>
            </w:tcBorders>
          </w:tcPr>
          <w:p w14:paraId="3A2501D7"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0.6</w:t>
            </w:r>
            <w:r w:rsidRPr="000E3188" w:rsidDel="000E0DCF">
              <w:rPr>
                <w:rFonts w:ascii="Arial" w:hAnsi="Arial" w:cs="Arial"/>
                <w:color w:val="000000" w:themeColor="text1"/>
                <w:lang w:val="en-GB"/>
              </w:rPr>
              <w:t xml:space="preserve"> </w:t>
            </w:r>
            <w:r w:rsidRPr="000E3188">
              <w:rPr>
                <w:rFonts w:ascii="Arial" w:hAnsi="Arial" w:cs="Arial"/>
                <w:color w:val="000000" w:themeColor="text1"/>
                <w:lang w:val="en-GB"/>
              </w:rPr>
              <w:t>(0.52)</w:t>
            </w:r>
          </w:p>
        </w:tc>
        <w:tc>
          <w:tcPr>
            <w:tcW w:w="333" w:type="pct"/>
            <w:tcBorders>
              <w:top w:val="none" w:sz="0" w:space="0" w:color="auto"/>
              <w:bottom w:val="single" w:sz="4" w:space="0" w:color="auto"/>
            </w:tcBorders>
          </w:tcPr>
          <w:p w14:paraId="38C461E8"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0.5</w:t>
            </w:r>
          </w:p>
        </w:tc>
        <w:tc>
          <w:tcPr>
            <w:tcW w:w="410" w:type="pct"/>
            <w:tcBorders>
              <w:top w:val="none" w:sz="0" w:space="0" w:color="auto"/>
              <w:bottom w:val="single" w:sz="4" w:space="0" w:color="auto"/>
            </w:tcBorders>
          </w:tcPr>
          <w:p w14:paraId="60ECE216" w14:textId="77777777" w:rsidR="00191534" w:rsidRPr="000E3188" w:rsidRDefault="00191534" w:rsidP="00191534">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n-GB"/>
              </w:rPr>
            </w:pPr>
            <w:r w:rsidRPr="000E3188">
              <w:rPr>
                <w:rFonts w:ascii="Arial" w:hAnsi="Arial" w:cs="Arial"/>
                <w:color w:val="000000" w:themeColor="text1"/>
                <w:lang w:val="en-GB"/>
              </w:rPr>
              <w:t>1</w:t>
            </w:r>
          </w:p>
        </w:tc>
      </w:tr>
    </w:tbl>
    <w:p w14:paraId="0530A5E4" w14:textId="77777777" w:rsidR="00191534" w:rsidRDefault="00191534" w:rsidP="00191534">
      <w:pPr>
        <w:rPr>
          <w:b/>
          <w:lang w:val="en-GB"/>
        </w:rPr>
      </w:pPr>
    </w:p>
    <w:p w14:paraId="40D681F2" w14:textId="77777777" w:rsidR="00191534" w:rsidRPr="00F83585" w:rsidRDefault="00191534" w:rsidP="00191534">
      <w:pPr>
        <w:rPr>
          <w:lang w:val="en-GB"/>
        </w:rPr>
      </w:pPr>
    </w:p>
    <w:p w14:paraId="0043F43D" w14:textId="77777777" w:rsidR="00191534" w:rsidRPr="00F83585" w:rsidRDefault="00191534" w:rsidP="00191534">
      <w:pPr>
        <w:rPr>
          <w:lang w:val="en-GB"/>
        </w:rPr>
      </w:pPr>
    </w:p>
    <w:p w14:paraId="49FD7B09" w14:textId="77777777" w:rsidR="00191534" w:rsidRPr="00F83585" w:rsidRDefault="00191534" w:rsidP="00191534">
      <w:pPr>
        <w:rPr>
          <w:lang w:val="en-GB"/>
        </w:rPr>
      </w:pPr>
    </w:p>
    <w:p w14:paraId="1C65EEED" w14:textId="77777777" w:rsidR="00191534" w:rsidRPr="00F83585" w:rsidRDefault="00191534" w:rsidP="00191534">
      <w:pPr>
        <w:rPr>
          <w:lang w:val="en-GB"/>
        </w:rPr>
      </w:pPr>
    </w:p>
    <w:p w14:paraId="0D8BB61E" w14:textId="77777777" w:rsidR="00191534" w:rsidRPr="00F83585" w:rsidRDefault="00191534" w:rsidP="00191534">
      <w:pPr>
        <w:rPr>
          <w:lang w:val="en-GB"/>
        </w:rPr>
      </w:pPr>
    </w:p>
    <w:p w14:paraId="43D66355" w14:textId="77777777" w:rsidR="00191534" w:rsidRPr="00F83585" w:rsidRDefault="00191534" w:rsidP="00191534">
      <w:pPr>
        <w:rPr>
          <w:lang w:val="en-GB"/>
        </w:rPr>
      </w:pPr>
    </w:p>
    <w:p w14:paraId="12AD83D5" w14:textId="77777777" w:rsidR="00191534" w:rsidRPr="00F83585" w:rsidRDefault="00191534" w:rsidP="00191534">
      <w:pPr>
        <w:rPr>
          <w:lang w:val="en-GB"/>
        </w:rPr>
      </w:pPr>
    </w:p>
    <w:p w14:paraId="25A72E97" w14:textId="77777777" w:rsidR="00191534" w:rsidRPr="00F83585" w:rsidRDefault="00191534" w:rsidP="00191534">
      <w:pPr>
        <w:rPr>
          <w:lang w:val="en-GB"/>
        </w:rPr>
      </w:pPr>
    </w:p>
    <w:p w14:paraId="19B310C7" w14:textId="77777777" w:rsidR="00191534" w:rsidRPr="00F83585" w:rsidRDefault="00191534" w:rsidP="00191534">
      <w:pPr>
        <w:rPr>
          <w:lang w:val="en-GB"/>
        </w:rPr>
      </w:pPr>
    </w:p>
    <w:p w14:paraId="0597656F" w14:textId="77777777" w:rsidR="00191534" w:rsidRPr="00F83585" w:rsidRDefault="00191534" w:rsidP="00191534">
      <w:pPr>
        <w:rPr>
          <w:lang w:val="en-GB"/>
        </w:rPr>
      </w:pPr>
    </w:p>
    <w:p w14:paraId="1C1AFD36" w14:textId="77777777" w:rsidR="00191534" w:rsidRPr="00F83585" w:rsidRDefault="00191534" w:rsidP="00191534">
      <w:pPr>
        <w:rPr>
          <w:lang w:val="en-GB"/>
        </w:rPr>
      </w:pPr>
    </w:p>
    <w:p w14:paraId="5270C8B3" w14:textId="77777777" w:rsidR="00191534" w:rsidRPr="00F83585" w:rsidRDefault="00191534" w:rsidP="00191534">
      <w:pPr>
        <w:rPr>
          <w:lang w:val="en-GB"/>
        </w:rPr>
      </w:pPr>
    </w:p>
    <w:p w14:paraId="4BD04AD3" w14:textId="77777777" w:rsidR="00191534" w:rsidRPr="00F83585" w:rsidRDefault="00191534" w:rsidP="00191534">
      <w:pPr>
        <w:rPr>
          <w:lang w:val="en-GB"/>
        </w:rPr>
      </w:pPr>
    </w:p>
    <w:p w14:paraId="10D36BA7" w14:textId="77777777" w:rsidR="00191534" w:rsidRPr="00F83585" w:rsidRDefault="00191534" w:rsidP="00191534">
      <w:pPr>
        <w:rPr>
          <w:lang w:val="en-GB"/>
        </w:rPr>
      </w:pPr>
    </w:p>
    <w:p w14:paraId="19D5A7D5" w14:textId="77777777" w:rsidR="00191534" w:rsidRPr="00F83585" w:rsidRDefault="00191534" w:rsidP="00191534">
      <w:pPr>
        <w:rPr>
          <w:lang w:val="en-GB"/>
        </w:rPr>
      </w:pPr>
    </w:p>
    <w:p w14:paraId="349458C4" w14:textId="77777777" w:rsidR="00191534" w:rsidRDefault="00191534" w:rsidP="00191534">
      <w:pPr>
        <w:spacing w:line="480" w:lineRule="auto"/>
        <w:rPr>
          <w:lang w:val="en-GB"/>
        </w:rPr>
      </w:pPr>
    </w:p>
    <w:p w14:paraId="3A1E2E7F" w14:textId="77777777" w:rsidR="00191534" w:rsidRDefault="00191534" w:rsidP="00191534">
      <w:pPr>
        <w:rPr>
          <w:rFonts w:ascii="Arial" w:hAnsi="Arial" w:cs="Arial"/>
          <w:vertAlign w:val="superscript"/>
          <w:lang w:val="en-GB"/>
        </w:rPr>
      </w:pPr>
    </w:p>
    <w:p w14:paraId="06392B23" w14:textId="77777777" w:rsidR="00191534" w:rsidRDefault="00191534" w:rsidP="00191534">
      <w:pPr>
        <w:rPr>
          <w:rFonts w:ascii="Arial" w:hAnsi="Arial" w:cs="Arial"/>
          <w:vertAlign w:val="superscript"/>
          <w:lang w:val="en-GB"/>
        </w:rPr>
      </w:pPr>
    </w:p>
    <w:p w14:paraId="5A388D5E" w14:textId="77777777" w:rsidR="00191534" w:rsidRPr="000E3188" w:rsidRDefault="00191534" w:rsidP="00191534">
      <w:pPr>
        <w:rPr>
          <w:rFonts w:ascii="Arial" w:hAnsi="Arial" w:cs="Arial"/>
          <w:lang w:val="en-GB"/>
        </w:rPr>
      </w:pPr>
      <w:r w:rsidRPr="000E3188">
        <w:rPr>
          <w:rFonts w:ascii="Arial" w:hAnsi="Arial" w:cs="Arial"/>
          <w:vertAlign w:val="superscript"/>
          <w:lang w:val="en-GB"/>
        </w:rPr>
        <w:t xml:space="preserve">a-j </w:t>
      </w:r>
      <w:r w:rsidRPr="000E3188">
        <w:rPr>
          <w:rFonts w:ascii="Arial" w:hAnsi="Arial" w:cs="Arial"/>
          <w:lang w:val="en-GB"/>
        </w:rPr>
        <w:t>Students t-test–statistically signiﬁcant differences (p≤0.05) are marked with the same letters.</w:t>
      </w:r>
    </w:p>
    <w:p w14:paraId="06DD0DFF" w14:textId="649B1D41" w:rsidR="00191534" w:rsidRDefault="00191534" w:rsidP="00626AE5">
      <w:pPr>
        <w:jc w:val="both"/>
        <w:rPr>
          <w:rFonts w:ascii="Arial" w:hAnsi="Arial" w:cs="Arial"/>
          <w:lang w:val="en-GB"/>
        </w:rPr>
      </w:pPr>
    </w:p>
    <w:p w14:paraId="2DBE3B6E" w14:textId="4BE4E991" w:rsidR="00191534" w:rsidRPr="001A6473" w:rsidRDefault="00191534" w:rsidP="00626AE5">
      <w:pPr>
        <w:jc w:val="both"/>
        <w:rPr>
          <w:rFonts w:ascii="Arial" w:hAnsi="Arial" w:cs="Arial"/>
          <w:lang w:val="en-GB"/>
        </w:rPr>
      </w:pPr>
      <w:r w:rsidRPr="00191534">
        <w:rPr>
          <w:rFonts w:ascii="Arial" w:hAnsi="Arial" w:cs="Arial"/>
          <w:lang w:val="en-GB"/>
        </w:rPr>
        <w:t>Figure 1: Hyphae-conidia (A), macroconidia (B) and arthroconidia (C) inocula used for in vitro antifungal susceptibility of Microsporum canis at X40 magnification.</w:t>
      </w:r>
    </w:p>
    <w:sectPr w:rsidR="00191534" w:rsidRPr="001A6473" w:rsidSect="00191534">
      <w:pgSz w:w="16840" w:h="11900" w:orient="landscape"/>
      <w:pgMar w:top="1138" w:right="1138" w:bottom="1138" w:left="1411" w:header="706" w:footer="706"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B677FC" w14:textId="77777777" w:rsidR="00EA74B9" w:rsidRDefault="00EA74B9">
      <w:r>
        <w:separator/>
      </w:r>
    </w:p>
  </w:endnote>
  <w:endnote w:type="continuationSeparator" w:id="0">
    <w:p w14:paraId="4C720E0C" w14:textId="77777777" w:rsidR="00EA74B9" w:rsidRDefault="00EA74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Body)">
    <w:altName w:val="Calibri"/>
    <w:panose1 w:val="020B0604020202020204"/>
    <w:charset w:val="00"/>
    <w:family w:val="roman"/>
    <w:pitch w:val="default"/>
  </w:font>
  <w:font w:name="Symbol">
    <w:panose1 w:val="05050102010706020507"/>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14585495"/>
      <w:docPartObj>
        <w:docPartGallery w:val="Page Numbers (Bottom of Page)"/>
        <w:docPartUnique/>
      </w:docPartObj>
    </w:sdtPr>
    <w:sdtEndPr>
      <w:rPr>
        <w:rStyle w:val="PageNumber"/>
      </w:rPr>
    </w:sdtEndPr>
    <w:sdtContent>
      <w:p w14:paraId="7AFDB380" w14:textId="77777777" w:rsidR="00141C6C" w:rsidRDefault="0043572C" w:rsidP="00082D0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1DC401D" w14:textId="77777777" w:rsidR="00141C6C" w:rsidRDefault="00AD4891" w:rsidP="00082D0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79274189"/>
      <w:docPartObj>
        <w:docPartGallery w:val="Page Numbers (Bottom of Page)"/>
        <w:docPartUnique/>
      </w:docPartObj>
    </w:sdtPr>
    <w:sdtEndPr>
      <w:rPr>
        <w:rStyle w:val="PageNumber"/>
      </w:rPr>
    </w:sdtEndPr>
    <w:sdtContent>
      <w:p w14:paraId="44EDD9D2" w14:textId="77777777" w:rsidR="00141C6C" w:rsidRDefault="0043572C" w:rsidP="00082D0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E034E">
          <w:rPr>
            <w:rStyle w:val="PageNumber"/>
            <w:noProof/>
          </w:rPr>
          <w:t>1</w:t>
        </w:r>
        <w:r>
          <w:rPr>
            <w:rStyle w:val="PageNumber"/>
          </w:rPr>
          <w:fldChar w:fldCharType="end"/>
        </w:r>
      </w:p>
    </w:sdtContent>
  </w:sdt>
  <w:p w14:paraId="73CA27F3" w14:textId="77777777" w:rsidR="00141C6C" w:rsidRDefault="00AD4891" w:rsidP="00082D0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EC3297" w14:textId="77777777" w:rsidR="00141C6C" w:rsidRDefault="00AD48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D6910F" w14:textId="77777777" w:rsidR="00EA74B9" w:rsidRDefault="00EA74B9">
      <w:r>
        <w:separator/>
      </w:r>
    </w:p>
  </w:footnote>
  <w:footnote w:type="continuationSeparator" w:id="0">
    <w:p w14:paraId="63C0A2B6" w14:textId="77777777" w:rsidR="00EA74B9" w:rsidRDefault="00EA74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81396804"/>
      <w:docPartObj>
        <w:docPartGallery w:val="Page Numbers (Top of Page)"/>
        <w:docPartUnique/>
      </w:docPartObj>
    </w:sdtPr>
    <w:sdtEndPr>
      <w:rPr>
        <w:rStyle w:val="PageNumber"/>
      </w:rPr>
    </w:sdtEndPr>
    <w:sdtContent>
      <w:p w14:paraId="70FD49E3" w14:textId="20B06CCD" w:rsidR="002B3B72" w:rsidRDefault="002B3B72" w:rsidP="00C65C3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7171EC" w14:textId="77777777" w:rsidR="00141C6C" w:rsidRDefault="00AD4891" w:rsidP="002B3B7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17100189"/>
      <w:docPartObj>
        <w:docPartGallery w:val="Page Numbers (Top of Page)"/>
        <w:docPartUnique/>
      </w:docPartObj>
    </w:sdtPr>
    <w:sdtEndPr>
      <w:rPr>
        <w:rStyle w:val="PageNumber"/>
      </w:rPr>
    </w:sdtEndPr>
    <w:sdtContent>
      <w:p w14:paraId="09D9BBB7" w14:textId="00C83B2B" w:rsidR="002B3B72" w:rsidRDefault="002B3B72" w:rsidP="00C65C3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E034E">
          <w:rPr>
            <w:rStyle w:val="PageNumber"/>
            <w:noProof/>
          </w:rPr>
          <w:t>1</w:t>
        </w:r>
        <w:r>
          <w:rPr>
            <w:rStyle w:val="PageNumber"/>
          </w:rPr>
          <w:fldChar w:fldCharType="end"/>
        </w:r>
      </w:p>
    </w:sdtContent>
  </w:sdt>
  <w:p w14:paraId="729432F3" w14:textId="77777777" w:rsidR="00141C6C" w:rsidRDefault="00AD4891" w:rsidP="002B3B72">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162FA9" w14:textId="77777777" w:rsidR="00141C6C" w:rsidRDefault="00AD48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AA71E7"/>
    <w:multiLevelType w:val="hybridMultilevel"/>
    <w:tmpl w:val="DF821CCA"/>
    <w:lvl w:ilvl="0" w:tplc="37504806">
      <w:start w:val="1"/>
      <w:numFmt w:val="decimal"/>
      <w:lvlText w:val="%1."/>
      <w:lvlJc w:val="left"/>
      <w:pPr>
        <w:ind w:left="107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hideSpellingErrors/>
  <w:hideGrammaticalError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6DF3"/>
    <w:rsid w:val="0000046B"/>
    <w:rsid w:val="00013FCE"/>
    <w:rsid w:val="00033F5E"/>
    <w:rsid w:val="00074261"/>
    <w:rsid w:val="000B36D3"/>
    <w:rsid w:val="000D76A4"/>
    <w:rsid w:val="000E4D0C"/>
    <w:rsid w:val="0015360B"/>
    <w:rsid w:val="001766B4"/>
    <w:rsid w:val="00191534"/>
    <w:rsid w:val="001A6473"/>
    <w:rsid w:val="001B6C4D"/>
    <w:rsid w:val="001C2A87"/>
    <w:rsid w:val="00202828"/>
    <w:rsid w:val="00206272"/>
    <w:rsid w:val="002177FE"/>
    <w:rsid w:val="00235FC9"/>
    <w:rsid w:val="00250170"/>
    <w:rsid w:val="00261B88"/>
    <w:rsid w:val="0026253A"/>
    <w:rsid w:val="00265E56"/>
    <w:rsid w:val="002B3205"/>
    <w:rsid w:val="002B3B72"/>
    <w:rsid w:val="002D6A5C"/>
    <w:rsid w:val="00313A9A"/>
    <w:rsid w:val="00326BE8"/>
    <w:rsid w:val="00354649"/>
    <w:rsid w:val="00390993"/>
    <w:rsid w:val="003B40A2"/>
    <w:rsid w:val="003B77C5"/>
    <w:rsid w:val="003F1272"/>
    <w:rsid w:val="003F48A7"/>
    <w:rsid w:val="0041555F"/>
    <w:rsid w:val="00430DA3"/>
    <w:rsid w:val="0043572C"/>
    <w:rsid w:val="0044601A"/>
    <w:rsid w:val="00474C2D"/>
    <w:rsid w:val="00476DF3"/>
    <w:rsid w:val="004E0544"/>
    <w:rsid w:val="004F5E80"/>
    <w:rsid w:val="00501A6A"/>
    <w:rsid w:val="005110BB"/>
    <w:rsid w:val="005258E4"/>
    <w:rsid w:val="00530612"/>
    <w:rsid w:val="005438FE"/>
    <w:rsid w:val="005810A3"/>
    <w:rsid w:val="005B3459"/>
    <w:rsid w:val="005C22C5"/>
    <w:rsid w:val="005E42DA"/>
    <w:rsid w:val="005E61D1"/>
    <w:rsid w:val="00626AE5"/>
    <w:rsid w:val="00697B24"/>
    <w:rsid w:val="006D47DE"/>
    <w:rsid w:val="006D6493"/>
    <w:rsid w:val="00712F94"/>
    <w:rsid w:val="00714FC1"/>
    <w:rsid w:val="0073762F"/>
    <w:rsid w:val="00797D76"/>
    <w:rsid w:val="007C436B"/>
    <w:rsid w:val="007D3E9C"/>
    <w:rsid w:val="00811B2C"/>
    <w:rsid w:val="008220EB"/>
    <w:rsid w:val="00864489"/>
    <w:rsid w:val="008B0059"/>
    <w:rsid w:val="008C2D02"/>
    <w:rsid w:val="008D148E"/>
    <w:rsid w:val="008D755F"/>
    <w:rsid w:val="008D7FDF"/>
    <w:rsid w:val="009232DF"/>
    <w:rsid w:val="00923CFF"/>
    <w:rsid w:val="00923F80"/>
    <w:rsid w:val="009412C9"/>
    <w:rsid w:val="0095071D"/>
    <w:rsid w:val="0096028D"/>
    <w:rsid w:val="00985BB9"/>
    <w:rsid w:val="00A0273B"/>
    <w:rsid w:val="00A072F1"/>
    <w:rsid w:val="00A2549A"/>
    <w:rsid w:val="00A67F62"/>
    <w:rsid w:val="00AB651E"/>
    <w:rsid w:val="00AD4891"/>
    <w:rsid w:val="00AE127C"/>
    <w:rsid w:val="00AE69E9"/>
    <w:rsid w:val="00B15FF3"/>
    <w:rsid w:val="00B2539F"/>
    <w:rsid w:val="00B27A2A"/>
    <w:rsid w:val="00B33F21"/>
    <w:rsid w:val="00B35140"/>
    <w:rsid w:val="00B567E7"/>
    <w:rsid w:val="00B815BD"/>
    <w:rsid w:val="00B87B14"/>
    <w:rsid w:val="00BD2DB4"/>
    <w:rsid w:val="00BE5BCE"/>
    <w:rsid w:val="00BF78C7"/>
    <w:rsid w:val="00C41414"/>
    <w:rsid w:val="00C47A3B"/>
    <w:rsid w:val="00C65859"/>
    <w:rsid w:val="00C90FD1"/>
    <w:rsid w:val="00CB04B8"/>
    <w:rsid w:val="00CB5AF3"/>
    <w:rsid w:val="00CC0AA4"/>
    <w:rsid w:val="00CD5744"/>
    <w:rsid w:val="00CD76FF"/>
    <w:rsid w:val="00CE6D7B"/>
    <w:rsid w:val="00D22377"/>
    <w:rsid w:val="00DB155E"/>
    <w:rsid w:val="00DB57B1"/>
    <w:rsid w:val="00DD2CFB"/>
    <w:rsid w:val="00DE73E8"/>
    <w:rsid w:val="00E02F11"/>
    <w:rsid w:val="00E41357"/>
    <w:rsid w:val="00E64BD6"/>
    <w:rsid w:val="00EA112D"/>
    <w:rsid w:val="00EA74B9"/>
    <w:rsid w:val="00ED682F"/>
    <w:rsid w:val="00EF4152"/>
    <w:rsid w:val="00F53581"/>
    <w:rsid w:val="00F53E84"/>
    <w:rsid w:val="00F7391C"/>
    <w:rsid w:val="00F95F0B"/>
    <w:rsid w:val="00FA7981"/>
    <w:rsid w:val="00FC50CF"/>
    <w:rsid w:val="00FE034E"/>
    <w:rsid w:val="00FF40D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FAAF6"/>
  <w15:chartTrackingRefBased/>
  <w15:docId w15:val="{9A1599E0-FF7C-E04A-AA14-6C0FDBFFD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DF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6DF3"/>
    <w:pPr>
      <w:tabs>
        <w:tab w:val="center" w:pos="4986"/>
        <w:tab w:val="right" w:pos="9972"/>
      </w:tabs>
    </w:pPr>
    <w:rPr>
      <w:rFonts w:ascii="Times New Roman" w:eastAsia="Times New Roman" w:hAnsi="Times New Roman" w:cs="Times New Roman"/>
    </w:rPr>
  </w:style>
  <w:style w:type="character" w:customStyle="1" w:styleId="HeaderChar">
    <w:name w:val="Header Char"/>
    <w:basedOn w:val="DefaultParagraphFont"/>
    <w:link w:val="Header"/>
    <w:uiPriority w:val="99"/>
    <w:rsid w:val="00476DF3"/>
    <w:rPr>
      <w:rFonts w:ascii="Times New Roman" w:eastAsia="Times New Roman" w:hAnsi="Times New Roman" w:cs="Times New Roman"/>
    </w:rPr>
  </w:style>
  <w:style w:type="paragraph" w:styleId="Footer">
    <w:name w:val="footer"/>
    <w:basedOn w:val="Normal"/>
    <w:link w:val="FooterChar"/>
    <w:uiPriority w:val="99"/>
    <w:unhideWhenUsed/>
    <w:rsid w:val="00476DF3"/>
    <w:pPr>
      <w:tabs>
        <w:tab w:val="center" w:pos="4986"/>
        <w:tab w:val="right" w:pos="9972"/>
      </w:tabs>
    </w:pPr>
    <w:rPr>
      <w:rFonts w:ascii="Times New Roman" w:eastAsia="Times New Roman" w:hAnsi="Times New Roman" w:cs="Times New Roman"/>
    </w:rPr>
  </w:style>
  <w:style w:type="character" w:customStyle="1" w:styleId="FooterChar">
    <w:name w:val="Footer Char"/>
    <w:basedOn w:val="DefaultParagraphFont"/>
    <w:link w:val="Footer"/>
    <w:uiPriority w:val="99"/>
    <w:rsid w:val="00476DF3"/>
    <w:rPr>
      <w:rFonts w:ascii="Times New Roman" w:eastAsia="Times New Roman" w:hAnsi="Times New Roman" w:cs="Times New Roman"/>
    </w:rPr>
  </w:style>
  <w:style w:type="character" w:styleId="PageNumber">
    <w:name w:val="page number"/>
    <w:basedOn w:val="DefaultParagraphFont"/>
    <w:uiPriority w:val="99"/>
    <w:semiHidden/>
    <w:unhideWhenUsed/>
    <w:rsid w:val="00476DF3"/>
  </w:style>
  <w:style w:type="character" w:styleId="LineNumber">
    <w:name w:val="line number"/>
    <w:basedOn w:val="DefaultParagraphFont"/>
    <w:uiPriority w:val="99"/>
    <w:semiHidden/>
    <w:unhideWhenUsed/>
    <w:rsid w:val="00476DF3"/>
  </w:style>
  <w:style w:type="paragraph" w:styleId="Revision">
    <w:name w:val="Revision"/>
    <w:hidden/>
    <w:uiPriority w:val="99"/>
    <w:semiHidden/>
    <w:rsid w:val="007D3E9C"/>
  </w:style>
  <w:style w:type="paragraph" w:styleId="BalloonText">
    <w:name w:val="Balloon Text"/>
    <w:basedOn w:val="Normal"/>
    <w:link w:val="BalloonTextChar"/>
    <w:uiPriority w:val="99"/>
    <w:semiHidden/>
    <w:unhideWhenUsed/>
    <w:rsid w:val="007D3E9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D3E9C"/>
    <w:rPr>
      <w:rFonts w:ascii="Times New Roman" w:hAnsi="Times New Roman" w:cs="Times New Roman"/>
      <w:sz w:val="18"/>
      <w:szCs w:val="18"/>
    </w:rPr>
  </w:style>
  <w:style w:type="paragraph" w:styleId="ListParagraph">
    <w:name w:val="List Paragraph"/>
    <w:basedOn w:val="Normal"/>
    <w:uiPriority w:val="34"/>
    <w:qFormat/>
    <w:rsid w:val="00A072F1"/>
    <w:pPr>
      <w:ind w:left="720"/>
      <w:contextualSpacing/>
    </w:pPr>
  </w:style>
  <w:style w:type="table" w:styleId="TableGrid">
    <w:name w:val="Table Grid"/>
    <w:basedOn w:val="TableNormal"/>
    <w:uiPriority w:val="59"/>
    <w:rsid w:val="00191534"/>
    <w:rPr>
      <w:rFonts w:eastAsiaTheme="minorEastAsia"/>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PlainTable21">
    <w:name w:val="Plain Table 21"/>
    <w:basedOn w:val="TableNormal"/>
    <w:uiPriority w:val="99"/>
    <w:rsid w:val="00191534"/>
    <w:rPr>
      <w:rFonts w:eastAsiaTheme="minorEastAsia"/>
      <w:lang w:eastAsia="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3731368">
      <w:bodyDiv w:val="1"/>
      <w:marLeft w:val="0"/>
      <w:marRight w:val="0"/>
      <w:marTop w:val="0"/>
      <w:marBottom w:val="0"/>
      <w:divBdr>
        <w:top w:val="none" w:sz="0" w:space="0" w:color="auto"/>
        <w:left w:val="none" w:sz="0" w:space="0" w:color="auto"/>
        <w:bottom w:val="none" w:sz="0" w:space="0" w:color="auto"/>
        <w:right w:val="none" w:sz="0" w:space="0" w:color="auto"/>
      </w:divBdr>
    </w:div>
    <w:div w:id="628320450">
      <w:bodyDiv w:val="1"/>
      <w:marLeft w:val="0"/>
      <w:marRight w:val="0"/>
      <w:marTop w:val="0"/>
      <w:marBottom w:val="0"/>
      <w:divBdr>
        <w:top w:val="none" w:sz="0" w:space="0" w:color="auto"/>
        <w:left w:val="none" w:sz="0" w:space="0" w:color="auto"/>
        <w:bottom w:val="none" w:sz="0" w:space="0" w:color="auto"/>
        <w:right w:val="none" w:sz="0" w:space="0" w:color="auto"/>
      </w:divBdr>
    </w:div>
    <w:div w:id="993797355">
      <w:bodyDiv w:val="1"/>
      <w:marLeft w:val="0"/>
      <w:marRight w:val="0"/>
      <w:marTop w:val="0"/>
      <w:marBottom w:val="0"/>
      <w:divBdr>
        <w:top w:val="none" w:sz="0" w:space="0" w:color="auto"/>
        <w:left w:val="none" w:sz="0" w:space="0" w:color="auto"/>
        <w:bottom w:val="none" w:sz="0" w:space="0" w:color="auto"/>
        <w:right w:val="none" w:sz="0" w:space="0" w:color="auto"/>
      </w:divBdr>
      <w:divsChild>
        <w:div w:id="412317890">
          <w:marLeft w:val="0"/>
          <w:marRight w:val="0"/>
          <w:marTop w:val="0"/>
          <w:marBottom w:val="0"/>
          <w:divBdr>
            <w:top w:val="none" w:sz="0" w:space="0" w:color="auto"/>
            <w:left w:val="none" w:sz="0" w:space="0" w:color="auto"/>
            <w:bottom w:val="none" w:sz="0" w:space="0" w:color="auto"/>
            <w:right w:val="none" w:sz="0" w:space="0" w:color="auto"/>
          </w:divBdr>
        </w:div>
        <w:div w:id="1222980478">
          <w:marLeft w:val="0"/>
          <w:marRight w:val="0"/>
          <w:marTop w:val="0"/>
          <w:marBottom w:val="0"/>
          <w:divBdr>
            <w:top w:val="none" w:sz="0" w:space="0" w:color="auto"/>
            <w:left w:val="none" w:sz="0" w:space="0" w:color="auto"/>
            <w:bottom w:val="none" w:sz="0" w:space="0" w:color="auto"/>
            <w:right w:val="none" w:sz="0" w:space="0" w:color="auto"/>
          </w:divBdr>
        </w:div>
        <w:div w:id="160199569">
          <w:marLeft w:val="0"/>
          <w:marRight w:val="0"/>
          <w:marTop w:val="0"/>
          <w:marBottom w:val="0"/>
          <w:divBdr>
            <w:top w:val="none" w:sz="0" w:space="0" w:color="auto"/>
            <w:left w:val="none" w:sz="0" w:space="0" w:color="auto"/>
            <w:bottom w:val="none" w:sz="0" w:space="0" w:color="auto"/>
            <w:right w:val="none" w:sz="0" w:space="0" w:color="auto"/>
          </w:divBdr>
        </w:div>
      </w:divsChild>
    </w:div>
    <w:div w:id="1136877871">
      <w:bodyDiv w:val="1"/>
      <w:marLeft w:val="0"/>
      <w:marRight w:val="0"/>
      <w:marTop w:val="0"/>
      <w:marBottom w:val="0"/>
      <w:divBdr>
        <w:top w:val="none" w:sz="0" w:space="0" w:color="auto"/>
        <w:left w:val="none" w:sz="0" w:space="0" w:color="auto"/>
        <w:bottom w:val="none" w:sz="0" w:space="0" w:color="auto"/>
        <w:right w:val="none" w:sz="0" w:space="0" w:color="auto"/>
      </w:divBdr>
    </w:div>
    <w:div w:id="1154760307">
      <w:bodyDiv w:val="1"/>
      <w:marLeft w:val="0"/>
      <w:marRight w:val="0"/>
      <w:marTop w:val="0"/>
      <w:marBottom w:val="0"/>
      <w:divBdr>
        <w:top w:val="none" w:sz="0" w:space="0" w:color="auto"/>
        <w:left w:val="none" w:sz="0" w:space="0" w:color="auto"/>
        <w:bottom w:val="none" w:sz="0" w:space="0" w:color="auto"/>
        <w:right w:val="none" w:sz="0" w:space="0" w:color="auto"/>
      </w:divBdr>
    </w:div>
    <w:div w:id="1179810922">
      <w:bodyDiv w:val="1"/>
      <w:marLeft w:val="0"/>
      <w:marRight w:val="0"/>
      <w:marTop w:val="0"/>
      <w:marBottom w:val="0"/>
      <w:divBdr>
        <w:top w:val="none" w:sz="0" w:space="0" w:color="auto"/>
        <w:left w:val="none" w:sz="0" w:space="0" w:color="auto"/>
        <w:bottom w:val="none" w:sz="0" w:space="0" w:color="auto"/>
        <w:right w:val="none" w:sz="0" w:space="0" w:color="auto"/>
      </w:divBdr>
    </w:div>
    <w:div w:id="1455098497">
      <w:bodyDiv w:val="1"/>
      <w:marLeft w:val="0"/>
      <w:marRight w:val="0"/>
      <w:marTop w:val="0"/>
      <w:marBottom w:val="0"/>
      <w:divBdr>
        <w:top w:val="none" w:sz="0" w:space="0" w:color="auto"/>
        <w:left w:val="none" w:sz="0" w:space="0" w:color="auto"/>
        <w:bottom w:val="none" w:sz="0" w:space="0" w:color="auto"/>
        <w:right w:val="none" w:sz="0" w:space="0" w:color="auto"/>
      </w:divBdr>
      <w:divsChild>
        <w:div w:id="863322855">
          <w:marLeft w:val="0"/>
          <w:marRight w:val="0"/>
          <w:marTop w:val="0"/>
          <w:marBottom w:val="0"/>
          <w:divBdr>
            <w:top w:val="none" w:sz="0" w:space="0" w:color="auto"/>
            <w:left w:val="none" w:sz="0" w:space="0" w:color="auto"/>
            <w:bottom w:val="none" w:sz="0" w:space="0" w:color="auto"/>
            <w:right w:val="none" w:sz="0" w:space="0" w:color="auto"/>
          </w:divBdr>
        </w:div>
        <w:div w:id="884759662">
          <w:marLeft w:val="0"/>
          <w:marRight w:val="0"/>
          <w:marTop w:val="0"/>
          <w:marBottom w:val="0"/>
          <w:divBdr>
            <w:top w:val="none" w:sz="0" w:space="0" w:color="auto"/>
            <w:left w:val="none" w:sz="0" w:space="0" w:color="auto"/>
            <w:bottom w:val="none" w:sz="0" w:space="0" w:color="auto"/>
            <w:right w:val="none" w:sz="0" w:space="0" w:color="auto"/>
          </w:divBdr>
        </w:div>
        <w:div w:id="214436173">
          <w:marLeft w:val="0"/>
          <w:marRight w:val="0"/>
          <w:marTop w:val="0"/>
          <w:marBottom w:val="0"/>
          <w:divBdr>
            <w:top w:val="none" w:sz="0" w:space="0" w:color="auto"/>
            <w:left w:val="none" w:sz="0" w:space="0" w:color="auto"/>
            <w:bottom w:val="none" w:sz="0" w:space="0" w:color="auto"/>
            <w:right w:val="none" w:sz="0" w:space="0" w:color="auto"/>
          </w:divBdr>
        </w:div>
      </w:divsChild>
    </w:div>
    <w:div w:id="1624772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article/pii/S0378113511005025?via%3Dihub"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claudia.cafarchia@uniba.it;Tel.:+080-4679834/+39-3385257824"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s://www.ncbi.nlm.nih.gov/pubmed/29657238" TargetMode="External"/><Relationship Id="rId4" Type="http://schemas.openxmlformats.org/officeDocument/2006/relationships/webSettings" Target="webSettings.xml"/><Relationship Id="rId9" Type="http://schemas.openxmlformats.org/officeDocument/2006/relationships/hyperlink" Target="https://www.ncbi.nlm.nih.gov/pubmed/28416557"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3958</Words>
  <Characters>22567</Characters>
  <Application>Microsoft Office Word</Application>
  <DocSecurity>4</DocSecurity>
  <Lines>188</Lines>
  <Paragraphs>52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26473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chioma AMBLESSED</dc:creator>
  <cp:keywords/>
  <dc:description/>
  <cp:lastModifiedBy>Cinzia Cantacessi</cp:lastModifiedBy>
  <cp:revision>2</cp:revision>
  <dcterms:created xsi:type="dcterms:W3CDTF">2020-04-10T10:33:00Z</dcterms:created>
  <dcterms:modified xsi:type="dcterms:W3CDTF">2020-04-10T10:33:00Z</dcterms:modified>
  <cp:category/>
</cp:coreProperties>
</file>