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DE152F" w14:textId="39839725" w:rsidR="0053171D" w:rsidRPr="00254903" w:rsidRDefault="00395863" w:rsidP="0053171D">
      <w:pPr>
        <w:pStyle w:val="Heading1"/>
        <w:spacing w:before="120" w:after="12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Are Corporate Office Buildings Priced Differently?</w:t>
      </w:r>
      <w:r w:rsidR="0053171D" w:rsidRPr="00254903">
        <w:rPr>
          <w:rFonts w:ascii="Times New Roman" w:hAnsi="Times New Roman" w:cs="Times New Roman"/>
          <w:sz w:val="28"/>
          <w:szCs w:val="28"/>
          <w:lang w:val="en-US"/>
        </w:rPr>
        <w:t xml:space="preserve"> </w:t>
      </w:r>
    </w:p>
    <w:p w14:paraId="7E826A2C" w14:textId="77777777" w:rsidR="006E4ADA" w:rsidRPr="00D24C4D" w:rsidRDefault="006E4ADA" w:rsidP="006E4ADA">
      <w:pPr>
        <w:jc w:val="center"/>
      </w:pPr>
      <w:r w:rsidRPr="00D24C4D">
        <w:t>Odilon Costa</w:t>
      </w:r>
    </w:p>
    <w:p w14:paraId="6C30158A" w14:textId="77777777" w:rsidR="006E4ADA" w:rsidRPr="00D24C4D" w:rsidRDefault="006E4ADA" w:rsidP="006E4ADA">
      <w:pPr>
        <w:jc w:val="center"/>
      </w:pPr>
      <w:r w:rsidRPr="00D24C4D">
        <w:t>Fundacao Getulio Vargas, EAESP</w:t>
      </w:r>
    </w:p>
    <w:p w14:paraId="0BB73D35" w14:textId="77777777" w:rsidR="006E4ADA" w:rsidRPr="00D24C4D" w:rsidRDefault="006E4ADA" w:rsidP="006E4ADA">
      <w:pPr>
        <w:jc w:val="center"/>
        <w:rPr>
          <w:lang w:val="en-GB"/>
        </w:rPr>
      </w:pPr>
      <w:r w:rsidRPr="00D24C4D">
        <w:rPr>
          <w:lang w:val="en-GB"/>
        </w:rPr>
        <w:t>odilon.costa@pilum.com.br</w:t>
      </w:r>
    </w:p>
    <w:p w14:paraId="0FB3C74A" w14:textId="77777777" w:rsidR="006E4ADA" w:rsidRPr="00D24C4D" w:rsidRDefault="006E4ADA" w:rsidP="006E4ADA">
      <w:pPr>
        <w:jc w:val="center"/>
        <w:rPr>
          <w:lang w:val="en-GB"/>
        </w:rPr>
      </w:pPr>
    </w:p>
    <w:p w14:paraId="7EF11BB9" w14:textId="77777777" w:rsidR="006E4ADA" w:rsidRPr="00D24C4D" w:rsidRDefault="006E4ADA" w:rsidP="006E4ADA">
      <w:pPr>
        <w:jc w:val="center"/>
        <w:rPr>
          <w:lang w:val="en-GB"/>
        </w:rPr>
      </w:pPr>
      <w:r w:rsidRPr="00D24C4D">
        <w:rPr>
          <w:lang w:val="en-GB"/>
        </w:rPr>
        <w:t>Franz Fuerst</w:t>
      </w:r>
    </w:p>
    <w:p w14:paraId="02C1911B" w14:textId="77777777" w:rsidR="006E4ADA" w:rsidRPr="00D24C4D" w:rsidRDefault="006E4ADA" w:rsidP="006E4ADA">
      <w:pPr>
        <w:jc w:val="center"/>
        <w:rPr>
          <w:lang w:val="en-GB"/>
        </w:rPr>
      </w:pPr>
      <w:r w:rsidRPr="00D24C4D">
        <w:rPr>
          <w:lang w:val="en-GB"/>
        </w:rPr>
        <w:t>University of Cambridge, Department of Land Economy</w:t>
      </w:r>
    </w:p>
    <w:p w14:paraId="56E866E3" w14:textId="77777777" w:rsidR="006E4ADA" w:rsidRPr="00D24C4D" w:rsidRDefault="006E4ADA" w:rsidP="006E4ADA">
      <w:pPr>
        <w:jc w:val="center"/>
      </w:pPr>
      <w:r w:rsidRPr="00D24C4D">
        <w:t>ff274@cam.ac.uk</w:t>
      </w:r>
    </w:p>
    <w:p w14:paraId="2CC00782" w14:textId="77777777" w:rsidR="006E4ADA" w:rsidRPr="00D24C4D" w:rsidRDefault="006E4ADA" w:rsidP="006E4ADA">
      <w:pPr>
        <w:jc w:val="center"/>
      </w:pPr>
    </w:p>
    <w:p w14:paraId="5DECC610" w14:textId="77777777" w:rsidR="006E4ADA" w:rsidRPr="00D24C4D" w:rsidRDefault="006E4ADA" w:rsidP="006E4ADA">
      <w:pPr>
        <w:jc w:val="center"/>
      </w:pPr>
      <w:r w:rsidRPr="00D24C4D">
        <w:t>Wesley Mendes-Da-Silva</w:t>
      </w:r>
    </w:p>
    <w:p w14:paraId="5F774AB9" w14:textId="77777777" w:rsidR="006E4ADA" w:rsidRPr="00D24C4D" w:rsidRDefault="006E4ADA" w:rsidP="006E4ADA">
      <w:pPr>
        <w:jc w:val="center"/>
      </w:pPr>
      <w:r w:rsidRPr="00D24C4D">
        <w:t>Fundacao Getulio Vargas, EAESP</w:t>
      </w:r>
    </w:p>
    <w:p w14:paraId="7E7A7F28" w14:textId="77777777" w:rsidR="006E4ADA" w:rsidRPr="00D24C4D" w:rsidRDefault="006E4ADA" w:rsidP="006E4ADA">
      <w:pPr>
        <w:jc w:val="center"/>
      </w:pPr>
      <w:r w:rsidRPr="00D24C4D">
        <w:t>wesley.mendes@fgv.br</w:t>
      </w:r>
    </w:p>
    <w:p w14:paraId="3C6D2D93" w14:textId="77777777" w:rsidR="006E4ADA" w:rsidRPr="00D24C4D" w:rsidRDefault="006E4ADA" w:rsidP="006E4ADA">
      <w:pPr>
        <w:jc w:val="center"/>
        <w:rPr>
          <w:lang w:eastAsia="pt-BR"/>
        </w:rPr>
      </w:pPr>
    </w:p>
    <w:p w14:paraId="54DF5B81" w14:textId="77777777" w:rsidR="0053171D" w:rsidRDefault="0053171D" w:rsidP="0053171D">
      <w:pPr>
        <w:spacing w:before="120" w:after="120" w:line="360" w:lineRule="auto"/>
        <w:rPr>
          <w:lang w:val="en-US"/>
        </w:rPr>
      </w:pPr>
      <w:bookmarkStart w:id="0" w:name="_GoBack"/>
      <w:bookmarkEnd w:id="0"/>
    </w:p>
    <w:p w14:paraId="17C63CE2" w14:textId="77777777" w:rsidR="00E568BC" w:rsidRPr="00DE0337" w:rsidRDefault="00E568BC" w:rsidP="0053171D">
      <w:pPr>
        <w:spacing w:before="120" w:after="120" w:line="360" w:lineRule="auto"/>
        <w:rPr>
          <w:lang w:val="en-US"/>
        </w:rPr>
      </w:pPr>
      <w:r>
        <w:rPr>
          <w:b/>
          <w:lang w:val="en-US"/>
        </w:rPr>
        <w:t>Abstract</w:t>
      </w:r>
    </w:p>
    <w:p w14:paraId="2B1A557D" w14:textId="247F7119" w:rsidR="00740AB9" w:rsidRPr="00740AB9" w:rsidRDefault="00740AB9" w:rsidP="0053171D">
      <w:pPr>
        <w:spacing w:before="120" w:after="120" w:line="360" w:lineRule="auto"/>
        <w:jc w:val="both"/>
        <w:rPr>
          <w:b/>
          <w:lang w:val="en-US"/>
        </w:rPr>
      </w:pPr>
      <w:r w:rsidRPr="00740AB9">
        <w:rPr>
          <w:b/>
          <w:lang w:val="en-US"/>
        </w:rPr>
        <w:t xml:space="preserve">Purpose: </w:t>
      </w:r>
      <w:r>
        <w:rPr>
          <w:lang w:val="en-US"/>
        </w:rPr>
        <w:t xml:space="preserve">While broader property-type categories of real estate markets have been scrutinized at microeconomic level in some segments – namely residential, retail, industrial and hospitality; there is limited evidence showing that </w:t>
      </w:r>
      <w:r w:rsidR="006631AF">
        <w:rPr>
          <w:lang w:val="en-US"/>
        </w:rPr>
        <w:t xml:space="preserve">local </w:t>
      </w:r>
      <w:r>
        <w:rPr>
          <w:lang w:val="en-US"/>
        </w:rPr>
        <w:t xml:space="preserve">office markets can </w:t>
      </w:r>
      <w:r w:rsidR="00265DB9">
        <w:rPr>
          <w:lang w:val="en-US"/>
        </w:rPr>
        <w:t>be</w:t>
      </w:r>
      <w:r>
        <w:rPr>
          <w:lang w:val="en-US"/>
        </w:rPr>
        <w:t xml:space="preserve"> viewed as </w:t>
      </w:r>
      <w:r w:rsidR="006631AF">
        <w:rPr>
          <w:lang w:val="en-US"/>
        </w:rPr>
        <w:t>monolithic and economically integrated entities</w:t>
      </w:r>
      <w:r>
        <w:rPr>
          <w:lang w:val="en-US"/>
        </w:rPr>
        <w:t xml:space="preserve">. </w:t>
      </w:r>
      <w:r w:rsidR="009A5780">
        <w:rPr>
          <w:lang w:val="en-US"/>
        </w:rPr>
        <w:t xml:space="preserve">This study </w:t>
      </w:r>
      <w:r w:rsidR="006631AF">
        <w:rPr>
          <w:lang w:val="en-US"/>
        </w:rPr>
        <w:t xml:space="preserve">investigates </w:t>
      </w:r>
      <w:r w:rsidRPr="00DE0337">
        <w:rPr>
          <w:lang w:val="en-US"/>
        </w:rPr>
        <w:t>how occupiers differ in their willingness to pay for principal office rent determinants</w:t>
      </w:r>
      <w:r w:rsidR="006631AF">
        <w:rPr>
          <w:lang w:val="en-US"/>
        </w:rPr>
        <w:t xml:space="preserve"> in the corporate and non-corporate sectors</w:t>
      </w:r>
      <w:r w:rsidRPr="00DE0337">
        <w:rPr>
          <w:lang w:val="en-US"/>
        </w:rPr>
        <w:t>.</w:t>
      </w:r>
    </w:p>
    <w:p w14:paraId="2C4E5668" w14:textId="77777777" w:rsidR="009A5780" w:rsidRDefault="00740AB9" w:rsidP="00740AB9">
      <w:pPr>
        <w:spacing w:before="120" w:after="120" w:line="360" w:lineRule="auto"/>
        <w:jc w:val="both"/>
        <w:rPr>
          <w:lang w:val="en-US"/>
        </w:rPr>
      </w:pPr>
      <w:r w:rsidRPr="00740AB9">
        <w:rPr>
          <w:b/>
          <w:lang w:val="en-US"/>
        </w:rPr>
        <w:t>Design/methodology/approach:</w:t>
      </w:r>
      <w:r>
        <w:rPr>
          <w:b/>
          <w:lang w:val="en-US"/>
        </w:rPr>
        <w:t xml:space="preserve"> </w:t>
      </w:r>
      <w:r>
        <w:rPr>
          <w:lang w:val="en-US"/>
        </w:rPr>
        <w:t xml:space="preserve">A sample of properties located in the largest office market in Latin America is partitioned based on the average size of leasable units. </w:t>
      </w:r>
      <w:r w:rsidR="009A5780">
        <w:rPr>
          <w:lang w:val="en-US"/>
        </w:rPr>
        <w:t xml:space="preserve">This </w:t>
      </w:r>
      <w:r w:rsidR="00265DB9">
        <w:rPr>
          <w:lang w:val="en-US"/>
        </w:rPr>
        <w:t>approach</w:t>
      </w:r>
      <w:r w:rsidR="009A5780">
        <w:rPr>
          <w:lang w:val="en-US"/>
        </w:rPr>
        <w:t xml:space="preserve"> captures interactions between different groups of investors and occupiers</w:t>
      </w:r>
      <w:r w:rsidR="00265DB9">
        <w:rPr>
          <w:lang w:val="en-US"/>
        </w:rPr>
        <w:t>, and is commonly adopted by local market practitioners due to lack of detailed information on market participants</w:t>
      </w:r>
      <w:r w:rsidR="009A5780">
        <w:rPr>
          <w:lang w:val="en-US"/>
        </w:rPr>
        <w:t xml:space="preserve">. The pricing schedule for these two groups of </w:t>
      </w:r>
      <w:r w:rsidR="00265DB9">
        <w:rPr>
          <w:lang w:val="en-US"/>
        </w:rPr>
        <w:t>buildings</w:t>
      </w:r>
      <w:r w:rsidR="009A5780">
        <w:rPr>
          <w:lang w:val="en-US"/>
        </w:rPr>
        <w:t xml:space="preserve"> are then empirically compared through hedonic regression analysis and parameter stability tests.</w:t>
      </w:r>
    </w:p>
    <w:p w14:paraId="54559DE2" w14:textId="7C75DBD6" w:rsidR="00265DB9" w:rsidRDefault="00265DB9" w:rsidP="00265DB9">
      <w:pPr>
        <w:spacing w:before="120" w:after="120" w:line="360" w:lineRule="auto"/>
        <w:jc w:val="both"/>
        <w:rPr>
          <w:lang w:val="en-US"/>
        </w:rPr>
      </w:pPr>
      <w:r w:rsidRPr="00740AB9">
        <w:rPr>
          <w:b/>
          <w:lang w:val="en-US"/>
        </w:rPr>
        <w:t>Findings:</w:t>
      </w:r>
      <w:r>
        <w:rPr>
          <w:b/>
          <w:lang w:val="en-US"/>
        </w:rPr>
        <w:t xml:space="preserve"> </w:t>
      </w:r>
      <w:r w:rsidRPr="00DE0337">
        <w:rPr>
          <w:lang w:val="en-US"/>
        </w:rPr>
        <w:t xml:space="preserve">Our regressions show that corporate and smaller occupier properties form </w:t>
      </w:r>
      <w:r>
        <w:rPr>
          <w:lang w:val="en-US"/>
        </w:rPr>
        <w:t xml:space="preserve">distinct </w:t>
      </w:r>
      <w:r w:rsidRPr="00DE0337">
        <w:rPr>
          <w:lang w:val="en-US"/>
        </w:rPr>
        <w:t xml:space="preserve">spatial and non-spatial submarkets, </w:t>
      </w:r>
      <w:r w:rsidR="00661383">
        <w:rPr>
          <w:lang w:val="en-US"/>
        </w:rPr>
        <w:t xml:space="preserve">but that their temporal patterns are quite similar. </w:t>
      </w:r>
      <w:r>
        <w:rPr>
          <w:lang w:val="en-US"/>
        </w:rPr>
        <w:t>Thus, t</w:t>
      </w:r>
      <w:r w:rsidRPr="00DE0337">
        <w:rPr>
          <w:lang w:val="en-US"/>
        </w:rPr>
        <w:t xml:space="preserve">hese property-type segments can be classified as imperfect substitutes with distinct pricing schemes, but not as </w:t>
      </w:r>
      <w:r>
        <w:rPr>
          <w:lang w:val="en-US"/>
        </w:rPr>
        <w:t>a unique</w:t>
      </w:r>
      <w:r w:rsidRPr="00DE0337">
        <w:rPr>
          <w:lang w:val="en-US"/>
        </w:rPr>
        <w:t xml:space="preserve"> market</w:t>
      </w:r>
      <w:r>
        <w:rPr>
          <w:lang w:val="en-US"/>
        </w:rPr>
        <w:t>, as their pricing schedules are not generalizable</w:t>
      </w:r>
      <w:r w:rsidRPr="00DE0337">
        <w:rPr>
          <w:lang w:val="en-US"/>
        </w:rPr>
        <w:t>.</w:t>
      </w:r>
    </w:p>
    <w:p w14:paraId="04D1B9DA" w14:textId="7F2A51E5" w:rsidR="00661383" w:rsidRPr="00740AB9" w:rsidRDefault="00661383" w:rsidP="00265DB9">
      <w:pPr>
        <w:spacing w:before="120" w:after="120" w:line="360" w:lineRule="auto"/>
        <w:jc w:val="both"/>
        <w:rPr>
          <w:lang w:val="en-US"/>
        </w:rPr>
      </w:pPr>
      <w:r w:rsidRPr="007F4AC7">
        <w:rPr>
          <w:b/>
          <w:lang w:val="en-US"/>
        </w:rPr>
        <w:t>Practical implications:</w:t>
      </w:r>
      <w:r>
        <w:rPr>
          <w:lang w:val="en-US"/>
        </w:rPr>
        <w:t xml:space="preserve"> The results imply that “office properties”</w:t>
      </w:r>
      <w:r w:rsidRPr="00B27E3D">
        <w:rPr>
          <w:lang w:val="en-US"/>
        </w:rPr>
        <w:t xml:space="preserve"> </w:t>
      </w:r>
      <w:r>
        <w:rPr>
          <w:lang w:val="en-US"/>
        </w:rPr>
        <w:t>are</w:t>
      </w:r>
      <w:r w:rsidRPr="00B27E3D">
        <w:rPr>
          <w:lang w:val="en-US"/>
        </w:rPr>
        <w:t xml:space="preserve"> too complex and disparate to be reliably examined</w:t>
      </w:r>
      <w:r w:rsidRPr="00DE0337">
        <w:rPr>
          <w:lang w:val="en-US"/>
        </w:rPr>
        <w:t xml:space="preserve"> with a simple aggregate approach as practiced in developed office market research since the 1980s. The fragmented reality of office properties has important implications for investment decisions and real estate valuation.</w:t>
      </w:r>
    </w:p>
    <w:p w14:paraId="7396D997" w14:textId="7E8CE996" w:rsidR="006631AF" w:rsidRDefault="00265DB9" w:rsidP="00265DB9">
      <w:pPr>
        <w:spacing w:before="120" w:after="120" w:line="360" w:lineRule="auto"/>
        <w:jc w:val="both"/>
        <w:rPr>
          <w:lang w:val="en-US"/>
        </w:rPr>
      </w:pPr>
      <w:r w:rsidRPr="00740AB9">
        <w:rPr>
          <w:b/>
          <w:lang w:val="en-US"/>
        </w:rPr>
        <w:t>Originality/value:</w:t>
      </w:r>
      <w:r>
        <w:rPr>
          <w:b/>
          <w:lang w:val="en-US"/>
        </w:rPr>
        <w:t xml:space="preserve"> </w:t>
      </w:r>
      <w:r>
        <w:rPr>
          <w:lang w:val="en-US"/>
        </w:rPr>
        <w:t>This paper shows that</w:t>
      </w:r>
      <w:r w:rsidR="00A36E21">
        <w:rPr>
          <w:lang w:val="en-US"/>
        </w:rPr>
        <w:t xml:space="preserve"> </w:t>
      </w:r>
      <w:r w:rsidR="006631AF">
        <w:rPr>
          <w:lang w:val="en-US"/>
        </w:rPr>
        <w:t>the corporate office market exhibits distinct characteristics and key determinants of office price and rent valuation differ significantly between the corporate and non-corporate segments.</w:t>
      </w:r>
      <w:r w:rsidR="00A36E21">
        <w:rPr>
          <w:lang w:val="en-US"/>
        </w:rPr>
        <w:t xml:space="preserve"> </w:t>
      </w:r>
      <w:r w:rsidR="00E40F6B">
        <w:rPr>
          <w:lang w:val="en-US"/>
        </w:rPr>
        <w:t xml:space="preserve">The corollary of these findings is that market studies that require reliable estimates of price drivers may be enriched by modeling these two segmented markets separately. It is also important to note that this distinction cuts across the established A/B/C office space quality classification. </w:t>
      </w:r>
    </w:p>
    <w:p w14:paraId="44F10D33" w14:textId="77777777" w:rsidR="00AD46F7" w:rsidRDefault="00AD46F7" w:rsidP="00265DB9">
      <w:pPr>
        <w:spacing w:before="120" w:after="120" w:line="360" w:lineRule="auto"/>
        <w:jc w:val="both"/>
        <w:rPr>
          <w:lang w:val="en-US"/>
        </w:rPr>
      </w:pPr>
    </w:p>
    <w:p w14:paraId="6E943AF6" w14:textId="77777777" w:rsidR="0053171D" w:rsidRPr="000B6975" w:rsidRDefault="003F209E" w:rsidP="00AD46F7">
      <w:pPr>
        <w:pStyle w:val="ecxmsonormal"/>
        <w:shd w:val="clear" w:color="auto" w:fill="FFFFFF"/>
        <w:tabs>
          <w:tab w:val="left" w:pos="426"/>
        </w:tabs>
        <w:spacing w:before="120" w:beforeAutospacing="0" w:after="120" w:afterAutospacing="0" w:line="360" w:lineRule="auto"/>
        <w:jc w:val="both"/>
        <w:rPr>
          <w:b/>
          <w:bCs/>
          <w:noProof w:val="0"/>
        </w:rPr>
      </w:pPr>
      <w:r>
        <w:rPr>
          <w:b/>
          <w:bCs/>
          <w:noProof w:val="0"/>
        </w:rPr>
        <w:lastRenderedPageBreak/>
        <w:t>Introduction</w:t>
      </w:r>
    </w:p>
    <w:p w14:paraId="47A6DC9D" w14:textId="42121C77" w:rsidR="0053171D" w:rsidRPr="00517898" w:rsidRDefault="0053171D" w:rsidP="0053171D">
      <w:pPr>
        <w:tabs>
          <w:tab w:val="left" w:pos="1929"/>
        </w:tabs>
        <w:spacing w:line="360" w:lineRule="auto"/>
        <w:contextualSpacing/>
        <w:jc w:val="both"/>
        <w:rPr>
          <w:lang w:val="en-US"/>
        </w:rPr>
      </w:pPr>
      <w:r w:rsidRPr="00543356">
        <w:rPr>
          <w:lang w:val="en-US"/>
        </w:rPr>
        <w:t xml:space="preserve">Understanding the drivers of real estate prices is a key matter for real estate developers and investors. With this in mind, researchers continue to improve hedonic pricing techniques to quantify the determinants of real estate value and to estimate the impact of such determinants on rent and prices (Wen </w:t>
      </w:r>
      <w:r w:rsidRPr="00543356">
        <w:rPr>
          <w:i/>
          <w:lang w:val="en-US"/>
        </w:rPr>
        <w:t>et al</w:t>
      </w:r>
      <w:r w:rsidRPr="00543356">
        <w:rPr>
          <w:lang w:val="en-US"/>
        </w:rPr>
        <w:t>., 2017</w:t>
      </w:r>
      <w:r>
        <w:rPr>
          <w:lang w:val="en-US"/>
        </w:rPr>
        <w:t>)</w:t>
      </w:r>
      <w:r w:rsidRPr="00543356">
        <w:rPr>
          <w:lang w:val="en-US"/>
        </w:rPr>
        <w:t>. Estimated coefficients in these models are typically assumed to remain constant throughout entire study areas or property-type segments</w:t>
      </w:r>
      <w:r w:rsidR="00366005">
        <w:rPr>
          <w:lang w:val="en-US"/>
        </w:rPr>
        <w:t xml:space="preserve">, implying </w:t>
      </w:r>
      <w:r w:rsidRPr="00543356">
        <w:rPr>
          <w:lang w:val="en-US"/>
        </w:rPr>
        <w:t xml:space="preserve">that the market under consideration is sufficiently homogeneous to be </w:t>
      </w:r>
      <w:r w:rsidRPr="00517898">
        <w:rPr>
          <w:lang w:val="en-US"/>
        </w:rPr>
        <w:t>analyzed on a stand-alone basis provided that sufficient controls are already included in the estimated models (</w:t>
      </w:r>
      <w:r w:rsidR="00366005" w:rsidRPr="00517898">
        <w:rPr>
          <w:lang w:val="en-US"/>
        </w:rPr>
        <w:t xml:space="preserve">e.g. </w:t>
      </w:r>
      <w:r w:rsidRPr="00517898">
        <w:rPr>
          <w:lang w:val="en-US"/>
        </w:rPr>
        <w:t xml:space="preserve">Wheeler, 2014; McCord </w:t>
      </w:r>
      <w:r w:rsidRPr="00517898">
        <w:rPr>
          <w:i/>
          <w:lang w:val="en-US"/>
        </w:rPr>
        <w:t>et al.</w:t>
      </w:r>
      <w:r w:rsidRPr="00517898">
        <w:rPr>
          <w:lang w:val="en-US"/>
        </w:rPr>
        <w:t xml:space="preserve">, 2012). </w:t>
      </w:r>
    </w:p>
    <w:p w14:paraId="676A4694" w14:textId="6428588B" w:rsidR="0053171D" w:rsidRDefault="0053171D" w:rsidP="0053171D">
      <w:pPr>
        <w:tabs>
          <w:tab w:val="left" w:pos="709"/>
        </w:tabs>
        <w:spacing w:line="360" w:lineRule="auto"/>
        <w:contextualSpacing/>
        <w:jc w:val="both"/>
        <w:rPr>
          <w:lang w:val="en-US"/>
        </w:rPr>
      </w:pPr>
      <w:r w:rsidRPr="00517898">
        <w:rPr>
          <w:lang w:val="en-US"/>
        </w:rPr>
        <w:tab/>
        <w:t xml:space="preserve">Many studies have compared pricing schedules of occupational prices in the context of residential real estate (e.g. Helbich </w:t>
      </w:r>
      <w:r w:rsidRPr="00517898">
        <w:rPr>
          <w:i/>
          <w:lang w:val="en-US"/>
        </w:rPr>
        <w:t>et al.</w:t>
      </w:r>
      <w:r w:rsidRPr="00517898">
        <w:rPr>
          <w:lang w:val="en-US"/>
        </w:rPr>
        <w:t xml:space="preserve">, 2014; Berry </w:t>
      </w:r>
      <w:r w:rsidRPr="00517898">
        <w:rPr>
          <w:i/>
          <w:lang w:val="en-US"/>
        </w:rPr>
        <w:t>et al.,</w:t>
      </w:r>
      <w:r w:rsidRPr="00517898">
        <w:rPr>
          <w:lang w:val="en-US"/>
        </w:rPr>
        <w:t xml:space="preserve"> 2003). Certain researchers have also explored the matter on industrial (Black </w:t>
      </w:r>
      <w:r w:rsidRPr="00517898">
        <w:rPr>
          <w:i/>
          <w:lang w:val="en-US"/>
        </w:rPr>
        <w:t>et al.,</w:t>
      </w:r>
      <w:r w:rsidRPr="00517898">
        <w:rPr>
          <w:lang w:val="en-US"/>
        </w:rPr>
        <w:t xml:space="preserve"> 1997) and retail markets (Ke </w:t>
      </w:r>
      <w:r w:rsidR="007E241C" w:rsidRPr="00517898">
        <w:rPr>
          <w:lang w:val="en-US"/>
        </w:rPr>
        <w:t>and</w:t>
      </w:r>
      <w:r w:rsidRPr="00517898">
        <w:rPr>
          <w:lang w:val="en-US"/>
        </w:rPr>
        <w:t xml:space="preserve"> Wang, 2016; Hardin </w:t>
      </w:r>
      <w:r w:rsidR="007E241C" w:rsidRPr="00517898">
        <w:rPr>
          <w:lang w:val="en-US"/>
        </w:rPr>
        <w:t>and</w:t>
      </w:r>
      <w:r w:rsidRPr="00517898">
        <w:rPr>
          <w:lang w:val="en-US"/>
        </w:rPr>
        <w:t xml:space="preserve"> Carr, 2006). Their findings highlight co</w:t>
      </w:r>
      <w:r w:rsidRPr="00F96888">
        <w:rPr>
          <w:lang w:val="en-US"/>
        </w:rPr>
        <w:t>mplex interactions between regional submarkets and different uses of real estate properties directly</w:t>
      </w:r>
      <w:r>
        <w:rPr>
          <w:lang w:val="en-US"/>
        </w:rPr>
        <w:t xml:space="preserve"> at microeconomic level and challenge conventional definitions</w:t>
      </w:r>
      <w:r w:rsidRPr="00697599">
        <w:rPr>
          <w:lang w:val="en-US"/>
        </w:rPr>
        <w:t xml:space="preserve"> </w:t>
      </w:r>
      <w:r>
        <w:rPr>
          <w:lang w:val="en-US"/>
        </w:rPr>
        <w:t xml:space="preserve">of real estate segments. </w:t>
      </w:r>
      <w:r w:rsidRPr="00697599">
        <w:rPr>
          <w:lang w:val="en-US"/>
        </w:rPr>
        <w:t>H</w:t>
      </w:r>
      <w:r>
        <w:rPr>
          <w:lang w:val="en-US"/>
        </w:rPr>
        <w:t>owever,</w:t>
      </w:r>
      <w:r w:rsidRPr="00697599">
        <w:rPr>
          <w:lang w:val="en-US"/>
        </w:rPr>
        <w:t xml:space="preserve"> previous work has not typically sought to explore the underlying reasons for the violations of the “law of one price”</w:t>
      </w:r>
      <w:r w:rsidR="005E047D">
        <w:rPr>
          <w:lang w:val="en-US"/>
        </w:rPr>
        <w:t xml:space="preserve"> </w:t>
      </w:r>
      <w:r w:rsidR="005E047D" w:rsidRPr="005E047D">
        <w:rPr>
          <w:color w:val="FF0000"/>
          <w:lang w:val="en-US"/>
        </w:rPr>
        <w:t>(Owen and Thaler, 2003; Isard, 1977)</w:t>
      </w:r>
      <w:r w:rsidR="005E047D">
        <w:rPr>
          <w:lang w:val="en-US"/>
        </w:rPr>
        <w:t>,</w:t>
      </w:r>
      <w:r w:rsidRPr="00697599">
        <w:rPr>
          <w:lang w:val="en-US"/>
        </w:rPr>
        <w:t xml:space="preserve"> such as different requirements or utility functions of user groups, or directly assessed </w:t>
      </w:r>
      <w:r>
        <w:rPr>
          <w:lang w:val="en-US"/>
        </w:rPr>
        <w:t xml:space="preserve">how the </w:t>
      </w:r>
      <w:r w:rsidRPr="00697599">
        <w:rPr>
          <w:lang w:val="en-US"/>
        </w:rPr>
        <w:t>segmented reality of office properties</w:t>
      </w:r>
      <w:r>
        <w:rPr>
          <w:lang w:val="en-US"/>
        </w:rPr>
        <w:t xml:space="preserve"> may affect the price generation process of this property-type</w:t>
      </w:r>
      <w:r w:rsidRPr="00697599">
        <w:rPr>
          <w:lang w:val="en-US"/>
        </w:rPr>
        <w:t>.</w:t>
      </w:r>
    </w:p>
    <w:p w14:paraId="732289E8" w14:textId="77777777" w:rsidR="0053171D" w:rsidRDefault="0053171D" w:rsidP="0053171D">
      <w:pPr>
        <w:tabs>
          <w:tab w:val="left" w:pos="709"/>
        </w:tabs>
        <w:spacing w:line="360" w:lineRule="auto"/>
        <w:contextualSpacing/>
        <w:jc w:val="both"/>
        <w:rPr>
          <w:lang w:val="en-US"/>
        </w:rPr>
      </w:pPr>
      <w:r>
        <w:rPr>
          <w:lang w:val="en-US"/>
        </w:rPr>
        <w:tab/>
      </w:r>
      <w:r w:rsidRPr="00CA2027">
        <w:rPr>
          <w:lang w:val="en-US"/>
        </w:rPr>
        <w:t xml:space="preserve">The goal of this </w:t>
      </w:r>
      <w:r w:rsidR="007E241C">
        <w:rPr>
          <w:lang w:val="en-US"/>
        </w:rPr>
        <w:t>study</w:t>
      </w:r>
      <w:r w:rsidRPr="00CA2027">
        <w:rPr>
          <w:lang w:val="en-US"/>
        </w:rPr>
        <w:t xml:space="preserve"> is to evaluate the relationship between building characteristics, locational submarkets and economic change across different property-type segments of the office market. We split properties based on the average size of leasable units and test whether rent premiums associated with these set of determinants can be generalized or are specific to each group. The breakdown allows us to assess how different users value ordinary property features. </w:t>
      </w:r>
    </w:p>
    <w:p w14:paraId="0F1189F0" w14:textId="77777777" w:rsidR="0053171D" w:rsidRPr="0020122B" w:rsidRDefault="0053171D" w:rsidP="00395863">
      <w:pPr>
        <w:tabs>
          <w:tab w:val="left" w:pos="709"/>
        </w:tabs>
        <w:spacing w:before="120" w:after="120" w:line="360" w:lineRule="auto"/>
        <w:contextualSpacing/>
        <w:jc w:val="both"/>
        <w:rPr>
          <w:lang w:val="en-US" w:eastAsia="pt-BR"/>
        </w:rPr>
      </w:pPr>
      <w:r>
        <w:rPr>
          <w:lang w:val="en-US"/>
        </w:rPr>
        <w:tab/>
      </w:r>
      <w:r w:rsidRPr="00CA2027">
        <w:rPr>
          <w:lang w:val="en-US"/>
        </w:rPr>
        <w:t xml:space="preserve">The contributions are twofold. First, we outline some of the practical motivations and develop a conceptual grounding to explain why different office users may not necessarily value hedonic characteristics in similar ways. Our theoretical framework shows that pricing discrepancies may arise from transaction costs (objective and subjective) which limit the ability of different users to arbitrage across property-type segments. Although office buildings serve for the same purpose, they are not readily suitable for all types of uses. Ultimately, we may view certain relocation costs (subjective) </w:t>
      </w:r>
      <w:r w:rsidRPr="00CA2027">
        <w:rPr>
          <w:lang w:val="en-US"/>
        </w:rPr>
        <w:lastRenderedPageBreak/>
        <w:t xml:space="preserve">as an endogenous component of each firm’s capital allocation choice </w:t>
      </w:r>
      <w:r w:rsidRPr="00CA2027">
        <w:rPr>
          <w:lang w:val="en-US" w:eastAsia="pt-BR"/>
        </w:rPr>
        <w:t xml:space="preserve">(Black </w:t>
      </w:r>
      <w:r w:rsidRPr="00CA2027">
        <w:rPr>
          <w:i/>
          <w:lang w:val="en-US" w:eastAsia="pt-BR"/>
        </w:rPr>
        <w:t>et al.</w:t>
      </w:r>
      <w:r>
        <w:rPr>
          <w:i/>
          <w:lang w:val="en-US" w:eastAsia="pt-BR"/>
        </w:rPr>
        <w:t>,</w:t>
      </w:r>
      <w:r w:rsidRPr="00CA2027">
        <w:rPr>
          <w:lang w:val="en-US" w:eastAsia="pt-BR"/>
        </w:rPr>
        <w:t xml:space="preserve"> 1997). The optimal assignment of building characteristics would thus be dictated by the productive activity carried out at an office property.</w:t>
      </w:r>
      <w:r w:rsidRPr="00697599">
        <w:rPr>
          <w:lang w:val="en-US"/>
        </w:rPr>
        <w:t xml:space="preserve"> </w:t>
      </w:r>
      <w:r>
        <w:rPr>
          <w:lang w:val="en-US"/>
        </w:rPr>
        <w:t>We then exploit empirically which sets of features are prone to valuation discrepancies by occupiers of office space.</w:t>
      </w:r>
    </w:p>
    <w:p w14:paraId="2EE56B05" w14:textId="77777777" w:rsidR="00E40F6B" w:rsidRDefault="0053171D" w:rsidP="00395863">
      <w:pPr>
        <w:spacing w:before="120" w:after="120" w:line="360" w:lineRule="auto"/>
        <w:ind w:firstLine="709"/>
        <w:jc w:val="both"/>
        <w:rPr>
          <w:lang w:val="en-US"/>
        </w:rPr>
      </w:pPr>
      <w:r w:rsidRPr="00F64B40">
        <w:rPr>
          <w:lang w:val="en-US"/>
        </w:rPr>
        <w:t xml:space="preserve">Motivated by the </w:t>
      </w:r>
      <w:r>
        <w:rPr>
          <w:lang w:val="en-US"/>
        </w:rPr>
        <w:t xml:space="preserve">extant </w:t>
      </w:r>
      <w:r w:rsidRPr="00F64B40">
        <w:rPr>
          <w:lang w:val="en-US"/>
        </w:rPr>
        <w:t xml:space="preserve">literature on </w:t>
      </w:r>
      <w:r>
        <w:rPr>
          <w:lang w:val="en-US"/>
        </w:rPr>
        <w:t>market segmentation and on hedonic pricing,</w:t>
      </w:r>
      <w:r w:rsidRPr="00F64B40">
        <w:rPr>
          <w:lang w:val="en-US"/>
        </w:rPr>
        <w:t xml:space="preserve"> this </w:t>
      </w:r>
      <w:r w:rsidR="007E241C">
        <w:rPr>
          <w:lang w:val="en-US"/>
        </w:rPr>
        <w:t>study</w:t>
      </w:r>
      <w:r w:rsidRPr="00F64B40">
        <w:rPr>
          <w:lang w:val="en-US"/>
        </w:rPr>
        <w:t xml:space="preserve"> explores </w:t>
      </w:r>
      <w:r>
        <w:rPr>
          <w:lang w:val="en-US"/>
        </w:rPr>
        <w:t>two</w:t>
      </w:r>
      <w:r w:rsidRPr="00F64B40">
        <w:rPr>
          <w:lang w:val="en-US"/>
        </w:rPr>
        <w:t xml:space="preserve"> research questions. </w:t>
      </w:r>
    </w:p>
    <w:p w14:paraId="32476673" w14:textId="77777777" w:rsidR="00E40F6B" w:rsidRPr="00395863" w:rsidRDefault="0053171D" w:rsidP="00395863">
      <w:pPr>
        <w:pStyle w:val="ListParagraph"/>
        <w:numPr>
          <w:ilvl w:val="0"/>
          <w:numId w:val="44"/>
        </w:numPr>
        <w:spacing w:before="120" w:after="120" w:line="360" w:lineRule="auto"/>
        <w:jc w:val="both"/>
        <w:rPr>
          <w:rFonts w:ascii="Times New Roman" w:hAnsi="Times New Roman" w:cs="Times New Roman"/>
          <w:b/>
          <w:sz w:val="24"/>
          <w:szCs w:val="24"/>
        </w:rPr>
      </w:pPr>
      <w:r w:rsidRPr="00395863">
        <w:rPr>
          <w:rFonts w:ascii="Times New Roman" w:hAnsi="Times New Roman" w:cs="Times New Roman"/>
          <w:b/>
          <w:sz w:val="24"/>
          <w:szCs w:val="24"/>
        </w:rPr>
        <w:t xml:space="preserve">Are property-type segments also relevant in the context of office properties? </w:t>
      </w:r>
    </w:p>
    <w:p w14:paraId="78321620" w14:textId="77777777" w:rsidR="0053171D" w:rsidRPr="00395863" w:rsidRDefault="0053171D" w:rsidP="00395863">
      <w:pPr>
        <w:pStyle w:val="ListParagraph"/>
        <w:numPr>
          <w:ilvl w:val="0"/>
          <w:numId w:val="44"/>
        </w:numPr>
        <w:spacing w:before="120" w:after="120" w:line="360" w:lineRule="auto"/>
        <w:jc w:val="both"/>
        <w:rPr>
          <w:rFonts w:ascii="Times New Roman" w:hAnsi="Times New Roman" w:cs="Times New Roman"/>
          <w:b/>
          <w:sz w:val="24"/>
          <w:szCs w:val="24"/>
        </w:rPr>
      </w:pPr>
      <w:r w:rsidRPr="00395863">
        <w:rPr>
          <w:rFonts w:ascii="Times New Roman" w:hAnsi="Times New Roman" w:cs="Times New Roman"/>
          <w:b/>
          <w:sz w:val="24"/>
          <w:szCs w:val="24"/>
        </w:rPr>
        <w:t xml:space="preserve">What are the be potential drivers of pricing differentials? </w:t>
      </w:r>
    </w:p>
    <w:p w14:paraId="3487CD5A" w14:textId="77777777" w:rsidR="0053171D" w:rsidRDefault="0053171D" w:rsidP="00395863">
      <w:pPr>
        <w:tabs>
          <w:tab w:val="left" w:pos="709"/>
          <w:tab w:val="left" w:pos="2187"/>
        </w:tabs>
        <w:spacing w:before="120" w:after="120" w:line="360" w:lineRule="auto"/>
        <w:jc w:val="both"/>
        <w:rPr>
          <w:lang w:val="en-US"/>
        </w:rPr>
      </w:pPr>
      <w:r w:rsidRPr="00DE0337">
        <w:rPr>
          <w:lang w:val="en-US"/>
        </w:rPr>
        <w:tab/>
        <w:t xml:space="preserve">This </w:t>
      </w:r>
      <w:r w:rsidR="007E241C">
        <w:rPr>
          <w:lang w:val="en-US"/>
        </w:rPr>
        <w:t>paper</w:t>
      </w:r>
      <w:r w:rsidRPr="00DE0337">
        <w:rPr>
          <w:lang w:val="en-US"/>
        </w:rPr>
        <w:t xml:space="preserve"> is organized as follows. The second section provides a background discussion focusing on the literature development on market segmentation with respect to office markets. This is followed by a set </w:t>
      </w:r>
      <w:r>
        <w:rPr>
          <w:lang w:val="en-US"/>
        </w:rPr>
        <w:t xml:space="preserve">of </w:t>
      </w:r>
      <w:r w:rsidRPr="00DE0337">
        <w:rPr>
          <w:lang w:val="en-US"/>
        </w:rPr>
        <w:t xml:space="preserve">practical motivations and a theoretical grounding for localized valuation of hedonic attributes. Next, the main empirical section outlines the data, methodology and results. Finally, conclusions are drawn. </w:t>
      </w:r>
    </w:p>
    <w:p w14:paraId="58DDB5C2" w14:textId="77777777" w:rsidR="0053171D" w:rsidRPr="00DE0337" w:rsidRDefault="0053171D" w:rsidP="00AD46F7">
      <w:pPr>
        <w:pStyle w:val="ecxmsonormal"/>
        <w:shd w:val="clear" w:color="auto" w:fill="FFFFFF"/>
        <w:tabs>
          <w:tab w:val="left" w:pos="426"/>
        </w:tabs>
        <w:spacing w:before="120" w:beforeAutospacing="0" w:after="120" w:afterAutospacing="0" w:line="360" w:lineRule="auto"/>
        <w:jc w:val="both"/>
        <w:rPr>
          <w:b/>
          <w:bCs/>
          <w:noProof w:val="0"/>
        </w:rPr>
      </w:pPr>
      <w:r w:rsidRPr="00DE0337">
        <w:rPr>
          <w:b/>
          <w:bCs/>
          <w:noProof w:val="0"/>
        </w:rPr>
        <w:t>Related Literature</w:t>
      </w:r>
    </w:p>
    <w:p w14:paraId="4C92B8EE" w14:textId="77777777" w:rsidR="0053171D" w:rsidRPr="006F225C" w:rsidRDefault="0053171D" w:rsidP="0053171D">
      <w:pPr>
        <w:pStyle w:val="ecxmsonormal"/>
        <w:shd w:val="clear" w:color="auto" w:fill="FFFFFF"/>
        <w:spacing w:before="0" w:beforeAutospacing="0" w:after="0" w:afterAutospacing="0" w:line="360" w:lineRule="auto"/>
        <w:contextualSpacing/>
        <w:jc w:val="both"/>
        <w:rPr>
          <w:rFonts w:cs="HelveticaNeueLT Pro 45 Lt"/>
          <w:noProof w:val="0"/>
          <w:color w:val="000000"/>
        </w:rPr>
      </w:pPr>
      <w:r w:rsidRPr="00DE0337">
        <w:rPr>
          <w:rFonts w:cs="HelveticaNeueLT Pro 45 Lt"/>
          <w:noProof w:val="0"/>
          <w:color w:val="000000"/>
        </w:rPr>
        <w:t xml:space="preserve">Office buildings are not commodities: each has unique features that appeal different users, lenders and landlords. The confluence of location, function (degree to which a property can physically accommodate different occupier demands and configurations), form (exterior and interior design, finish quality, and configuration of common and private areas) and cost drive </w:t>
      </w:r>
      <w:r w:rsidRPr="006F225C">
        <w:rPr>
          <w:rFonts w:cs="HelveticaNeueLT Pro 45 Lt"/>
          <w:noProof w:val="0"/>
          <w:color w:val="000000"/>
        </w:rPr>
        <w:t>suitability for any given user. At the same time, different occupiers may not necessarily weight these features in similar ways.</w:t>
      </w:r>
    </w:p>
    <w:p w14:paraId="33CD5A0E" w14:textId="77777777" w:rsidR="0053171D" w:rsidRPr="006F225C" w:rsidRDefault="0053171D" w:rsidP="0053171D">
      <w:pPr>
        <w:pStyle w:val="ecxmsonormal"/>
        <w:shd w:val="clear" w:color="auto" w:fill="FFFFFF"/>
        <w:tabs>
          <w:tab w:val="left" w:pos="709"/>
        </w:tabs>
        <w:spacing w:before="0" w:beforeAutospacing="0" w:after="0" w:afterAutospacing="0" w:line="360" w:lineRule="auto"/>
        <w:jc w:val="both"/>
        <w:rPr>
          <w:noProof w:val="0"/>
        </w:rPr>
      </w:pPr>
      <w:r w:rsidRPr="006F225C">
        <w:rPr>
          <w:noProof w:val="0"/>
        </w:rPr>
        <w:tab/>
        <w:t xml:space="preserve">Clapp </w:t>
      </w:r>
      <w:r w:rsidRPr="006F225C">
        <w:rPr>
          <w:i/>
          <w:noProof w:val="0"/>
        </w:rPr>
        <w:t>et al.</w:t>
      </w:r>
      <w:r w:rsidRPr="006F225C">
        <w:rPr>
          <w:noProof w:val="0"/>
        </w:rPr>
        <w:t xml:space="preserve"> (1992) show that cross sectional and dynamic variables are relevant determinants of patterns in office market prices. Intra-metropolitan location reflects substantial spatial specialization by type of office activity and growth in selected industries, such as finance, insurance and real estate. Using a sample of 5</w:t>
      </w:r>
      <w:r w:rsidR="00E568BC">
        <w:rPr>
          <w:noProof w:val="0"/>
        </w:rPr>
        <w:t>,</w:t>
      </w:r>
      <w:r w:rsidRPr="006F225C">
        <w:rPr>
          <w:noProof w:val="0"/>
        </w:rPr>
        <w:t xml:space="preserve">189 headquarters, Shilton </w:t>
      </w:r>
      <w:r>
        <w:rPr>
          <w:noProof w:val="0"/>
        </w:rPr>
        <w:t>and</w:t>
      </w:r>
      <w:r w:rsidRPr="006F225C">
        <w:rPr>
          <w:noProof w:val="0"/>
        </w:rPr>
        <w:t xml:space="preserve"> Stanley (1999) find a significant degree of spatial concentration of headquarters, especially when considering companies from similar industries. Clapp (1993) suggests that office location decisions lead a given market participant to value different locations heterogeneously. Put differently, distinct users may value a given location unalike based on their intrinsic space requirements.  </w:t>
      </w:r>
    </w:p>
    <w:p w14:paraId="68048B86" w14:textId="77777777" w:rsidR="0053171D" w:rsidRPr="006F225C" w:rsidRDefault="0053171D" w:rsidP="0053171D">
      <w:pPr>
        <w:pStyle w:val="ecxmsonormal"/>
        <w:shd w:val="clear" w:color="auto" w:fill="FFFFFF"/>
        <w:tabs>
          <w:tab w:val="left" w:pos="709"/>
        </w:tabs>
        <w:spacing w:before="0" w:beforeAutospacing="0" w:after="0" w:afterAutospacing="0" w:line="360" w:lineRule="auto"/>
        <w:jc w:val="both"/>
        <w:rPr>
          <w:noProof w:val="0"/>
        </w:rPr>
      </w:pPr>
      <w:r w:rsidRPr="006F225C">
        <w:rPr>
          <w:noProof w:val="0"/>
        </w:rPr>
        <w:tab/>
        <w:t xml:space="preserve">In the context of residential real estate, Wolverton </w:t>
      </w:r>
      <w:r w:rsidRPr="006F225C">
        <w:rPr>
          <w:i/>
          <w:noProof w:val="0"/>
        </w:rPr>
        <w:t>et al.</w:t>
      </w:r>
      <w:r w:rsidRPr="006F225C">
        <w:rPr>
          <w:noProof w:val="0"/>
        </w:rPr>
        <w:t xml:space="preserve"> (1999) and Berry </w:t>
      </w:r>
      <w:r w:rsidRPr="006F225C">
        <w:rPr>
          <w:i/>
          <w:noProof w:val="0"/>
        </w:rPr>
        <w:t>et al.</w:t>
      </w:r>
      <w:r w:rsidRPr="006F225C">
        <w:rPr>
          <w:noProof w:val="0"/>
        </w:rPr>
        <w:t xml:space="preserve"> (2003) investigated the existence of apartment niches determined by unit type. These authors suggest that distinct submarkets that may be differentiated by neighborhood </w:t>
      </w:r>
      <w:r w:rsidRPr="006F225C">
        <w:rPr>
          <w:noProof w:val="0"/>
        </w:rPr>
        <w:lastRenderedPageBreak/>
        <w:t>location, property features and temporal changes in market rent. These findings challenge the traditional property-type segmentation in which apartments are sufficiently homogeneous to be modelled as an aggregate real estate segment.</w:t>
      </w:r>
    </w:p>
    <w:p w14:paraId="1169759D" w14:textId="77777777" w:rsidR="0053171D" w:rsidRDefault="0053171D" w:rsidP="0053171D">
      <w:pPr>
        <w:pStyle w:val="ecxmsonormal"/>
        <w:shd w:val="clear" w:color="auto" w:fill="FFFFFF"/>
        <w:tabs>
          <w:tab w:val="left" w:pos="709"/>
        </w:tabs>
        <w:spacing w:before="0" w:beforeAutospacing="0" w:after="0" w:afterAutospacing="0" w:line="360" w:lineRule="auto"/>
        <w:jc w:val="both"/>
        <w:rPr>
          <w:noProof w:val="0"/>
        </w:rPr>
      </w:pPr>
      <w:r w:rsidRPr="006F225C">
        <w:rPr>
          <w:noProof w:val="0"/>
        </w:rPr>
        <w:tab/>
        <w:t xml:space="preserve">Dunse </w:t>
      </w:r>
      <w:r>
        <w:rPr>
          <w:noProof w:val="0"/>
        </w:rPr>
        <w:t>and</w:t>
      </w:r>
      <w:r w:rsidRPr="006F225C">
        <w:rPr>
          <w:noProof w:val="0"/>
        </w:rPr>
        <w:t xml:space="preserve"> Jones (2002) and Dunse </w:t>
      </w:r>
      <w:r w:rsidRPr="006F225C">
        <w:rPr>
          <w:i/>
          <w:noProof w:val="0"/>
        </w:rPr>
        <w:t>et al.</w:t>
      </w:r>
      <w:r w:rsidRPr="006F225C">
        <w:rPr>
          <w:noProof w:val="0"/>
        </w:rPr>
        <w:t xml:space="preserve"> (2002) test whether city-level office markets, often assumed as a unitary market, can be divided as intra-metropolitan submarkets using data from Glasgow and Edinburgh. The authors conclude that the office market consists of a set of submarkets which are best defined upon real estate agent´s views of market fragmentation as property attributes do not remain constant across different regions of these cities. Locational segmentation based on </w:t>
      </w:r>
      <w:r w:rsidRPr="005C54D8">
        <w:rPr>
          <w:i/>
          <w:noProof w:val="0"/>
        </w:rPr>
        <w:t>a priori</w:t>
      </w:r>
      <w:r w:rsidRPr="006F225C">
        <w:rPr>
          <w:noProof w:val="0"/>
        </w:rPr>
        <w:t xml:space="preserve"> information from experts is found to provide better in-sample performance than statistically determined clusters (Chen </w:t>
      </w:r>
      <w:r w:rsidRPr="006F225C">
        <w:rPr>
          <w:i/>
          <w:noProof w:val="0"/>
        </w:rPr>
        <w:t>et al.</w:t>
      </w:r>
      <w:r>
        <w:rPr>
          <w:i/>
          <w:noProof w:val="0"/>
        </w:rPr>
        <w:t>,</w:t>
      </w:r>
      <w:r>
        <w:rPr>
          <w:noProof w:val="0"/>
        </w:rPr>
        <w:t xml:space="preserve"> 2009;</w:t>
      </w:r>
      <w:r w:rsidRPr="006F225C">
        <w:rPr>
          <w:noProof w:val="0"/>
        </w:rPr>
        <w:t xml:space="preserve"> Bourassa </w:t>
      </w:r>
      <w:r w:rsidRPr="006F225C">
        <w:rPr>
          <w:i/>
          <w:noProof w:val="0"/>
        </w:rPr>
        <w:t>et al.</w:t>
      </w:r>
      <w:r>
        <w:rPr>
          <w:i/>
          <w:noProof w:val="0"/>
        </w:rPr>
        <w:t>,</w:t>
      </w:r>
      <w:r w:rsidRPr="006F225C">
        <w:rPr>
          <w:noProof w:val="0"/>
        </w:rPr>
        <w:t xml:space="preserve"> 2003). </w:t>
      </w:r>
    </w:p>
    <w:p w14:paraId="15D1CB06" w14:textId="77777777" w:rsidR="0053171D" w:rsidRPr="006F225C" w:rsidRDefault="0053171D" w:rsidP="0053171D">
      <w:pPr>
        <w:pStyle w:val="ecxmsonormal"/>
        <w:shd w:val="clear" w:color="auto" w:fill="FFFFFF"/>
        <w:tabs>
          <w:tab w:val="left" w:pos="709"/>
        </w:tabs>
        <w:spacing w:before="0" w:beforeAutospacing="0" w:after="0" w:afterAutospacing="0" w:line="360" w:lineRule="auto"/>
        <w:jc w:val="both"/>
        <w:rPr>
          <w:noProof w:val="0"/>
        </w:rPr>
      </w:pPr>
      <w:r>
        <w:rPr>
          <w:noProof w:val="0"/>
        </w:rPr>
        <w:tab/>
      </w:r>
      <w:r w:rsidRPr="006F225C">
        <w:rPr>
          <w:noProof w:val="0"/>
        </w:rPr>
        <w:t xml:space="preserve">By contrast, Fuerst </w:t>
      </w:r>
      <w:r>
        <w:rPr>
          <w:noProof w:val="0"/>
        </w:rPr>
        <w:t>and</w:t>
      </w:r>
      <w:r w:rsidRPr="006F225C">
        <w:rPr>
          <w:noProof w:val="0"/>
        </w:rPr>
        <w:t xml:space="preserve"> Marcato (2010) find more mixed evidence of statistically determined clusters for the </w:t>
      </w:r>
      <w:r>
        <w:rPr>
          <w:noProof w:val="0"/>
        </w:rPr>
        <w:t>UK</w:t>
      </w:r>
      <w:r w:rsidRPr="006F225C">
        <w:rPr>
          <w:noProof w:val="0"/>
        </w:rPr>
        <w:t xml:space="preserve"> commercial property market. Applying both discriminant and neural network analysis, the authors conclude that statistical clustering is more suitable for identifying investment opportunities and risks while the expert-based sector-region classification is sufficient for describing the broad characteristics of a real estate portfolio. White </w:t>
      </w:r>
      <w:r>
        <w:rPr>
          <w:noProof w:val="0"/>
        </w:rPr>
        <w:t>and</w:t>
      </w:r>
      <w:r w:rsidR="00F56A38">
        <w:rPr>
          <w:noProof w:val="0"/>
        </w:rPr>
        <w:t xml:space="preserve"> Ke (2014) validate</w:t>
      </w:r>
      <w:r w:rsidRPr="006F225C">
        <w:rPr>
          <w:noProof w:val="0"/>
        </w:rPr>
        <w:t xml:space="preserve"> that certain office locations, such as Pixi and Pudong, located in Shanghai, cannot be viewed as homogeneous or perfect substitutes as </w:t>
      </w:r>
      <w:r w:rsidR="00CF076D">
        <w:rPr>
          <w:noProof w:val="0"/>
        </w:rPr>
        <w:t xml:space="preserve">there is no </w:t>
      </w:r>
      <w:r w:rsidRPr="006F225C">
        <w:rPr>
          <w:noProof w:val="0"/>
        </w:rPr>
        <w:t>convergence in rental performance or interactions among these submarkets.</w:t>
      </w:r>
    </w:p>
    <w:p w14:paraId="2C66677E" w14:textId="77777777" w:rsidR="0053171D" w:rsidRPr="006F225C" w:rsidRDefault="0053171D" w:rsidP="0053171D">
      <w:pPr>
        <w:pStyle w:val="ecxmsonormal"/>
        <w:shd w:val="clear" w:color="auto" w:fill="FFFFFF"/>
        <w:tabs>
          <w:tab w:val="left" w:pos="709"/>
        </w:tabs>
        <w:spacing w:before="0" w:beforeAutospacing="0" w:after="0" w:afterAutospacing="0" w:line="360" w:lineRule="auto"/>
        <w:jc w:val="both"/>
        <w:rPr>
          <w:noProof w:val="0"/>
        </w:rPr>
      </w:pPr>
      <w:r w:rsidRPr="006F225C">
        <w:rPr>
          <w:noProof w:val="0"/>
        </w:rPr>
        <w:tab/>
        <w:t xml:space="preserve">While literature on the distinction of office markets based on locational segmentation is considerably developed, there is little empirical research on niches </w:t>
      </w:r>
      <w:r w:rsidRPr="006F225C">
        <w:rPr>
          <w:i/>
          <w:noProof w:val="0"/>
        </w:rPr>
        <w:t>inside</w:t>
      </w:r>
      <w:r w:rsidRPr="006F225C">
        <w:rPr>
          <w:noProof w:val="0"/>
        </w:rPr>
        <w:t xml:space="preserve"> the traditional property-type segmentation of CRE. In the “industrial” segment, Black </w:t>
      </w:r>
      <w:r w:rsidRPr="006F225C">
        <w:rPr>
          <w:i/>
          <w:noProof w:val="0"/>
        </w:rPr>
        <w:t>et al.</w:t>
      </w:r>
      <w:r w:rsidRPr="006F225C">
        <w:rPr>
          <w:noProof w:val="0"/>
        </w:rPr>
        <w:t xml:space="preserve"> (1997) differentiate distribution and manufacturing niches. Hardin </w:t>
      </w:r>
      <w:r>
        <w:rPr>
          <w:noProof w:val="0"/>
        </w:rPr>
        <w:t>and</w:t>
      </w:r>
      <w:r w:rsidRPr="006F225C">
        <w:rPr>
          <w:noProof w:val="0"/>
        </w:rPr>
        <w:t xml:space="preserve"> Carr (2006) propose a formal distinction of “retail” properties into neighborhood and community centers. These authors show that rental rates determinants are different in each of these unit-type segments using hedonic regression analysis.</w:t>
      </w:r>
    </w:p>
    <w:p w14:paraId="79721721" w14:textId="50BD6F17" w:rsidR="0053171D" w:rsidRPr="006F225C" w:rsidRDefault="0053171D" w:rsidP="0053171D">
      <w:pPr>
        <w:pStyle w:val="ecxmsonormal"/>
        <w:shd w:val="clear" w:color="auto" w:fill="FFFFFF"/>
        <w:tabs>
          <w:tab w:val="left" w:pos="709"/>
        </w:tabs>
        <w:spacing w:before="0" w:beforeAutospacing="0" w:after="0" w:afterAutospacing="0" w:line="360" w:lineRule="auto"/>
        <w:jc w:val="both"/>
        <w:rPr>
          <w:noProof w:val="0"/>
        </w:rPr>
      </w:pPr>
      <w:r w:rsidRPr="006F225C">
        <w:rPr>
          <w:noProof w:val="0"/>
        </w:rPr>
        <w:tab/>
        <w:t xml:space="preserve">As far as our research allows, the CRE literature does not directly consider the fragmented reality of office properties. It does; however, provide some intuitive insights regarding property-type segmentation based on building class. For instance, Olayonwa </w:t>
      </w:r>
      <w:r w:rsidRPr="006F225C">
        <w:rPr>
          <w:i/>
          <w:noProof w:val="0"/>
        </w:rPr>
        <w:t>et al.</w:t>
      </w:r>
      <w:r w:rsidRPr="006F225C">
        <w:rPr>
          <w:noProof w:val="0"/>
        </w:rPr>
        <w:t xml:space="preserve"> (2012) use rent distribution intervals to identify office quality classes, but do not test for the existence of market niches linked to these categories. Fuerst </w:t>
      </w:r>
      <w:r w:rsidRPr="006F225C">
        <w:rPr>
          <w:i/>
          <w:noProof w:val="0"/>
        </w:rPr>
        <w:t>et al.</w:t>
      </w:r>
      <w:r w:rsidRPr="006F225C">
        <w:rPr>
          <w:noProof w:val="0"/>
        </w:rPr>
        <w:t xml:space="preserve"> (2015) find that the spread between high</w:t>
      </w:r>
      <w:r w:rsidR="00E568BC">
        <w:rPr>
          <w:noProof w:val="0"/>
        </w:rPr>
        <w:t>-</w:t>
      </w:r>
      <w:r w:rsidRPr="006F225C">
        <w:rPr>
          <w:noProof w:val="0"/>
        </w:rPr>
        <w:t xml:space="preserve"> and </w:t>
      </w:r>
      <w:r w:rsidR="00E568BC" w:rsidRPr="006F225C">
        <w:rPr>
          <w:noProof w:val="0"/>
        </w:rPr>
        <w:t>low-quality</w:t>
      </w:r>
      <w:r w:rsidRPr="006F225C">
        <w:rPr>
          <w:noProof w:val="0"/>
        </w:rPr>
        <w:t xml:space="preserve"> properties increases in recessionary periods due to illiquidity among low-tier buildings. In a similar context, Slade (2000) shows that price </w:t>
      </w:r>
      <w:r w:rsidRPr="006F225C">
        <w:rPr>
          <w:noProof w:val="0"/>
        </w:rPr>
        <w:lastRenderedPageBreak/>
        <w:t>premiums linked to features of office properties are valued differently in distinct periods of business cycles.</w:t>
      </w:r>
    </w:p>
    <w:p w14:paraId="28EE3F1B" w14:textId="77777777" w:rsidR="0053171D" w:rsidRDefault="0053171D" w:rsidP="00AD46F7">
      <w:pPr>
        <w:pStyle w:val="ecxmsonormal"/>
        <w:shd w:val="clear" w:color="auto" w:fill="FFFFFF"/>
        <w:tabs>
          <w:tab w:val="left" w:pos="709"/>
        </w:tabs>
        <w:spacing w:before="0" w:beforeAutospacing="0" w:after="0" w:afterAutospacing="0" w:line="360" w:lineRule="auto"/>
        <w:jc w:val="both"/>
        <w:rPr>
          <w:noProof w:val="0"/>
        </w:rPr>
      </w:pPr>
      <w:r w:rsidRPr="006F225C">
        <w:rPr>
          <w:noProof w:val="0"/>
        </w:rPr>
        <w:tab/>
        <w:t>In summary, while these studies reinforce the fragmented nature of office properties, they do not investigate how different users value traditional office rent determinants, namely building features, location and economic var</w:t>
      </w:r>
      <w:r w:rsidRPr="00DE0337">
        <w:rPr>
          <w:noProof w:val="0"/>
        </w:rPr>
        <w:t xml:space="preserve">iables. </w:t>
      </w:r>
      <w:r w:rsidR="00F56A38">
        <w:rPr>
          <w:noProof w:val="0"/>
        </w:rPr>
        <w:t>This</w:t>
      </w:r>
      <w:r w:rsidRPr="00DE0337">
        <w:rPr>
          <w:noProof w:val="0"/>
        </w:rPr>
        <w:t xml:space="preserve"> analysis goes one step further as we compare property-type pricing schemes and distinguish which sets of determinants can be generalized across large and smaller occupiers and which are specific to each group. </w:t>
      </w:r>
    </w:p>
    <w:p w14:paraId="56F7BADC" w14:textId="77777777" w:rsidR="0053171D" w:rsidRPr="00DE0337" w:rsidRDefault="0053171D" w:rsidP="00AD46F7">
      <w:pPr>
        <w:pStyle w:val="ecxmsonormal"/>
        <w:shd w:val="clear" w:color="auto" w:fill="FFFFFF"/>
        <w:tabs>
          <w:tab w:val="left" w:pos="426"/>
        </w:tabs>
        <w:spacing w:before="120" w:beforeAutospacing="0" w:after="120" w:afterAutospacing="0" w:line="360" w:lineRule="auto"/>
        <w:jc w:val="both"/>
        <w:rPr>
          <w:b/>
          <w:bCs/>
          <w:noProof w:val="0"/>
        </w:rPr>
      </w:pPr>
      <w:r>
        <w:rPr>
          <w:b/>
          <w:bCs/>
          <w:noProof w:val="0"/>
        </w:rPr>
        <w:t>Existence of Segments in Office Markets</w:t>
      </w:r>
    </w:p>
    <w:p w14:paraId="3B71AF27" w14:textId="792050EF" w:rsidR="005E047D" w:rsidRPr="005E047D" w:rsidRDefault="005E047D" w:rsidP="005E04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olor w:val="FF0000"/>
          <w:lang w:val="en-US" w:eastAsia="en-GB"/>
        </w:rPr>
      </w:pPr>
      <w:r w:rsidRPr="005E047D">
        <w:rPr>
          <w:rFonts w:eastAsia="Times New Roman"/>
          <w:color w:val="FF0000"/>
          <w:lang w:val="en-US" w:eastAsia="en-GB"/>
        </w:rPr>
        <w:t xml:space="preserve">The law of one price implies that identical assets will be sold or leased for identical prices. Any temporarily divergent price in a particular market gives rise to arbitrage opportunities. The actions of arbitrageurs would then, in turn, eliminate the mispricing. In the real estate market, arbitrage can occur both in the investment market through the buying and selling of real estate assets and in the space market through the location choices of occupiers. However, a number of studies have presented empirical evidence that the law of one price is violated where arbitrage is inhibited either due to market barriers, perceptions of differential product characteristics (Isard, 1977) or limits to rational arbitrage behaviour (Owen and Thaler, 2003). </w:t>
      </w:r>
    </w:p>
    <w:p w14:paraId="61CF9DF2" w14:textId="0E94D777" w:rsidR="00661383" w:rsidRDefault="0053171D" w:rsidP="005E047D">
      <w:pPr>
        <w:autoSpaceDE w:val="0"/>
        <w:autoSpaceDN w:val="0"/>
        <w:adjustRightInd w:val="0"/>
        <w:spacing w:line="360" w:lineRule="auto"/>
        <w:ind w:firstLine="709"/>
        <w:jc w:val="both"/>
        <w:rPr>
          <w:color w:val="131413"/>
          <w:lang w:val="en-US"/>
        </w:rPr>
      </w:pPr>
      <w:r w:rsidRPr="005457AD">
        <w:rPr>
          <w:color w:val="131413"/>
          <w:lang w:val="en-US"/>
        </w:rPr>
        <w:t xml:space="preserve">Strong supply-side rigidity is a feature that renders the market for office space unique relative to other real estate markets. Studies that focus on rent dynamics show that different property types return to equilibrium at substantially different speeds. Ibanez </w:t>
      </w:r>
      <w:r>
        <w:rPr>
          <w:color w:val="131413"/>
          <w:lang w:val="en-US"/>
        </w:rPr>
        <w:t>and</w:t>
      </w:r>
      <w:r w:rsidRPr="005457AD">
        <w:rPr>
          <w:color w:val="131413"/>
          <w:lang w:val="en-US"/>
        </w:rPr>
        <w:t xml:space="preserve"> Pennington-Cross (2013) compare rent dynamics for office, industrial, flex and retail markets in the US using appraisal-based data. The sluggish adjustment process is consistent with a property type that takes a long time to build or renovate and has long lease terms spanning from 3 to 5 years. </w:t>
      </w:r>
    </w:p>
    <w:p w14:paraId="78C871C5" w14:textId="4901D7F1" w:rsidR="0053171D" w:rsidRPr="005457AD" w:rsidRDefault="0053171D" w:rsidP="009557EA">
      <w:pPr>
        <w:autoSpaceDE w:val="0"/>
        <w:autoSpaceDN w:val="0"/>
        <w:adjustRightInd w:val="0"/>
        <w:spacing w:line="360" w:lineRule="auto"/>
        <w:ind w:firstLine="708"/>
        <w:jc w:val="both"/>
        <w:rPr>
          <w:color w:val="131413"/>
          <w:lang w:val="en-US"/>
        </w:rPr>
      </w:pPr>
      <w:r w:rsidRPr="005457AD">
        <w:rPr>
          <w:color w:val="131413"/>
          <w:lang w:val="en-US"/>
        </w:rPr>
        <w:t xml:space="preserve">The overall supply of office space in saturated areas is even less dynamic as it may take years to obtain construction or redevelopment approvals. The amount and speed of construction activity is impacted by demand volatility and the extent to which the investment in the development is irreversible or sunk (e.g. </w:t>
      </w:r>
      <w:r w:rsidR="00D10FB9" w:rsidRPr="00517898">
        <w:rPr>
          <w:color w:val="131413"/>
          <w:lang w:val="en-US"/>
        </w:rPr>
        <w:t xml:space="preserve">Dong and </w:t>
      </w:r>
      <w:r w:rsidR="0044424F" w:rsidRPr="00517898">
        <w:rPr>
          <w:color w:val="131413"/>
          <w:lang w:val="en-US"/>
        </w:rPr>
        <w:t>Sing</w:t>
      </w:r>
      <w:r w:rsidR="00D10FB9" w:rsidRPr="00517898">
        <w:rPr>
          <w:color w:val="131413"/>
          <w:lang w:val="en-US"/>
        </w:rPr>
        <w:t>, 2017</w:t>
      </w:r>
      <w:r w:rsidR="00D10FB9">
        <w:rPr>
          <w:color w:val="131413"/>
          <w:lang w:val="en-US"/>
        </w:rPr>
        <w:t xml:space="preserve">; </w:t>
      </w:r>
      <w:r w:rsidRPr="005457AD">
        <w:rPr>
          <w:color w:val="131413"/>
          <w:lang w:val="en-US"/>
        </w:rPr>
        <w:t xml:space="preserve">Bulan </w:t>
      </w:r>
      <w:r w:rsidRPr="005457AD">
        <w:rPr>
          <w:i/>
          <w:color w:val="131413"/>
          <w:lang w:val="en-US"/>
        </w:rPr>
        <w:t>et al.</w:t>
      </w:r>
      <w:r w:rsidRPr="005457AD">
        <w:rPr>
          <w:color w:val="131413"/>
          <w:lang w:val="en-US"/>
        </w:rPr>
        <w:t>, 2009).</w:t>
      </w:r>
    </w:p>
    <w:p w14:paraId="3CC18954" w14:textId="3C230487" w:rsidR="0053171D" w:rsidRPr="005457AD" w:rsidRDefault="0053171D" w:rsidP="0053171D">
      <w:pPr>
        <w:autoSpaceDE w:val="0"/>
        <w:autoSpaceDN w:val="0"/>
        <w:adjustRightInd w:val="0"/>
        <w:spacing w:line="360" w:lineRule="auto"/>
        <w:ind w:firstLine="720"/>
        <w:jc w:val="both"/>
        <w:rPr>
          <w:lang w:val="en-US" w:eastAsia="pt-BR"/>
        </w:rPr>
      </w:pPr>
      <w:r w:rsidRPr="005457AD">
        <w:rPr>
          <w:color w:val="131413"/>
          <w:lang w:val="en-US"/>
        </w:rPr>
        <w:t>Once an office building is delivered, it will be bound to physical and locational constraints. The characteristics in place will attract different occupiers, such as large and smaller firms. Hence, segmentation of demand by unit type could potentially translate in different pricing for features, such as physical attributes, location and economic change captured by temporal changes in market rent (</w:t>
      </w:r>
      <w:r>
        <w:rPr>
          <w:color w:val="131413"/>
          <w:lang w:val="en-US"/>
        </w:rPr>
        <w:t xml:space="preserve">e.g. </w:t>
      </w:r>
      <w:r w:rsidR="00517898" w:rsidRPr="00517898">
        <w:rPr>
          <w:color w:val="131413"/>
          <w:lang w:val="en-US"/>
        </w:rPr>
        <w:t>Wen</w:t>
      </w:r>
      <w:r w:rsidR="00E568BC" w:rsidRPr="00517898">
        <w:rPr>
          <w:lang w:val="en-US"/>
        </w:rPr>
        <w:t xml:space="preserve"> </w:t>
      </w:r>
      <w:r w:rsidR="00E568BC" w:rsidRPr="00517898">
        <w:rPr>
          <w:i/>
          <w:lang w:val="en-US"/>
        </w:rPr>
        <w:t>et al.</w:t>
      </w:r>
      <w:r w:rsidR="00E568BC" w:rsidRPr="00517898">
        <w:rPr>
          <w:lang w:val="en-US"/>
        </w:rPr>
        <w:t>, 2017</w:t>
      </w:r>
      <w:r w:rsidRPr="00517898">
        <w:rPr>
          <w:lang w:val="en-US" w:eastAsia="pt-BR"/>
        </w:rPr>
        <w:t>).</w:t>
      </w:r>
    </w:p>
    <w:p w14:paraId="67BE319B" w14:textId="66C625DE" w:rsidR="0053171D" w:rsidRPr="00DE0337" w:rsidRDefault="0053171D" w:rsidP="0053171D">
      <w:pPr>
        <w:pStyle w:val="ecxmsonormal"/>
        <w:shd w:val="clear" w:color="auto" w:fill="FFFFFF"/>
        <w:tabs>
          <w:tab w:val="left" w:pos="709"/>
        </w:tabs>
        <w:spacing w:before="0" w:beforeAutospacing="0" w:after="0" w:afterAutospacing="0" w:line="360" w:lineRule="auto"/>
        <w:jc w:val="both"/>
        <w:rPr>
          <w:noProof w:val="0"/>
        </w:rPr>
      </w:pPr>
      <w:r w:rsidRPr="005457AD">
        <w:rPr>
          <w:noProof w:val="0"/>
        </w:rPr>
        <w:tab/>
        <w:t xml:space="preserve">Demand for office space is highly heterogeneous; however, it may be grouped according to basic space requirements. Classification based on structural features, such as the size of leasable units or floor plate, is a common way of segregating office properties into niches. For simplification, buildings with large leasable units will henceforth be denominated </w:t>
      </w:r>
      <w:r w:rsidRPr="005457AD">
        <w:rPr>
          <w:i/>
          <w:noProof w:val="0"/>
        </w:rPr>
        <w:t>corporate</w:t>
      </w:r>
      <w:r w:rsidRPr="005457AD">
        <w:rPr>
          <w:noProof w:val="0"/>
        </w:rPr>
        <w:t xml:space="preserve"> and the remainder </w:t>
      </w:r>
      <w:r w:rsidRPr="005457AD">
        <w:rPr>
          <w:i/>
          <w:noProof w:val="0"/>
        </w:rPr>
        <w:t>smaller occupier (non-corporate).</w:t>
      </w:r>
      <w:r w:rsidRPr="005457AD">
        <w:rPr>
          <w:noProof w:val="0"/>
        </w:rPr>
        <w:t xml:space="preserve"> Other possible segregation strategies, as suggested by the CRE literature, is to consider building classes (Fuerst </w:t>
      </w:r>
      <w:r w:rsidRPr="005457AD">
        <w:rPr>
          <w:i/>
          <w:noProof w:val="0"/>
        </w:rPr>
        <w:t>et al</w:t>
      </w:r>
      <w:r w:rsidRPr="005457AD">
        <w:rPr>
          <w:noProof w:val="0"/>
        </w:rPr>
        <w:t>.</w:t>
      </w:r>
      <w:r>
        <w:rPr>
          <w:noProof w:val="0"/>
        </w:rPr>
        <w:t>,</w:t>
      </w:r>
      <w:r w:rsidRPr="005457AD">
        <w:rPr>
          <w:noProof w:val="0"/>
        </w:rPr>
        <w:t xml:space="preserve"> 2015)</w:t>
      </w:r>
      <w:r w:rsidR="009557EA">
        <w:rPr>
          <w:noProof w:val="0"/>
        </w:rPr>
        <w:t>,</w:t>
      </w:r>
      <w:r w:rsidRPr="005457AD">
        <w:rPr>
          <w:noProof w:val="0"/>
        </w:rPr>
        <w:t xml:space="preserve"> value segments (</w:t>
      </w:r>
      <w:r w:rsidR="007E241C" w:rsidRPr="005457AD">
        <w:rPr>
          <w:noProof w:val="0"/>
        </w:rPr>
        <w:t xml:space="preserve">Robinson </w:t>
      </w:r>
      <w:r w:rsidR="007E241C">
        <w:rPr>
          <w:noProof w:val="0"/>
        </w:rPr>
        <w:t>and</w:t>
      </w:r>
      <w:r w:rsidR="007E241C" w:rsidRPr="005457AD">
        <w:rPr>
          <w:noProof w:val="0"/>
        </w:rPr>
        <w:t xml:space="preserve"> McAllister</w:t>
      </w:r>
      <w:r w:rsidR="007E241C">
        <w:rPr>
          <w:noProof w:val="0"/>
        </w:rPr>
        <w:t>,</w:t>
      </w:r>
      <w:r w:rsidR="007E241C" w:rsidRPr="005457AD">
        <w:rPr>
          <w:noProof w:val="0"/>
        </w:rPr>
        <w:t xml:space="preserve"> 2015</w:t>
      </w:r>
      <w:r w:rsidR="007E241C">
        <w:rPr>
          <w:noProof w:val="0"/>
        </w:rPr>
        <w:t xml:space="preserve">; </w:t>
      </w:r>
      <w:r w:rsidRPr="005457AD">
        <w:rPr>
          <w:noProof w:val="0"/>
        </w:rPr>
        <w:t xml:space="preserve">Prasad </w:t>
      </w:r>
      <w:r w:rsidR="007E241C">
        <w:rPr>
          <w:noProof w:val="0"/>
        </w:rPr>
        <w:t>and</w:t>
      </w:r>
      <w:r w:rsidRPr="005457AD">
        <w:rPr>
          <w:noProof w:val="0"/>
        </w:rPr>
        <w:t xml:space="preserve"> Richards</w:t>
      </w:r>
      <w:r w:rsidR="007E241C">
        <w:rPr>
          <w:noProof w:val="0"/>
        </w:rPr>
        <w:t>, 2008</w:t>
      </w:r>
      <w:r w:rsidRPr="005457AD">
        <w:rPr>
          <w:noProof w:val="0"/>
        </w:rPr>
        <w:t>)</w:t>
      </w:r>
      <w:r w:rsidR="009557EA">
        <w:rPr>
          <w:noProof w:val="0"/>
        </w:rPr>
        <w:t xml:space="preserve">, and number of tenants </w:t>
      </w:r>
      <w:r w:rsidR="009557EA" w:rsidRPr="00517898">
        <w:rPr>
          <w:noProof w:val="0"/>
        </w:rPr>
        <w:t>Liusman et al. (2017)</w:t>
      </w:r>
      <w:r w:rsidRPr="00517898">
        <w:rPr>
          <w:noProof w:val="0"/>
        </w:rPr>
        <w:t>.</w:t>
      </w:r>
    </w:p>
    <w:p w14:paraId="0681FC33" w14:textId="77777777" w:rsidR="0053171D" w:rsidRPr="00DE0337" w:rsidRDefault="0053171D" w:rsidP="0053171D">
      <w:pPr>
        <w:pStyle w:val="ecxmsonormal"/>
        <w:shd w:val="clear" w:color="auto" w:fill="FFFFFF"/>
        <w:tabs>
          <w:tab w:val="left" w:pos="709"/>
        </w:tabs>
        <w:spacing w:before="0" w:beforeAutospacing="0" w:after="0" w:afterAutospacing="0" w:line="360" w:lineRule="auto"/>
        <w:jc w:val="both"/>
        <w:rPr>
          <w:noProof w:val="0"/>
        </w:rPr>
      </w:pPr>
      <w:r w:rsidRPr="00DE0337">
        <w:rPr>
          <w:noProof w:val="0"/>
        </w:rPr>
        <w:tab/>
        <w:t xml:space="preserve">Large local and multinational companies typically occupy properties in the </w:t>
      </w:r>
      <w:r w:rsidRPr="00DE0337">
        <w:rPr>
          <w:i/>
          <w:noProof w:val="0"/>
        </w:rPr>
        <w:t>corporate</w:t>
      </w:r>
      <w:r w:rsidRPr="00DE0337">
        <w:rPr>
          <w:noProof w:val="0"/>
        </w:rPr>
        <w:t xml:space="preserve"> segment. These buildings are often located in privileged areas and have central air conditioning, environmental certifications, excellent electricity supply, modern and innovative design, large floor plate and bigger office units. Smaller service firms and liberal professionals, such as lawyers and accountants, usually choose </w:t>
      </w:r>
      <w:r w:rsidRPr="00DE0337">
        <w:rPr>
          <w:i/>
          <w:noProof w:val="0"/>
        </w:rPr>
        <w:t>non-corporate</w:t>
      </w:r>
      <w:r w:rsidRPr="00DE0337">
        <w:rPr>
          <w:noProof w:val="0"/>
        </w:rPr>
        <w:t xml:space="preserve"> properties.</w:t>
      </w:r>
    </w:p>
    <w:p w14:paraId="43B4F1CA" w14:textId="77777777" w:rsidR="0053171D" w:rsidRPr="005457AD" w:rsidRDefault="0053171D" w:rsidP="0053171D">
      <w:pPr>
        <w:pStyle w:val="ecxmsonormal"/>
        <w:shd w:val="clear" w:color="auto" w:fill="FFFFFF"/>
        <w:tabs>
          <w:tab w:val="left" w:pos="709"/>
        </w:tabs>
        <w:spacing w:before="0" w:beforeAutospacing="0" w:after="0" w:afterAutospacing="0" w:line="360" w:lineRule="auto"/>
        <w:jc w:val="both"/>
        <w:rPr>
          <w:noProof w:val="0"/>
        </w:rPr>
      </w:pPr>
      <w:r w:rsidRPr="00DE0337">
        <w:rPr>
          <w:noProof w:val="0"/>
        </w:rPr>
        <w:tab/>
      </w:r>
      <w:r w:rsidRPr="00DE0337">
        <w:rPr>
          <w:i/>
          <w:noProof w:val="0"/>
        </w:rPr>
        <w:t>Corporate</w:t>
      </w:r>
      <w:r w:rsidRPr="00DE0337">
        <w:rPr>
          <w:noProof w:val="0"/>
        </w:rPr>
        <w:t xml:space="preserve"> and </w:t>
      </w:r>
      <w:r w:rsidRPr="00DE0337">
        <w:rPr>
          <w:i/>
          <w:noProof w:val="0"/>
        </w:rPr>
        <w:t>smaller occupier</w:t>
      </w:r>
      <w:r w:rsidRPr="00DE0337">
        <w:rPr>
          <w:noProof w:val="0"/>
        </w:rPr>
        <w:t xml:space="preserve"> buildings can also be distinguished on the supply side. Developers of </w:t>
      </w:r>
      <w:r w:rsidRPr="00DE0337">
        <w:rPr>
          <w:i/>
          <w:noProof w:val="0"/>
        </w:rPr>
        <w:t>non-corporate</w:t>
      </w:r>
      <w:r w:rsidRPr="00DE0337">
        <w:rPr>
          <w:noProof w:val="0"/>
        </w:rPr>
        <w:t xml:space="preserve"> properties often sell most units in the launch of the project and only after that begin to build. This feature is analogous to that of residential markets. At the same time, developers of </w:t>
      </w:r>
      <w:r w:rsidRPr="00DE0337">
        <w:rPr>
          <w:i/>
          <w:noProof w:val="0"/>
        </w:rPr>
        <w:t>corporate</w:t>
      </w:r>
      <w:r w:rsidRPr="00DE0337">
        <w:rPr>
          <w:noProof w:val="0"/>
        </w:rPr>
        <w:t xml:space="preserve"> buildings typically build and lease their properties prior to selling them at higher prices. Institutional investors and REITs are usual buyers of such assets. Hence it is common to see </w:t>
      </w:r>
      <w:r w:rsidRPr="00DE0337">
        <w:rPr>
          <w:i/>
          <w:noProof w:val="0"/>
        </w:rPr>
        <w:t>corporate</w:t>
      </w:r>
      <w:r w:rsidRPr="00DE0337">
        <w:rPr>
          <w:noProof w:val="0"/>
        </w:rPr>
        <w:t xml:space="preserve"> properties with a single or very few owners in the market. In contrast, </w:t>
      </w:r>
      <w:r w:rsidRPr="005457AD">
        <w:rPr>
          <w:i/>
          <w:noProof w:val="0"/>
        </w:rPr>
        <w:t>smaller occupier</w:t>
      </w:r>
      <w:r w:rsidRPr="005457AD">
        <w:rPr>
          <w:noProof w:val="0"/>
        </w:rPr>
        <w:t xml:space="preserve"> buildings can be owned by several retail investors and non-investors (in some cases hundreds). Landlord segmentation based on property attributes, such as size, is highlighted by Bischoff </w:t>
      </w:r>
      <w:r>
        <w:rPr>
          <w:noProof w:val="0"/>
        </w:rPr>
        <w:t>and</w:t>
      </w:r>
      <w:r w:rsidRPr="005457AD">
        <w:rPr>
          <w:noProof w:val="0"/>
        </w:rPr>
        <w:t xml:space="preserve"> Maennig (2011).</w:t>
      </w:r>
    </w:p>
    <w:p w14:paraId="0FACB43E" w14:textId="77777777" w:rsidR="0053171D" w:rsidRPr="005457AD" w:rsidRDefault="0053171D" w:rsidP="0053171D">
      <w:pPr>
        <w:pStyle w:val="ecxmsonormal"/>
        <w:shd w:val="clear" w:color="auto" w:fill="FFFFFF"/>
        <w:tabs>
          <w:tab w:val="left" w:pos="709"/>
        </w:tabs>
        <w:spacing w:before="0" w:beforeAutospacing="0" w:after="0" w:afterAutospacing="0" w:line="360" w:lineRule="auto"/>
        <w:jc w:val="both"/>
        <w:rPr>
          <w:noProof w:val="0"/>
        </w:rPr>
      </w:pPr>
      <w:r w:rsidRPr="005457AD">
        <w:rPr>
          <w:noProof w:val="0"/>
        </w:rPr>
        <w:t xml:space="preserve"> </w:t>
      </w:r>
      <w:r w:rsidRPr="005457AD">
        <w:rPr>
          <w:noProof w:val="0"/>
        </w:rPr>
        <w:tab/>
        <w:t xml:space="preserve">The different ownership structure and investor profiles also have implications to users. Contractual negotiations of larger office space can be burdensome due to the variety of owners in a single </w:t>
      </w:r>
      <w:r w:rsidRPr="005457AD">
        <w:rPr>
          <w:i/>
          <w:noProof w:val="0"/>
        </w:rPr>
        <w:t>non-corporate</w:t>
      </w:r>
      <w:r w:rsidRPr="005457AD">
        <w:rPr>
          <w:noProof w:val="0"/>
        </w:rPr>
        <w:t xml:space="preserve"> property. Rent values and lease clauses are often not standardized among these owners and can delay occupation. In some cases, tenants have to bear transaction costs to renovate, adapt and unify the space. These costs can be substantially higher if the occupier </w:t>
      </w:r>
      <w:r w:rsidR="00E568BC" w:rsidRPr="005457AD">
        <w:rPr>
          <w:noProof w:val="0"/>
        </w:rPr>
        <w:t>must</w:t>
      </w:r>
      <w:r w:rsidRPr="005457AD">
        <w:rPr>
          <w:noProof w:val="0"/>
        </w:rPr>
        <w:t xml:space="preserve"> negotiate with multiple landlords at the same time. Similarly, a small tenant also faces diseconomies of scale when leasing space which is larger or better than needed. These features limit the ability of different occupiers to relocate from </w:t>
      </w:r>
      <w:r w:rsidRPr="005457AD">
        <w:rPr>
          <w:i/>
          <w:noProof w:val="0"/>
        </w:rPr>
        <w:t>corporate</w:t>
      </w:r>
      <w:r w:rsidRPr="005457AD">
        <w:rPr>
          <w:noProof w:val="0"/>
        </w:rPr>
        <w:t xml:space="preserve"> to </w:t>
      </w:r>
      <w:r w:rsidRPr="005457AD">
        <w:rPr>
          <w:i/>
          <w:noProof w:val="0"/>
        </w:rPr>
        <w:t>smaller occupier</w:t>
      </w:r>
      <w:r w:rsidRPr="005457AD">
        <w:rPr>
          <w:noProof w:val="0"/>
        </w:rPr>
        <w:t xml:space="preserve"> buildings and </w:t>
      </w:r>
      <w:r w:rsidRPr="005C54D8">
        <w:rPr>
          <w:i/>
          <w:noProof w:val="0"/>
        </w:rPr>
        <w:t>vice versa</w:t>
      </w:r>
      <w:r w:rsidRPr="005457AD">
        <w:rPr>
          <w:noProof w:val="0"/>
        </w:rPr>
        <w:t>.</w:t>
      </w:r>
    </w:p>
    <w:p w14:paraId="6F8B6A8A" w14:textId="77777777" w:rsidR="0053171D" w:rsidRPr="005457AD" w:rsidRDefault="0053171D" w:rsidP="0053171D">
      <w:pPr>
        <w:pStyle w:val="ecxmsonormal"/>
        <w:shd w:val="clear" w:color="auto" w:fill="FFFFFF"/>
        <w:tabs>
          <w:tab w:val="left" w:pos="709"/>
        </w:tabs>
        <w:spacing w:before="0" w:beforeAutospacing="0" w:after="0" w:afterAutospacing="0" w:line="360" w:lineRule="auto"/>
        <w:jc w:val="both"/>
        <w:rPr>
          <w:noProof w:val="0"/>
        </w:rPr>
      </w:pPr>
      <w:r w:rsidRPr="005457AD">
        <w:rPr>
          <w:noProof w:val="0"/>
        </w:rPr>
        <w:tab/>
        <w:t xml:space="preserve">The relationship between owners and developers also varies considerably depending on the property-type segment. Owners of </w:t>
      </w:r>
      <w:r w:rsidRPr="005457AD">
        <w:rPr>
          <w:i/>
          <w:noProof w:val="0"/>
        </w:rPr>
        <w:t>corporate</w:t>
      </w:r>
      <w:r w:rsidRPr="005457AD">
        <w:rPr>
          <w:noProof w:val="0"/>
        </w:rPr>
        <w:t xml:space="preserve"> buildings usually have a stable long run connection with developers (when they are not the same entity), rendering managerial processes a lot smoother. At the same time, retail landlords have a smaller capacity to bargain with each other and with developers. Long term planning is a key issue when it comes to property maintenance and renovation. Consistent with this, the literature on construction adaptability shows that developers tend to deliver less adaptable properties when they are built for sale to investors than when they are built for renting and management (Arge</w:t>
      </w:r>
      <w:r>
        <w:rPr>
          <w:noProof w:val="0"/>
        </w:rPr>
        <w:t>,</w:t>
      </w:r>
      <w:r w:rsidRPr="005457AD">
        <w:rPr>
          <w:noProof w:val="0"/>
        </w:rPr>
        <w:t xml:space="preserve"> 2005). One explanation to such effect is the higher upfront cost of adaptability and uncertainty regarding the time span of its benefits (Gosling </w:t>
      </w:r>
      <w:r w:rsidRPr="005457AD">
        <w:rPr>
          <w:i/>
          <w:noProof w:val="0"/>
        </w:rPr>
        <w:t>et al.</w:t>
      </w:r>
      <w:r>
        <w:rPr>
          <w:i/>
          <w:noProof w:val="0"/>
        </w:rPr>
        <w:t>,</w:t>
      </w:r>
      <w:r w:rsidRPr="005457AD">
        <w:rPr>
          <w:noProof w:val="0"/>
        </w:rPr>
        <w:t xml:space="preserve"> 2013). Obsolete properties are the most likely to be penalized by customers with higher expectations (Slaughter</w:t>
      </w:r>
      <w:r>
        <w:rPr>
          <w:noProof w:val="0"/>
        </w:rPr>
        <w:t>,</w:t>
      </w:r>
      <w:r w:rsidRPr="005457AD">
        <w:rPr>
          <w:noProof w:val="0"/>
        </w:rPr>
        <w:t xml:space="preserve"> 2001).</w:t>
      </w:r>
    </w:p>
    <w:p w14:paraId="52831CEE" w14:textId="77777777" w:rsidR="0053171D" w:rsidRDefault="0053171D" w:rsidP="0053171D">
      <w:pPr>
        <w:pStyle w:val="ecxmsonormal"/>
        <w:shd w:val="clear" w:color="auto" w:fill="FFFFFF"/>
        <w:tabs>
          <w:tab w:val="left" w:pos="709"/>
        </w:tabs>
        <w:spacing w:before="0" w:beforeAutospacing="0" w:after="0" w:afterAutospacing="0" w:line="360" w:lineRule="auto"/>
        <w:jc w:val="both"/>
        <w:rPr>
          <w:noProof w:val="0"/>
        </w:rPr>
      </w:pPr>
      <w:r w:rsidRPr="005457AD">
        <w:rPr>
          <w:noProof w:val="0"/>
        </w:rPr>
        <w:tab/>
        <w:t xml:space="preserve">Allen </w:t>
      </w:r>
      <w:r w:rsidRPr="005457AD">
        <w:rPr>
          <w:i/>
          <w:noProof w:val="0"/>
        </w:rPr>
        <w:t>et al.</w:t>
      </w:r>
      <w:r w:rsidRPr="005457AD">
        <w:rPr>
          <w:noProof w:val="0"/>
        </w:rPr>
        <w:t xml:space="preserve"> (1995) suggest that examination of</w:t>
      </w:r>
      <w:r w:rsidRPr="00DE0337">
        <w:rPr>
          <w:noProof w:val="0"/>
        </w:rPr>
        <w:t xml:space="preserve"> a price function requires consideration of the aggregate market in which properties compete. Nonetheless, as </w:t>
      </w:r>
      <w:r w:rsidR="00E568BC">
        <w:rPr>
          <w:noProof w:val="0"/>
        </w:rPr>
        <w:t xml:space="preserve">the </w:t>
      </w:r>
      <w:r w:rsidR="00E568BC" w:rsidRPr="00DE0337">
        <w:rPr>
          <w:noProof w:val="0"/>
        </w:rPr>
        <w:t>aforementioned</w:t>
      </w:r>
      <w:r w:rsidR="00E568BC">
        <w:rPr>
          <w:noProof w:val="0"/>
        </w:rPr>
        <w:t xml:space="preserve"> </w:t>
      </w:r>
      <w:r w:rsidRPr="00DE0337">
        <w:rPr>
          <w:noProof w:val="0"/>
        </w:rPr>
        <w:t xml:space="preserve">evidence suggests, the structure of the price generation process may not be homogeneous across </w:t>
      </w:r>
      <w:r w:rsidRPr="00DE0337">
        <w:rPr>
          <w:i/>
          <w:noProof w:val="0"/>
        </w:rPr>
        <w:t>corporate</w:t>
      </w:r>
      <w:r w:rsidRPr="00DE0337">
        <w:rPr>
          <w:noProof w:val="0"/>
        </w:rPr>
        <w:t xml:space="preserve"> and </w:t>
      </w:r>
      <w:r w:rsidRPr="00DE0337">
        <w:rPr>
          <w:i/>
          <w:noProof w:val="0"/>
        </w:rPr>
        <w:t xml:space="preserve">non-corporate </w:t>
      </w:r>
      <w:r w:rsidRPr="00DE0337">
        <w:rPr>
          <w:noProof w:val="0"/>
        </w:rPr>
        <w:t xml:space="preserve">buildings. </w:t>
      </w:r>
      <w:r w:rsidR="00E568BC" w:rsidRPr="00DE0337">
        <w:rPr>
          <w:noProof w:val="0"/>
        </w:rPr>
        <w:t>Thus,</w:t>
      </w:r>
      <w:r w:rsidRPr="00DE0337">
        <w:rPr>
          <w:noProof w:val="0"/>
        </w:rPr>
        <w:t xml:space="preserve"> </w:t>
      </w:r>
      <w:r w:rsidR="00E568BC">
        <w:rPr>
          <w:noProof w:val="0"/>
        </w:rPr>
        <w:t xml:space="preserve">it may be difficult to </w:t>
      </w:r>
      <w:r w:rsidRPr="00DE0337">
        <w:rPr>
          <w:noProof w:val="0"/>
        </w:rPr>
        <w:t>infer that these market niches are perfect substitutes.</w:t>
      </w:r>
    </w:p>
    <w:p w14:paraId="0AF9A66A" w14:textId="77777777" w:rsidR="0053171D" w:rsidRPr="00DE0337" w:rsidRDefault="0053171D" w:rsidP="00AD46F7">
      <w:pPr>
        <w:pStyle w:val="ecxmsonormal"/>
        <w:shd w:val="clear" w:color="auto" w:fill="FFFFFF"/>
        <w:tabs>
          <w:tab w:val="left" w:pos="426"/>
        </w:tabs>
        <w:spacing w:before="120" w:beforeAutospacing="0" w:after="120" w:afterAutospacing="0" w:line="360" w:lineRule="auto"/>
        <w:jc w:val="both"/>
        <w:rPr>
          <w:noProof w:val="0"/>
        </w:rPr>
      </w:pPr>
      <w:r>
        <w:rPr>
          <w:b/>
          <w:bCs/>
          <w:noProof w:val="0"/>
        </w:rPr>
        <w:t>Theoretical Background</w:t>
      </w:r>
    </w:p>
    <w:p w14:paraId="2671DCB8" w14:textId="77777777" w:rsidR="0053171D" w:rsidRPr="00300A88" w:rsidRDefault="0053171D" w:rsidP="0053171D">
      <w:pPr>
        <w:pStyle w:val="ecxmsonormal"/>
        <w:shd w:val="clear" w:color="auto" w:fill="FFFFFF"/>
        <w:tabs>
          <w:tab w:val="left" w:pos="709"/>
        </w:tabs>
        <w:spacing w:before="0" w:beforeAutospacing="0" w:after="0" w:afterAutospacing="0" w:line="360" w:lineRule="auto"/>
        <w:jc w:val="both"/>
        <w:rPr>
          <w:noProof w:val="0"/>
        </w:rPr>
      </w:pPr>
      <w:r w:rsidRPr="00300A88">
        <w:rPr>
          <w:noProof w:val="0"/>
        </w:rPr>
        <w:t xml:space="preserve">Urban locational theory suggests that the relative prices between intra-urban regions remain stable overtime irrespective of cyclical oscillations in absolute prices – constant ratio hypothesis (Alonso, 1964). Such stability is associated to the large degree of mobility of office occupiers, a high price elasticity of demand and arbitrage opportunities in a situation of mispricing (DiPasquale </w:t>
      </w:r>
      <w:r w:rsidR="007E241C">
        <w:rPr>
          <w:noProof w:val="0"/>
        </w:rPr>
        <w:t>and</w:t>
      </w:r>
      <w:r w:rsidRPr="00300A88">
        <w:rPr>
          <w:noProof w:val="0"/>
        </w:rPr>
        <w:t xml:space="preserve"> Wheaton, 1996). In the context of office properties, larger</w:t>
      </w:r>
      <w:r w:rsidRPr="00300A88">
        <w:rPr>
          <w:i/>
          <w:noProof w:val="0"/>
        </w:rPr>
        <w:t xml:space="preserve"> </w:t>
      </w:r>
      <w:r w:rsidRPr="00300A88">
        <w:rPr>
          <w:noProof w:val="0"/>
        </w:rPr>
        <w:t xml:space="preserve">and smaller office users could </w:t>
      </w:r>
      <w:r w:rsidRPr="00300A88">
        <w:rPr>
          <w:i/>
          <w:noProof w:val="0"/>
        </w:rPr>
        <w:t>theoretically</w:t>
      </w:r>
      <w:r w:rsidRPr="00300A88">
        <w:rPr>
          <w:noProof w:val="0"/>
        </w:rPr>
        <w:t xml:space="preserve"> arbitrage rental price differentials based on relocation costs associated with rent determinants. That being the case, </w:t>
      </w:r>
      <w:r w:rsidR="00F9097C">
        <w:rPr>
          <w:noProof w:val="0"/>
        </w:rPr>
        <w:t xml:space="preserve">there </w:t>
      </w:r>
      <w:r w:rsidRPr="00300A88">
        <w:rPr>
          <w:noProof w:val="0"/>
        </w:rPr>
        <w:t xml:space="preserve">would </w:t>
      </w:r>
      <w:r w:rsidR="00F9097C">
        <w:rPr>
          <w:noProof w:val="0"/>
        </w:rPr>
        <w:t>be</w:t>
      </w:r>
      <w:r w:rsidRPr="00300A88">
        <w:rPr>
          <w:noProof w:val="0"/>
        </w:rPr>
        <w:t xml:space="preserve"> similarity in their hedonic schedules.</w:t>
      </w:r>
    </w:p>
    <w:p w14:paraId="792D38C3" w14:textId="77777777" w:rsidR="0053171D" w:rsidRDefault="0053171D" w:rsidP="0053171D">
      <w:pPr>
        <w:pStyle w:val="ecxmsonormal"/>
        <w:shd w:val="clear" w:color="auto" w:fill="FFFFFF"/>
        <w:tabs>
          <w:tab w:val="left" w:pos="709"/>
        </w:tabs>
        <w:spacing w:before="0" w:beforeAutospacing="0" w:after="0" w:afterAutospacing="0" w:line="360" w:lineRule="auto"/>
        <w:jc w:val="both"/>
        <w:rPr>
          <w:noProof w:val="0"/>
        </w:rPr>
      </w:pPr>
      <w:r w:rsidRPr="00300A88">
        <w:rPr>
          <w:noProof w:val="0"/>
        </w:rPr>
        <w:tab/>
        <w:t xml:space="preserve">On one hand, </w:t>
      </w:r>
      <w:r w:rsidRPr="00300A88">
        <w:rPr>
          <w:i/>
          <w:noProof w:val="0"/>
        </w:rPr>
        <w:t>corporate</w:t>
      </w:r>
      <w:r w:rsidRPr="00300A88">
        <w:rPr>
          <w:noProof w:val="0"/>
        </w:rPr>
        <w:t xml:space="preserve"> and </w:t>
      </w:r>
      <w:r w:rsidRPr="00300A88">
        <w:rPr>
          <w:i/>
          <w:noProof w:val="0"/>
        </w:rPr>
        <w:t>smaller occupier</w:t>
      </w:r>
      <w:r w:rsidRPr="00300A88">
        <w:rPr>
          <w:noProof w:val="0"/>
        </w:rPr>
        <w:t xml:space="preserve"> properties may not be perfect substitutes because they are not readily suitable for all types of users (Arge, 2005). At the same time, they may not be sufficiently heterogeneous to be treated as two independent markets because the purpose of these two types of property is to provide office space (e.g. </w:t>
      </w:r>
      <w:r w:rsidRPr="00300A88">
        <w:t xml:space="preserve">Reichardt </w:t>
      </w:r>
      <w:r w:rsidRPr="00300A88">
        <w:rPr>
          <w:i/>
        </w:rPr>
        <w:t>et al.,</w:t>
      </w:r>
      <w:r w:rsidRPr="00300A88">
        <w:t xml:space="preserve"> 2012; Fuerst </w:t>
      </w:r>
      <w:r w:rsidR="007E241C">
        <w:t>and</w:t>
      </w:r>
      <w:r w:rsidR="00F9097C">
        <w:t xml:space="preserve"> McAllister, 2011</w:t>
      </w:r>
      <w:r w:rsidRPr="00300A88">
        <w:t>)</w:t>
      </w:r>
      <w:r w:rsidRPr="00300A88">
        <w:rPr>
          <w:noProof w:val="0"/>
        </w:rPr>
        <w:t xml:space="preserve">. </w:t>
      </w:r>
    </w:p>
    <w:p w14:paraId="56E77A56" w14:textId="77777777" w:rsidR="0053171D" w:rsidRDefault="0053171D" w:rsidP="0053171D">
      <w:pPr>
        <w:pStyle w:val="ecxmsonormal"/>
        <w:shd w:val="clear" w:color="auto" w:fill="FFFFFF"/>
        <w:tabs>
          <w:tab w:val="left" w:pos="709"/>
        </w:tabs>
        <w:spacing w:before="0" w:beforeAutospacing="0" w:after="0" w:afterAutospacing="0" w:line="360" w:lineRule="auto"/>
        <w:jc w:val="both"/>
        <w:rPr>
          <w:noProof w:val="0"/>
        </w:rPr>
      </w:pPr>
      <w:r>
        <w:rPr>
          <w:noProof w:val="0"/>
        </w:rPr>
        <w:tab/>
      </w:r>
      <w:r w:rsidRPr="00300A88">
        <w:rPr>
          <w:noProof w:val="0"/>
        </w:rPr>
        <w:t xml:space="preserve">For this reason, the arbitrage condition </w:t>
      </w:r>
      <w:r>
        <w:rPr>
          <w:noProof w:val="0"/>
        </w:rPr>
        <w:t xml:space="preserve">on equation (1) </w:t>
      </w:r>
      <w:r w:rsidRPr="00300A88">
        <w:rPr>
          <w:noProof w:val="0"/>
        </w:rPr>
        <w:t>could be satisfied if office users were indifferent to move from one property-type segment to the other:</w:t>
      </w:r>
    </w:p>
    <w:p w14:paraId="094D2BDB" w14:textId="77777777" w:rsidR="0053171D" w:rsidRPr="00DE0337" w:rsidRDefault="0053171D" w:rsidP="0053171D">
      <w:pPr>
        <w:pStyle w:val="ecxmsonormal"/>
        <w:shd w:val="clear" w:color="auto" w:fill="FFFFFF"/>
        <w:tabs>
          <w:tab w:val="left" w:pos="709"/>
        </w:tabs>
        <w:spacing w:before="120" w:beforeAutospacing="0" w:after="120" w:afterAutospacing="0" w:line="360" w:lineRule="auto"/>
        <w:jc w:val="both"/>
        <w:rPr>
          <w:noProof w:val="0"/>
        </w:rPr>
      </w:pPr>
    </w:p>
    <w:tbl>
      <w:tblPr>
        <w:tblStyle w:val="TableGrid"/>
        <w:tblW w:w="8397"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689"/>
        <w:gridCol w:w="708"/>
      </w:tblGrid>
      <w:tr w:rsidR="0053171D" w:rsidRPr="00DE0337" w14:paraId="153E3CF3" w14:textId="77777777" w:rsidTr="00F9097C">
        <w:trPr>
          <w:trHeight w:val="347"/>
        </w:trPr>
        <w:tc>
          <w:tcPr>
            <w:tcW w:w="7689" w:type="dxa"/>
          </w:tcPr>
          <w:p w14:paraId="709838A3" w14:textId="77777777" w:rsidR="0053171D" w:rsidRPr="003214FD" w:rsidRDefault="006E4ADA" w:rsidP="00740AB9">
            <w:pPr>
              <w:tabs>
                <w:tab w:val="left" w:pos="1701"/>
              </w:tabs>
              <w:spacing w:before="120" w:after="120" w:line="360" w:lineRule="auto"/>
              <w:jc w:val="both"/>
              <w:rPr>
                <w:lang w:val="en-US"/>
              </w:rPr>
            </w:pPr>
            <m:oMathPara>
              <m:oMathParaPr>
                <m:jc m:val="center"/>
              </m:oMathPara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c</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Θ</m:t>
                    </m:r>
                  </m:e>
                  <m:sub>
                    <m:r>
                      <w:rPr>
                        <w:rFonts w:ascii="Cambria Math" w:hAnsi="Cambria Math"/>
                        <w:lang w:val="en-US"/>
                      </w:rPr>
                      <m:t>c</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st</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Θ</m:t>
                    </m:r>
                  </m:e>
                  <m:sub>
                    <m:r>
                      <w:rPr>
                        <w:rFonts w:ascii="Cambria Math" w:hAnsi="Cambria Math"/>
                        <w:lang w:val="en-US"/>
                      </w:rPr>
                      <m:t>st</m:t>
                    </m:r>
                  </m:sub>
                </m:sSub>
              </m:oMath>
            </m:oMathPara>
          </w:p>
        </w:tc>
        <w:tc>
          <w:tcPr>
            <w:tcW w:w="708" w:type="dxa"/>
          </w:tcPr>
          <w:p w14:paraId="1AC1BB61" w14:textId="77777777" w:rsidR="0053171D" w:rsidRPr="00DE0337" w:rsidRDefault="0053171D" w:rsidP="00740AB9">
            <w:pPr>
              <w:tabs>
                <w:tab w:val="left" w:pos="1701"/>
              </w:tabs>
              <w:spacing w:before="120" w:after="120" w:line="360" w:lineRule="auto"/>
              <w:jc w:val="right"/>
              <w:rPr>
                <w:lang w:val="en-US"/>
              </w:rPr>
            </w:pPr>
            <w:r w:rsidRPr="00DE0337">
              <w:rPr>
                <w:lang w:val="en-US"/>
              </w:rPr>
              <w:t>(1)</w:t>
            </w:r>
          </w:p>
        </w:tc>
      </w:tr>
    </w:tbl>
    <w:p w14:paraId="0FB4FF69" w14:textId="77777777" w:rsidR="0053171D" w:rsidRPr="00DE0337" w:rsidRDefault="0053171D" w:rsidP="0053171D">
      <w:pPr>
        <w:pStyle w:val="ecxmsonormal"/>
        <w:shd w:val="clear" w:color="auto" w:fill="FFFFFF"/>
        <w:tabs>
          <w:tab w:val="left" w:pos="709"/>
        </w:tabs>
        <w:spacing w:before="120" w:beforeAutospacing="0" w:after="120" w:afterAutospacing="0" w:line="360" w:lineRule="auto"/>
        <w:jc w:val="both"/>
        <w:rPr>
          <w:noProof w:val="0"/>
        </w:rPr>
      </w:pPr>
      <w:r w:rsidRPr="00DE0337">
        <w:rPr>
          <w:noProof w:val="0"/>
        </w:rPr>
        <w:tab/>
      </w:r>
    </w:p>
    <w:p w14:paraId="2DB71D69" w14:textId="77777777" w:rsidR="0053171D" w:rsidRPr="00DE0337" w:rsidRDefault="0053171D" w:rsidP="0053171D">
      <w:pPr>
        <w:pStyle w:val="ecxmsonormal"/>
        <w:shd w:val="clear" w:color="auto" w:fill="FFFFFF"/>
        <w:tabs>
          <w:tab w:val="left" w:pos="709"/>
        </w:tabs>
        <w:spacing w:before="0" w:beforeAutospacing="0" w:after="0" w:afterAutospacing="0" w:line="360" w:lineRule="auto"/>
        <w:jc w:val="both"/>
        <w:rPr>
          <w:noProof w:val="0"/>
        </w:rPr>
      </w:pPr>
      <w:r w:rsidRPr="00DE0337">
        <w:rPr>
          <w:noProof w:val="0"/>
        </w:rPr>
        <w:tab/>
        <w:t xml:space="preserve">Where </w:t>
      </w:r>
      <m:oMath>
        <m:r>
          <w:rPr>
            <w:rFonts w:ascii="Cambria Math" w:hAnsi="Cambria Math"/>
            <w:noProof w:val="0"/>
          </w:rPr>
          <m:t>P</m:t>
        </m:r>
      </m:oMath>
      <w:r w:rsidRPr="00DE0337">
        <w:rPr>
          <w:noProof w:val="0"/>
        </w:rPr>
        <w:t xml:space="preserve"> is the price (or rent) of a given property,</w:t>
      </w:r>
      <m:oMath>
        <m:r>
          <w:rPr>
            <w:rFonts w:ascii="Cambria Math" w:hAnsi="Cambria Math"/>
            <w:noProof w:val="0"/>
          </w:rPr>
          <m:t xml:space="preserve"> Θ</m:t>
        </m:r>
      </m:oMath>
      <w:r w:rsidRPr="00DE0337">
        <w:rPr>
          <w:noProof w:val="0"/>
        </w:rPr>
        <w:t xml:space="preserve"> is the relocation cost of moving to another building in a different submarket and “c” and “st” denominate </w:t>
      </w:r>
      <w:r w:rsidRPr="00DE0337">
        <w:rPr>
          <w:i/>
          <w:noProof w:val="0"/>
        </w:rPr>
        <w:t>corporate</w:t>
      </w:r>
      <w:r w:rsidRPr="00DE0337">
        <w:rPr>
          <w:noProof w:val="0"/>
        </w:rPr>
        <w:t xml:space="preserve"> and </w:t>
      </w:r>
      <w:r w:rsidRPr="00DE0337">
        <w:rPr>
          <w:i/>
          <w:noProof w:val="0"/>
        </w:rPr>
        <w:t>small occupier</w:t>
      </w:r>
      <w:r w:rsidRPr="00DE0337">
        <w:rPr>
          <w:noProof w:val="0"/>
        </w:rPr>
        <w:t xml:space="preserve"> properties, respectively. The arbitrage logic is as follows. If the occupancy costs (rent) related to a </w:t>
      </w:r>
      <w:r w:rsidRPr="00DE0337">
        <w:rPr>
          <w:i/>
          <w:noProof w:val="0"/>
        </w:rPr>
        <w:t>corporate</w:t>
      </w:r>
      <w:r w:rsidRPr="00DE0337">
        <w:rPr>
          <w:noProof w:val="0"/>
        </w:rPr>
        <w:t xml:space="preserve"> building (</w:t>
      </w:r>
      <m:oMath>
        <m:sSub>
          <m:sSubPr>
            <m:ctrlPr>
              <w:rPr>
                <w:rFonts w:ascii="Cambria Math" w:hAnsi="Cambria Math"/>
                <w:i/>
                <w:noProof w:val="0"/>
              </w:rPr>
            </m:ctrlPr>
          </m:sSubPr>
          <m:e>
            <m:r>
              <w:rPr>
                <w:rFonts w:ascii="Cambria Math" w:hAnsi="Cambria Math"/>
                <w:noProof w:val="0"/>
              </w:rPr>
              <m:t>P</m:t>
            </m:r>
          </m:e>
          <m:sub>
            <m:r>
              <w:rPr>
                <w:rFonts w:ascii="Cambria Math" w:hAnsi="Cambria Math"/>
                <w:noProof w:val="0"/>
              </w:rPr>
              <m:t>c</m:t>
            </m:r>
          </m:sub>
        </m:sSub>
        <m:r>
          <w:rPr>
            <w:rFonts w:ascii="Cambria Math" w:hAnsi="Cambria Math"/>
            <w:noProof w:val="0"/>
          </w:rPr>
          <m:t xml:space="preserve">) </m:t>
        </m:r>
      </m:oMath>
      <w:r w:rsidRPr="00DE0337">
        <w:rPr>
          <w:noProof w:val="0"/>
        </w:rPr>
        <w:t xml:space="preserve">are higher than that of renting a </w:t>
      </w:r>
      <w:r w:rsidRPr="00DE0337">
        <w:rPr>
          <w:i/>
          <w:noProof w:val="0"/>
        </w:rPr>
        <w:t>non-corporate</w:t>
      </w:r>
      <w:r w:rsidRPr="00DE0337">
        <w:rPr>
          <w:noProof w:val="0"/>
        </w:rPr>
        <w:t xml:space="preserve"> property and the relocation cost differential </w:t>
      </w:r>
      <m:oMath>
        <m:r>
          <w:rPr>
            <w:rFonts w:ascii="Cambria Math" w:hAnsi="Cambria Math"/>
            <w:noProof w:val="0"/>
          </w:rPr>
          <m:t>(</m:t>
        </m:r>
        <m:sSub>
          <m:sSubPr>
            <m:ctrlPr>
              <w:rPr>
                <w:rFonts w:ascii="Cambria Math" w:hAnsi="Cambria Math"/>
                <w:i/>
                <w:noProof w:val="0"/>
              </w:rPr>
            </m:ctrlPr>
          </m:sSubPr>
          <m:e>
            <m:r>
              <w:rPr>
                <w:rFonts w:ascii="Cambria Math" w:hAnsi="Cambria Math"/>
                <w:noProof w:val="0"/>
              </w:rPr>
              <m:t>P</m:t>
            </m:r>
          </m:e>
          <m:sub>
            <m:r>
              <w:rPr>
                <w:rFonts w:ascii="Cambria Math" w:hAnsi="Cambria Math"/>
                <w:noProof w:val="0"/>
              </w:rPr>
              <m:t>st</m:t>
            </m:r>
          </m:sub>
        </m:sSub>
        <m:r>
          <w:rPr>
            <w:rFonts w:ascii="Cambria Math" w:hAnsi="Cambria Math"/>
            <w:noProof w:val="0"/>
          </w:rPr>
          <m:t xml:space="preserve">+ </m:t>
        </m:r>
        <m:sSub>
          <m:sSubPr>
            <m:ctrlPr>
              <w:rPr>
                <w:rFonts w:ascii="Cambria Math" w:hAnsi="Cambria Math"/>
                <w:i/>
                <w:noProof w:val="0"/>
              </w:rPr>
            </m:ctrlPr>
          </m:sSubPr>
          <m:e>
            <m:r>
              <w:rPr>
                <w:rFonts w:ascii="Cambria Math" w:hAnsi="Cambria Math"/>
                <w:noProof w:val="0"/>
              </w:rPr>
              <m:t>Θ</m:t>
            </m:r>
          </m:e>
          <m:sub>
            <m:r>
              <w:rPr>
                <w:rFonts w:ascii="Cambria Math" w:hAnsi="Cambria Math"/>
                <w:noProof w:val="0"/>
              </w:rPr>
              <m:t>st</m:t>
            </m:r>
          </m:sub>
        </m:sSub>
        <m:r>
          <w:rPr>
            <w:rFonts w:ascii="Cambria Math" w:hAnsi="Cambria Math"/>
            <w:noProof w:val="0"/>
          </w:rPr>
          <m:t>-</m:t>
        </m:r>
        <m:sSub>
          <m:sSubPr>
            <m:ctrlPr>
              <w:rPr>
                <w:rFonts w:ascii="Cambria Math" w:hAnsi="Cambria Math"/>
                <w:i/>
                <w:noProof w:val="0"/>
              </w:rPr>
            </m:ctrlPr>
          </m:sSubPr>
          <m:e>
            <m:r>
              <w:rPr>
                <w:rFonts w:ascii="Cambria Math" w:hAnsi="Cambria Math"/>
                <w:noProof w:val="0"/>
              </w:rPr>
              <m:t>Θ</m:t>
            </m:r>
          </m:e>
          <m:sub>
            <m:r>
              <w:rPr>
                <w:rFonts w:ascii="Cambria Math" w:hAnsi="Cambria Math"/>
                <w:noProof w:val="0"/>
              </w:rPr>
              <m:t>c</m:t>
            </m:r>
          </m:sub>
        </m:sSub>
        <m:r>
          <w:rPr>
            <w:rFonts w:ascii="Cambria Math" w:hAnsi="Cambria Math"/>
            <w:noProof w:val="0"/>
          </w:rPr>
          <m:t>)</m:t>
        </m:r>
      </m:oMath>
      <w:r w:rsidRPr="00DE0337">
        <w:rPr>
          <w:noProof w:val="0"/>
        </w:rPr>
        <w:t xml:space="preserve">, then large tenants could migrate to </w:t>
      </w:r>
      <w:r w:rsidRPr="00DE0337">
        <w:rPr>
          <w:i/>
          <w:noProof w:val="0"/>
        </w:rPr>
        <w:t xml:space="preserve">smaller occupier </w:t>
      </w:r>
      <w:r w:rsidRPr="00DE0337">
        <w:rPr>
          <w:noProof w:val="0"/>
        </w:rPr>
        <w:t xml:space="preserve">office space until the arbitrage condition is satisfied. In this scenario, demand for </w:t>
      </w:r>
      <w:r w:rsidRPr="00DE0337">
        <w:rPr>
          <w:i/>
          <w:noProof w:val="0"/>
        </w:rPr>
        <w:t>non-corporate</w:t>
      </w:r>
      <w:r w:rsidRPr="00DE0337">
        <w:rPr>
          <w:noProof w:val="0"/>
        </w:rPr>
        <w:t xml:space="preserve"> buildings would shift outwards.</w:t>
      </w:r>
    </w:p>
    <w:p w14:paraId="64F01CCF" w14:textId="77777777" w:rsidR="0053171D" w:rsidRDefault="0053171D" w:rsidP="0053171D">
      <w:pPr>
        <w:pStyle w:val="ecxmsonormal"/>
        <w:shd w:val="clear" w:color="auto" w:fill="FFFFFF"/>
        <w:tabs>
          <w:tab w:val="left" w:pos="709"/>
        </w:tabs>
        <w:spacing w:before="0" w:beforeAutospacing="0" w:after="0" w:afterAutospacing="0" w:line="360" w:lineRule="auto"/>
        <w:jc w:val="both"/>
        <w:rPr>
          <w:noProof w:val="0"/>
        </w:rPr>
      </w:pPr>
      <w:r w:rsidRPr="00DE0337">
        <w:rPr>
          <w:noProof w:val="0"/>
        </w:rPr>
        <w:tab/>
        <w:t xml:space="preserve">Based </w:t>
      </w:r>
      <w:r w:rsidRPr="005457AD">
        <w:rPr>
          <w:noProof w:val="0"/>
        </w:rPr>
        <w:t xml:space="preserve">on Rosen’s analytical framework, the price of an office building consists of a vector of utility-bearing features </w:t>
      </w:r>
      <m:oMath>
        <m:r>
          <w:rPr>
            <w:rFonts w:ascii="Cambria Math" w:hAnsi="Cambria Math"/>
            <w:noProof w:val="0"/>
          </w:rPr>
          <m:t>(</m:t>
        </m:r>
        <m:sSub>
          <m:sSubPr>
            <m:ctrlPr>
              <w:rPr>
                <w:rFonts w:ascii="Cambria Math" w:hAnsi="Cambria Math"/>
                <w:i/>
                <w:noProof w:val="0"/>
              </w:rPr>
            </m:ctrlPr>
          </m:sSubPr>
          <m:e>
            <m:sSub>
              <m:sSubPr>
                <m:ctrlPr>
                  <w:rPr>
                    <w:rFonts w:ascii="Cambria Math" w:hAnsi="Cambria Math"/>
                    <w:i/>
                    <w:noProof w:val="0"/>
                  </w:rPr>
                </m:ctrlPr>
              </m:sSubPr>
              <m:e>
                <m:r>
                  <w:rPr>
                    <w:rFonts w:ascii="Cambria Math" w:hAnsi="Cambria Math"/>
                    <w:noProof w:val="0"/>
                  </w:rPr>
                  <m:t>z</m:t>
                </m:r>
              </m:e>
              <m:sub>
                <m:r>
                  <w:rPr>
                    <w:rFonts w:ascii="Cambria Math" w:hAnsi="Cambria Math"/>
                    <w:noProof w:val="0"/>
                  </w:rPr>
                  <m:t>1</m:t>
                </m:r>
              </m:sub>
            </m:sSub>
            <m:r>
              <w:rPr>
                <w:rFonts w:ascii="Cambria Math" w:hAnsi="Cambria Math"/>
                <w:noProof w:val="0"/>
              </w:rPr>
              <m:t>,z</m:t>
            </m:r>
          </m:e>
          <m:sub>
            <m:r>
              <w:rPr>
                <w:rFonts w:ascii="Cambria Math" w:hAnsi="Cambria Math"/>
                <w:noProof w:val="0"/>
              </w:rPr>
              <m:t>2</m:t>
            </m:r>
          </m:sub>
        </m:sSub>
        <m:r>
          <w:rPr>
            <w:rFonts w:ascii="Cambria Math" w:hAnsi="Cambria Math"/>
            <w:noProof w:val="0"/>
          </w:rPr>
          <m:t>,…,</m:t>
        </m:r>
        <m:sSub>
          <m:sSubPr>
            <m:ctrlPr>
              <w:rPr>
                <w:rFonts w:ascii="Cambria Math" w:hAnsi="Cambria Math"/>
                <w:i/>
                <w:noProof w:val="0"/>
              </w:rPr>
            </m:ctrlPr>
          </m:sSubPr>
          <m:e>
            <m:r>
              <w:rPr>
                <w:rFonts w:ascii="Cambria Math" w:hAnsi="Cambria Math"/>
                <w:noProof w:val="0"/>
              </w:rPr>
              <m:t>z</m:t>
            </m:r>
          </m:e>
          <m:sub>
            <m:r>
              <w:rPr>
                <w:rFonts w:ascii="Cambria Math" w:hAnsi="Cambria Math"/>
                <w:noProof w:val="0"/>
              </w:rPr>
              <m:t>k</m:t>
            </m:r>
          </m:sub>
        </m:sSub>
        <m:r>
          <w:rPr>
            <w:rFonts w:ascii="Cambria Math" w:hAnsi="Cambria Math"/>
            <w:noProof w:val="0"/>
          </w:rPr>
          <m:t>)</m:t>
        </m:r>
      </m:oMath>
      <w:r w:rsidRPr="005457AD">
        <w:rPr>
          <w:noProof w:val="0"/>
        </w:rPr>
        <w:t>, which make the hedonic price function (Rosen</w:t>
      </w:r>
      <w:r>
        <w:rPr>
          <w:noProof w:val="0"/>
        </w:rPr>
        <w:t>,</w:t>
      </w:r>
      <w:r w:rsidRPr="005457AD">
        <w:rPr>
          <w:noProof w:val="0"/>
        </w:rPr>
        <w:t xml:space="preserve"> 1974). Substituting (1) into the quintessential hedonic equation and solving for </w:t>
      </w:r>
      <m:oMath>
        <m:sSub>
          <m:sSubPr>
            <m:ctrlPr>
              <w:rPr>
                <w:rFonts w:ascii="Cambria Math" w:hAnsi="Cambria Math"/>
                <w:i/>
                <w:noProof w:val="0"/>
              </w:rPr>
            </m:ctrlPr>
          </m:sSubPr>
          <m:e>
            <m:r>
              <w:rPr>
                <w:rFonts w:ascii="Cambria Math" w:hAnsi="Cambria Math"/>
                <w:noProof w:val="0"/>
              </w:rPr>
              <m:t>P</m:t>
            </m:r>
          </m:e>
          <m:sub>
            <m:r>
              <w:rPr>
                <w:rFonts w:ascii="Cambria Math" w:hAnsi="Cambria Math"/>
                <w:noProof w:val="0"/>
              </w:rPr>
              <m:t>c</m:t>
            </m:r>
          </m:sub>
        </m:sSub>
        <m:r>
          <w:rPr>
            <w:rFonts w:ascii="Cambria Math" w:hAnsi="Cambria Math"/>
            <w:noProof w:val="0"/>
          </w:rPr>
          <m:t>(z)</m:t>
        </m:r>
      </m:oMath>
      <w:r w:rsidRPr="005457AD">
        <w:rPr>
          <w:noProof w:val="0"/>
        </w:rPr>
        <w:t>, we get:</w:t>
      </w:r>
    </w:p>
    <w:p w14:paraId="6A8E1EF8" w14:textId="77777777" w:rsidR="0053171D" w:rsidRPr="00DE0337" w:rsidRDefault="0053171D" w:rsidP="0053171D">
      <w:pPr>
        <w:pStyle w:val="ecxmsonormal"/>
        <w:shd w:val="clear" w:color="auto" w:fill="FFFFFF"/>
        <w:tabs>
          <w:tab w:val="left" w:pos="709"/>
        </w:tabs>
        <w:spacing w:before="120" w:beforeAutospacing="0" w:after="120" w:afterAutospacing="0" w:line="360" w:lineRule="auto"/>
        <w:jc w:val="both"/>
        <w:rPr>
          <w:noProof w:val="0"/>
        </w:rPr>
      </w:pPr>
    </w:p>
    <w:tbl>
      <w:tblPr>
        <w:tblStyle w:val="TableGrid"/>
        <w:tblW w:w="8397"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1"/>
        <w:gridCol w:w="496"/>
      </w:tblGrid>
      <w:tr w:rsidR="0053171D" w:rsidRPr="00DE0337" w14:paraId="621C98BB" w14:textId="77777777" w:rsidTr="00F9097C">
        <w:trPr>
          <w:trHeight w:val="465"/>
        </w:trPr>
        <w:tc>
          <w:tcPr>
            <w:tcW w:w="7972" w:type="dxa"/>
          </w:tcPr>
          <w:p w14:paraId="6946EDE7" w14:textId="77777777" w:rsidR="0053171D" w:rsidRPr="00DE0337" w:rsidRDefault="006E4ADA" w:rsidP="00740AB9">
            <w:pPr>
              <w:tabs>
                <w:tab w:val="left" w:pos="1701"/>
              </w:tabs>
              <w:spacing w:before="120" w:after="120" w:line="360" w:lineRule="auto"/>
              <w:jc w:val="center"/>
              <w:rPr>
                <w:lang w:val="en-US"/>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c</m:t>
                    </m:r>
                  </m:sub>
                </m:sSub>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k</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st</m:t>
                    </m:r>
                  </m:sub>
                </m:sSub>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k</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Θ</m:t>
                    </m:r>
                  </m:e>
                  <m:sub>
                    <m:r>
                      <w:rPr>
                        <w:rFonts w:ascii="Cambria Math" w:hAnsi="Cambria Math"/>
                        <w:lang w:val="en-US"/>
                      </w:rPr>
                      <m:t>st</m:t>
                    </m:r>
                  </m:sub>
                </m:sSub>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k</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Θ</m:t>
                    </m:r>
                  </m:e>
                  <m:sub>
                    <m:r>
                      <w:rPr>
                        <w:rFonts w:ascii="Cambria Math" w:hAnsi="Cambria Math"/>
                        <w:lang w:val="en-US"/>
                      </w:rPr>
                      <m:t>c</m:t>
                    </m:r>
                  </m:sub>
                </m:sSub>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k</m:t>
                    </m:r>
                  </m:sub>
                </m:sSub>
                <m:r>
                  <w:rPr>
                    <w:rFonts w:ascii="Cambria Math" w:hAnsi="Cambria Math"/>
                    <w:lang w:val="en-US"/>
                  </w:rPr>
                  <m:t>)</m:t>
                </m:r>
              </m:oMath>
            </m:oMathPara>
          </w:p>
        </w:tc>
        <w:tc>
          <w:tcPr>
            <w:tcW w:w="425" w:type="dxa"/>
          </w:tcPr>
          <w:p w14:paraId="6121A0A4" w14:textId="77777777" w:rsidR="0053171D" w:rsidRPr="00DE0337" w:rsidRDefault="0053171D" w:rsidP="00740AB9">
            <w:pPr>
              <w:tabs>
                <w:tab w:val="left" w:pos="1701"/>
              </w:tabs>
              <w:spacing w:before="120" w:after="120" w:line="360" w:lineRule="auto"/>
              <w:jc w:val="right"/>
              <w:rPr>
                <w:lang w:val="en-US"/>
              </w:rPr>
            </w:pPr>
            <w:r w:rsidRPr="00DE0337">
              <w:rPr>
                <w:lang w:val="en-US"/>
              </w:rPr>
              <w:t>(2)</w:t>
            </w:r>
          </w:p>
        </w:tc>
      </w:tr>
    </w:tbl>
    <w:p w14:paraId="7E1C2003" w14:textId="77777777" w:rsidR="0053171D" w:rsidRPr="00DE0337" w:rsidRDefault="0053171D" w:rsidP="0053171D">
      <w:pPr>
        <w:pStyle w:val="ecxmsonormal"/>
        <w:shd w:val="clear" w:color="auto" w:fill="FFFFFF"/>
        <w:tabs>
          <w:tab w:val="left" w:pos="709"/>
        </w:tabs>
        <w:spacing w:before="120" w:beforeAutospacing="0" w:after="120" w:afterAutospacing="0" w:line="360" w:lineRule="auto"/>
        <w:jc w:val="both"/>
        <w:rPr>
          <w:noProof w:val="0"/>
        </w:rPr>
      </w:pPr>
      <w:r w:rsidRPr="00DE0337">
        <w:rPr>
          <w:noProof w:val="0"/>
        </w:rPr>
        <w:tab/>
      </w:r>
    </w:p>
    <w:p w14:paraId="18050A61" w14:textId="77777777" w:rsidR="0053171D" w:rsidRDefault="0053171D" w:rsidP="0053171D">
      <w:pPr>
        <w:pStyle w:val="ecxmsonormal"/>
        <w:shd w:val="clear" w:color="auto" w:fill="FFFFFF"/>
        <w:tabs>
          <w:tab w:val="left" w:pos="709"/>
        </w:tabs>
        <w:spacing w:before="0" w:beforeAutospacing="0" w:after="0" w:afterAutospacing="0" w:line="360" w:lineRule="auto"/>
        <w:jc w:val="both"/>
        <w:rPr>
          <w:noProof w:val="0"/>
        </w:rPr>
      </w:pPr>
      <w:r w:rsidRPr="00DE0337">
        <w:rPr>
          <w:noProof w:val="0"/>
        </w:rPr>
        <w:tab/>
        <w:t xml:space="preserve">Hence the hedonic price function for a </w:t>
      </w:r>
      <w:r w:rsidRPr="00DE0337">
        <w:rPr>
          <w:i/>
          <w:noProof w:val="0"/>
        </w:rPr>
        <w:t>corporate</w:t>
      </w:r>
      <w:r w:rsidRPr="00DE0337">
        <w:rPr>
          <w:noProof w:val="0"/>
        </w:rPr>
        <w:t xml:space="preserve"> user depends on the pricing schedule of a smaller tenant (</w:t>
      </w:r>
      <m:oMath>
        <m:sSub>
          <m:sSubPr>
            <m:ctrlPr>
              <w:rPr>
                <w:rFonts w:ascii="Cambria Math" w:hAnsi="Cambria Math"/>
                <w:i/>
                <w:noProof w:val="0"/>
              </w:rPr>
            </m:ctrlPr>
          </m:sSubPr>
          <m:e>
            <m:r>
              <w:rPr>
                <w:rFonts w:ascii="Cambria Math" w:hAnsi="Cambria Math"/>
                <w:noProof w:val="0"/>
              </w:rPr>
              <m:t>P</m:t>
            </m:r>
          </m:e>
          <m:sub>
            <m:r>
              <w:rPr>
                <w:rFonts w:ascii="Cambria Math" w:hAnsi="Cambria Math"/>
                <w:noProof w:val="0"/>
              </w:rPr>
              <m:t>st</m:t>
            </m:r>
          </m:sub>
        </m:sSub>
        <m:d>
          <m:dPr>
            <m:ctrlPr>
              <w:rPr>
                <w:rFonts w:ascii="Cambria Math" w:hAnsi="Cambria Math"/>
                <w:i/>
                <w:noProof w:val="0"/>
              </w:rPr>
            </m:ctrlPr>
          </m:dPr>
          <m:e>
            <m:sSub>
              <m:sSubPr>
                <m:ctrlPr>
                  <w:rPr>
                    <w:rFonts w:ascii="Cambria Math" w:hAnsi="Cambria Math"/>
                    <w:i/>
                    <w:noProof w:val="0"/>
                  </w:rPr>
                </m:ctrlPr>
              </m:sSubPr>
              <m:e>
                <m:sSub>
                  <m:sSubPr>
                    <m:ctrlPr>
                      <w:rPr>
                        <w:rFonts w:ascii="Cambria Math" w:hAnsi="Cambria Math"/>
                        <w:i/>
                        <w:noProof w:val="0"/>
                      </w:rPr>
                    </m:ctrlPr>
                  </m:sSubPr>
                  <m:e>
                    <m:r>
                      <w:rPr>
                        <w:rFonts w:ascii="Cambria Math" w:hAnsi="Cambria Math"/>
                        <w:noProof w:val="0"/>
                      </w:rPr>
                      <m:t>z</m:t>
                    </m:r>
                  </m:e>
                  <m:sub>
                    <m:r>
                      <w:rPr>
                        <w:rFonts w:ascii="Cambria Math" w:hAnsi="Cambria Math"/>
                        <w:noProof w:val="0"/>
                      </w:rPr>
                      <m:t>1</m:t>
                    </m:r>
                  </m:sub>
                </m:sSub>
                <m:r>
                  <w:rPr>
                    <w:rFonts w:ascii="Cambria Math" w:hAnsi="Cambria Math"/>
                    <w:noProof w:val="0"/>
                  </w:rPr>
                  <m:t>,z</m:t>
                </m:r>
              </m:e>
              <m:sub>
                <m:r>
                  <w:rPr>
                    <w:rFonts w:ascii="Cambria Math" w:hAnsi="Cambria Math"/>
                    <w:noProof w:val="0"/>
                  </w:rPr>
                  <m:t>2</m:t>
                </m:r>
              </m:sub>
            </m:sSub>
            <m:r>
              <w:rPr>
                <w:rFonts w:ascii="Cambria Math" w:hAnsi="Cambria Math"/>
                <w:noProof w:val="0"/>
              </w:rPr>
              <m:t>,…,</m:t>
            </m:r>
            <m:sSub>
              <m:sSubPr>
                <m:ctrlPr>
                  <w:rPr>
                    <w:rFonts w:ascii="Cambria Math" w:hAnsi="Cambria Math"/>
                    <w:i/>
                    <w:noProof w:val="0"/>
                  </w:rPr>
                </m:ctrlPr>
              </m:sSubPr>
              <m:e>
                <m:r>
                  <w:rPr>
                    <w:rFonts w:ascii="Cambria Math" w:hAnsi="Cambria Math"/>
                    <w:noProof w:val="0"/>
                  </w:rPr>
                  <m:t>z</m:t>
                </m:r>
              </m:e>
              <m:sub>
                <m:r>
                  <w:rPr>
                    <w:rFonts w:ascii="Cambria Math" w:hAnsi="Cambria Math"/>
                    <w:noProof w:val="0"/>
                  </w:rPr>
                  <m:t>k</m:t>
                </m:r>
              </m:sub>
            </m:sSub>
          </m:e>
        </m:d>
        <m:r>
          <w:rPr>
            <w:rFonts w:ascii="Cambria Math" w:hAnsi="Cambria Math"/>
            <w:noProof w:val="0"/>
          </w:rPr>
          <m:t>)</m:t>
        </m:r>
      </m:oMath>
      <w:r w:rsidRPr="00DE0337">
        <w:rPr>
          <w:noProof w:val="0"/>
        </w:rPr>
        <w:t xml:space="preserve"> and on the cost differential to relocate to a </w:t>
      </w:r>
      <w:r w:rsidRPr="00DE0337">
        <w:rPr>
          <w:i/>
          <w:noProof w:val="0"/>
        </w:rPr>
        <w:t>non-corporate</w:t>
      </w:r>
      <w:r w:rsidRPr="00DE0337">
        <w:rPr>
          <w:noProof w:val="0"/>
        </w:rPr>
        <w:t xml:space="preserve"> building (</w:t>
      </w:r>
      <m:oMath>
        <m:sSub>
          <m:sSubPr>
            <m:ctrlPr>
              <w:rPr>
                <w:rFonts w:ascii="Cambria Math" w:hAnsi="Cambria Math"/>
                <w:i/>
                <w:noProof w:val="0"/>
              </w:rPr>
            </m:ctrlPr>
          </m:sSubPr>
          <m:e>
            <m:r>
              <w:rPr>
                <w:rFonts w:ascii="Cambria Math" w:hAnsi="Cambria Math"/>
                <w:noProof w:val="0"/>
              </w:rPr>
              <m:t>Θ</m:t>
            </m:r>
          </m:e>
          <m:sub>
            <m:r>
              <w:rPr>
                <w:rFonts w:ascii="Cambria Math" w:hAnsi="Cambria Math"/>
                <w:noProof w:val="0"/>
              </w:rPr>
              <m:t>st</m:t>
            </m:r>
          </m:sub>
        </m:sSub>
        <m:d>
          <m:dPr>
            <m:ctrlPr>
              <w:rPr>
                <w:rFonts w:ascii="Cambria Math" w:hAnsi="Cambria Math"/>
                <w:i/>
                <w:noProof w:val="0"/>
              </w:rPr>
            </m:ctrlPr>
          </m:dPr>
          <m:e>
            <m:sSub>
              <m:sSubPr>
                <m:ctrlPr>
                  <w:rPr>
                    <w:rFonts w:ascii="Cambria Math" w:hAnsi="Cambria Math"/>
                    <w:i/>
                    <w:noProof w:val="0"/>
                  </w:rPr>
                </m:ctrlPr>
              </m:sSubPr>
              <m:e>
                <m:sSub>
                  <m:sSubPr>
                    <m:ctrlPr>
                      <w:rPr>
                        <w:rFonts w:ascii="Cambria Math" w:hAnsi="Cambria Math"/>
                        <w:i/>
                        <w:noProof w:val="0"/>
                      </w:rPr>
                    </m:ctrlPr>
                  </m:sSubPr>
                  <m:e>
                    <m:r>
                      <w:rPr>
                        <w:rFonts w:ascii="Cambria Math" w:hAnsi="Cambria Math"/>
                        <w:noProof w:val="0"/>
                      </w:rPr>
                      <m:t>z</m:t>
                    </m:r>
                  </m:e>
                  <m:sub>
                    <m:r>
                      <w:rPr>
                        <w:rFonts w:ascii="Cambria Math" w:hAnsi="Cambria Math"/>
                        <w:noProof w:val="0"/>
                      </w:rPr>
                      <m:t>1</m:t>
                    </m:r>
                  </m:sub>
                </m:sSub>
                <m:r>
                  <w:rPr>
                    <w:rFonts w:ascii="Cambria Math" w:hAnsi="Cambria Math"/>
                    <w:noProof w:val="0"/>
                  </w:rPr>
                  <m:t>,z</m:t>
                </m:r>
              </m:e>
              <m:sub>
                <m:r>
                  <w:rPr>
                    <w:rFonts w:ascii="Cambria Math" w:hAnsi="Cambria Math"/>
                    <w:noProof w:val="0"/>
                  </w:rPr>
                  <m:t>2</m:t>
                </m:r>
              </m:sub>
            </m:sSub>
            <m:r>
              <w:rPr>
                <w:rFonts w:ascii="Cambria Math" w:hAnsi="Cambria Math"/>
                <w:noProof w:val="0"/>
              </w:rPr>
              <m:t>,…,</m:t>
            </m:r>
            <m:sSub>
              <m:sSubPr>
                <m:ctrlPr>
                  <w:rPr>
                    <w:rFonts w:ascii="Cambria Math" w:hAnsi="Cambria Math"/>
                    <w:i/>
                    <w:noProof w:val="0"/>
                  </w:rPr>
                </m:ctrlPr>
              </m:sSubPr>
              <m:e>
                <m:r>
                  <w:rPr>
                    <w:rFonts w:ascii="Cambria Math" w:hAnsi="Cambria Math"/>
                    <w:noProof w:val="0"/>
                  </w:rPr>
                  <m:t>z</m:t>
                </m:r>
              </m:e>
              <m:sub>
                <m:r>
                  <w:rPr>
                    <w:rFonts w:ascii="Cambria Math" w:hAnsi="Cambria Math"/>
                    <w:noProof w:val="0"/>
                  </w:rPr>
                  <m:t>k</m:t>
                </m:r>
              </m:sub>
            </m:sSub>
          </m:e>
        </m:d>
        <m:r>
          <w:rPr>
            <w:rFonts w:ascii="Cambria Math" w:hAnsi="Cambria Math"/>
            <w:noProof w:val="0"/>
          </w:rPr>
          <m:t xml:space="preserve">- </m:t>
        </m:r>
        <m:sSub>
          <m:sSubPr>
            <m:ctrlPr>
              <w:rPr>
                <w:rFonts w:ascii="Cambria Math" w:hAnsi="Cambria Math"/>
                <w:i/>
                <w:noProof w:val="0"/>
              </w:rPr>
            </m:ctrlPr>
          </m:sSubPr>
          <m:e>
            <m:r>
              <w:rPr>
                <w:rFonts w:ascii="Cambria Math" w:hAnsi="Cambria Math"/>
                <w:noProof w:val="0"/>
              </w:rPr>
              <m:t>Θ</m:t>
            </m:r>
          </m:e>
          <m:sub>
            <m:r>
              <w:rPr>
                <w:rFonts w:ascii="Cambria Math" w:hAnsi="Cambria Math"/>
                <w:noProof w:val="0"/>
              </w:rPr>
              <m:t>c</m:t>
            </m:r>
          </m:sub>
        </m:sSub>
        <m:d>
          <m:dPr>
            <m:ctrlPr>
              <w:rPr>
                <w:rFonts w:ascii="Cambria Math" w:hAnsi="Cambria Math"/>
                <w:i/>
                <w:noProof w:val="0"/>
              </w:rPr>
            </m:ctrlPr>
          </m:dPr>
          <m:e>
            <m:sSub>
              <m:sSubPr>
                <m:ctrlPr>
                  <w:rPr>
                    <w:rFonts w:ascii="Cambria Math" w:hAnsi="Cambria Math"/>
                    <w:i/>
                    <w:noProof w:val="0"/>
                  </w:rPr>
                </m:ctrlPr>
              </m:sSubPr>
              <m:e>
                <m:sSub>
                  <m:sSubPr>
                    <m:ctrlPr>
                      <w:rPr>
                        <w:rFonts w:ascii="Cambria Math" w:hAnsi="Cambria Math"/>
                        <w:i/>
                        <w:noProof w:val="0"/>
                      </w:rPr>
                    </m:ctrlPr>
                  </m:sSubPr>
                  <m:e>
                    <m:r>
                      <w:rPr>
                        <w:rFonts w:ascii="Cambria Math" w:hAnsi="Cambria Math"/>
                        <w:noProof w:val="0"/>
                      </w:rPr>
                      <m:t>z</m:t>
                    </m:r>
                  </m:e>
                  <m:sub>
                    <m:r>
                      <w:rPr>
                        <w:rFonts w:ascii="Cambria Math" w:hAnsi="Cambria Math"/>
                        <w:noProof w:val="0"/>
                      </w:rPr>
                      <m:t>1</m:t>
                    </m:r>
                  </m:sub>
                </m:sSub>
                <m:r>
                  <w:rPr>
                    <w:rFonts w:ascii="Cambria Math" w:hAnsi="Cambria Math"/>
                    <w:noProof w:val="0"/>
                  </w:rPr>
                  <m:t>,z</m:t>
                </m:r>
              </m:e>
              <m:sub>
                <m:r>
                  <w:rPr>
                    <w:rFonts w:ascii="Cambria Math" w:hAnsi="Cambria Math"/>
                    <w:noProof w:val="0"/>
                  </w:rPr>
                  <m:t>2</m:t>
                </m:r>
              </m:sub>
            </m:sSub>
            <m:r>
              <w:rPr>
                <w:rFonts w:ascii="Cambria Math" w:hAnsi="Cambria Math"/>
                <w:noProof w:val="0"/>
              </w:rPr>
              <m:t>,…,</m:t>
            </m:r>
            <m:sSub>
              <m:sSubPr>
                <m:ctrlPr>
                  <w:rPr>
                    <w:rFonts w:ascii="Cambria Math" w:hAnsi="Cambria Math"/>
                    <w:i/>
                    <w:noProof w:val="0"/>
                  </w:rPr>
                </m:ctrlPr>
              </m:sSubPr>
              <m:e>
                <m:r>
                  <w:rPr>
                    <w:rFonts w:ascii="Cambria Math" w:hAnsi="Cambria Math"/>
                    <w:noProof w:val="0"/>
                  </w:rPr>
                  <m:t>z</m:t>
                </m:r>
              </m:e>
              <m:sub>
                <m:r>
                  <w:rPr>
                    <w:rFonts w:ascii="Cambria Math" w:hAnsi="Cambria Math"/>
                    <w:noProof w:val="0"/>
                  </w:rPr>
                  <m:t>k</m:t>
                </m:r>
              </m:sub>
            </m:sSub>
          </m:e>
        </m:d>
        <m:r>
          <w:rPr>
            <w:rFonts w:ascii="Cambria Math" w:hAnsi="Cambria Math"/>
            <w:noProof w:val="0"/>
          </w:rPr>
          <m:t>)</m:t>
        </m:r>
      </m:oMath>
      <w:r w:rsidRPr="00DE0337">
        <w:rPr>
          <w:noProof w:val="0"/>
        </w:rPr>
        <w:t xml:space="preserve">. Note that </w:t>
      </w:r>
      <m:oMath>
        <m:r>
          <w:rPr>
            <w:rFonts w:ascii="Cambria Math" w:hAnsi="Cambria Math"/>
            <w:noProof w:val="0"/>
          </w:rPr>
          <m:t>Θ</m:t>
        </m:r>
      </m:oMath>
      <w:r w:rsidRPr="00DE0337">
        <w:rPr>
          <w:noProof w:val="0"/>
        </w:rPr>
        <w:t xml:space="preserve"> cannot necessarily be interpreted as an isolated attribute</w:t>
      </w:r>
      <m:oMath>
        <m:r>
          <w:rPr>
            <w:rFonts w:ascii="Cambria Math" w:hAnsi="Cambria Math"/>
            <w:noProof w:val="0"/>
          </w:rPr>
          <m:t xml:space="preserve"> </m:t>
        </m:r>
        <m:sSub>
          <m:sSubPr>
            <m:ctrlPr>
              <w:rPr>
                <w:rFonts w:ascii="Cambria Math" w:hAnsi="Cambria Math"/>
                <w:i/>
                <w:noProof w:val="0"/>
              </w:rPr>
            </m:ctrlPr>
          </m:sSubPr>
          <m:e>
            <m:r>
              <w:rPr>
                <w:rFonts w:ascii="Cambria Math" w:hAnsi="Cambria Math"/>
                <w:noProof w:val="0"/>
              </w:rPr>
              <m:t>z</m:t>
            </m:r>
          </m:e>
          <m:sub>
            <m:r>
              <w:rPr>
                <w:rFonts w:ascii="Cambria Math" w:hAnsi="Cambria Math"/>
                <w:noProof w:val="0"/>
              </w:rPr>
              <m:t>θ</m:t>
            </m:r>
          </m:sub>
        </m:sSub>
      </m:oMath>
      <w:r w:rsidRPr="00DE0337">
        <w:rPr>
          <w:noProof w:val="0"/>
        </w:rPr>
        <w:t xml:space="preserve">. A large tenant user may need to revamp some of the existing features in order to use a </w:t>
      </w:r>
      <w:r w:rsidRPr="00DE0337">
        <w:rPr>
          <w:i/>
          <w:noProof w:val="0"/>
        </w:rPr>
        <w:t xml:space="preserve">non-corporate </w:t>
      </w:r>
      <w:r w:rsidRPr="00DE0337">
        <w:rPr>
          <w:noProof w:val="0"/>
        </w:rPr>
        <w:t xml:space="preserve">building. For instance, such user will almost certainly have to unify units to occupy a bigger space or adapt some of the existing installations in order to ensure sufficient electricity supply. </w:t>
      </w:r>
    </w:p>
    <w:p w14:paraId="146BE550" w14:textId="77777777" w:rsidR="0053171D" w:rsidRPr="00DE0337" w:rsidRDefault="0053171D" w:rsidP="0053171D">
      <w:pPr>
        <w:pStyle w:val="ecxmsonormal"/>
        <w:shd w:val="clear" w:color="auto" w:fill="FFFFFF"/>
        <w:tabs>
          <w:tab w:val="left" w:pos="709"/>
        </w:tabs>
        <w:spacing w:before="0" w:beforeAutospacing="0" w:after="0" w:afterAutospacing="0" w:line="360" w:lineRule="auto"/>
        <w:jc w:val="both"/>
        <w:rPr>
          <w:noProof w:val="0"/>
        </w:rPr>
      </w:pPr>
      <w:r>
        <w:rPr>
          <w:noProof w:val="0"/>
        </w:rPr>
        <w:tab/>
      </w:r>
      <w:r w:rsidRPr="00DE0337">
        <w:rPr>
          <w:noProof w:val="0"/>
        </w:rPr>
        <w:t xml:space="preserve">These are objective (observable) relocation costs associated with attributes </w:t>
      </w:r>
      <m:oMath>
        <m:d>
          <m:dPr>
            <m:ctrlPr>
              <w:rPr>
                <w:rFonts w:ascii="Cambria Math" w:hAnsi="Cambria Math"/>
                <w:i/>
                <w:noProof w:val="0"/>
              </w:rPr>
            </m:ctrlPr>
          </m:dPr>
          <m:e>
            <m:sSub>
              <m:sSubPr>
                <m:ctrlPr>
                  <w:rPr>
                    <w:rFonts w:ascii="Cambria Math" w:hAnsi="Cambria Math"/>
                    <w:i/>
                    <w:noProof w:val="0"/>
                  </w:rPr>
                </m:ctrlPr>
              </m:sSubPr>
              <m:e>
                <m:sSub>
                  <m:sSubPr>
                    <m:ctrlPr>
                      <w:rPr>
                        <w:rFonts w:ascii="Cambria Math" w:hAnsi="Cambria Math"/>
                        <w:i/>
                        <w:noProof w:val="0"/>
                      </w:rPr>
                    </m:ctrlPr>
                  </m:sSubPr>
                  <m:e>
                    <m:r>
                      <w:rPr>
                        <w:rFonts w:ascii="Cambria Math" w:hAnsi="Cambria Math"/>
                        <w:noProof w:val="0"/>
                      </w:rPr>
                      <m:t>z</m:t>
                    </m:r>
                  </m:e>
                  <m:sub>
                    <m:r>
                      <w:rPr>
                        <w:rFonts w:ascii="Cambria Math" w:hAnsi="Cambria Math"/>
                        <w:noProof w:val="0"/>
                      </w:rPr>
                      <m:t>1</m:t>
                    </m:r>
                  </m:sub>
                </m:sSub>
                <m:r>
                  <w:rPr>
                    <w:rFonts w:ascii="Cambria Math" w:hAnsi="Cambria Math"/>
                    <w:noProof w:val="0"/>
                  </w:rPr>
                  <m:t>,z</m:t>
                </m:r>
              </m:e>
              <m:sub>
                <m:r>
                  <w:rPr>
                    <w:rFonts w:ascii="Cambria Math" w:hAnsi="Cambria Math"/>
                    <w:noProof w:val="0"/>
                  </w:rPr>
                  <m:t>2</m:t>
                </m:r>
              </m:sub>
            </m:sSub>
            <m:r>
              <w:rPr>
                <w:rFonts w:ascii="Cambria Math" w:hAnsi="Cambria Math"/>
                <w:noProof w:val="0"/>
              </w:rPr>
              <m:t>,…,</m:t>
            </m:r>
            <m:sSub>
              <m:sSubPr>
                <m:ctrlPr>
                  <w:rPr>
                    <w:rFonts w:ascii="Cambria Math" w:hAnsi="Cambria Math"/>
                    <w:i/>
                    <w:noProof w:val="0"/>
                  </w:rPr>
                </m:ctrlPr>
              </m:sSubPr>
              <m:e>
                <m:r>
                  <w:rPr>
                    <w:rFonts w:ascii="Cambria Math" w:hAnsi="Cambria Math"/>
                    <w:noProof w:val="0"/>
                  </w:rPr>
                  <m:t>z</m:t>
                </m:r>
              </m:e>
              <m:sub>
                <m:r>
                  <w:rPr>
                    <w:rFonts w:ascii="Cambria Math" w:hAnsi="Cambria Math"/>
                    <w:noProof w:val="0"/>
                  </w:rPr>
                  <m:t>k</m:t>
                </m:r>
              </m:sub>
            </m:sSub>
          </m:e>
        </m:d>
      </m:oMath>
      <w:r w:rsidRPr="00DE0337">
        <w:rPr>
          <w:noProof w:val="0"/>
        </w:rPr>
        <w:t>. There are also subjective (not observable) costs embedded in these features</w:t>
      </w:r>
      <m:oMath>
        <m:r>
          <w:rPr>
            <w:rFonts w:ascii="Cambria Math" w:hAnsi="Cambria Math"/>
            <w:noProof w:val="0"/>
          </w:rPr>
          <m:t>.</m:t>
        </m:r>
      </m:oMath>
      <w:r w:rsidRPr="00DE0337">
        <w:rPr>
          <w:noProof w:val="0"/>
        </w:rPr>
        <w:t xml:space="preserve"> Because larger tenants may be more concerned with overall property quality, they may also have a different willingness to pay for certain amenities, such as location, building design, technological infrastructure, occupancy profile, </w:t>
      </w:r>
      <w:r w:rsidRPr="00DE0337">
        <w:rPr>
          <w:i/>
          <w:noProof w:val="0"/>
        </w:rPr>
        <w:t xml:space="preserve">inter alia. </w:t>
      </w:r>
      <w:r w:rsidRPr="00DE0337">
        <w:rPr>
          <w:noProof w:val="0"/>
        </w:rPr>
        <w:t xml:space="preserve">Not surprisingly, the marginal price of a given attribute </w:t>
      </w:r>
      <m:oMath>
        <m:sSub>
          <m:sSubPr>
            <m:ctrlPr>
              <w:rPr>
                <w:rFonts w:ascii="Cambria Math" w:hAnsi="Cambria Math"/>
                <w:i/>
                <w:noProof w:val="0"/>
              </w:rPr>
            </m:ctrlPr>
          </m:sSubPr>
          <m:e>
            <m:r>
              <w:rPr>
                <w:rFonts w:ascii="Cambria Math" w:hAnsi="Cambria Math"/>
                <w:noProof w:val="0"/>
              </w:rPr>
              <m:t>z</m:t>
            </m:r>
          </m:e>
          <m:sub>
            <m:r>
              <w:rPr>
                <w:rFonts w:ascii="Cambria Math" w:hAnsi="Cambria Math"/>
                <w:noProof w:val="0"/>
              </w:rPr>
              <m:t>i</m:t>
            </m:r>
          </m:sub>
        </m:sSub>
        <m:r>
          <w:rPr>
            <w:rFonts w:ascii="Cambria Math" w:hAnsi="Cambria Math"/>
            <w:noProof w:val="0"/>
          </w:rPr>
          <m:t xml:space="preserve"> </m:t>
        </m:r>
      </m:oMath>
      <w:r w:rsidRPr="00DE0337">
        <w:rPr>
          <w:noProof w:val="0"/>
        </w:rPr>
        <w:t xml:space="preserve">also depends on these subjective relocation costs.  </w:t>
      </w:r>
    </w:p>
    <w:p w14:paraId="0A48D8C6" w14:textId="77777777" w:rsidR="0053171D" w:rsidRPr="00DE0337" w:rsidRDefault="0053171D" w:rsidP="0053171D">
      <w:pPr>
        <w:pStyle w:val="ecxmsonormal"/>
        <w:shd w:val="clear" w:color="auto" w:fill="FFFFFF"/>
        <w:tabs>
          <w:tab w:val="left" w:pos="709"/>
        </w:tabs>
        <w:spacing w:before="120" w:beforeAutospacing="0" w:after="120" w:afterAutospacing="0" w:line="360" w:lineRule="auto"/>
        <w:jc w:val="both"/>
        <w:rPr>
          <w:noProof w:val="0"/>
        </w:rPr>
      </w:pPr>
      <w:r w:rsidRPr="00DE0337">
        <w:rPr>
          <w:noProof w:val="0"/>
        </w:rPr>
        <w:tab/>
      </w:r>
    </w:p>
    <w:tbl>
      <w:tblPr>
        <w:tblStyle w:val="TableGrid"/>
        <w:tblW w:w="8397"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689"/>
        <w:gridCol w:w="708"/>
      </w:tblGrid>
      <w:tr w:rsidR="0053171D" w:rsidRPr="00DE0337" w14:paraId="54AACB92" w14:textId="77777777" w:rsidTr="00F9097C">
        <w:trPr>
          <w:trHeight w:val="535"/>
        </w:trPr>
        <w:tc>
          <w:tcPr>
            <w:tcW w:w="7689" w:type="dxa"/>
          </w:tcPr>
          <w:p w14:paraId="27B0EBF0" w14:textId="77777777" w:rsidR="0053171D" w:rsidRPr="00DE0337" w:rsidRDefault="006E4ADA" w:rsidP="00740AB9">
            <w:pPr>
              <w:tabs>
                <w:tab w:val="left" w:pos="1701"/>
              </w:tabs>
              <w:spacing w:before="120" w:after="120" w:line="360" w:lineRule="auto"/>
              <w:jc w:val="center"/>
              <w:rPr>
                <w:lang w:val="en-US"/>
              </w:rPr>
            </w:pPr>
            <m:oMathPara>
              <m:oMath>
                <m:f>
                  <m:fPr>
                    <m:ctrlPr>
                      <w:rPr>
                        <w:rFonts w:ascii="Cambria Math" w:hAnsi="Cambria Math"/>
                        <w:i/>
                        <w:lang w:val="en-US"/>
                      </w:rPr>
                    </m:ctrlPr>
                  </m:fPr>
                  <m:num>
                    <m:sSub>
                      <m:sSubPr>
                        <m:ctrlPr>
                          <w:rPr>
                            <w:rFonts w:ascii="Cambria Math" w:hAnsi="Cambria Math"/>
                            <w:i/>
                            <w:lang w:val="en-US"/>
                          </w:rPr>
                        </m:ctrlPr>
                      </m:sSubPr>
                      <m:e>
                        <m:r>
                          <m:rPr>
                            <m:sty m:val="p"/>
                          </m:rPr>
                          <w:rPr>
                            <w:rFonts w:ascii="Cambria Math" w:hAnsi="Cambria Math" w:cs="Arial"/>
                            <w:color w:val="545454"/>
                            <w:shd w:val="clear" w:color="auto" w:fill="FFFFFF"/>
                            <w:lang w:val="en-US"/>
                          </w:rPr>
                          <m:t>∂</m:t>
                        </m:r>
                        <m:r>
                          <w:rPr>
                            <w:rFonts w:ascii="Cambria Math" w:hAnsi="Cambria Math"/>
                            <w:lang w:val="en-US"/>
                          </w:rPr>
                          <m:t>P</m:t>
                        </m:r>
                      </m:e>
                      <m:sub>
                        <m:r>
                          <w:rPr>
                            <w:rFonts w:ascii="Cambria Math" w:hAnsi="Cambria Math"/>
                            <w:lang w:val="en-US"/>
                          </w:rPr>
                          <m:t>c</m:t>
                        </m:r>
                      </m:sub>
                    </m:sSub>
                    <m:d>
                      <m:dPr>
                        <m:ctrlPr>
                          <w:rPr>
                            <w:rFonts w:ascii="Cambria Math" w:hAnsi="Cambria Math"/>
                            <w:i/>
                            <w:lang w:val="en-US"/>
                          </w:rPr>
                        </m:ctrlPr>
                      </m:dPr>
                      <m:e>
                        <m:r>
                          <w:rPr>
                            <w:rFonts w:ascii="Cambria Math" w:hAnsi="Cambria Math"/>
                            <w:lang w:val="en-US"/>
                          </w:rPr>
                          <m:t>z</m:t>
                        </m:r>
                      </m:e>
                    </m:d>
                  </m:num>
                  <m:den>
                    <m:sSub>
                      <m:sSubPr>
                        <m:ctrlPr>
                          <w:rPr>
                            <w:rFonts w:ascii="Cambria Math" w:hAnsi="Cambria Math"/>
                            <w:i/>
                            <w:lang w:val="en-US"/>
                          </w:rPr>
                        </m:ctrlPr>
                      </m:sSubPr>
                      <m:e>
                        <m:r>
                          <m:rPr>
                            <m:sty m:val="p"/>
                          </m:rPr>
                          <w:rPr>
                            <w:rFonts w:ascii="Cambria Math" w:hAnsi="Cambria Math" w:cs="Arial"/>
                            <w:color w:val="545454"/>
                            <w:shd w:val="clear" w:color="auto" w:fill="FFFFFF"/>
                            <w:lang w:val="en-US"/>
                          </w:rPr>
                          <m:t>∂z</m:t>
                        </m:r>
                      </m:e>
                      <m:sub>
                        <m:r>
                          <w:rPr>
                            <w:rFonts w:ascii="Cambria Math" w:hAnsi="Cambria Math"/>
                            <w:lang w:val="en-US"/>
                          </w:rPr>
                          <m:t>i</m:t>
                        </m:r>
                      </m:sub>
                    </m:sSub>
                  </m:den>
                </m:f>
                <m:r>
                  <w:rPr>
                    <w:rFonts w:ascii="Cambria Math" w:hAnsi="Cambria Math"/>
                    <w:lang w:val="en-US"/>
                  </w:rPr>
                  <m:t>=</m:t>
                </m:r>
                <m:sSubSup>
                  <m:sSubSupPr>
                    <m:ctrlPr>
                      <w:rPr>
                        <w:rFonts w:ascii="Cambria Math" w:hAnsi="Cambria Math"/>
                        <w:i/>
                        <w:lang w:val="en-US"/>
                      </w:rPr>
                    </m:ctrlPr>
                  </m:sSubSupPr>
                  <m:e>
                    <m:r>
                      <w:rPr>
                        <w:rFonts w:ascii="Cambria Math" w:hAnsi="Cambria Math"/>
                        <w:lang w:val="en-US"/>
                      </w:rPr>
                      <m:t>p</m:t>
                    </m:r>
                  </m:e>
                  <m:sub>
                    <m:r>
                      <w:rPr>
                        <w:rFonts w:ascii="Cambria Math" w:hAnsi="Cambria Math"/>
                        <w:lang w:val="en-US"/>
                      </w:rPr>
                      <m:t>i</m:t>
                    </m:r>
                  </m:sub>
                  <m:sup>
                    <m:r>
                      <w:rPr>
                        <w:rFonts w:ascii="Cambria Math" w:hAnsi="Cambria Math"/>
                        <w:lang w:val="en-US"/>
                      </w:rPr>
                      <m:t>c</m:t>
                    </m:r>
                  </m:sup>
                </m:sSubSup>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m:t>
                    </m:r>
                  </m:sub>
                </m:sSub>
                <m:r>
                  <w:rPr>
                    <w:rFonts w:ascii="Cambria Math" w:hAnsi="Cambria Math"/>
                    <w:lang w:val="en-US"/>
                  </w:rPr>
                  <m:t>)=</m:t>
                </m:r>
                <m:sSubSup>
                  <m:sSubSupPr>
                    <m:ctrlPr>
                      <w:rPr>
                        <w:rFonts w:ascii="Cambria Math" w:hAnsi="Cambria Math"/>
                        <w:i/>
                        <w:lang w:val="en-US"/>
                      </w:rPr>
                    </m:ctrlPr>
                  </m:sSubSupPr>
                  <m:e>
                    <m:r>
                      <w:rPr>
                        <w:rFonts w:ascii="Cambria Math" w:hAnsi="Cambria Math"/>
                        <w:lang w:val="en-US"/>
                      </w:rPr>
                      <m:t>p</m:t>
                    </m:r>
                  </m:e>
                  <m:sub>
                    <m:r>
                      <w:rPr>
                        <w:rFonts w:ascii="Cambria Math" w:hAnsi="Cambria Math"/>
                        <w:lang w:val="en-US"/>
                      </w:rPr>
                      <m:t>i</m:t>
                    </m:r>
                  </m:sub>
                  <m:sup>
                    <m:r>
                      <w:rPr>
                        <w:rFonts w:ascii="Cambria Math" w:hAnsi="Cambria Math"/>
                        <w:lang w:val="en-US"/>
                      </w:rPr>
                      <m:t>st</m:t>
                    </m:r>
                  </m:sup>
                </m:sSubSup>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m:t>
                    </m:r>
                  </m:sub>
                </m:sSub>
                <m:r>
                  <w:rPr>
                    <w:rFonts w:ascii="Cambria Math" w:hAnsi="Cambria Math"/>
                    <w:lang w:val="en-US"/>
                  </w:rPr>
                  <m:t>)+</m:t>
                </m:r>
                <m:sSubSup>
                  <m:sSubSupPr>
                    <m:ctrlPr>
                      <w:rPr>
                        <w:rFonts w:ascii="Cambria Math" w:hAnsi="Cambria Math"/>
                        <w:i/>
                        <w:lang w:val="en-US"/>
                      </w:rPr>
                    </m:ctrlPr>
                  </m:sSubSupPr>
                  <m:e>
                    <m:r>
                      <w:rPr>
                        <w:rFonts w:ascii="Cambria Math" w:hAnsi="Cambria Math"/>
                        <w:lang w:val="en-US"/>
                      </w:rPr>
                      <m:t>θ</m:t>
                    </m:r>
                  </m:e>
                  <m:sub>
                    <m:r>
                      <w:rPr>
                        <w:rFonts w:ascii="Cambria Math" w:hAnsi="Cambria Math"/>
                        <w:lang w:val="en-US"/>
                      </w:rPr>
                      <m:t>i</m:t>
                    </m:r>
                  </m:sub>
                  <m:sup>
                    <m:r>
                      <w:rPr>
                        <w:rFonts w:ascii="Cambria Math" w:hAnsi="Cambria Math"/>
                        <w:lang w:val="en-US"/>
                      </w:rPr>
                      <m:t>st</m:t>
                    </m:r>
                  </m:sup>
                </m:sSubSup>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m:t>
                    </m:r>
                  </m:sub>
                </m:sSub>
                <m:r>
                  <w:rPr>
                    <w:rFonts w:ascii="Cambria Math" w:hAnsi="Cambria Math"/>
                    <w:lang w:val="en-US"/>
                  </w:rPr>
                  <m:t>)-</m:t>
                </m:r>
                <m:sSubSup>
                  <m:sSubSupPr>
                    <m:ctrlPr>
                      <w:rPr>
                        <w:rFonts w:ascii="Cambria Math" w:hAnsi="Cambria Math"/>
                        <w:i/>
                        <w:lang w:val="en-US"/>
                      </w:rPr>
                    </m:ctrlPr>
                  </m:sSubSupPr>
                  <m:e>
                    <m:r>
                      <w:rPr>
                        <w:rFonts w:ascii="Cambria Math" w:hAnsi="Cambria Math"/>
                        <w:lang w:val="en-US"/>
                      </w:rPr>
                      <m:t>θ</m:t>
                    </m:r>
                  </m:e>
                  <m:sub>
                    <m:r>
                      <w:rPr>
                        <w:rFonts w:ascii="Cambria Math" w:hAnsi="Cambria Math"/>
                        <w:lang w:val="en-US"/>
                      </w:rPr>
                      <m:t>i</m:t>
                    </m:r>
                  </m:sub>
                  <m:sup>
                    <m:r>
                      <w:rPr>
                        <w:rFonts w:ascii="Cambria Math" w:hAnsi="Cambria Math"/>
                        <w:lang w:val="en-US"/>
                      </w:rPr>
                      <m:t>c</m:t>
                    </m:r>
                  </m:sup>
                </m:sSubSup>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m:t>
                    </m:r>
                  </m:sub>
                </m:sSub>
                <m:r>
                  <w:rPr>
                    <w:rFonts w:ascii="Cambria Math" w:hAnsi="Cambria Math"/>
                    <w:lang w:val="en-US"/>
                  </w:rPr>
                  <m:t>)</m:t>
                </m:r>
              </m:oMath>
            </m:oMathPara>
          </w:p>
        </w:tc>
        <w:tc>
          <w:tcPr>
            <w:tcW w:w="708" w:type="dxa"/>
          </w:tcPr>
          <w:p w14:paraId="49581F04" w14:textId="77777777" w:rsidR="0053171D" w:rsidRPr="00DE0337" w:rsidRDefault="0053171D" w:rsidP="00740AB9">
            <w:pPr>
              <w:tabs>
                <w:tab w:val="left" w:pos="1701"/>
              </w:tabs>
              <w:spacing w:before="120" w:after="120" w:line="360" w:lineRule="auto"/>
              <w:jc w:val="right"/>
              <w:rPr>
                <w:lang w:val="en-US"/>
              </w:rPr>
            </w:pPr>
            <w:r w:rsidRPr="00DE0337">
              <w:rPr>
                <w:lang w:val="en-US"/>
              </w:rPr>
              <w:t>(3)</w:t>
            </w:r>
          </w:p>
        </w:tc>
      </w:tr>
    </w:tbl>
    <w:p w14:paraId="37508831" w14:textId="77777777" w:rsidR="0053171D" w:rsidRDefault="0053171D" w:rsidP="0053171D">
      <w:pPr>
        <w:tabs>
          <w:tab w:val="left" w:pos="2201"/>
        </w:tabs>
        <w:spacing w:before="120" w:after="120" w:line="360" w:lineRule="auto"/>
        <w:contextualSpacing/>
        <w:rPr>
          <w:b/>
          <w:lang w:val="en-US" w:eastAsia="pt-BR"/>
        </w:rPr>
      </w:pPr>
    </w:p>
    <w:p w14:paraId="278585B6" w14:textId="77777777" w:rsidR="0053171D" w:rsidRPr="00DE0337" w:rsidRDefault="0053171D" w:rsidP="0053171D">
      <w:pPr>
        <w:tabs>
          <w:tab w:val="left" w:pos="2201"/>
        </w:tabs>
        <w:spacing w:before="120" w:after="120" w:line="360" w:lineRule="auto"/>
        <w:contextualSpacing/>
        <w:rPr>
          <w:b/>
          <w:lang w:val="en-US" w:eastAsia="pt-BR"/>
        </w:rPr>
      </w:pPr>
    </w:p>
    <w:p w14:paraId="48675CA7" w14:textId="77777777" w:rsidR="0053171D" w:rsidRDefault="0053171D" w:rsidP="0053171D">
      <w:pPr>
        <w:tabs>
          <w:tab w:val="left" w:pos="709"/>
        </w:tabs>
        <w:spacing w:before="120" w:after="120" w:line="360" w:lineRule="auto"/>
        <w:contextualSpacing/>
        <w:jc w:val="both"/>
        <w:rPr>
          <w:lang w:val="en-US" w:eastAsia="pt-BR"/>
        </w:rPr>
      </w:pPr>
      <w:r w:rsidRPr="00DE0337">
        <w:rPr>
          <w:lang w:val="en-US" w:eastAsia="pt-BR"/>
        </w:rPr>
        <w:tab/>
        <w:t xml:space="preserve">While attempts to arbitrage based on objective relocation costs seems relatively straightforward, establishing an arbitrage relationship for subjective relocation costs can be a daunting task. </w:t>
      </w:r>
      <w:r w:rsidR="00F9097C">
        <w:rPr>
          <w:lang w:val="en-US" w:eastAsia="pt-BR"/>
        </w:rPr>
        <w:t>T</w:t>
      </w:r>
      <w:r w:rsidRPr="005457AD">
        <w:rPr>
          <w:lang w:val="en-US" w:eastAsia="pt-BR"/>
        </w:rPr>
        <w:t xml:space="preserve">hese subjective costs </w:t>
      </w:r>
      <w:r w:rsidR="00F9097C">
        <w:rPr>
          <w:lang w:val="en-US" w:eastAsia="pt-BR"/>
        </w:rPr>
        <w:t xml:space="preserve">can also be viewed </w:t>
      </w:r>
      <w:r w:rsidRPr="005457AD">
        <w:rPr>
          <w:lang w:val="en-US" w:eastAsia="pt-BR"/>
        </w:rPr>
        <w:t xml:space="preserve">as an endogenous component of each firm’s capital allocation choice (Black </w:t>
      </w:r>
      <w:r w:rsidRPr="005457AD">
        <w:rPr>
          <w:i/>
          <w:lang w:val="en-US" w:eastAsia="pt-BR"/>
        </w:rPr>
        <w:t>et al.</w:t>
      </w:r>
      <w:r>
        <w:rPr>
          <w:i/>
          <w:lang w:val="en-US" w:eastAsia="pt-BR"/>
        </w:rPr>
        <w:t>,</w:t>
      </w:r>
      <w:r w:rsidRPr="005457AD">
        <w:rPr>
          <w:lang w:val="en-US" w:eastAsia="pt-BR"/>
        </w:rPr>
        <w:t xml:space="preserve"> 1997). The optimal assignment of building characteristics would then reflect the productive activity which will be carried out at an office property. If the business of large companies is sufficiently different from that of than smaller service firms, then these two types of users may not necessarily price rent determinants in a similar manner. At one extreme, if large companies only consider occupying </w:t>
      </w:r>
      <w:r w:rsidRPr="005457AD">
        <w:rPr>
          <w:i/>
          <w:lang w:val="en-US" w:eastAsia="pt-BR"/>
        </w:rPr>
        <w:t>corporate</w:t>
      </w:r>
      <w:r w:rsidRPr="005457AD">
        <w:rPr>
          <w:lang w:val="en-US" w:eastAsia="pt-BR"/>
        </w:rPr>
        <w:t xml:space="preserve"> properties and if smaller</w:t>
      </w:r>
      <w:r w:rsidRPr="00DE0337">
        <w:rPr>
          <w:lang w:val="en-US" w:eastAsia="pt-BR"/>
        </w:rPr>
        <w:t xml:space="preserve"> users only occupying </w:t>
      </w:r>
      <w:r w:rsidRPr="00DE0337">
        <w:rPr>
          <w:i/>
          <w:lang w:val="en-US" w:eastAsia="pt-BR"/>
        </w:rPr>
        <w:t>non-corporate</w:t>
      </w:r>
      <w:r w:rsidRPr="00DE0337">
        <w:rPr>
          <w:lang w:val="en-US" w:eastAsia="pt-BR"/>
        </w:rPr>
        <w:t xml:space="preserve"> buildings, then the two uses compete in two independent markets. Conversely, an aggregate market exists if these buildings are close substitutes. In other </w:t>
      </w:r>
      <w:r w:rsidR="00F9097C" w:rsidRPr="00DE0337">
        <w:rPr>
          <w:lang w:val="en-US" w:eastAsia="pt-BR"/>
        </w:rPr>
        <w:t>words,</w:t>
      </w:r>
      <w:r w:rsidRPr="00DE0337">
        <w:rPr>
          <w:lang w:val="en-US" w:eastAsia="pt-BR"/>
        </w:rPr>
        <w:t xml:space="preserve"> </w:t>
      </w:r>
      <w:r w:rsidRPr="00DE0337">
        <w:rPr>
          <w:i/>
          <w:lang w:val="en-US" w:eastAsia="pt-BR"/>
        </w:rPr>
        <w:t>corporate</w:t>
      </w:r>
      <w:r w:rsidRPr="00DE0337">
        <w:rPr>
          <w:lang w:val="en-US" w:eastAsia="pt-BR"/>
        </w:rPr>
        <w:t xml:space="preserve"> and </w:t>
      </w:r>
      <w:r w:rsidRPr="00DE0337">
        <w:rPr>
          <w:i/>
          <w:lang w:val="en-US" w:eastAsia="pt-BR"/>
        </w:rPr>
        <w:t>smaller occupier</w:t>
      </w:r>
      <w:r w:rsidRPr="00DE0337">
        <w:rPr>
          <w:lang w:val="en-US" w:eastAsia="pt-BR"/>
        </w:rPr>
        <w:t xml:space="preserve"> properties would not be priced independently. Given these considerations, we may question which implicit prices can be generalized across these property-type segments.</w:t>
      </w:r>
    </w:p>
    <w:p w14:paraId="405A3BB9" w14:textId="77777777" w:rsidR="0053171D" w:rsidRPr="00FC5E0E" w:rsidRDefault="0053171D" w:rsidP="00AD46F7">
      <w:pPr>
        <w:pStyle w:val="ecxmsonormal"/>
        <w:shd w:val="clear" w:color="auto" w:fill="FFFFFF"/>
        <w:tabs>
          <w:tab w:val="left" w:pos="284"/>
        </w:tabs>
        <w:spacing w:before="120" w:beforeAutospacing="0" w:after="120" w:afterAutospacing="0" w:line="360" w:lineRule="auto"/>
        <w:jc w:val="both"/>
      </w:pPr>
      <w:r>
        <w:rPr>
          <w:b/>
          <w:bCs/>
          <w:noProof w:val="0"/>
        </w:rPr>
        <w:t>Method</w:t>
      </w:r>
    </w:p>
    <w:p w14:paraId="60B205DE" w14:textId="77777777" w:rsidR="0053171D" w:rsidRDefault="0053171D" w:rsidP="0053171D">
      <w:pPr>
        <w:spacing w:before="120" w:after="120" w:line="360" w:lineRule="auto"/>
        <w:jc w:val="both"/>
        <w:rPr>
          <w:lang w:val="en-US"/>
        </w:rPr>
      </w:pPr>
      <w:r w:rsidRPr="00FC5E0E">
        <w:rPr>
          <w:lang w:val="en-US"/>
        </w:rPr>
        <w:t xml:space="preserve">Before proceeding to the empirical estimates, we present details about the construction of the </w:t>
      </w:r>
      <w:r>
        <w:rPr>
          <w:lang w:val="en-US"/>
        </w:rPr>
        <w:t xml:space="preserve">baseline </w:t>
      </w:r>
      <w:r w:rsidRPr="00FC5E0E">
        <w:rPr>
          <w:lang w:val="en-US"/>
        </w:rPr>
        <w:t xml:space="preserve">dataset and some stylized facts about </w:t>
      </w:r>
      <w:r w:rsidRPr="00FC5E0E">
        <w:rPr>
          <w:i/>
          <w:lang w:val="en-US"/>
        </w:rPr>
        <w:t>corporate</w:t>
      </w:r>
      <w:r w:rsidRPr="00FC5E0E">
        <w:rPr>
          <w:lang w:val="en-US"/>
        </w:rPr>
        <w:t xml:space="preserve"> and </w:t>
      </w:r>
      <w:r w:rsidRPr="00FC5E0E">
        <w:rPr>
          <w:i/>
          <w:lang w:val="en-US"/>
        </w:rPr>
        <w:t>smaller occupier</w:t>
      </w:r>
      <w:r w:rsidRPr="00FC5E0E">
        <w:rPr>
          <w:lang w:val="en-US"/>
        </w:rPr>
        <w:t xml:space="preserve"> office properties in the Brazilian market. We then introduce the techniques used to formally test whether their pricing is similar.</w:t>
      </w:r>
    </w:p>
    <w:p w14:paraId="2897F170" w14:textId="77777777" w:rsidR="0053171D" w:rsidRPr="00AD46F7" w:rsidRDefault="0053171D" w:rsidP="00AD46F7">
      <w:pPr>
        <w:spacing w:before="120" w:after="120" w:line="360" w:lineRule="auto"/>
        <w:jc w:val="both"/>
        <w:rPr>
          <w:i/>
          <w:lang w:val="en-US"/>
        </w:rPr>
      </w:pPr>
      <w:r w:rsidRPr="00395863">
        <w:rPr>
          <w:bCs/>
          <w:i/>
          <w:lang w:val="en-US"/>
        </w:rPr>
        <w:t>Variables and Data Collection</w:t>
      </w:r>
    </w:p>
    <w:p w14:paraId="68161CB8" w14:textId="77777777" w:rsidR="0053171D" w:rsidRPr="00096954" w:rsidRDefault="0053171D" w:rsidP="0053171D">
      <w:pPr>
        <w:spacing w:line="360" w:lineRule="auto"/>
        <w:jc w:val="both"/>
        <w:rPr>
          <w:lang w:val="en-US"/>
        </w:rPr>
      </w:pPr>
      <w:r w:rsidRPr="00096954">
        <w:rPr>
          <w:lang w:val="en-US"/>
        </w:rPr>
        <w:t xml:space="preserve">The dataset was extracted from </w:t>
      </w:r>
      <w:bookmarkStart w:id="1" w:name="_Hlk483673463"/>
      <w:r w:rsidRPr="00096954">
        <w:rPr>
          <w:lang w:val="en-US"/>
        </w:rPr>
        <w:t>CRE Tool</w:t>
      </w:r>
      <w:bookmarkEnd w:id="1"/>
      <w:r w:rsidRPr="00096954">
        <w:rPr>
          <w:lang w:val="en-US"/>
        </w:rPr>
        <w:t xml:space="preserve">, a system which offers an extensive appraisal dataset for office properties located in various Brazilian cities. This system is provided by Buildings, a company solely specialized in real estate research. The CRE database from Buildings is the largest and perhaps the most detailed non-proprietary source of data for office properties in </w:t>
      </w:r>
      <w:r w:rsidR="00AF4EA3">
        <w:rPr>
          <w:lang w:val="en-US"/>
        </w:rPr>
        <w:t>the country</w:t>
      </w:r>
      <w:r w:rsidRPr="00096954">
        <w:rPr>
          <w:lang w:val="en-US"/>
        </w:rPr>
        <w:t xml:space="preserve">. </w:t>
      </w:r>
    </w:p>
    <w:p w14:paraId="3358A02D" w14:textId="77777777" w:rsidR="0053171D" w:rsidRPr="00096954" w:rsidRDefault="0053171D" w:rsidP="0053171D">
      <w:pPr>
        <w:tabs>
          <w:tab w:val="left" w:pos="709"/>
        </w:tabs>
        <w:spacing w:line="360" w:lineRule="auto"/>
        <w:jc w:val="both"/>
        <w:rPr>
          <w:lang w:val="en-US"/>
        </w:rPr>
      </w:pPr>
      <w:r w:rsidRPr="00096954">
        <w:rPr>
          <w:lang w:val="en-US"/>
        </w:rPr>
        <w:tab/>
        <w:t>According to Buildings, all data from CRE Tool are collected from landlords, brokers and/or through visits in each property and is updated on a quarterly basis. The unbalanced panel dataset covers 20,562 property-period observations (1,622 buildings) of Sao Paulo’s office market from 2005:Q3 to 2014:Q3.</w:t>
      </w:r>
    </w:p>
    <w:p w14:paraId="6A05B650" w14:textId="64AF3E29" w:rsidR="00AF4EA3" w:rsidRDefault="00AF4EA3" w:rsidP="00AF4EA3">
      <w:pPr>
        <w:spacing w:line="360" w:lineRule="auto"/>
        <w:ind w:firstLine="720"/>
        <w:jc w:val="both"/>
        <w:rPr>
          <w:lang w:val="en-US"/>
        </w:rPr>
      </w:pPr>
      <w:r w:rsidRPr="005B7392">
        <w:rPr>
          <w:lang w:val="en-US"/>
        </w:rPr>
        <w:t xml:space="preserve">The submarkets considered </w:t>
      </w:r>
      <w:r w:rsidR="00DE3705" w:rsidRPr="005B7392">
        <w:rPr>
          <w:lang w:val="en-US"/>
        </w:rPr>
        <w:t>(</w:t>
      </w:r>
      <w:r w:rsidR="00DE3705" w:rsidRPr="00293430">
        <w:rPr>
          <w:color w:val="FF0000"/>
          <w:lang w:val="en-US"/>
        </w:rPr>
        <w:t>Table 1</w:t>
      </w:r>
      <w:r w:rsidR="00FC436B">
        <w:rPr>
          <w:lang w:val="en-US"/>
        </w:rPr>
        <w:t xml:space="preserve"> </w:t>
      </w:r>
      <w:r w:rsidR="00FC436B" w:rsidRPr="00FC436B">
        <w:rPr>
          <w:color w:val="FF0000"/>
          <w:lang w:val="en-US"/>
        </w:rPr>
        <w:t>and Figure 1</w:t>
      </w:r>
      <w:r w:rsidR="00DE3705" w:rsidRPr="005B7392">
        <w:rPr>
          <w:lang w:val="en-US"/>
        </w:rPr>
        <w:t xml:space="preserve">) </w:t>
      </w:r>
      <w:r w:rsidRPr="005B7392">
        <w:rPr>
          <w:lang w:val="en-US"/>
        </w:rPr>
        <w:t xml:space="preserve">are in the heart of the city of Sao Paulo and viewed by practitioners as the most relevant office locations (see for instance </w:t>
      </w:r>
      <w:r w:rsidRPr="005B7392">
        <w:rPr>
          <w:rStyle w:val="apple-converted-space"/>
          <w:lang w:val="en-US"/>
        </w:rPr>
        <w:t>Colliers International, 2014)</w:t>
      </w:r>
      <w:r w:rsidRPr="005B7392">
        <w:rPr>
          <w:lang w:val="en-US"/>
        </w:rPr>
        <w:t>. Other, potentially less relevant submarket areas, are not covered in this study.</w:t>
      </w:r>
      <w:r w:rsidR="005B7392" w:rsidRPr="005B7392">
        <w:rPr>
          <w:lang w:val="en-US"/>
        </w:rPr>
        <w:t xml:space="preserve"> The sample also contains information about all the following property features</w:t>
      </w:r>
      <w:r w:rsidR="00293430">
        <w:rPr>
          <w:lang w:val="en-US"/>
        </w:rPr>
        <w:t xml:space="preserve"> </w:t>
      </w:r>
      <w:r w:rsidR="00293430" w:rsidRPr="00293430">
        <w:rPr>
          <w:color w:val="FF0000"/>
          <w:lang w:val="en-US"/>
        </w:rPr>
        <w:t>(Table 1)</w:t>
      </w:r>
      <w:r w:rsidR="005B7392" w:rsidRPr="005B7392">
        <w:rPr>
          <w:lang w:val="en-US"/>
        </w:rPr>
        <w:t>.</w:t>
      </w:r>
    </w:p>
    <w:p w14:paraId="782FFE57" w14:textId="77777777" w:rsidR="00CD7989" w:rsidRPr="005B7392" w:rsidRDefault="00CD7989" w:rsidP="00A66843">
      <w:pPr>
        <w:spacing w:line="360" w:lineRule="auto"/>
        <w:jc w:val="both"/>
        <w:rPr>
          <w:lang w:val="en-US"/>
        </w:rPr>
      </w:pPr>
    </w:p>
    <w:p w14:paraId="1B9B8385" w14:textId="7D986F9B" w:rsidR="009557EA" w:rsidRDefault="00B064C6" w:rsidP="009B09FF">
      <w:pPr>
        <w:tabs>
          <w:tab w:val="left" w:pos="709"/>
        </w:tabs>
        <w:spacing w:before="120" w:after="120" w:line="360" w:lineRule="auto"/>
        <w:jc w:val="center"/>
        <w:rPr>
          <w:lang w:val="en-US"/>
        </w:rPr>
      </w:pPr>
      <w:r>
        <w:rPr>
          <w:lang w:val="en-US"/>
        </w:rPr>
        <w:t>[TABLE 1 HERE]</w:t>
      </w:r>
    </w:p>
    <w:p w14:paraId="3F422247" w14:textId="6EC2B9B0" w:rsidR="00FC436B" w:rsidRPr="00FC436B" w:rsidRDefault="00FC436B" w:rsidP="00FC436B">
      <w:pPr>
        <w:tabs>
          <w:tab w:val="left" w:pos="709"/>
        </w:tabs>
        <w:spacing w:before="120" w:after="120" w:line="360" w:lineRule="auto"/>
        <w:jc w:val="center"/>
        <w:rPr>
          <w:color w:val="FF0000"/>
          <w:lang w:val="en-US"/>
        </w:rPr>
      </w:pPr>
      <w:r w:rsidRPr="00FC436B">
        <w:rPr>
          <w:color w:val="FF0000"/>
          <w:lang w:val="en-US"/>
        </w:rPr>
        <w:t>[FIGURE 1 HERE]</w:t>
      </w:r>
    </w:p>
    <w:p w14:paraId="5BFE917B" w14:textId="77777777" w:rsidR="00FC436B" w:rsidRDefault="00FC436B" w:rsidP="009B09FF">
      <w:pPr>
        <w:tabs>
          <w:tab w:val="left" w:pos="709"/>
        </w:tabs>
        <w:spacing w:before="120" w:after="120" w:line="360" w:lineRule="auto"/>
        <w:jc w:val="center"/>
        <w:rPr>
          <w:lang w:val="en-US"/>
        </w:rPr>
      </w:pPr>
    </w:p>
    <w:p w14:paraId="1D4B7F79" w14:textId="3F930B0A" w:rsidR="0053171D" w:rsidRDefault="0053171D" w:rsidP="0053171D">
      <w:pPr>
        <w:spacing w:before="120" w:after="120" w:line="360" w:lineRule="auto"/>
        <w:ind w:firstLine="720"/>
        <w:jc w:val="both"/>
        <w:rPr>
          <w:lang w:val="en-US"/>
        </w:rPr>
      </w:pPr>
      <w:r w:rsidRPr="00096954">
        <w:rPr>
          <w:lang w:val="en-US"/>
        </w:rPr>
        <w:t xml:space="preserve">Table 2 contains more information about the property classification system adopted by Buildings. </w:t>
      </w:r>
      <w:r w:rsidR="00533228" w:rsidRPr="00533228">
        <w:rPr>
          <w:color w:val="FF0000"/>
          <w:lang w:val="en-US"/>
        </w:rPr>
        <w:t>The advantage of this system is that it contains more rating layers than that of traditional CoStar US (A, B and C) and CoStar UK (up to five stars) as well as more details on how these ratings are constructed (it considers subjective measurements of technical specifications, corporate image and occupation profile).</w:t>
      </w:r>
      <w:r w:rsidR="00533228">
        <w:rPr>
          <w:lang w:val="en-US"/>
        </w:rPr>
        <w:t xml:space="preserve"> </w:t>
      </w:r>
      <w:r w:rsidRPr="00096954">
        <w:rPr>
          <w:lang w:val="en-US"/>
        </w:rPr>
        <w:t>Unfortunately, the data provider is unable to furnish further details. While this table sheds some light on the objective criteria, it would have been useful to understand the methodology behind the subjective criteria. Technical specifications, corporate image and occupation profile are useful information for real estate investors. Nevertheless, some of these variables are qualitative in nature and there are many details to be considered due to the heterogeneous nature of CRE properties. An interesting feature of this classification system is that it does not take location into account.</w:t>
      </w:r>
    </w:p>
    <w:p w14:paraId="7465F5A8" w14:textId="77777777" w:rsidR="00B064C6" w:rsidRDefault="00B064C6" w:rsidP="0053171D">
      <w:pPr>
        <w:spacing w:before="120" w:after="120" w:line="360" w:lineRule="auto"/>
        <w:ind w:firstLine="720"/>
        <w:jc w:val="both"/>
        <w:rPr>
          <w:lang w:val="en-US"/>
        </w:rPr>
      </w:pPr>
    </w:p>
    <w:p w14:paraId="0C5A0045" w14:textId="677CA81D" w:rsidR="009557EA" w:rsidRDefault="00B064C6" w:rsidP="00B064C6">
      <w:pPr>
        <w:tabs>
          <w:tab w:val="left" w:pos="709"/>
        </w:tabs>
        <w:spacing w:before="120" w:after="120" w:line="360" w:lineRule="auto"/>
        <w:jc w:val="center"/>
        <w:rPr>
          <w:lang w:val="en-US"/>
        </w:rPr>
      </w:pPr>
      <w:r>
        <w:rPr>
          <w:lang w:val="en-US"/>
        </w:rPr>
        <w:t>[TABLE 2 HERE]</w:t>
      </w:r>
    </w:p>
    <w:p w14:paraId="344A50B4" w14:textId="77777777" w:rsidR="00DC75F9" w:rsidRDefault="00DC75F9" w:rsidP="00B064C6">
      <w:pPr>
        <w:tabs>
          <w:tab w:val="left" w:pos="709"/>
        </w:tabs>
        <w:spacing w:before="120" w:after="120" w:line="360" w:lineRule="auto"/>
        <w:jc w:val="center"/>
        <w:rPr>
          <w:lang w:val="en-US"/>
        </w:rPr>
      </w:pPr>
    </w:p>
    <w:p w14:paraId="43BA1623" w14:textId="77777777" w:rsidR="0053171D" w:rsidRPr="00FA4F79" w:rsidRDefault="0053171D" w:rsidP="0053171D">
      <w:pPr>
        <w:tabs>
          <w:tab w:val="left" w:pos="709"/>
          <w:tab w:val="left" w:pos="2187"/>
        </w:tabs>
        <w:spacing w:line="360" w:lineRule="auto"/>
        <w:jc w:val="both"/>
        <w:rPr>
          <w:lang w:val="en-US"/>
        </w:rPr>
      </w:pPr>
      <w:r w:rsidRPr="00FA4F79">
        <w:rPr>
          <w:lang w:val="en-US"/>
        </w:rPr>
        <w:tab/>
      </w:r>
      <w:r>
        <w:rPr>
          <w:lang w:val="en-US"/>
        </w:rPr>
        <w:t>Following local market practitioners</w:t>
      </w:r>
      <w:r w:rsidR="005B7392">
        <w:rPr>
          <w:lang w:val="en-US"/>
        </w:rPr>
        <w:t xml:space="preserve"> (e.g. </w:t>
      </w:r>
      <w:r w:rsidR="005B7392" w:rsidRPr="005B7392">
        <w:rPr>
          <w:rStyle w:val="apple-converted-space"/>
          <w:lang w:val="en-US"/>
        </w:rPr>
        <w:t>Colliers International, 2014</w:t>
      </w:r>
      <w:r w:rsidR="005B7392">
        <w:rPr>
          <w:rStyle w:val="apple-converted-space"/>
          <w:lang w:val="en-US"/>
        </w:rPr>
        <w:t>; Credit Suisse, 2016)</w:t>
      </w:r>
      <w:r>
        <w:rPr>
          <w:lang w:val="en-US"/>
        </w:rPr>
        <w:t xml:space="preserve">, </w:t>
      </w:r>
      <w:r w:rsidRPr="00FA4F79">
        <w:rPr>
          <w:i/>
          <w:lang w:val="en-US"/>
        </w:rPr>
        <w:t>Corporate</w:t>
      </w:r>
      <w:r w:rsidRPr="00FA4F79">
        <w:rPr>
          <w:lang w:val="en-US"/>
        </w:rPr>
        <w:t xml:space="preserve"> </w:t>
      </w:r>
      <w:r>
        <w:rPr>
          <w:lang w:val="en-US"/>
        </w:rPr>
        <w:t xml:space="preserve">dummy </w:t>
      </w:r>
      <w:r w:rsidR="005B7392">
        <w:rPr>
          <w:lang w:val="en-US"/>
        </w:rPr>
        <w:t>was considered to</w:t>
      </w:r>
      <w:r>
        <w:rPr>
          <w:lang w:val="en-US"/>
        </w:rPr>
        <w:t xml:space="preserve"> </w:t>
      </w:r>
      <w:r w:rsidRPr="00FA4F79">
        <w:rPr>
          <w:lang w:val="en-US"/>
        </w:rPr>
        <w:t>differentiate property-type segments</w:t>
      </w:r>
      <w:r>
        <w:rPr>
          <w:lang w:val="en-US"/>
        </w:rPr>
        <w:t>. This variable is based on</w:t>
      </w:r>
      <w:r w:rsidRPr="00FA4F79">
        <w:rPr>
          <w:lang w:val="en-US"/>
        </w:rPr>
        <w:t xml:space="preserve"> the average size of leasable units inside a building. Segmentation based on a </w:t>
      </w:r>
      <w:r>
        <w:rPr>
          <w:lang w:val="en-US"/>
        </w:rPr>
        <w:t xml:space="preserve">single </w:t>
      </w:r>
      <w:r w:rsidRPr="00FA4F79">
        <w:rPr>
          <w:lang w:val="en-US"/>
        </w:rPr>
        <w:t>structural feature is generally subjective; however, this variable may serve as a proxy to capture the unobserved interaction between segmented demand (</w:t>
      </w:r>
      <w:r w:rsidRPr="00FA4F79">
        <w:rPr>
          <w:i/>
          <w:lang w:val="en-US"/>
        </w:rPr>
        <w:t>corporate</w:t>
      </w:r>
      <w:r w:rsidRPr="00FA4F79">
        <w:rPr>
          <w:lang w:val="en-US"/>
        </w:rPr>
        <w:t xml:space="preserve"> vs. </w:t>
      </w:r>
      <w:r w:rsidRPr="00FA4F79">
        <w:rPr>
          <w:i/>
          <w:lang w:val="en-US"/>
        </w:rPr>
        <w:t>non-corporate</w:t>
      </w:r>
      <w:r w:rsidRPr="00FA4F79">
        <w:rPr>
          <w:lang w:val="en-US"/>
        </w:rPr>
        <w:t xml:space="preserve">) and the differentiated stock (supply) of office units. </w:t>
      </w:r>
      <w:r w:rsidR="00D267F7" w:rsidRPr="00DC75F9">
        <w:rPr>
          <w:color w:val="FF0000"/>
          <w:lang w:val="en-US"/>
        </w:rPr>
        <w:t>Ideally,</w:t>
      </w:r>
      <w:r w:rsidRPr="00DC75F9">
        <w:rPr>
          <w:color w:val="FF0000"/>
          <w:lang w:val="en-US"/>
        </w:rPr>
        <w:t xml:space="preserve"> occupier-related information </w:t>
      </w:r>
      <w:r w:rsidR="005B7392" w:rsidRPr="00DC75F9">
        <w:rPr>
          <w:color w:val="FF0000"/>
          <w:lang w:val="en-US"/>
        </w:rPr>
        <w:t xml:space="preserve">would be required for more accurate classification of </w:t>
      </w:r>
      <w:r w:rsidRPr="00DC75F9">
        <w:rPr>
          <w:color w:val="FF0000"/>
          <w:lang w:val="en-US"/>
        </w:rPr>
        <w:t>these niches. Nonetheless, such data is not available.</w:t>
      </w:r>
    </w:p>
    <w:p w14:paraId="54F0138E" w14:textId="17C3DB4F" w:rsidR="0053171D" w:rsidRPr="00FA4F79" w:rsidRDefault="0053171D" w:rsidP="0053171D">
      <w:pPr>
        <w:tabs>
          <w:tab w:val="left" w:pos="709"/>
          <w:tab w:val="left" w:pos="2187"/>
        </w:tabs>
        <w:spacing w:line="360" w:lineRule="auto"/>
        <w:jc w:val="both"/>
        <w:rPr>
          <w:lang w:val="en-US"/>
        </w:rPr>
      </w:pPr>
      <w:r w:rsidRPr="00FA4F79">
        <w:rPr>
          <w:lang w:val="en-US"/>
        </w:rPr>
        <w:tab/>
      </w:r>
      <w:r>
        <w:rPr>
          <w:lang w:val="en-US"/>
        </w:rPr>
        <w:t>Other real estate experts</w:t>
      </w:r>
      <w:r w:rsidRPr="00FA4F79">
        <w:rPr>
          <w:lang w:val="en-US"/>
        </w:rPr>
        <w:t xml:space="preserve"> often use a given feature or set of features to classify market participants as alternative to overcome this type of limitation. For instance, </w:t>
      </w:r>
      <w:bookmarkStart w:id="2" w:name="_Hlk483673367"/>
      <w:r w:rsidRPr="00FA4F79">
        <w:rPr>
          <w:lang w:val="en-US"/>
        </w:rPr>
        <w:t>JLL</w:t>
      </w:r>
      <w:bookmarkEnd w:id="2"/>
      <w:r w:rsidRPr="00FA4F79">
        <w:rPr>
          <w:lang w:val="en-US"/>
        </w:rPr>
        <w:t xml:space="preserve"> (2016) defines </w:t>
      </w:r>
      <w:r>
        <w:rPr>
          <w:lang w:val="en-US"/>
        </w:rPr>
        <w:t xml:space="preserve">London </w:t>
      </w:r>
      <w:r w:rsidRPr="00FA4F79">
        <w:rPr>
          <w:lang w:val="en-US"/>
        </w:rPr>
        <w:t>prime rent when office properties have a floor plate above 10,000sqft</w:t>
      </w:r>
      <w:r w:rsidR="007D6B53">
        <w:rPr>
          <w:lang w:val="en-US"/>
        </w:rPr>
        <w:t xml:space="preserve"> </w:t>
      </w:r>
      <w:r w:rsidR="007D6B53" w:rsidRPr="007D6B53">
        <w:rPr>
          <w:color w:val="FF0000"/>
          <w:lang w:val="en-US"/>
        </w:rPr>
        <w:t>(929sqm)</w:t>
      </w:r>
      <w:r w:rsidRPr="00FA4F79">
        <w:rPr>
          <w:lang w:val="en-US"/>
        </w:rPr>
        <w:t xml:space="preserve">. The implicit underlying assumption of such threshold is that institutional investors (supply) and </w:t>
      </w:r>
      <w:r w:rsidRPr="00FA4F79">
        <w:rPr>
          <w:i/>
          <w:lang w:val="en-US"/>
        </w:rPr>
        <w:t>corporate</w:t>
      </w:r>
      <w:r w:rsidRPr="00FA4F79">
        <w:rPr>
          <w:lang w:val="en-US"/>
        </w:rPr>
        <w:t xml:space="preserve"> occupiers (demand) interact in properties that have a large floor plate. A potential critique to this backdoor approach is that a building with a large floor plate can have many units per floor </w:t>
      </w:r>
      <w:r w:rsidR="0044424F" w:rsidRPr="00FA4F79">
        <w:rPr>
          <w:lang w:val="en-US"/>
        </w:rPr>
        <w:t>to</w:t>
      </w:r>
      <w:r w:rsidRPr="00FA4F79">
        <w:rPr>
          <w:lang w:val="en-US"/>
        </w:rPr>
        <w:t xml:space="preserve"> accommodate smaller tenants. </w:t>
      </w:r>
    </w:p>
    <w:p w14:paraId="192B1C6F" w14:textId="77777777" w:rsidR="0053171D" w:rsidRPr="00FA4F79" w:rsidRDefault="0053171D" w:rsidP="0053171D">
      <w:pPr>
        <w:tabs>
          <w:tab w:val="left" w:pos="709"/>
          <w:tab w:val="left" w:pos="2187"/>
        </w:tabs>
        <w:spacing w:line="360" w:lineRule="auto"/>
        <w:jc w:val="both"/>
        <w:rPr>
          <w:lang w:val="en-US"/>
        </w:rPr>
      </w:pPr>
      <w:r w:rsidRPr="00FA4F79">
        <w:rPr>
          <w:lang w:val="en-US"/>
        </w:rPr>
        <w:tab/>
        <w:t xml:space="preserve">The advantage of using </w:t>
      </w:r>
      <w:r w:rsidRPr="00FA4F79">
        <w:rPr>
          <w:i/>
          <w:lang w:val="en-US"/>
        </w:rPr>
        <w:t xml:space="preserve">Corporate </w:t>
      </w:r>
      <w:r w:rsidRPr="00FA4F79">
        <w:rPr>
          <w:lang w:val="en-US"/>
        </w:rPr>
        <w:t>as opposed to other structural features, namely gross leasable area or floor plate, is that a leasable unit is the closest definition of usable office space inside a property. The caveat linked to this measure is that c</w:t>
      </w:r>
      <w:r w:rsidRPr="00FA4F79">
        <w:rPr>
          <w:i/>
          <w:lang w:val="en-US"/>
        </w:rPr>
        <w:t>orporate</w:t>
      </w:r>
      <w:r w:rsidRPr="00FA4F79">
        <w:rPr>
          <w:lang w:val="en-US"/>
        </w:rPr>
        <w:t xml:space="preserve"> occupiers may still wish to unify leasable units and occupy a set of adjacent spaces within a </w:t>
      </w:r>
      <w:r w:rsidRPr="00FA4F79">
        <w:rPr>
          <w:i/>
          <w:lang w:val="en-US"/>
        </w:rPr>
        <w:t>smaller occupier</w:t>
      </w:r>
      <w:r w:rsidRPr="00FA4F79">
        <w:rPr>
          <w:lang w:val="en-US"/>
        </w:rPr>
        <w:t xml:space="preserve"> building. Nonetheless, this is the exception rather than the rule. As explained in the previous section, transaction costs to unify spaces are often higher than that of finding an adequate unit elsewhere. </w:t>
      </w:r>
    </w:p>
    <w:p w14:paraId="25EE8CBE" w14:textId="0E4B1299" w:rsidR="0053171D" w:rsidRPr="00F96888" w:rsidRDefault="0053171D" w:rsidP="0053171D">
      <w:pPr>
        <w:tabs>
          <w:tab w:val="left" w:pos="709"/>
          <w:tab w:val="left" w:pos="2187"/>
        </w:tabs>
        <w:spacing w:line="360" w:lineRule="auto"/>
        <w:jc w:val="both"/>
        <w:rPr>
          <w:lang w:val="en-US"/>
        </w:rPr>
      </w:pPr>
      <w:r>
        <w:rPr>
          <w:lang w:val="en-US"/>
        </w:rPr>
        <w:tab/>
      </w:r>
      <w:r w:rsidRPr="00DF6AFF">
        <w:rPr>
          <w:lang w:val="en-US"/>
        </w:rPr>
        <w:t>The data provider, as is custom in the market (</w:t>
      </w:r>
      <w:r w:rsidRPr="00DF6AFF">
        <w:rPr>
          <w:rStyle w:val="apple-converted-space"/>
          <w:lang w:val="en-US"/>
        </w:rPr>
        <w:t>Colliers International, 2014; Credit Suisse, 2016)</w:t>
      </w:r>
      <w:r w:rsidRPr="00DF6AFF">
        <w:rPr>
          <w:lang w:val="en-US"/>
        </w:rPr>
        <w:t xml:space="preserve">, uses a cutoff threshold of 100sqm </w:t>
      </w:r>
      <w:r w:rsidR="007A7E92" w:rsidRPr="007A7E92">
        <w:rPr>
          <w:color w:val="FF0000"/>
          <w:lang w:val="en-US"/>
        </w:rPr>
        <w:t>(1</w:t>
      </w:r>
      <w:r w:rsidR="007A7E92">
        <w:rPr>
          <w:color w:val="FF0000"/>
          <w:lang w:val="en-US"/>
        </w:rPr>
        <w:t>,</w:t>
      </w:r>
      <w:r w:rsidR="007A7E92" w:rsidRPr="007A7E92">
        <w:rPr>
          <w:color w:val="FF0000"/>
          <w:lang w:val="en-US"/>
        </w:rPr>
        <w:t>076sqft)</w:t>
      </w:r>
      <w:r w:rsidR="007A7E92">
        <w:rPr>
          <w:lang w:val="en-US"/>
        </w:rPr>
        <w:t xml:space="preserve"> </w:t>
      </w:r>
      <w:r w:rsidRPr="00DF6AFF">
        <w:rPr>
          <w:lang w:val="en-US"/>
        </w:rPr>
        <w:t xml:space="preserve">for the average size of leasable areas. This variable is often used to identify properties more likely to house large corporate tenants. Properties with average leasable units above this number are defined as </w:t>
      </w:r>
      <w:r w:rsidRPr="00DF6AFF">
        <w:rPr>
          <w:i/>
          <w:lang w:val="en-US"/>
        </w:rPr>
        <w:t xml:space="preserve">corporate </w:t>
      </w:r>
      <w:r w:rsidRPr="00DF6AFF">
        <w:rPr>
          <w:lang w:val="en-US"/>
        </w:rPr>
        <w:t xml:space="preserve">(1) and the remainder as </w:t>
      </w:r>
      <w:r w:rsidRPr="00DF6AFF">
        <w:rPr>
          <w:i/>
          <w:lang w:val="en-US"/>
        </w:rPr>
        <w:t xml:space="preserve">non-corporate </w:t>
      </w:r>
      <w:r w:rsidRPr="00DF6AFF">
        <w:rPr>
          <w:lang w:val="en-US"/>
        </w:rPr>
        <w:t xml:space="preserve">(0). </w:t>
      </w:r>
      <w:r w:rsidRPr="00A42891">
        <w:rPr>
          <w:lang w:val="en-US"/>
        </w:rPr>
        <w:t xml:space="preserve">The dichotomous nature of </w:t>
      </w:r>
      <w:r w:rsidR="000B6EF3">
        <w:rPr>
          <w:lang w:val="en-US"/>
        </w:rPr>
        <w:t>this</w:t>
      </w:r>
      <w:r w:rsidRPr="00886139">
        <w:rPr>
          <w:lang w:val="en-US"/>
        </w:rPr>
        <w:t xml:space="preserve"> niche variable also brings about some caveats to </w:t>
      </w:r>
      <w:r w:rsidR="000B6EF3">
        <w:rPr>
          <w:lang w:val="en-US"/>
        </w:rPr>
        <w:t>the</w:t>
      </w:r>
      <w:r w:rsidRPr="00886139">
        <w:rPr>
          <w:lang w:val="en-US"/>
        </w:rPr>
        <w:t xml:space="preserve"> empirical estimates, especially when </w:t>
      </w:r>
      <w:r w:rsidR="00254F45">
        <w:rPr>
          <w:lang w:val="en-US"/>
        </w:rPr>
        <w:t>considering</w:t>
      </w:r>
      <w:r w:rsidRPr="00886139">
        <w:rPr>
          <w:lang w:val="en-US"/>
        </w:rPr>
        <w:t xml:space="preserve"> buildings that are very close to this threshold. It may be preferable to test other cutoffs (e.g. 200sqm</w:t>
      </w:r>
      <w:r w:rsidR="007A7E92" w:rsidRPr="007A7E92">
        <w:rPr>
          <w:color w:val="FF0000"/>
          <w:lang w:val="en-US"/>
        </w:rPr>
        <w:t>/</w:t>
      </w:r>
      <w:r w:rsidR="007A7E92">
        <w:rPr>
          <w:color w:val="FF0000"/>
          <w:lang w:val="en-US"/>
        </w:rPr>
        <w:t>2,153sqft</w:t>
      </w:r>
      <w:r w:rsidRPr="00886139">
        <w:rPr>
          <w:lang w:val="en-US"/>
        </w:rPr>
        <w:t xml:space="preserve"> or 300sqm</w:t>
      </w:r>
      <w:r w:rsidR="007A7E92" w:rsidRPr="007A7E92">
        <w:rPr>
          <w:color w:val="FF0000"/>
          <w:lang w:val="en-US"/>
        </w:rPr>
        <w:t>/</w:t>
      </w:r>
      <w:r w:rsidR="007A7E92">
        <w:rPr>
          <w:color w:val="FF0000"/>
          <w:lang w:val="en-US"/>
        </w:rPr>
        <w:t>3,229sqft</w:t>
      </w:r>
      <w:r w:rsidRPr="00886139">
        <w:rPr>
          <w:lang w:val="en-US"/>
        </w:rPr>
        <w:t>) or have several unit size categories. However, the lack of alternative</w:t>
      </w:r>
      <w:r w:rsidR="00254F45">
        <w:rPr>
          <w:lang w:val="en-US"/>
        </w:rPr>
        <w:t>,</w:t>
      </w:r>
      <w:r w:rsidRPr="00886139">
        <w:rPr>
          <w:lang w:val="en-US"/>
        </w:rPr>
        <w:t xml:space="preserve"> and potentially imprecise</w:t>
      </w:r>
      <w:r w:rsidR="00254F45">
        <w:rPr>
          <w:lang w:val="en-US"/>
        </w:rPr>
        <w:t>,</w:t>
      </w:r>
      <w:r w:rsidRPr="00886139">
        <w:rPr>
          <w:lang w:val="en-US"/>
        </w:rPr>
        <w:t xml:space="preserve"> </w:t>
      </w:r>
      <w:r w:rsidRPr="00F96888">
        <w:rPr>
          <w:lang w:val="en-US"/>
        </w:rPr>
        <w:t xml:space="preserve">cutoffs does not jeopardize the empirical testing of </w:t>
      </w:r>
      <w:r w:rsidR="00254F45">
        <w:rPr>
          <w:lang w:val="en-US"/>
        </w:rPr>
        <w:t>the</w:t>
      </w:r>
      <w:r w:rsidRPr="00F96888">
        <w:rPr>
          <w:lang w:val="en-US"/>
        </w:rPr>
        <w:t xml:space="preserve"> broader hypothesis</w:t>
      </w:r>
      <w:r w:rsidR="00254F45">
        <w:rPr>
          <w:lang w:val="en-US"/>
        </w:rPr>
        <w:t>:</w:t>
      </w:r>
      <w:r w:rsidRPr="00F96888">
        <w:rPr>
          <w:lang w:val="en-US"/>
        </w:rPr>
        <w:t xml:space="preserve"> </w:t>
      </w:r>
      <w:r w:rsidRPr="00F96888">
        <w:rPr>
          <w:i/>
          <w:lang w:val="en-US"/>
        </w:rPr>
        <w:t>corporate</w:t>
      </w:r>
      <w:r w:rsidRPr="00F96888">
        <w:rPr>
          <w:lang w:val="en-US"/>
        </w:rPr>
        <w:t xml:space="preserve"> and </w:t>
      </w:r>
      <w:r w:rsidRPr="00F96888">
        <w:rPr>
          <w:i/>
          <w:lang w:val="en-US"/>
        </w:rPr>
        <w:t>non-corporate</w:t>
      </w:r>
      <w:r w:rsidRPr="00F96888">
        <w:rPr>
          <w:lang w:val="en-US"/>
        </w:rPr>
        <w:t xml:space="preserve"> tenants have fundamentally different underlying valuation functions for the same property characteristics.</w:t>
      </w:r>
    </w:p>
    <w:p w14:paraId="4B9A1443" w14:textId="28FFF962" w:rsidR="0053171D" w:rsidRPr="00DE0337" w:rsidRDefault="0053171D" w:rsidP="0053171D">
      <w:pPr>
        <w:tabs>
          <w:tab w:val="left" w:pos="709"/>
        </w:tabs>
        <w:spacing w:line="360" w:lineRule="auto"/>
        <w:jc w:val="both"/>
        <w:rPr>
          <w:lang w:val="en-US"/>
        </w:rPr>
      </w:pPr>
      <w:r w:rsidRPr="00F96888">
        <w:rPr>
          <w:lang w:val="en-US"/>
        </w:rPr>
        <w:tab/>
        <w:t xml:space="preserve">The descriptive statistics are displayed in </w:t>
      </w:r>
      <w:r w:rsidRPr="00293430">
        <w:rPr>
          <w:color w:val="FF0000"/>
          <w:lang w:val="en-US"/>
        </w:rPr>
        <w:t>Table 3</w:t>
      </w:r>
      <w:r w:rsidRPr="00F96888">
        <w:rPr>
          <w:lang w:val="en-US"/>
        </w:rPr>
        <w:t>. At a glance, there are some discrepancies on attributes when we evaluate properties based</w:t>
      </w:r>
      <w:r w:rsidRPr="00DE0337">
        <w:rPr>
          <w:lang w:val="en-US"/>
        </w:rPr>
        <w:t xml:space="preserve"> on building classes and office units. Buildings with bigger office units also tend to be larger, but this is not necessarily true across all building classes. The mean size of </w:t>
      </w:r>
      <w:r w:rsidRPr="00DE0337">
        <w:rPr>
          <w:i/>
          <w:lang w:val="en-US"/>
        </w:rPr>
        <w:t>corporate</w:t>
      </w:r>
      <w:r w:rsidRPr="00DE0337">
        <w:rPr>
          <w:lang w:val="en-US"/>
        </w:rPr>
        <w:t xml:space="preserve"> buildings is 7,935sqm </w:t>
      </w:r>
      <w:r w:rsidR="007D6B53" w:rsidRPr="007A7E92">
        <w:rPr>
          <w:color w:val="FF0000"/>
          <w:lang w:val="en-US"/>
        </w:rPr>
        <w:t>(</w:t>
      </w:r>
      <w:r w:rsidR="007D6B53">
        <w:rPr>
          <w:color w:val="FF0000"/>
          <w:lang w:val="en-US"/>
        </w:rPr>
        <w:t>8</w:t>
      </w:r>
      <w:r w:rsidR="007D6B53" w:rsidRPr="007A7E92">
        <w:rPr>
          <w:color w:val="FF0000"/>
          <w:lang w:val="en-US"/>
        </w:rPr>
        <w:t>5,</w:t>
      </w:r>
      <w:r w:rsidR="007D6B53">
        <w:rPr>
          <w:color w:val="FF0000"/>
          <w:lang w:val="en-US"/>
        </w:rPr>
        <w:t>4</w:t>
      </w:r>
      <w:r w:rsidR="007D6B53" w:rsidRPr="007A7E92">
        <w:rPr>
          <w:color w:val="FF0000"/>
          <w:lang w:val="en-US"/>
        </w:rPr>
        <w:t>1</w:t>
      </w:r>
      <w:r w:rsidR="007D6B53">
        <w:rPr>
          <w:color w:val="FF0000"/>
          <w:lang w:val="en-US"/>
        </w:rPr>
        <w:t>1</w:t>
      </w:r>
      <w:r w:rsidR="007D6B53" w:rsidRPr="007A7E92">
        <w:rPr>
          <w:color w:val="FF0000"/>
          <w:lang w:val="en-US"/>
        </w:rPr>
        <w:t>sqft)</w:t>
      </w:r>
      <w:r w:rsidR="007D6B53">
        <w:rPr>
          <w:color w:val="FF0000"/>
          <w:lang w:val="en-US"/>
        </w:rPr>
        <w:t xml:space="preserve"> </w:t>
      </w:r>
      <w:r w:rsidRPr="00DE0337">
        <w:rPr>
          <w:lang w:val="en-US"/>
        </w:rPr>
        <w:t xml:space="preserve">while that of </w:t>
      </w:r>
      <w:r w:rsidRPr="00DE0337">
        <w:rPr>
          <w:i/>
          <w:lang w:val="en-US"/>
        </w:rPr>
        <w:t>smaller occupier</w:t>
      </w:r>
      <w:r w:rsidRPr="00DE0337">
        <w:rPr>
          <w:lang w:val="en-US"/>
        </w:rPr>
        <w:t xml:space="preserve"> properties is 4,182sqm</w:t>
      </w:r>
      <w:r w:rsidR="007A7E92">
        <w:rPr>
          <w:lang w:val="en-US"/>
        </w:rPr>
        <w:t xml:space="preserve"> </w:t>
      </w:r>
      <w:r w:rsidR="007A7E92" w:rsidRPr="007A7E92">
        <w:rPr>
          <w:color w:val="FF0000"/>
          <w:lang w:val="en-US"/>
        </w:rPr>
        <w:t>(45,014sqft)</w:t>
      </w:r>
      <w:r w:rsidRPr="00DE0337">
        <w:rPr>
          <w:lang w:val="en-US"/>
        </w:rPr>
        <w:t xml:space="preserve">; however, AA- and BB-rated assets in the </w:t>
      </w:r>
      <w:r w:rsidRPr="00DE0337">
        <w:rPr>
          <w:i/>
          <w:lang w:val="en-US"/>
        </w:rPr>
        <w:t>non-corporate</w:t>
      </w:r>
      <w:r w:rsidRPr="00DE0337">
        <w:rPr>
          <w:lang w:val="en-US"/>
        </w:rPr>
        <w:t xml:space="preserve"> segment are on average slightly larger than their </w:t>
      </w:r>
      <w:r w:rsidRPr="00DE0337">
        <w:rPr>
          <w:i/>
          <w:lang w:val="en-US"/>
        </w:rPr>
        <w:t>corporate</w:t>
      </w:r>
      <w:r w:rsidRPr="00DE0337">
        <w:rPr>
          <w:lang w:val="en-US"/>
        </w:rPr>
        <w:t xml:space="preserve"> peers.</w:t>
      </w:r>
    </w:p>
    <w:p w14:paraId="710833DD" w14:textId="3963C5ED" w:rsidR="0053171D" w:rsidRDefault="0053171D" w:rsidP="0053171D">
      <w:pPr>
        <w:tabs>
          <w:tab w:val="left" w:pos="709"/>
        </w:tabs>
        <w:spacing w:line="360" w:lineRule="auto"/>
        <w:jc w:val="both"/>
        <w:rPr>
          <w:lang w:val="en-US"/>
        </w:rPr>
      </w:pPr>
      <w:r w:rsidRPr="00DE0337">
        <w:rPr>
          <w:lang w:val="en-US"/>
        </w:rPr>
        <w:tab/>
        <w:t xml:space="preserve">Top-tier properties also tend to be larger and newer regardless of the segmentation based on office units. </w:t>
      </w:r>
      <w:r w:rsidRPr="00DE0337">
        <w:rPr>
          <w:i/>
          <w:lang w:val="en-US"/>
        </w:rPr>
        <w:t>Corporate</w:t>
      </w:r>
      <w:r w:rsidRPr="00DE0337">
        <w:rPr>
          <w:lang w:val="en-US"/>
        </w:rPr>
        <w:t xml:space="preserve"> AAA and AA buildings have, respectively, mean sizes of 36,973</w:t>
      </w:r>
      <w:r w:rsidR="007D6B53">
        <w:rPr>
          <w:lang w:val="en-US"/>
        </w:rPr>
        <w:t>sqm</w:t>
      </w:r>
      <w:r w:rsidRPr="00DE0337">
        <w:rPr>
          <w:lang w:val="en-US"/>
        </w:rPr>
        <w:t xml:space="preserve"> </w:t>
      </w:r>
      <w:r w:rsidR="007D6B53" w:rsidRPr="007D6B53">
        <w:rPr>
          <w:color w:val="FF0000"/>
          <w:lang w:val="en-US"/>
        </w:rPr>
        <w:t>(397,974</w:t>
      </w:r>
      <w:r w:rsidR="007D6B53">
        <w:rPr>
          <w:color w:val="FF0000"/>
          <w:lang w:val="en-US"/>
        </w:rPr>
        <w:t>sqft</w:t>
      </w:r>
      <w:r w:rsidR="007D6B53" w:rsidRPr="007D6B53">
        <w:rPr>
          <w:color w:val="FF0000"/>
          <w:lang w:val="en-US"/>
        </w:rPr>
        <w:t>)</w:t>
      </w:r>
      <w:r w:rsidR="007D6B53">
        <w:rPr>
          <w:lang w:val="en-US"/>
        </w:rPr>
        <w:t xml:space="preserve"> </w:t>
      </w:r>
      <w:r w:rsidRPr="00DE0337">
        <w:rPr>
          <w:lang w:val="en-US"/>
        </w:rPr>
        <w:t>and 19,952</w:t>
      </w:r>
      <w:r w:rsidR="007D6B53">
        <w:rPr>
          <w:lang w:val="en-US"/>
        </w:rPr>
        <w:t>sqm</w:t>
      </w:r>
      <w:r w:rsidRPr="00DE0337">
        <w:rPr>
          <w:lang w:val="en-US"/>
        </w:rPr>
        <w:t xml:space="preserve"> </w:t>
      </w:r>
      <w:r w:rsidR="007D6B53" w:rsidRPr="007D6B53">
        <w:rPr>
          <w:color w:val="FF0000"/>
          <w:lang w:val="en-US"/>
        </w:rPr>
        <w:t>(214,761sqft)</w:t>
      </w:r>
      <w:r w:rsidRPr="00DE0337">
        <w:rPr>
          <w:lang w:val="en-US"/>
        </w:rPr>
        <w:t xml:space="preserve">. The comparable figure for </w:t>
      </w:r>
      <w:r w:rsidRPr="00DE0337">
        <w:rPr>
          <w:i/>
          <w:lang w:val="en-US"/>
        </w:rPr>
        <w:t>non-corporate</w:t>
      </w:r>
      <w:r w:rsidRPr="00DE0337">
        <w:rPr>
          <w:lang w:val="en-US"/>
        </w:rPr>
        <w:t xml:space="preserve"> AA properties is 21,644sqm</w:t>
      </w:r>
      <w:r w:rsidR="007D6B53">
        <w:rPr>
          <w:lang w:val="en-US"/>
        </w:rPr>
        <w:t xml:space="preserve"> </w:t>
      </w:r>
      <w:r w:rsidR="007D6B53" w:rsidRPr="007D6B53">
        <w:rPr>
          <w:color w:val="FF0000"/>
          <w:lang w:val="en-US"/>
        </w:rPr>
        <w:t>(233,189sqft)</w:t>
      </w:r>
      <w:r w:rsidRPr="00DE0337">
        <w:rPr>
          <w:lang w:val="en-US"/>
        </w:rPr>
        <w:t xml:space="preserve">. The average age of higher-end buildings in both segments is well below the sample mean. These </w:t>
      </w:r>
      <w:r w:rsidRPr="00DE0337">
        <w:rPr>
          <w:rFonts w:eastAsia="Times New Roman"/>
          <w:lang w:val="en-US"/>
        </w:rPr>
        <w:t xml:space="preserve">stylized facts </w:t>
      </w:r>
      <w:r w:rsidRPr="00DE0337">
        <w:rPr>
          <w:lang w:val="en-US"/>
        </w:rPr>
        <w:t>reinforce the need to consider property-type segments whe</w:t>
      </w:r>
      <w:r>
        <w:rPr>
          <w:lang w:val="en-US"/>
        </w:rPr>
        <w:t>n studying building attributes.</w:t>
      </w:r>
    </w:p>
    <w:p w14:paraId="5650A08C" w14:textId="77777777" w:rsidR="009557EA" w:rsidRDefault="009557EA" w:rsidP="0053171D">
      <w:pPr>
        <w:tabs>
          <w:tab w:val="left" w:pos="709"/>
        </w:tabs>
        <w:spacing w:line="360" w:lineRule="auto"/>
        <w:jc w:val="both"/>
        <w:rPr>
          <w:lang w:val="en-US"/>
        </w:rPr>
      </w:pPr>
    </w:p>
    <w:p w14:paraId="2E209616" w14:textId="6F0C5CF6" w:rsidR="0053171D" w:rsidRPr="00DE0337" w:rsidRDefault="00B064C6" w:rsidP="007F4AC7">
      <w:pPr>
        <w:tabs>
          <w:tab w:val="left" w:pos="709"/>
        </w:tabs>
        <w:spacing w:before="120" w:after="120" w:line="360" w:lineRule="auto"/>
        <w:jc w:val="center"/>
        <w:rPr>
          <w:rFonts w:eastAsia="Times New Roman"/>
          <w:lang w:val="en-US"/>
        </w:rPr>
      </w:pPr>
      <w:r>
        <w:rPr>
          <w:lang w:val="en-US"/>
        </w:rPr>
        <w:t>[TABLE 3 HERE]</w:t>
      </w:r>
    </w:p>
    <w:p w14:paraId="332A93DF" w14:textId="77777777" w:rsidR="0053171D" w:rsidRDefault="0053171D" w:rsidP="0053171D">
      <w:pPr>
        <w:tabs>
          <w:tab w:val="left" w:pos="709"/>
        </w:tabs>
        <w:spacing w:before="120" w:after="120" w:line="360" w:lineRule="auto"/>
        <w:jc w:val="both"/>
        <w:rPr>
          <w:rFonts w:eastAsia="Times New Roman"/>
          <w:lang w:val="en-US"/>
        </w:rPr>
      </w:pPr>
      <w:r w:rsidRPr="00DE0337">
        <w:rPr>
          <w:rFonts w:eastAsia="Times New Roman"/>
          <w:lang w:val="en-US"/>
        </w:rPr>
        <w:tab/>
        <w:t xml:space="preserve">Without controlling for differences between building classes, top-tier properties have higher asking rent than lower-end peers. Nevertheless, this indicator is not uniformly distributed across office space segments. Mean </w:t>
      </w:r>
      <w:r w:rsidRPr="00DE0337">
        <w:rPr>
          <w:i/>
          <w:lang w:val="en-US"/>
        </w:rPr>
        <w:t>Rent</w:t>
      </w:r>
      <w:r w:rsidRPr="00DE0337">
        <w:rPr>
          <w:rFonts w:eastAsia="Times New Roman"/>
          <w:lang w:val="en-US"/>
        </w:rPr>
        <w:t xml:space="preserve"> figures on C-rated buildings are fairly similar in both </w:t>
      </w:r>
      <w:r w:rsidRPr="00DE0337">
        <w:rPr>
          <w:rFonts w:eastAsia="Times New Roman"/>
          <w:i/>
          <w:lang w:val="en-US"/>
        </w:rPr>
        <w:t>corporate</w:t>
      </w:r>
      <w:r w:rsidRPr="00DE0337">
        <w:rPr>
          <w:rFonts w:eastAsia="Times New Roman"/>
          <w:lang w:val="en-US"/>
        </w:rPr>
        <w:t xml:space="preserve"> and </w:t>
      </w:r>
      <w:r w:rsidRPr="00DE0337">
        <w:rPr>
          <w:rFonts w:eastAsia="Times New Roman"/>
          <w:i/>
          <w:lang w:val="en-US"/>
        </w:rPr>
        <w:t>smaller occupier</w:t>
      </w:r>
      <w:r w:rsidRPr="00DE0337">
        <w:rPr>
          <w:rFonts w:eastAsia="Times New Roman"/>
          <w:lang w:val="en-US"/>
        </w:rPr>
        <w:t xml:space="preserve"> niches (BRL 32.73 vs. 34.32). At the same time, BB-rated properties have on average larger </w:t>
      </w:r>
      <w:r w:rsidRPr="00DE0337">
        <w:rPr>
          <w:i/>
          <w:lang w:val="en-US"/>
        </w:rPr>
        <w:t>Rent</w:t>
      </w:r>
      <w:r w:rsidRPr="00DE0337">
        <w:rPr>
          <w:rFonts w:eastAsia="Times New Roman"/>
          <w:lang w:val="en-US"/>
        </w:rPr>
        <w:t xml:space="preserve"> in the </w:t>
      </w:r>
      <w:r w:rsidRPr="00DE0337">
        <w:rPr>
          <w:rFonts w:eastAsia="Times New Roman"/>
          <w:i/>
          <w:lang w:val="en-US"/>
        </w:rPr>
        <w:t>corporate</w:t>
      </w:r>
      <w:r w:rsidRPr="00DE0337">
        <w:rPr>
          <w:rFonts w:eastAsia="Times New Roman"/>
          <w:lang w:val="en-US"/>
        </w:rPr>
        <w:t xml:space="preserve"> segment (BRL 49.71 vs. 37.59). This gap continues to widen as we compare higher-end buildings. For instance, mean </w:t>
      </w:r>
      <w:r w:rsidRPr="00DE0337">
        <w:rPr>
          <w:i/>
          <w:lang w:val="en-US"/>
        </w:rPr>
        <w:t>Rent</w:t>
      </w:r>
      <w:r w:rsidRPr="00DE0337">
        <w:rPr>
          <w:rFonts w:eastAsia="Times New Roman"/>
          <w:lang w:val="en-US"/>
        </w:rPr>
        <w:t xml:space="preserve"> on AA-rated buildings the </w:t>
      </w:r>
      <w:r w:rsidRPr="00DE0337">
        <w:rPr>
          <w:rFonts w:eastAsia="Times New Roman"/>
          <w:i/>
          <w:lang w:val="en-US"/>
        </w:rPr>
        <w:t>corporate</w:t>
      </w:r>
      <w:r w:rsidRPr="00DE0337">
        <w:rPr>
          <w:rFonts w:eastAsia="Times New Roman"/>
          <w:lang w:val="en-US"/>
        </w:rPr>
        <w:t xml:space="preserve"> and </w:t>
      </w:r>
      <w:r w:rsidRPr="00DE0337">
        <w:rPr>
          <w:rFonts w:eastAsia="Times New Roman"/>
          <w:i/>
          <w:lang w:val="en-US"/>
        </w:rPr>
        <w:t>smaller occupier</w:t>
      </w:r>
      <w:r w:rsidRPr="00DE0337">
        <w:rPr>
          <w:rFonts w:eastAsia="Times New Roman"/>
          <w:lang w:val="en-US"/>
        </w:rPr>
        <w:t xml:space="preserve"> niches are, respectively, BRL 106.95 and 84.87. These preliminary indicators suggest that segmentation solely based on building class may not be sufficient as high-end properties could have an incremental premium assoc</w:t>
      </w:r>
      <w:r>
        <w:rPr>
          <w:rFonts w:eastAsia="Times New Roman"/>
          <w:lang w:val="en-US"/>
        </w:rPr>
        <w:t>iated with larger office space.</w:t>
      </w:r>
    </w:p>
    <w:p w14:paraId="0377AF9A" w14:textId="77777777" w:rsidR="0053171D" w:rsidRPr="00AD46F7" w:rsidRDefault="0053171D" w:rsidP="00AD46F7">
      <w:pPr>
        <w:pStyle w:val="ecxmsonormal"/>
        <w:shd w:val="clear" w:color="auto" w:fill="FFFFFF"/>
        <w:tabs>
          <w:tab w:val="left" w:pos="284"/>
        </w:tabs>
        <w:spacing w:before="120" w:beforeAutospacing="0" w:after="120" w:afterAutospacing="0" w:line="360" w:lineRule="auto"/>
        <w:jc w:val="both"/>
        <w:rPr>
          <w:i/>
        </w:rPr>
      </w:pPr>
      <w:r w:rsidRPr="00AD46F7">
        <w:rPr>
          <w:bCs/>
          <w:i/>
          <w:noProof w:val="0"/>
        </w:rPr>
        <w:t>Model Specification</w:t>
      </w:r>
    </w:p>
    <w:p w14:paraId="21985567" w14:textId="7CDC8A9E" w:rsidR="0053171D" w:rsidRPr="00B35D90" w:rsidRDefault="0053171D" w:rsidP="0053171D">
      <w:pPr>
        <w:tabs>
          <w:tab w:val="left" w:pos="709"/>
        </w:tabs>
        <w:spacing w:line="360" w:lineRule="auto"/>
        <w:contextualSpacing/>
        <w:jc w:val="both"/>
        <w:rPr>
          <w:lang w:val="en-US" w:eastAsia="pt-BR"/>
        </w:rPr>
      </w:pPr>
      <w:r w:rsidRPr="00B35D90">
        <w:rPr>
          <w:lang w:val="en-US" w:eastAsia="pt-BR"/>
        </w:rPr>
        <w:t xml:space="preserve">Following Berry </w:t>
      </w:r>
      <w:r w:rsidRPr="00B35D90">
        <w:rPr>
          <w:i/>
          <w:lang w:val="en-US" w:eastAsia="pt-BR"/>
        </w:rPr>
        <w:t>et al.</w:t>
      </w:r>
      <w:r w:rsidRPr="00B35D90">
        <w:rPr>
          <w:lang w:val="en-US" w:eastAsia="pt-BR"/>
        </w:rPr>
        <w:t xml:space="preserve"> (2003) and </w:t>
      </w:r>
      <w:r w:rsidRPr="00B35D90">
        <w:rPr>
          <w:lang w:val="en-US"/>
        </w:rPr>
        <w:t>Hardin and Carr (2006)</w:t>
      </w:r>
      <w:r w:rsidRPr="00B35D90">
        <w:rPr>
          <w:lang w:val="en-US" w:eastAsia="pt-BR"/>
        </w:rPr>
        <w:t xml:space="preserve">, we define three sets of determinants to compare how different users value </w:t>
      </w:r>
      <w:r w:rsidRPr="00B35D90">
        <w:rPr>
          <w:i/>
          <w:lang w:val="en-US" w:eastAsia="pt-BR"/>
        </w:rPr>
        <w:t>corporate</w:t>
      </w:r>
      <w:r w:rsidRPr="00B35D90">
        <w:rPr>
          <w:lang w:val="en-US" w:eastAsia="pt-BR"/>
        </w:rPr>
        <w:t xml:space="preserve"> and </w:t>
      </w:r>
      <w:r w:rsidRPr="00B35D90">
        <w:rPr>
          <w:i/>
          <w:lang w:val="en-US" w:eastAsia="pt-BR"/>
        </w:rPr>
        <w:t>smaller</w:t>
      </w:r>
      <w:r w:rsidRPr="00B35D90">
        <w:rPr>
          <w:lang w:val="en-US" w:eastAsia="pt-BR"/>
        </w:rPr>
        <w:t xml:space="preserve"> </w:t>
      </w:r>
      <w:r w:rsidRPr="00B35D90">
        <w:rPr>
          <w:i/>
          <w:lang w:val="en-US" w:eastAsia="pt-BR"/>
        </w:rPr>
        <w:t>occupier</w:t>
      </w:r>
      <w:r w:rsidRPr="00B35D90">
        <w:rPr>
          <w:lang w:val="en-US" w:eastAsia="pt-BR"/>
        </w:rPr>
        <w:t xml:space="preserve"> properties: physical attributes, location and response to economic fluctuations. These authors suggest that distinct segments can be defined based on implicit pricing differentials across these categories of variables.</w:t>
      </w:r>
      <w:r w:rsidR="00293430">
        <w:rPr>
          <w:lang w:val="en-US" w:eastAsia="pt-BR"/>
        </w:rPr>
        <w:t xml:space="preserve"> </w:t>
      </w:r>
    </w:p>
    <w:p w14:paraId="6C111B92" w14:textId="65B7EFCA" w:rsidR="0053171D" w:rsidRPr="00DE0337" w:rsidRDefault="0053171D" w:rsidP="0053171D">
      <w:pPr>
        <w:tabs>
          <w:tab w:val="left" w:pos="709"/>
        </w:tabs>
        <w:spacing w:line="360" w:lineRule="auto"/>
        <w:contextualSpacing/>
        <w:jc w:val="both"/>
        <w:rPr>
          <w:lang w:val="en-US"/>
        </w:rPr>
      </w:pPr>
      <w:r w:rsidRPr="00B35D90">
        <w:rPr>
          <w:lang w:val="en-US" w:eastAsia="pt-BR"/>
        </w:rPr>
        <w:tab/>
        <w:t xml:space="preserve">We assess these gaps by </w:t>
      </w:r>
      <w:r w:rsidRPr="00B35D90">
        <w:rPr>
          <w:lang w:val="en-US"/>
        </w:rPr>
        <w:t xml:space="preserve">stratifying data based on the average size of office units as defined by the </w:t>
      </w:r>
      <w:r w:rsidRPr="00B35D90">
        <w:rPr>
          <w:i/>
          <w:lang w:val="en-US"/>
        </w:rPr>
        <w:t>Corporate</w:t>
      </w:r>
      <w:r w:rsidRPr="00B35D90">
        <w:rPr>
          <w:lang w:val="en-US"/>
        </w:rPr>
        <w:t xml:space="preserve"> dummy. </w:t>
      </w:r>
      <w:r w:rsidR="006970BA">
        <w:rPr>
          <w:lang w:val="en-US"/>
        </w:rPr>
        <w:t xml:space="preserve">The </w:t>
      </w:r>
      <w:r w:rsidRPr="00B35D90">
        <w:rPr>
          <w:lang w:val="en-US"/>
        </w:rPr>
        <w:t xml:space="preserve">quintessential log-linear hedonic model </w:t>
      </w:r>
      <w:r w:rsidR="006970BA">
        <w:rPr>
          <w:lang w:val="en-US"/>
        </w:rPr>
        <w:t xml:space="preserve">employed </w:t>
      </w:r>
      <w:r w:rsidRPr="00B35D90">
        <w:rPr>
          <w:lang w:val="en-US"/>
        </w:rPr>
        <w:t>takes the following form</w:t>
      </w:r>
      <w:r w:rsidR="00293430">
        <w:rPr>
          <w:lang w:val="en-US"/>
        </w:rPr>
        <w:t xml:space="preserve">. </w:t>
      </w:r>
    </w:p>
    <w:p w14:paraId="675B90FF" w14:textId="77777777" w:rsidR="0053171D" w:rsidRPr="00DE0337" w:rsidRDefault="0053171D" w:rsidP="0053171D">
      <w:pPr>
        <w:pStyle w:val="ecxmsonormal"/>
        <w:shd w:val="clear" w:color="auto" w:fill="FFFFFF"/>
        <w:tabs>
          <w:tab w:val="left" w:pos="1701"/>
        </w:tabs>
        <w:spacing w:before="120" w:beforeAutospacing="0" w:after="120" w:afterAutospacing="0" w:line="360" w:lineRule="auto"/>
        <w:jc w:val="both"/>
        <w:rPr>
          <w:noProof w:val="0"/>
        </w:rPr>
      </w:pPr>
    </w:p>
    <w:tbl>
      <w:tblPr>
        <w:tblStyle w:val="TableGrid"/>
        <w:tblW w:w="8473"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72"/>
        <w:gridCol w:w="501"/>
      </w:tblGrid>
      <w:tr w:rsidR="0053171D" w:rsidRPr="00DE0337" w14:paraId="25004C0A" w14:textId="77777777" w:rsidTr="007F4AC7">
        <w:trPr>
          <w:trHeight w:val="308"/>
        </w:trPr>
        <w:tc>
          <w:tcPr>
            <w:tcW w:w="7972" w:type="dxa"/>
          </w:tcPr>
          <w:p w14:paraId="3ED66246" w14:textId="77777777" w:rsidR="0053171D" w:rsidRPr="00DE0337" w:rsidRDefault="006E4ADA" w:rsidP="00740AB9">
            <w:pPr>
              <w:tabs>
                <w:tab w:val="left" w:pos="1701"/>
              </w:tabs>
              <w:spacing w:before="120" w:after="120" w:line="360" w:lineRule="auto"/>
              <w:jc w:val="center"/>
              <w:rPr>
                <w:lang w:val="en-US"/>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imt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imt</m:t>
                    </m:r>
                  </m:sub>
                </m:sSub>
                <m:r>
                  <w:rPr>
                    <w:rFonts w:ascii="Cambria Math" w:eastAsiaTheme="minorEastAsia"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n</m:t>
                        </m:r>
                      </m:sub>
                    </m:sSub>
                    <m:r>
                      <w:rPr>
                        <w:rFonts w:ascii="Cambria Math" w:hAnsi="Cambria Math"/>
                        <w:lang w:val="en-US"/>
                      </w:rPr>
                      <m:t>Z</m:t>
                    </m:r>
                  </m:e>
                  <m:sub>
                    <m:r>
                      <w:rPr>
                        <w:rFonts w:ascii="Cambria Math" w:hAnsi="Cambria Math"/>
                        <w:lang w:val="en-US"/>
                      </w:rPr>
                      <m:t>imt</m:t>
                    </m:r>
                  </m:sub>
                </m:sSub>
                <m:r>
                  <w:rPr>
                    <w:rFonts w:ascii="Cambria Math" w:eastAsiaTheme="minorEastAsia"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n</m:t>
                        </m:r>
                      </m:sub>
                    </m:sSub>
                    <m:r>
                      <w:rPr>
                        <w:rFonts w:ascii="Cambria Math" w:hAnsi="Cambria Math"/>
                        <w:lang w:val="en-US"/>
                      </w:rPr>
                      <m:t>D</m:t>
                    </m:r>
                  </m:e>
                  <m:sub>
                    <m:r>
                      <w:rPr>
                        <w:rFonts w:ascii="Cambria Math" w:hAnsi="Cambria Math"/>
                        <w:lang w:val="en-US"/>
                      </w:rPr>
                      <m:t>m</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n</m:t>
                        </m:r>
                      </m:sub>
                    </m:sSub>
                    <m:r>
                      <w:rPr>
                        <w:rFonts w:ascii="Cambria Math" w:hAnsi="Cambria Math"/>
                        <w:lang w:val="en-US"/>
                      </w:rPr>
                      <m:t>D</m:t>
                    </m:r>
                  </m:e>
                  <m:sub>
                    <m:r>
                      <w:rPr>
                        <w:rFonts w:ascii="Cambria Math" w:hAnsi="Cambria Math"/>
                        <w:lang w:val="en-US"/>
                      </w:rPr>
                      <m:t>t</m:t>
                    </m:r>
                  </m:sub>
                </m:sSub>
                <m:r>
                  <w:rPr>
                    <w:rFonts w:ascii="Cambria Math" w:eastAsiaTheme="minorEastAsia" w:hAnsi="Cambria Math"/>
                    <w:lang w:val="en-US"/>
                  </w:rPr>
                  <m:t>+</m:t>
                </m:r>
                <m:sSub>
                  <m:sSubPr>
                    <m:ctrlPr>
                      <w:rPr>
                        <w:rFonts w:ascii="Cambria Math" w:hAnsi="Cambria Math"/>
                        <w:i/>
                        <w:lang w:val="en-US"/>
                      </w:rPr>
                    </m:ctrlPr>
                  </m:sSubPr>
                  <m:e>
                    <m:r>
                      <w:rPr>
                        <w:rFonts w:ascii="Cambria Math" w:hAnsi="Cambria Math"/>
                        <w:lang w:val="en-US"/>
                      </w:rPr>
                      <m:t>e</m:t>
                    </m:r>
                  </m:e>
                  <m:sub>
                    <m:r>
                      <w:rPr>
                        <w:rFonts w:ascii="Cambria Math" w:hAnsi="Cambria Math"/>
                        <w:lang w:val="en-US"/>
                      </w:rPr>
                      <m:t>imt</m:t>
                    </m:r>
                  </m:sub>
                </m:sSub>
              </m:oMath>
            </m:oMathPara>
          </w:p>
        </w:tc>
        <w:tc>
          <w:tcPr>
            <w:tcW w:w="501" w:type="dxa"/>
          </w:tcPr>
          <w:p w14:paraId="4184F6E3" w14:textId="77777777" w:rsidR="0053171D" w:rsidRPr="00DE0337" w:rsidRDefault="0053171D" w:rsidP="00740AB9">
            <w:pPr>
              <w:tabs>
                <w:tab w:val="left" w:pos="1701"/>
              </w:tabs>
              <w:spacing w:before="120" w:after="120" w:line="360" w:lineRule="auto"/>
              <w:jc w:val="right"/>
              <w:rPr>
                <w:lang w:val="en-US"/>
              </w:rPr>
            </w:pPr>
            <w:r w:rsidRPr="00DE0337">
              <w:rPr>
                <w:lang w:val="en-US"/>
              </w:rPr>
              <w:t>(4)</w:t>
            </w:r>
          </w:p>
        </w:tc>
      </w:tr>
    </w:tbl>
    <w:p w14:paraId="1771F2DA" w14:textId="77777777" w:rsidR="0053171D" w:rsidRPr="00DE0337" w:rsidRDefault="0053171D" w:rsidP="0053171D">
      <w:pPr>
        <w:tabs>
          <w:tab w:val="left" w:pos="709"/>
        </w:tabs>
        <w:spacing w:before="120" w:after="120" w:line="360" w:lineRule="auto"/>
        <w:jc w:val="both"/>
        <w:rPr>
          <w:lang w:val="en-US"/>
        </w:rPr>
      </w:pPr>
      <w:r w:rsidRPr="00DE0337">
        <w:rPr>
          <w:lang w:val="en-US"/>
        </w:rPr>
        <w:tab/>
      </w:r>
    </w:p>
    <w:p w14:paraId="097E5929" w14:textId="123696A9" w:rsidR="0053171D" w:rsidRDefault="0053171D" w:rsidP="0053171D">
      <w:pPr>
        <w:tabs>
          <w:tab w:val="left" w:pos="709"/>
        </w:tabs>
        <w:spacing w:before="120" w:after="120" w:line="360" w:lineRule="auto"/>
        <w:jc w:val="both"/>
        <w:rPr>
          <w:rFonts w:eastAsiaTheme="minorEastAsia"/>
          <w:lang w:val="en-US"/>
        </w:rPr>
      </w:pPr>
      <w:r w:rsidRPr="00DE0337">
        <w:rPr>
          <w:lang w:val="en-US"/>
        </w:rPr>
        <w:tab/>
        <w:t xml:space="preserve">Where </w:t>
      </w: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imt</m:t>
            </m:r>
          </m:sub>
        </m:sSub>
      </m:oMath>
      <w:r w:rsidRPr="00DE0337">
        <w:rPr>
          <w:i/>
          <w:lang w:val="en-US"/>
        </w:rPr>
        <w:t xml:space="preserve"> </w:t>
      </w:r>
      <w:r w:rsidRPr="00DE0337">
        <w:rPr>
          <w:lang w:val="en-US"/>
        </w:rPr>
        <w:t xml:space="preserve">is the natural logarithm of </w:t>
      </w:r>
      <w:r w:rsidRPr="00DE0337">
        <w:rPr>
          <w:i/>
          <w:lang w:val="en-US"/>
        </w:rPr>
        <w:t>Rent</w:t>
      </w:r>
      <w:r w:rsidRPr="00DE0337">
        <w:rPr>
          <w:lang w:val="en-US"/>
        </w:rPr>
        <w:t xml:space="preserve"> per square foot for asset “i” on submarket “m” at time “t” and</w:t>
      </w:r>
      <w:r w:rsidRPr="00DE0337">
        <w:rPr>
          <w:i/>
          <w:lang w:val="en-US"/>
        </w:rPr>
        <w:t xml:space="preserve"> </w:t>
      </w:r>
      <w:r w:rsidRPr="00DE0337">
        <w:rPr>
          <w:lang w:val="en-US"/>
        </w:rPr>
        <w:t xml:space="preserve"> </w:t>
      </w:r>
      <m:oMath>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imt</m:t>
            </m:r>
          </m:sub>
        </m:sSub>
      </m:oMath>
      <w:r w:rsidRPr="00DE0337">
        <w:rPr>
          <w:lang w:val="en-US"/>
        </w:rPr>
        <w:t xml:space="preserve"> is a vector of asset-specific variables, namely </w:t>
      </w:r>
      <w:r w:rsidRPr="00DE0337">
        <w:rPr>
          <w:i/>
          <w:lang w:val="en-US"/>
        </w:rPr>
        <w:t xml:space="preserve">Rating, Size, Age </w:t>
      </w:r>
      <w:r w:rsidRPr="00DE0337">
        <w:rPr>
          <w:lang w:val="en-US"/>
        </w:rPr>
        <w:t xml:space="preserve">and </w:t>
      </w:r>
      <w:r w:rsidRPr="00DE0337">
        <w:rPr>
          <w:i/>
          <w:lang w:val="en-US"/>
        </w:rPr>
        <w:t>Vacancy</w:t>
      </w:r>
      <w:r w:rsidRPr="00DE0337">
        <w:rPr>
          <w:lang w:val="en-US"/>
        </w:rPr>
        <w:t xml:space="preserve">. These covariates are explained in Table 1. The remaining controls, </w:t>
      </w:r>
      <m:oMath>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m</m:t>
            </m:r>
          </m:sub>
        </m:sSub>
      </m:oMath>
      <w:r w:rsidRPr="00DE0337">
        <w:rPr>
          <w:rFonts w:eastAsiaTheme="minorEastAsia"/>
          <w:lang w:val="en-US"/>
        </w:rPr>
        <w:t>,</w:t>
      </w:r>
      <w:r w:rsidRPr="00DE0337">
        <w:rPr>
          <w:lang w:val="en-US"/>
        </w:rPr>
        <w:t xml:space="preserve"> a vector of location dummies used to capture the impact of submarket “m” which may be common to all assets </w:t>
      </w:r>
      <w:r w:rsidR="006970BA" w:rsidRPr="00DE0337">
        <w:rPr>
          <w:lang w:val="en-US"/>
        </w:rPr>
        <w:t>in each</w:t>
      </w:r>
      <w:r w:rsidRPr="00DE0337">
        <w:rPr>
          <w:lang w:val="en-US"/>
        </w:rPr>
        <w:t xml:space="preserve"> region, and </w:t>
      </w:r>
      <m:oMath>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t</m:t>
            </m:r>
          </m:sub>
        </m:sSub>
      </m:oMath>
      <w:r w:rsidRPr="00DE0337">
        <w:rPr>
          <w:rFonts w:eastAsiaTheme="minorEastAsia"/>
          <w:lang w:val="en-US"/>
        </w:rPr>
        <w:t>, a vector of time dummies</w:t>
      </w:r>
      <w:r w:rsidRPr="00DE0337">
        <w:rPr>
          <w:lang w:val="en-US"/>
        </w:rPr>
        <w:t xml:space="preserve"> used to isolate macroeconomic shocks common to all assets at a given period. </w:t>
      </w: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imt</m:t>
            </m:r>
          </m:sub>
        </m:sSub>
      </m:oMath>
      <w:r w:rsidRPr="00DE0337">
        <w:rPr>
          <w:rFonts w:eastAsiaTheme="minorEastAsia"/>
          <w:lang w:val="en-US"/>
        </w:rPr>
        <w:t xml:space="preserve"> and </w:t>
      </w:r>
      <m:oMath>
        <m:sSub>
          <m:sSubPr>
            <m:ctrlPr>
              <w:rPr>
                <w:rFonts w:ascii="Cambria Math" w:hAnsi="Cambria Math"/>
                <w:i/>
                <w:lang w:val="en-US"/>
              </w:rPr>
            </m:ctrlPr>
          </m:sSubPr>
          <m:e>
            <m:r>
              <w:rPr>
                <w:rFonts w:ascii="Cambria Math" w:hAnsi="Cambria Math"/>
                <w:lang w:val="en-US"/>
              </w:rPr>
              <m:t>e</m:t>
            </m:r>
          </m:e>
          <m:sub>
            <m:r>
              <w:rPr>
                <w:rFonts w:ascii="Cambria Math" w:hAnsi="Cambria Math"/>
                <w:lang w:val="en-US"/>
              </w:rPr>
              <m:t>imt</m:t>
            </m:r>
          </m:sub>
        </m:sSub>
      </m:oMath>
      <w:r w:rsidRPr="00DE0337">
        <w:rPr>
          <w:rFonts w:eastAsiaTheme="minorEastAsia"/>
          <w:lang w:val="en-US"/>
        </w:rPr>
        <w:t xml:space="preserve"> are a constant and an error term, respectively. The hypothesis of a generalized pricing schedule is validated if </w:t>
      </w:r>
      <m:oMath>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n</m:t>
            </m:r>
          </m:sub>
        </m:sSub>
        <m:r>
          <w:rPr>
            <w:rFonts w:ascii="Cambria Math" w:hAnsi="Cambria Math"/>
            <w:lang w:val="en-US"/>
          </w:rPr>
          <m:t xml:space="preserve"> </m:t>
        </m:r>
      </m:oMath>
      <w:r w:rsidRPr="00DE0337">
        <w:rPr>
          <w:rFonts w:eastAsiaTheme="minorEastAsia"/>
          <w:lang w:val="en-US"/>
        </w:rPr>
        <w:t>is equal across the two property-type segments considered.</w:t>
      </w:r>
      <w:r w:rsidR="00293430">
        <w:rPr>
          <w:rFonts w:eastAsiaTheme="minorEastAsia"/>
          <w:lang w:val="en-US"/>
        </w:rPr>
        <w:t xml:space="preserve"> </w:t>
      </w:r>
      <w:r w:rsidR="00293430" w:rsidRPr="007A7E92">
        <w:rPr>
          <w:rFonts w:eastAsiaTheme="minorEastAsia"/>
          <w:color w:val="FF0000"/>
          <w:lang w:val="en-US"/>
        </w:rPr>
        <w:t xml:space="preserve">The advantage of the log-linear </w:t>
      </w:r>
      <w:r w:rsidR="007A7E92">
        <w:rPr>
          <w:rFonts w:eastAsiaTheme="minorEastAsia"/>
          <w:color w:val="FF0000"/>
          <w:lang w:val="en-US"/>
        </w:rPr>
        <w:t xml:space="preserve">hedonic </w:t>
      </w:r>
      <w:r w:rsidR="00293430" w:rsidRPr="007A7E92">
        <w:rPr>
          <w:rFonts w:eastAsiaTheme="minorEastAsia"/>
          <w:color w:val="FF0000"/>
          <w:lang w:val="en-US"/>
        </w:rPr>
        <w:t xml:space="preserve">model is that coefficients provide an approximation of the average percentage impact of each </w:t>
      </w:r>
      <w:r w:rsidR="007A7E92" w:rsidRPr="007A7E92">
        <w:rPr>
          <w:rFonts w:eastAsiaTheme="minorEastAsia"/>
          <w:color w:val="FF0000"/>
          <w:lang w:val="en-US"/>
        </w:rPr>
        <w:t>determinant on rent.</w:t>
      </w:r>
    </w:p>
    <w:p w14:paraId="4F2F23B4" w14:textId="77777777" w:rsidR="0053171D" w:rsidRDefault="0053171D" w:rsidP="00AD46F7">
      <w:pPr>
        <w:pStyle w:val="ecxmsonormal"/>
        <w:shd w:val="clear" w:color="auto" w:fill="FFFFFF"/>
        <w:tabs>
          <w:tab w:val="left" w:pos="426"/>
        </w:tabs>
        <w:spacing w:before="120" w:beforeAutospacing="0" w:after="120" w:afterAutospacing="0" w:line="360" w:lineRule="auto"/>
        <w:jc w:val="both"/>
      </w:pPr>
      <w:r>
        <w:rPr>
          <w:b/>
          <w:bCs/>
          <w:noProof w:val="0"/>
        </w:rPr>
        <w:t>Empirical Results</w:t>
      </w:r>
    </w:p>
    <w:p w14:paraId="5E7997DD" w14:textId="2487D27B" w:rsidR="0053171D" w:rsidRDefault="0053171D" w:rsidP="0053171D">
      <w:pPr>
        <w:tabs>
          <w:tab w:val="left" w:pos="709"/>
        </w:tabs>
        <w:spacing w:line="360" w:lineRule="auto"/>
        <w:jc w:val="both"/>
        <w:rPr>
          <w:lang w:val="en-US"/>
        </w:rPr>
      </w:pPr>
      <w:r w:rsidRPr="00293430">
        <w:rPr>
          <w:color w:val="FF0000"/>
          <w:lang w:val="en-US"/>
        </w:rPr>
        <w:t>Table 4</w:t>
      </w:r>
      <w:r w:rsidRPr="00DE0337">
        <w:rPr>
          <w:lang w:val="en-US"/>
        </w:rPr>
        <w:t xml:space="preserve"> </w:t>
      </w:r>
      <w:r w:rsidRPr="00F0753B">
        <w:rPr>
          <w:lang w:val="en-US"/>
        </w:rPr>
        <w:t xml:space="preserve">reports regression results of equation (4). Standard errors in all estimates are clustered at submarket level as in Reichardt </w:t>
      </w:r>
      <w:r w:rsidRPr="00F0753B">
        <w:rPr>
          <w:i/>
          <w:lang w:val="en-US"/>
        </w:rPr>
        <w:t>et al.</w:t>
      </w:r>
      <w:r>
        <w:rPr>
          <w:lang w:val="en-US"/>
        </w:rPr>
        <w:t xml:space="preserve"> (2012). Regression (I</w:t>
      </w:r>
      <w:r w:rsidRPr="00F0753B">
        <w:rPr>
          <w:lang w:val="en-US"/>
        </w:rPr>
        <w:t>) highlights the significance and sign directions of building attributes and locational submarkets.</w:t>
      </w:r>
      <w:r w:rsidR="0044424F">
        <w:rPr>
          <w:lang w:val="en-US"/>
        </w:rPr>
        <w:t xml:space="preserve"> All else equal,</w:t>
      </w:r>
      <w:r w:rsidRPr="00F0753B">
        <w:rPr>
          <w:i/>
          <w:color w:val="000000" w:themeColor="text1"/>
          <w:lang w:val="en-US"/>
        </w:rPr>
        <w:t xml:space="preserve"> </w:t>
      </w:r>
      <w:r w:rsidRPr="00F0753B">
        <w:rPr>
          <w:color w:val="000000" w:themeColor="text1"/>
          <w:lang w:val="en-US"/>
        </w:rPr>
        <w:t xml:space="preserve">larger and older properties carry a rent premium and discount, respectively, relative to other properties (e.g. </w:t>
      </w:r>
      <w:r w:rsidRPr="00F0753B">
        <w:rPr>
          <w:lang w:val="en-US"/>
        </w:rPr>
        <w:t xml:space="preserve">Bollinger </w:t>
      </w:r>
      <w:r w:rsidRPr="00F0753B">
        <w:rPr>
          <w:i/>
          <w:lang w:val="en-US"/>
        </w:rPr>
        <w:t>et al.</w:t>
      </w:r>
      <w:r>
        <w:rPr>
          <w:i/>
          <w:lang w:val="en-US"/>
        </w:rPr>
        <w:t>,</w:t>
      </w:r>
      <w:r w:rsidRPr="00F0753B">
        <w:rPr>
          <w:lang w:val="en-US"/>
        </w:rPr>
        <w:t xml:space="preserve"> 1998)</w:t>
      </w:r>
      <w:r w:rsidRPr="00F0753B">
        <w:rPr>
          <w:color w:val="000000" w:themeColor="text1"/>
          <w:lang w:val="en-US"/>
        </w:rPr>
        <w:t xml:space="preserve">. Among the control variables, </w:t>
      </w:r>
      <w:r w:rsidRPr="00F0753B">
        <w:rPr>
          <w:lang w:val="en-US"/>
        </w:rPr>
        <w:t xml:space="preserve">A class assets have a positive link with our left-hand side variable and this link is larger than that of B class properties. </w:t>
      </w:r>
    </w:p>
    <w:p w14:paraId="79C3F391" w14:textId="77777777" w:rsidR="00B064C6" w:rsidRDefault="00B064C6" w:rsidP="0053171D">
      <w:pPr>
        <w:tabs>
          <w:tab w:val="left" w:pos="709"/>
        </w:tabs>
        <w:spacing w:line="360" w:lineRule="auto"/>
        <w:jc w:val="both"/>
        <w:rPr>
          <w:lang w:val="en-US"/>
        </w:rPr>
      </w:pPr>
    </w:p>
    <w:p w14:paraId="2D6D0BBB" w14:textId="74F4F100" w:rsidR="00B064C6" w:rsidRDefault="00B064C6" w:rsidP="009B09FF">
      <w:pPr>
        <w:tabs>
          <w:tab w:val="left" w:pos="709"/>
        </w:tabs>
        <w:spacing w:line="360" w:lineRule="auto"/>
        <w:jc w:val="center"/>
        <w:rPr>
          <w:lang w:val="en-US"/>
        </w:rPr>
      </w:pPr>
      <w:r>
        <w:rPr>
          <w:lang w:val="en-US"/>
        </w:rPr>
        <w:t>[TABLE 4 HERE]</w:t>
      </w:r>
    </w:p>
    <w:p w14:paraId="73CE8A81" w14:textId="77777777" w:rsidR="007A7E92" w:rsidRDefault="007A7E92" w:rsidP="009B09FF">
      <w:pPr>
        <w:tabs>
          <w:tab w:val="left" w:pos="709"/>
        </w:tabs>
        <w:spacing w:line="360" w:lineRule="auto"/>
        <w:jc w:val="center"/>
        <w:rPr>
          <w:lang w:val="en-US"/>
        </w:rPr>
      </w:pPr>
    </w:p>
    <w:p w14:paraId="4B67E2F8" w14:textId="77777777" w:rsidR="0053171D" w:rsidRDefault="0053171D" w:rsidP="0053171D">
      <w:pPr>
        <w:tabs>
          <w:tab w:val="left" w:pos="709"/>
        </w:tabs>
        <w:spacing w:line="360" w:lineRule="auto"/>
        <w:jc w:val="both"/>
        <w:rPr>
          <w:lang w:val="en-US"/>
        </w:rPr>
      </w:pPr>
      <w:r>
        <w:rPr>
          <w:lang w:val="en-US"/>
        </w:rPr>
        <w:tab/>
      </w:r>
      <w:r w:rsidRPr="00F0753B">
        <w:rPr>
          <w:lang w:val="en-US"/>
        </w:rPr>
        <w:t>The results suggest that rent</w:t>
      </w:r>
      <w:r w:rsidRPr="00DE0337">
        <w:rPr>
          <w:lang w:val="en-US"/>
        </w:rPr>
        <w:t xml:space="preserve"> </w:t>
      </w:r>
      <w:r w:rsidRPr="00F0753B">
        <w:rPr>
          <w:lang w:val="en-US"/>
        </w:rPr>
        <w:t xml:space="preserve">premiums are generally increasing among properties with higher </w:t>
      </w:r>
      <w:r w:rsidRPr="00F0753B">
        <w:rPr>
          <w:i/>
          <w:lang w:val="en-US"/>
        </w:rPr>
        <w:t>Rating</w:t>
      </w:r>
      <w:r w:rsidRPr="00F0753B">
        <w:rPr>
          <w:lang w:val="en-US"/>
        </w:rPr>
        <w:t xml:space="preserve">. These outcomes are consistent with those found by Eichholtz </w:t>
      </w:r>
      <w:r w:rsidRPr="00F0753B">
        <w:rPr>
          <w:i/>
          <w:lang w:val="en-US"/>
        </w:rPr>
        <w:t>et al.</w:t>
      </w:r>
      <w:r w:rsidRPr="00F0753B">
        <w:rPr>
          <w:lang w:val="en-US"/>
        </w:rPr>
        <w:t xml:space="preserve"> (2010) and Reichardt </w:t>
      </w:r>
      <w:r w:rsidRPr="00F0753B">
        <w:rPr>
          <w:i/>
          <w:lang w:val="en-US"/>
        </w:rPr>
        <w:t>et al.</w:t>
      </w:r>
      <w:r w:rsidRPr="00F0753B">
        <w:rPr>
          <w:lang w:val="en-US"/>
        </w:rPr>
        <w:t xml:space="preserve"> (2012). The sign of </w:t>
      </w:r>
      <w:r w:rsidRPr="00F0753B">
        <w:rPr>
          <w:i/>
          <w:lang w:val="en-US"/>
        </w:rPr>
        <w:t>Vacancy</w:t>
      </w:r>
      <w:r w:rsidRPr="00F0753B">
        <w:rPr>
          <w:lang w:val="en-US"/>
        </w:rPr>
        <w:t xml:space="preserve"> is not statistically different than zero. The locational submarkets are measured relative to Faria Lima/Itaim region. Not surprisingly, most locations offer a significant rent discount relative to this more convenient office submarket. Spatial differentiation based on submarket dummies is reinforced by many studies in the literature (e.g. Chen </w:t>
      </w:r>
      <w:r w:rsidRPr="00F0753B">
        <w:rPr>
          <w:i/>
          <w:lang w:val="en-US"/>
        </w:rPr>
        <w:t>et al.</w:t>
      </w:r>
      <w:r>
        <w:rPr>
          <w:i/>
          <w:lang w:val="en-US"/>
        </w:rPr>
        <w:t>,</w:t>
      </w:r>
      <w:r w:rsidRPr="00F0753B">
        <w:rPr>
          <w:lang w:val="en-US"/>
        </w:rPr>
        <w:t xml:space="preserve"> 2009</w:t>
      </w:r>
      <w:r>
        <w:rPr>
          <w:lang w:val="en-US"/>
        </w:rPr>
        <w:t xml:space="preserve">; </w:t>
      </w:r>
      <w:r w:rsidRPr="00F0753B">
        <w:rPr>
          <w:lang w:val="en-US"/>
        </w:rPr>
        <w:t xml:space="preserve">Bourassa </w:t>
      </w:r>
      <w:r w:rsidRPr="00F0753B">
        <w:rPr>
          <w:i/>
          <w:lang w:val="en-US"/>
        </w:rPr>
        <w:t>et al.</w:t>
      </w:r>
      <w:r>
        <w:rPr>
          <w:i/>
          <w:lang w:val="en-US"/>
        </w:rPr>
        <w:t>,</w:t>
      </w:r>
      <w:r>
        <w:rPr>
          <w:lang w:val="en-US"/>
        </w:rPr>
        <w:t xml:space="preserve"> 2003</w:t>
      </w:r>
      <w:r w:rsidRPr="00F0753B">
        <w:rPr>
          <w:lang w:val="en-US"/>
        </w:rPr>
        <w:t>).</w:t>
      </w:r>
    </w:p>
    <w:p w14:paraId="6B7B1C5B" w14:textId="77777777" w:rsidR="0053171D" w:rsidRPr="00AD46F7" w:rsidRDefault="0053171D" w:rsidP="00AD46F7">
      <w:pPr>
        <w:pStyle w:val="ecxmsonormal"/>
        <w:shd w:val="clear" w:color="auto" w:fill="FFFFFF"/>
        <w:tabs>
          <w:tab w:val="left" w:pos="426"/>
        </w:tabs>
        <w:spacing w:before="120" w:beforeAutospacing="0" w:after="120" w:afterAutospacing="0" w:line="360" w:lineRule="auto"/>
        <w:jc w:val="both"/>
        <w:rPr>
          <w:i/>
        </w:rPr>
      </w:pPr>
      <w:r w:rsidRPr="00AD46F7">
        <w:rPr>
          <w:bCs/>
          <w:i/>
          <w:noProof w:val="0"/>
        </w:rPr>
        <w:t>Differentiation based on Building Attributes</w:t>
      </w:r>
    </w:p>
    <w:p w14:paraId="6CFBCE36" w14:textId="77777777" w:rsidR="0053171D" w:rsidRDefault="006970BA" w:rsidP="0053171D">
      <w:pPr>
        <w:tabs>
          <w:tab w:val="left" w:pos="709"/>
        </w:tabs>
        <w:spacing w:before="120" w:after="120" w:line="360" w:lineRule="auto"/>
        <w:jc w:val="both"/>
        <w:rPr>
          <w:color w:val="000000" w:themeColor="text1"/>
          <w:lang w:val="en-US"/>
        </w:rPr>
      </w:pPr>
      <w:r>
        <w:rPr>
          <w:lang w:val="en-US"/>
        </w:rPr>
        <w:tab/>
      </w:r>
      <w:r w:rsidR="0053171D" w:rsidRPr="00DE0337">
        <w:rPr>
          <w:lang w:val="en-US"/>
        </w:rPr>
        <w:t xml:space="preserve">Hedonic </w:t>
      </w:r>
      <w:r w:rsidR="0053171D">
        <w:rPr>
          <w:lang w:val="en-US"/>
        </w:rPr>
        <w:t>regressions (II) and (III</w:t>
      </w:r>
      <w:r w:rsidR="0053171D" w:rsidRPr="00DE0337">
        <w:rPr>
          <w:lang w:val="en-US"/>
        </w:rPr>
        <w:t xml:space="preserve">) test whether the </w:t>
      </w:r>
      <w:r w:rsidR="00B064C6">
        <w:rPr>
          <w:lang w:val="en-US"/>
        </w:rPr>
        <w:t xml:space="preserve">building features </w:t>
      </w:r>
      <w:r w:rsidR="0053171D" w:rsidRPr="00DE0337">
        <w:rPr>
          <w:lang w:val="en-US"/>
        </w:rPr>
        <w:t xml:space="preserve">can be generalized across property-type segments. </w:t>
      </w:r>
      <w:r w:rsidR="0053171D" w:rsidRPr="00DE0337">
        <w:rPr>
          <w:i/>
          <w:color w:val="000000" w:themeColor="text1"/>
          <w:lang w:val="en-US"/>
        </w:rPr>
        <w:t>Size</w:t>
      </w:r>
      <w:r w:rsidR="0053171D" w:rsidRPr="00DE0337">
        <w:rPr>
          <w:color w:val="000000" w:themeColor="text1"/>
          <w:lang w:val="en-US"/>
        </w:rPr>
        <w:t xml:space="preserve"> and </w:t>
      </w:r>
      <w:r w:rsidR="0053171D" w:rsidRPr="00DE0337">
        <w:rPr>
          <w:i/>
          <w:color w:val="000000" w:themeColor="text1"/>
          <w:lang w:val="en-US"/>
        </w:rPr>
        <w:t xml:space="preserve">Age </w:t>
      </w:r>
      <w:r w:rsidR="0053171D" w:rsidRPr="00DE0337">
        <w:rPr>
          <w:color w:val="000000" w:themeColor="text1"/>
          <w:lang w:val="en-US"/>
        </w:rPr>
        <w:t xml:space="preserve">are </w:t>
      </w:r>
      <w:r w:rsidR="0094533D" w:rsidRPr="00DE0337">
        <w:rPr>
          <w:color w:val="000000" w:themeColor="text1"/>
          <w:lang w:val="en-US"/>
        </w:rPr>
        <w:t>significant,</w:t>
      </w:r>
      <w:r w:rsidR="0053171D" w:rsidRPr="00DE0337">
        <w:rPr>
          <w:color w:val="000000" w:themeColor="text1"/>
          <w:lang w:val="en-US"/>
        </w:rPr>
        <w:t xml:space="preserve"> and parameters remain as expected when we consider the stratified samples. Nonetheless, property size appears to have a larger rent premium among </w:t>
      </w:r>
      <w:r w:rsidR="0053171D" w:rsidRPr="00DE0337">
        <w:rPr>
          <w:i/>
          <w:color w:val="000000" w:themeColor="text1"/>
          <w:lang w:val="en-US"/>
        </w:rPr>
        <w:t>corporate</w:t>
      </w:r>
      <w:r w:rsidR="0053171D" w:rsidRPr="00DE0337">
        <w:rPr>
          <w:color w:val="000000" w:themeColor="text1"/>
          <w:lang w:val="en-US"/>
        </w:rPr>
        <w:t xml:space="preserve"> properties (14% vs. 9% in </w:t>
      </w:r>
      <w:r w:rsidR="0053171D" w:rsidRPr="00DE0337">
        <w:rPr>
          <w:i/>
          <w:color w:val="000000" w:themeColor="text1"/>
          <w:lang w:val="en-US"/>
        </w:rPr>
        <w:t>smaller occupier</w:t>
      </w:r>
      <w:r w:rsidR="0053171D" w:rsidRPr="00DE0337">
        <w:rPr>
          <w:color w:val="000000" w:themeColor="text1"/>
          <w:lang w:val="en-US"/>
        </w:rPr>
        <w:t xml:space="preserve"> buildings). </w:t>
      </w:r>
      <w:r w:rsidR="0053171D" w:rsidRPr="00DE0337">
        <w:rPr>
          <w:i/>
          <w:color w:val="000000" w:themeColor="text1"/>
          <w:lang w:val="en-US"/>
        </w:rPr>
        <w:t>Age</w:t>
      </w:r>
      <w:r w:rsidR="0053171D" w:rsidRPr="00DE0337">
        <w:rPr>
          <w:color w:val="000000" w:themeColor="text1"/>
          <w:lang w:val="en-US"/>
        </w:rPr>
        <w:t xml:space="preserve"> parameters suggest that physical depreciation may have a greater impact on lease values for properties with larger leasable units. Rent discounts are relatively similar when we consider newer properties (up to 14 years); however, they can yield distinct results as office space become more obsolete. For instance, a </w:t>
      </w:r>
      <w:r w:rsidR="0053171D" w:rsidRPr="00DE0337">
        <w:rPr>
          <w:i/>
          <w:color w:val="000000" w:themeColor="text1"/>
          <w:lang w:val="en-US"/>
        </w:rPr>
        <w:t>25</w:t>
      </w:r>
      <w:r>
        <w:rPr>
          <w:i/>
          <w:color w:val="000000" w:themeColor="text1"/>
          <w:lang w:val="en-US"/>
        </w:rPr>
        <w:t>-</w:t>
      </w:r>
      <w:r w:rsidR="0053171D" w:rsidRPr="00DE0337">
        <w:rPr>
          <w:i/>
          <w:color w:val="000000" w:themeColor="text1"/>
          <w:lang w:val="en-US"/>
        </w:rPr>
        <w:t xml:space="preserve"> to </w:t>
      </w:r>
      <w:r w:rsidRPr="00DE0337">
        <w:rPr>
          <w:i/>
          <w:color w:val="000000" w:themeColor="text1"/>
          <w:lang w:val="en-US"/>
        </w:rPr>
        <w:t>29</w:t>
      </w:r>
      <w:r w:rsidRPr="00DE0337">
        <w:rPr>
          <w:color w:val="000000" w:themeColor="text1"/>
          <w:lang w:val="en-US"/>
        </w:rPr>
        <w:t>-year-old</w:t>
      </w:r>
      <w:r w:rsidR="0053171D" w:rsidRPr="00DE0337">
        <w:rPr>
          <w:color w:val="000000" w:themeColor="text1"/>
          <w:lang w:val="en-US"/>
        </w:rPr>
        <w:t xml:space="preserve"> </w:t>
      </w:r>
      <w:r w:rsidR="0053171D" w:rsidRPr="00DE0337">
        <w:rPr>
          <w:i/>
          <w:color w:val="000000" w:themeColor="text1"/>
          <w:lang w:val="en-US"/>
        </w:rPr>
        <w:t>corporate</w:t>
      </w:r>
      <w:r w:rsidR="0053171D" w:rsidRPr="00DE0337">
        <w:rPr>
          <w:color w:val="000000" w:themeColor="text1"/>
          <w:lang w:val="en-US"/>
        </w:rPr>
        <w:t xml:space="preserve"> building offers an average rent discount of 55%. The comparable figure for a </w:t>
      </w:r>
      <w:r>
        <w:rPr>
          <w:i/>
          <w:color w:val="000000" w:themeColor="text1"/>
          <w:lang w:val="en-US"/>
        </w:rPr>
        <w:t>non-</w:t>
      </w:r>
      <w:r w:rsidR="0053171D" w:rsidRPr="00B064C6">
        <w:rPr>
          <w:i/>
          <w:color w:val="000000" w:themeColor="text1"/>
          <w:lang w:val="en-US"/>
        </w:rPr>
        <w:t>corporate</w:t>
      </w:r>
      <w:r w:rsidR="0053171D" w:rsidRPr="00DE0337">
        <w:rPr>
          <w:color w:val="000000" w:themeColor="text1"/>
          <w:lang w:val="en-US"/>
        </w:rPr>
        <w:t xml:space="preserve"> property is 41%. </w:t>
      </w:r>
    </w:p>
    <w:p w14:paraId="1322D0E6" w14:textId="77777777" w:rsidR="0053171D" w:rsidRDefault="0053171D" w:rsidP="0094533D">
      <w:pPr>
        <w:tabs>
          <w:tab w:val="left" w:pos="709"/>
        </w:tabs>
        <w:spacing w:line="360" w:lineRule="auto"/>
        <w:jc w:val="both"/>
        <w:rPr>
          <w:lang w:val="en-US"/>
        </w:rPr>
      </w:pPr>
      <w:r w:rsidRPr="00DE0337">
        <w:rPr>
          <w:color w:val="000000" w:themeColor="text1"/>
          <w:lang w:val="en-US"/>
        </w:rPr>
        <w:tab/>
        <w:t xml:space="preserve">Note that the sign of </w:t>
      </w:r>
      <w:r w:rsidRPr="00DE0337">
        <w:rPr>
          <w:i/>
          <w:color w:val="000000" w:themeColor="text1"/>
          <w:lang w:val="en-US"/>
        </w:rPr>
        <w:t>Rating</w:t>
      </w:r>
      <w:r w:rsidRPr="00DE0337">
        <w:rPr>
          <w:color w:val="000000" w:themeColor="text1"/>
          <w:lang w:val="en-US"/>
        </w:rPr>
        <w:t xml:space="preserve"> also varies across property-type segments. On one hand, building </w:t>
      </w:r>
      <w:r w:rsidRPr="005F48FF">
        <w:rPr>
          <w:color w:val="000000" w:themeColor="text1"/>
          <w:lang w:val="en-US"/>
        </w:rPr>
        <w:t xml:space="preserve">class appears to be more relevant among </w:t>
      </w:r>
      <w:r w:rsidRPr="005F48FF">
        <w:rPr>
          <w:i/>
          <w:color w:val="000000" w:themeColor="text1"/>
          <w:lang w:val="en-US"/>
        </w:rPr>
        <w:t>corporate</w:t>
      </w:r>
      <w:r w:rsidRPr="005F48FF">
        <w:rPr>
          <w:color w:val="000000" w:themeColor="text1"/>
          <w:lang w:val="en-US"/>
        </w:rPr>
        <w:t xml:space="preserve"> buildings. There are a few except</w:t>
      </w:r>
      <w:r>
        <w:rPr>
          <w:color w:val="000000" w:themeColor="text1"/>
          <w:lang w:val="en-US"/>
        </w:rPr>
        <w:t>ions to this rule. Regression (II</w:t>
      </w:r>
      <w:r w:rsidRPr="005F48FF">
        <w:rPr>
          <w:color w:val="000000" w:themeColor="text1"/>
          <w:lang w:val="en-US"/>
        </w:rPr>
        <w:t xml:space="preserve">) reports that rent premiums associated with AAA class buildings may be smaller than that AA-rated peers. At the same </w:t>
      </w:r>
      <w:r>
        <w:rPr>
          <w:color w:val="000000" w:themeColor="text1"/>
          <w:lang w:val="en-US"/>
        </w:rPr>
        <w:t>time, results from regression (III</w:t>
      </w:r>
      <w:r w:rsidRPr="005F48FF">
        <w:rPr>
          <w:color w:val="000000" w:themeColor="text1"/>
          <w:lang w:val="en-US"/>
        </w:rPr>
        <w:t xml:space="preserve">) suggest that </w:t>
      </w:r>
      <w:r w:rsidRPr="005F48FF">
        <w:rPr>
          <w:i/>
          <w:color w:val="000000" w:themeColor="text1"/>
          <w:lang w:val="en-US"/>
        </w:rPr>
        <w:t xml:space="preserve">Rating </w:t>
      </w:r>
      <w:r w:rsidRPr="005F48FF">
        <w:rPr>
          <w:color w:val="000000" w:themeColor="text1"/>
          <w:lang w:val="en-US"/>
        </w:rPr>
        <w:t xml:space="preserve">is on average not different than zero among </w:t>
      </w:r>
      <w:r w:rsidRPr="005F48FF">
        <w:rPr>
          <w:i/>
          <w:color w:val="000000" w:themeColor="text1"/>
          <w:lang w:val="en-US"/>
        </w:rPr>
        <w:t>non-corporate</w:t>
      </w:r>
      <w:r w:rsidRPr="005F48FF">
        <w:rPr>
          <w:color w:val="000000" w:themeColor="text1"/>
          <w:lang w:val="en-US"/>
        </w:rPr>
        <w:t xml:space="preserve"> properties. Although these outcomes reinforce the existence of localized rent premiums, we have to be careful when interpreting them. Most</w:t>
      </w:r>
      <w:r w:rsidRPr="005F48FF">
        <w:rPr>
          <w:lang w:val="en-US"/>
        </w:rPr>
        <w:t xml:space="preserve"> AAA </w:t>
      </w:r>
      <w:r w:rsidRPr="005F48FF">
        <w:rPr>
          <w:i/>
          <w:lang w:val="en-US"/>
        </w:rPr>
        <w:t>corporate</w:t>
      </w:r>
      <w:r w:rsidRPr="005F48FF">
        <w:rPr>
          <w:lang w:val="en-US"/>
        </w:rPr>
        <w:t xml:space="preserve"> properties and upper class </w:t>
      </w:r>
      <w:r w:rsidRPr="005F48FF">
        <w:rPr>
          <w:i/>
          <w:lang w:val="en-US"/>
        </w:rPr>
        <w:t>smaller occupier</w:t>
      </w:r>
      <w:r w:rsidRPr="005F48FF">
        <w:rPr>
          <w:lang w:val="en-US"/>
        </w:rPr>
        <w:t xml:space="preserve"> buildings, namely AA, A and BB, are </w:t>
      </w:r>
      <w:r w:rsidRPr="005F48FF">
        <w:rPr>
          <w:color w:val="000000" w:themeColor="text1"/>
          <w:lang w:val="en-US"/>
        </w:rPr>
        <w:t xml:space="preserve">highly clustered in developed submarkets. </w:t>
      </w:r>
      <w:r w:rsidRPr="005F48FF">
        <w:rPr>
          <w:lang w:val="en-US"/>
        </w:rPr>
        <w:t xml:space="preserve">Therefore, it is possible that our locational dummies soaked part of the variation associated with </w:t>
      </w:r>
      <w:r w:rsidRPr="005F48FF">
        <w:rPr>
          <w:i/>
          <w:lang w:val="en-US"/>
        </w:rPr>
        <w:t>Rating</w:t>
      </w:r>
      <w:r w:rsidRPr="005F48FF">
        <w:rPr>
          <w:lang w:val="en-US"/>
        </w:rPr>
        <w:t>. Robinson and McAllister (2015) find different letter grade premiums across strata based on property sales value, but do not discuss</w:t>
      </w:r>
      <w:r w:rsidRPr="00DE0337">
        <w:rPr>
          <w:lang w:val="en-US"/>
        </w:rPr>
        <w:t xml:space="preserve"> these results.</w:t>
      </w:r>
    </w:p>
    <w:p w14:paraId="39B4D4F5" w14:textId="77777777" w:rsidR="0053171D" w:rsidRPr="00AD46F7" w:rsidRDefault="0053171D" w:rsidP="00AD46F7">
      <w:pPr>
        <w:pStyle w:val="ecxmsonormal"/>
        <w:shd w:val="clear" w:color="auto" w:fill="FFFFFF"/>
        <w:tabs>
          <w:tab w:val="left" w:pos="426"/>
        </w:tabs>
        <w:spacing w:before="120" w:beforeAutospacing="0" w:after="120" w:afterAutospacing="0" w:line="360" w:lineRule="auto"/>
        <w:jc w:val="both"/>
        <w:rPr>
          <w:i/>
          <w:color w:val="000000" w:themeColor="text1"/>
        </w:rPr>
      </w:pPr>
      <w:r w:rsidRPr="00AD46F7">
        <w:rPr>
          <w:bCs/>
          <w:i/>
          <w:noProof w:val="0"/>
        </w:rPr>
        <w:t>Differentiation based on Submarkets</w:t>
      </w:r>
    </w:p>
    <w:p w14:paraId="695A86D4" w14:textId="77777777" w:rsidR="0053171D" w:rsidRPr="00DE0337" w:rsidRDefault="0053171D" w:rsidP="0053171D">
      <w:pPr>
        <w:pStyle w:val="ecxmsonormal"/>
        <w:shd w:val="clear" w:color="auto" w:fill="FFFFFF"/>
        <w:tabs>
          <w:tab w:val="left" w:pos="426"/>
        </w:tabs>
        <w:spacing w:before="120" w:beforeAutospacing="0" w:after="120" w:afterAutospacing="0" w:line="360" w:lineRule="auto"/>
        <w:jc w:val="both"/>
        <w:rPr>
          <w:color w:val="000000" w:themeColor="text1"/>
        </w:rPr>
      </w:pPr>
      <w:r w:rsidRPr="00DE0337">
        <w:rPr>
          <w:color w:val="000000" w:themeColor="text1"/>
        </w:rPr>
        <w:t>We now turn our attention to locat</w:t>
      </w:r>
      <w:r>
        <w:rPr>
          <w:color w:val="000000" w:themeColor="text1"/>
        </w:rPr>
        <w:t>ional submarkets. Regressions (II) and (III</w:t>
      </w:r>
      <w:r w:rsidRPr="00DE0337">
        <w:rPr>
          <w:color w:val="000000" w:themeColor="text1"/>
        </w:rPr>
        <w:t>) report shadow rents for each property-type rent relative to Faria</w:t>
      </w:r>
      <w:r>
        <w:rPr>
          <w:color w:val="000000" w:themeColor="text1"/>
        </w:rPr>
        <w:t xml:space="preserve"> Lima/Itaim. As in regression (I</w:t>
      </w:r>
      <w:r w:rsidRPr="00DE0337">
        <w:rPr>
          <w:color w:val="000000" w:themeColor="text1"/>
        </w:rPr>
        <w:t xml:space="preserve">), most regions exhibit significant lower rent when compared to this </w:t>
      </w:r>
      <w:r w:rsidR="006970BA">
        <w:rPr>
          <w:color w:val="000000" w:themeColor="text1"/>
        </w:rPr>
        <w:t xml:space="preserve">more convenient </w:t>
      </w:r>
      <w:r w:rsidRPr="00DE0337">
        <w:rPr>
          <w:color w:val="000000" w:themeColor="text1"/>
        </w:rPr>
        <w:t xml:space="preserve">location. Nonetheless, some discrepancies appear when we compare </w:t>
      </w:r>
      <w:r w:rsidRPr="00DE0337">
        <w:rPr>
          <w:i/>
          <w:color w:val="000000" w:themeColor="text1"/>
        </w:rPr>
        <w:t>corporate</w:t>
      </w:r>
      <w:r w:rsidRPr="00DE0337">
        <w:rPr>
          <w:color w:val="000000" w:themeColor="text1"/>
        </w:rPr>
        <w:t xml:space="preserve"> and </w:t>
      </w:r>
      <w:r w:rsidRPr="00DE0337">
        <w:rPr>
          <w:i/>
          <w:color w:val="000000" w:themeColor="text1"/>
        </w:rPr>
        <w:t>smaller tenant</w:t>
      </w:r>
      <w:r w:rsidRPr="00DE0337">
        <w:rPr>
          <w:color w:val="000000" w:themeColor="text1"/>
        </w:rPr>
        <w:t xml:space="preserve"> buildings. Larger occupiers seem to be less flexible when pricing less appealing office locations (e.g. Santo Amaro, Morumbi/Jardim Sao Luis, Centro and Other) or growth submarkets (e.g. Vila Olimpia, Berrini, Marginal Pinheiros and Barra Funda). For instance, the</w:t>
      </w:r>
      <w:r w:rsidRPr="00DE0337">
        <w:rPr>
          <w:i/>
          <w:color w:val="000000" w:themeColor="text1"/>
        </w:rPr>
        <w:t xml:space="preserve"> corporate</w:t>
      </w:r>
      <w:r w:rsidRPr="00DE0337">
        <w:rPr>
          <w:color w:val="000000" w:themeColor="text1"/>
        </w:rPr>
        <w:t xml:space="preserve"> average rent discount in </w:t>
      </w:r>
      <w:r>
        <w:rPr>
          <w:color w:val="000000" w:themeColor="text1"/>
        </w:rPr>
        <w:t>Santo Amaro is 55% (regression II</w:t>
      </w:r>
      <w:r w:rsidRPr="00DE0337">
        <w:rPr>
          <w:color w:val="000000" w:themeColor="text1"/>
        </w:rPr>
        <w:t>)</w:t>
      </w:r>
      <w:r w:rsidR="006970BA">
        <w:rPr>
          <w:color w:val="000000" w:themeColor="text1"/>
        </w:rPr>
        <w:t>, whereas</w:t>
      </w:r>
      <w:r w:rsidRPr="00DE0337">
        <w:rPr>
          <w:color w:val="000000" w:themeColor="text1"/>
        </w:rPr>
        <w:t xml:space="preserve"> the same figure for </w:t>
      </w:r>
      <w:r w:rsidRPr="00DE0337">
        <w:rPr>
          <w:i/>
          <w:color w:val="000000" w:themeColor="text1"/>
        </w:rPr>
        <w:t>non-corporate</w:t>
      </w:r>
      <w:r w:rsidRPr="00DE0337">
        <w:rPr>
          <w:color w:val="000000" w:themeColor="text1"/>
        </w:rPr>
        <w:t xml:space="preserve"> is 21%. At the same time, some regions appear to have similar discounts (e.g. Paulista, Pinheiros/Perdizes, Saude/Jabaquara and Chacara Santo Antonio)</w:t>
      </w:r>
      <w:r>
        <w:rPr>
          <w:color w:val="000000" w:themeColor="text1"/>
        </w:rPr>
        <w:t xml:space="preserve">. </w:t>
      </w:r>
    </w:p>
    <w:p w14:paraId="50F36C53" w14:textId="77777777" w:rsidR="0053171D" w:rsidRDefault="0053171D" w:rsidP="0053171D">
      <w:pPr>
        <w:tabs>
          <w:tab w:val="left" w:pos="709"/>
        </w:tabs>
        <w:spacing w:before="120" w:after="120" w:line="360" w:lineRule="auto"/>
        <w:jc w:val="both"/>
        <w:rPr>
          <w:color w:val="000000" w:themeColor="text1"/>
          <w:lang w:val="en-US"/>
        </w:rPr>
      </w:pPr>
      <w:r w:rsidRPr="00DE0337">
        <w:rPr>
          <w:color w:val="000000" w:themeColor="text1"/>
          <w:lang w:val="en-US"/>
        </w:rPr>
        <w:tab/>
      </w:r>
      <w:r w:rsidR="0094533D">
        <w:rPr>
          <w:color w:val="000000" w:themeColor="text1"/>
          <w:lang w:val="en-US"/>
        </w:rPr>
        <w:t>T</w:t>
      </w:r>
      <w:r w:rsidRPr="00DE0337">
        <w:rPr>
          <w:color w:val="000000" w:themeColor="text1"/>
          <w:lang w:val="en-US"/>
        </w:rPr>
        <w:t xml:space="preserve">hese results </w:t>
      </w:r>
      <w:r w:rsidR="0094533D">
        <w:rPr>
          <w:color w:val="000000" w:themeColor="text1"/>
          <w:lang w:val="en-US"/>
        </w:rPr>
        <w:t xml:space="preserve">need to be interpreted </w:t>
      </w:r>
      <w:r w:rsidR="006970BA">
        <w:rPr>
          <w:color w:val="000000" w:themeColor="text1"/>
          <w:lang w:val="en-US"/>
        </w:rPr>
        <w:t>carefully</w:t>
      </w:r>
      <w:r w:rsidR="006970BA" w:rsidRPr="00DE0337">
        <w:rPr>
          <w:color w:val="000000" w:themeColor="text1"/>
          <w:lang w:val="en-US"/>
        </w:rPr>
        <w:t xml:space="preserve"> </w:t>
      </w:r>
      <w:r w:rsidRPr="00DE0337">
        <w:rPr>
          <w:color w:val="000000" w:themeColor="text1"/>
          <w:lang w:val="en-US"/>
        </w:rPr>
        <w:t xml:space="preserve">as submarket dummies do not control perfectly </w:t>
      </w:r>
      <w:r w:rsidRPr="005F48FF">
        <w:rPr>
          <w:color w:val="000000" w:themeColor="text1"/>
          <w:lang w:val="en-US"/>
        </w:rPr>
        <w:t xml:space="preserve">for unobserved spatial heterogeneity. Even though these locational indicators are intended to define relatively homogeneous market regions, it is possible that intra-submarket variations in locational quality may give rise to biased results if </w:t>
      </w:r>
      <w:r w:rsidRPr="005F48FF">
        <w:rPr>
          <w:i/>
          <w:color w:val="000000" w:themeColor="text1"/>
          <w:lang w:val="en-US"/>
        </w:rPr>
        <w:t>corporate</w:t>
      </w:r>
      <w:r w:rsidRPr="005F48FF">
        <w:rPr>
          <w:color w:val="000000" w:themeColor="text1"/>
          <w:lang w:val="en-US"/>
        </w:rPr>
        <w:t xml:space="preserve"> properties were systematically located in the best locations within submarket level (</w:t>
      </w:r>
      <w:r w:rsidRPr="005F48FF">
        <w:rPr>
          <w:lang w:val="en-US"/>
        </w:rPr>
        <w:t xml:space="preserve">Reichardt </w:t>
      </w:r>
      <w:r w:rsidRPr="005F48FF">
        <w:rPr>
          <w:i/>
          <w:lang w:val="en-US"/>
        </w:rPr>
        <w:t>et al.</w:t>
      </w:r>
      <w:r>
        <w:rPr>
          <w:i/>
          <w:lang w:val="en-US"/>
        </w:rPr>
        <w:t>,</w:t>
      </w:r>
      <w:r w:rsidRPr="005F48FF">
        <w:rPr>
          <w:lang w:val="en-US"/>
        </w:rPr>
        <w:t xml:space="preserve"> 2012). In </w:t>
      </w:r>
      <w:r w:rsidR="0094533D">
        <w:rPr>
          <w:lang w:val="en-US"/>
        </w:rPr>
        <w:t>the</w:t>
      </w:r>
      <w:r w:rsidRPr="005F48FF">
        <w:rPr>
          <w:lang w:val="en-US"/>
        </w:rPr>
        <w:t xml:space="preserve"> hedonic framework</w:t>
      </w:r>
      <w:r w:rsidR="0094533D">
        <w:rPr>
          <w:lang w:val="en-US"/>
        </w:rPr>
        <w:t xml:space="preserve"> presented</w:t>
      </w:r>
      <w:r w:rsidRPr="005F48FF">
        <w:rPr>
          <w:lang w:val="en-US"/>
        </w:rPr>
        <w:t xml:space="preserve">, two conditions would have to be met for such bias to arise: (1) </w:t>
      </w:r>
      <w:r w:rsidRPr="005F48FF">
        <w:rPr>
          <w:i/>
          <w:color w:val="000000" w:themeColor="text1"/>
          <w:lang w:val="en-US"/>
        </w:rPr>
        <w:t>corporate</w:t>
      </w:r>
      <w:r w:rsidRPr="005F48FF">
        <w:rPr>
          <w:color w:val="000000" w:themeColor="text1"/>
          <w:lang w:val="en-US"/>
        </w:rPr>
        <w:t xml:space="preserve"> properties are systematically located in the best micro-locations while smaller tenant</w:t>
      </w:r>
      <w:r w:rsidRPr="005F48FF">
        <w:rPr>
          <w:lang w:val="en-US"/>
        </w:rPr>
        <w:t xml:space="preserve"> are found in worse areas and (2) the price gap between the best and worse micro-locations varies across submarkets</w:t>
      </w:r>
      <w:r w:rsidRPr="005F48FF">
        <w:rPr>
          <w:color w:val="000000" w:themeColor="text1"/>
          <w:lang w:val="en-US"/>
        </w:rPr>
        <w:t xml:space="preserve">. Considering the relatively large number of </w:t>
      </w:r>
      <w:r w:rsidRPr="005F48FF">
        <w:rPr>
          <w:i/>
          <w:color w:val="000000" w:themeColor="text1"/>
          <w:lang w:val="en-US"/>
        </w:rPr>
        <w:t>corporate</w:t>
      </w:r>
      <w:r w:rsidRPr="005F48FF">
        <w:rPr>
          <w:color w:val="000000" w:themeColor="text1"/>
          <w:lang w:val="en-US"/>
        </w:rPr>
        <w:t xml:space="preserve"> and </w:t>
      </w:r>
      <w:r w:rsidRPr="005F48FF">
        <w:rPr>
          <w:i/>
          <w:color w:val="000000" w:themeColor="text1"/>
          <w:lang w:val="en-US"/>
        </w:rPr>
        <w:t>smaller tenant</w:t>
      </w:r>
      <w:r w:rsidRPr="005F48FF">
        <w:rPr>
          <w:color w:val="000000" w:themeColor="text1"/>
          <w:lang w:val="en-US"/>
        </w:rPr>
        <w:t xml:space="preserve"> properties in our sample and their co-existence in </w:t>
      </w:r>
      <w:r w:rsidR="00D826CF">
        <w:rPr>
          <w:color w:val="000000" w:themeColor="text1"/>
          <w:lang w:val="en-US"/>
        </w:rPr>
        <w:t>all</w:t>
      </w:r>
      <w:r w:rsidRPr="005F48FF">
        <w:rPr>
          <w:color w:val="000000" w:themeColor="text1"/>
          <w:lang w:val="en-US"/>
        </w:rPr>
        <w:t xml:space="preserve"> locations a bias seems unlikely.</w:t>
      </w:r>
    </w:p>
    <w:p w14:paraId="258F88EA" w14:textId="77777777" w:rsidR="0053171D" w:rsidRPr="00AD46F7" w:rsidRDefault="0053171D" w:rsidP="00AD46F7">
      <w:pPr>
        <w:pStyle w:val="ecxmsonormal"/>
        <w:shd w:val="clear" w:color="auto" w:fill="FFFFFF"/>
        <w:tabs>
          <w:tab w:val="left" w:pos="426"/>
        </w:tabs>
        <w:spacing w:before="120" w:beforeAutospacing="0" w:after="120" w:afterAutospacing="0" w:line="360" w:lineRule="auto"/>
        <w:jc w:val="both"/>
        <w:rPr>
          <w:i/>
        </w:rPr>
      </w:pPr>
      <w:r w:rsidRPr="00AD46F7">
        <w:rPr>
          <w:bCs/>
          <w:i/>
          <w:noProof w:val="0"/>
        </w:rPr>
        <w:t>Differentiation based on Economic Cycles</w:t>
      </w:r>
    </w:p>
    <w:p w14:paraId="0E844DE8" w14:textId="76CC71E9" w:rsidR="0053171D" w:rsidRPr="005F48FF" w:rsidRDefault="0053171D" w:rsidP="0053171D">
      <w:pPr>
        <w:pStyle w:val="ecxmsonormal"/>
        <w:shd w:val="clear" w:color="auto" w:fill="FFFFFF"/>
        <w:tabs>
          <w:tab w:val="left" w:pos="426"/>
        </w:tabs>
        <w:spacing w:before="120" w:beforeAutospacing="0" w:after="120" w:afterAutospacing="0" w:line="360" w:lineRule="auto"/>
        <w:jc w:val="both"/>
      </w:pPr>
      <w:r w:rsidRPr="00DE0337">
        <w:rPr>
          <w:color w:val="000000" w:themeColor="text1"/>
        </w:rPr>
        <w:t xml:space="preserve">Before </w:t>
      </w:r>
      <w:r w:rsidR="001073BE">
        <w:rPr>
          <w:color w:val="000000" w:themeColor="text1"/>
        </w:rPr>
        <w:t xml:space="preserve">proceeding </w:t>
      </w:r>
      <w:r w:rsidRPr="00DE0337">
        <w:rPr>
          <w:color w:val="000000" w:themeColor="text1"/>
        </w:rPr>
        <w:t xml:space="preserve">to the discussion on temporal changes in market rent, it is worth recalling </w:t>
      </w:r>
      <w:r w:rsidRPr="005F48FF">
        <w:rPr>
          <w:color w:val="000000" w:themeColor="text1"/>
        </w:rPr>
        <w:t xml:space="preserve">that we use asking rents, </w:t>
      </w:r>
      <w:r w:rsidRPr="00533228">
        <w:rPr>
          <w:color w:val="FF0000"/>
        </w:rPr>
        <w:t xml:space="preserve">which may be subject to criticism by some readers. </w:t>
      </w:r>
      <w:r w:rsidRPr="005F48FF">
        <w:rPr>
          <w:color w:val="000000" w:themeColor="text1"/>
        </w:rPr>
        <w:t xml:space="preserve">The real estate literature recognizes that appraisal based indicators can be subject to measurement error, </w:t>
      </w:r>
      <w:r w:rsidRPr="00293430">
        <w:t xml:space="preserve">namely due to valuation smoothing </w:t>
      </w:r>
      <w:r w:rsidRPr="005F48FF">
        <w:t xml:space="preserve">(e.g. Geltner </w:t>
      </w:r>
      <w:r w:rsidR="007E241C">
        <w:t>and</w:t>
      </w:r>
      <w:r w:rsidRPr="005F48FF">
        <w:t xml:space="preserve"> Fisher</w:t>
      </w:r>
      <w:r>
        <w:t>,</w:t>
      </w:r>
      <w:r w:rsidRPr="005F48FF">
        <w:t xml:space="preserve"> 2007)</w:t>
      </w:r>
      <w:r w:rsidR="00533228">
        <w:t xml:space="preserve">, </w:t>
      </w:r>
      <w:r w:rsidR="00533228" w:rsidRPr="00533228">
        <w:rPr>
          <w:color w:val="FF0000"/>
        </w:rPr>
        <w:t>as</w:t>
      </w:r>
      <w:r w:rsidR="00533228">
        <w:t xml:space="preserve"> </w:t>
      </w:r>
      <w:r w:rsidR="00533228">
        <w:rPr>
          <w:color w:val="FF0000"/>
        </w:rPr>
        <w:t xml:space="preserve">they do not explore implications of tenant improvements and rent allowances. </w:t>
      </w:r>
      <w:r w:rsidRPr="005F48FF">
        <w:t xml:space="preserve">Studies that compare the performance of appraisal- and transaction-based indices document that the latter </w:t>
      </w:r>
      <w:r w:rsidR="00293430" w:rsidRPr="00293430">
        <w:rPr>
          <w:color w:val="FF0000"/>
        </w:rPr>
        <w:t>also</w:t>
      </w:r>
      <w:r w:rsidR="00293430">
        <w:t xml:space="preserve"> </w:t>
      </w:r>
      <w:r w:rsidRPr="005F48FF">
        <w:t xml:space="preserve">provides more timely information in market turning points (Chegut </w:t>
      </w:r>
      <w:r w:rsidRPr="005F48FF">
        <w:rPr>
          <w:i/>
        </w:rPr>
        <w:t>et al.</w:t>
      </w:r>
      <w:r>
        <w:rPr>
          <w:i/>
        </w:rPr>
        <w:t>,</w:t>
      </w:r>
      <w:r w:rsidRPr="005F48FF">
        <w:t xml:space="preserve"> 2013). Cho </w:t>
      </w:r>
      <w:r w:rsidRPr="005F48FF">
        <w:rPr>
          <w:i/>
        </w:rPr>
        <w:t>et al.</w:t>
      </w:r>
      <w:r w:rsidRPr="005F48FF">
        <w:t xml:space="preserve"> (2014) employ time-varying asset pricing models and find that appraisal smoothing is on average close to zero, but changes overtime. These findings suggest that overall trends for a given market are likely to be similar despite the type of data considered.</w:t>
      </w:r>
    </w:p>
    <w:p w14:paraId="04AD690B" w14:textId="77777777" w:rsidR="0053171D" w:rsidRPr="00DE0337" w:rsidRDefault="0053171D" w:rsidP="0053171D">
      <w:pPr>
        <w:spacing w:before="120" w:after="120" w:line="360" w:lineRule="auto"/>
        <w:jc w:val="both"/>
        <w:rPr>
          <w:lang w:val="en-US"/>
        </w:rPr>
      </w:pPr>
      <w:r w:rsidRPr="005F48FF">
        <w:rPr>
          <w:lang w:val="en-US"/>
        </w:rPr>
        <w:t xml:space="preserve"> </w:t>
      </w:r>
      <w:r w:rsidRPr="005F48FF">
        <w:rPr>
          <w:lang w:val="en-US"/>
        </w:rPr>
        <w:tab/>
        <w:t xml:space="preserve">In our case, the use of asking rents is sufficient as our goal is to compare patterns across </w:t>
      </w:r>
      <w:r w:rsidRPr="005F48FF">
        <w:rPr>
          <w:i/>
          <w:lang w:val="en-US"/>
        </w:rPr>
        <w:t>corporate</w:t>
      </w:r>
      <w:r w:rsidRPr="005F48FF">
        <w:rPr>
          <w:lang w:val="en-US"/>
        </w:rPr>
        <w:t xml:space="preserve"> and </w:t>
      </w:r>
      <w:r w:rsidRPr="005F48FF">
        <w:rPr>
          <w:i/>
          <w:lang w:val="en-US"/>
        </w:rPr>
        <w:t>smaller tenant</w:t>
      </w:r>
      <w:r w:rsidRPr="005F48FF">
        <w:rPr>
          <w:lang w:val="en-US"/>
        </w:rPr>
        <w:t xml:space="preserve"> properties (and not to develop a measure that successfully captures short-term fluctuations in rent). An </w:t>
      </w:r>
      <w:r w:rsidRPr="005F48FF">
        <w:rPr>
          <w:i/>
          <w:lang w:val="en-US"/>
        </w:rPr>
        <w:t>et al.</w:t>
      </w:r>
      <w:r w:rsidRPr="005F48FF">
        <w:rPr>
          <w:lang w:val="en-US"/>
        </w:rPr>
        <w:t xml:space="preserve"> (2016) show that indicators of rent dynamics can vary substantially across the broader definitions of CRE properties (e.g. office, industrial, retail, etc.) using appraisal data from the US. As</w:t>
      </w:r>
      <w:r w:rsidRPr="00DE0337">
        <w:rPr>
          <w:lang w:val="en-US"/>
        </w:rPr>
        <w:t xml:space="preserve"> suggested by the market segmentation literature, temporal changes in market rents are one way of classifying heterogeneous real estate markets.</w:t>
      </w:r>
    </w:p>
    <w:p w14:paraId="0BA38179" w14:textId="0A5FDF85" w:rsidR="0053171D" w:rsidRDefault="0053171D" w:rsidP="001073BE">
      <w:pPr>
        <w:spacing w:before="120" w:after="120" w:line="360" w:lineRule="auto"/>
        <w:jc w:val="both"/>
        <w:rPr>
          <w:color w:val="000000" w:themeColor="text1"/>
          <w:lang w:val="en-US"/>
        </w:rPr>
      </w:pPr>
      <w:r w:rsidRPr="00DE0337">
        <w:rPr>
          <w:lang w:val="en-US"/>
        </w:rPr>
        <w:t xml:space="preserve"> </w:t>
      </w:r>
      <w:r w:rsidRPr="00DE0337">
        <w:rPr>
          <w:lang w:val="en-US"/>
        </w:rPr>
        <w:tab/>
        <w:t xml:space="preserve">The following graph </w:t>
      </w:r>
      <w:r w:rsidR="00FC436B" w:rsidRPr="00FC436B">
        <w:rPr>
          <w:color w:val="FF0000"/>
          <w:lang w:val="en-US"/>
        </w:rPr>
        <w:t>(Figure 2)</w:t>
      </w:r>
      <w:r w:rsidR="00FC436B">
        <w:rPr>
          <w:lang w:val="en-US"/>
        </w:rPr>
        <w:t xml:space="preserve"> </w:t>
      </w:r>
      <w:r w:rsidRPr="00DE0337">
        <w:rPr>
          <w:lang w:val="en-US"/>
        </w:rPr>
        <w:t>shows parameters from regressions (</w:t>
      </w:r>
      <w:r>
        <w:rPr>
          <w:lang w:val="en-US"/>
        </w:rPr>
        <w:t>I), (II) and (III</w:t>
      </w:r>
      <w:r w:rsidRPr="00DE0337">
        <w:rPr>
          <w:lang w:val="en-US"/>
        </w:rPr>
        <w:t>) after exponentiation</w:t>
      </w:r>
      <w:r w:rsidR="001073BE">
        <w:rPr>
          <w:lang w:val="en-US"/>
        </w:rPr>
        <w:t xml:space="preserve"> (a</w:t>
      </w:r>
      <w:r w:rsidRPr="00DE0337">
        <w:rPr>
          <w:lang w:val="en-US"/>
        </w:rPr>
        <w:t xml:space="preserve">ctual estimates </w:t>
      </w:r>
      <w:r w:rsidR="001073BE">
        <w:rPr>
          <w:lang w:val="en-US"/>
        </w:rPr>
        <w:t xml:space="preserve">are not reported </w:t>
      </w:r>
      <w:r w:rsidRPr="00DE0337">
        <w:rPr>
          <w:lang w:val="en-US"/>
        </w:rPr>
        <w:t>for the sake of brevity</w:t>
      </w:r>
      <w:r w:rsidR="001073BE">
        <w:rPr>
          <w:lang w:val="en-US"/>
        </w:rPr>
        <w:t>).</w:t>
      </w:r>
      <w:r w:rsidR="001073BE">
        <w:rPr>
          <w:color w:val="000000" w:themeColor="text1"/>
          <w:lang w:val="en-US"/>
        </w:rPr>
        <w:tab/>
        <w:t xml:space="preserve">The </w:t>
      </w:r>
      <w:r w:rsidRPr="00DE0337">
        <w:rPr>
          <w:color w:val="000000" w:themeColor="text1"/>
          <w:lang w:val="en-US"/>
        </w:rPr>
        <w:t>hedonic</w:t>
      </w:r>
      <w:r w:rsidR="001073BE">
        <w:rPr>
          <w:color w:val="000000" w:themeColor="text1"/>
          <w:lang w:val="en-US"/>
        </w:rPr>
        <w:t>-based</w:t>
      </w:r>
      <w:r w:rsidRPr="00DE0337">
        <w:rPr>
          <w:color w:val="000000" w:themeColor="text1"/>
          <w:lang w:val="en-US"/>
        </w:rPr>
        <w:t xml:space="preserve"> indicators show that economic changes affect the </w:t>
      </w:r>
      <w:r w:rsidRPr="00DE0337">
        <w:rPr>
          <w:i/>
          <w:color w:val="000000" w:themeColor="text1"/>
          <w:lang w:val="en-US"/>
        </w:rPr>
        <w:t>corporate</w:t>
      </w:r>
      <w:r w:rsidRPr="00DE0337">
        <w:rPr>
          <w:color w:val="000000" w:themeColor="text1"/>
          <w:lang w:val="en-US"/>
        </w:rPr>
        <w:t xml:space="preserve"> and </w:t>
      </w:r>
      <w:r w:rsidRPr="00DE0337">
        <w:rPr>
          <w:i/>
          <w:color w:val="000000" w:themeColor="text1"/>
          <w:lang w:val="en-US"/>
        </w:rPr>
        <w:t>smaller tenant</w:t>
      </w:r>
      <w:r w:rsidRPr="00DE0337">
        <w:rPr>
          <w:color w:val="000000" w:themeColor="text1"/>
          <w:lang w:val="en-US"/>
        </w:rPr>
        <w:t xml:space="preserve"> segments in very similar ways and reflect to some extent the cyclicality of rent. Until 2008, office markets have experienced a full growth cycle due to a strong economic environment. In 2008:Q3, nominal rents grew at a slower pace in the aftermath of the global financial crisis and only begun to recover in 2010 as economic activity rebounded and interest rates were historically low. From 2012 onwards, office rent stagnated – and even declined – as Brazil entered in a recession. </w:t>
      </w:r>
    </w:p>
    <w:p w14:paraId="1AAAB475" w14:textId="77777777" w:rsidR="00B064C6" w:rsidRDefault="00B064C6" w:rsidP="0053171D">
      <w:pPr>
        <w:tabs>
          <w:tab w:val="left" w:pos="709"/>
        </w:tabs>
        <w:spacing w:before="120" w:after="120" w:line="360" w:lineRule="auto"/>
        <w:jc w:val="both"/>
        <w:rPr>
          <w:color w:val="000000" w:themeColor="text1"/>
          <w:lang w:val="en-US"/>
        </w:rPr>
      </w:pPr>
    </w:p>
    <w:p w14:paraId="38D4C413" w14:textId="2AB09A52" w:rsidR="0053171D" w:rsidRDefault="00B064C6" w:rsidP="00306CB5">
      <w:pPr>
        <w:tabs>
          <w:tab w:val="left" w:pos="709"/>
        </w:tabs>
        <w:spacing w:before="120" w:after="120" w:line="360" w:lineRule="auto"/>
        <w:jc w:val="center"/>
        <w:rPr>
          <w:rFonts w:eastAsiaTheme="minorEastAsia"/>
          <w:i/>
          <w:lang w:val="en-US"/>
        </w:rPr>
      </w:pPr>
      <w:r>
        <w:rPr>
          <w:bCs/>
          <w:lang w:val="en-US"/>
        </w:rPr>
        <w:t xml:space="preserve">[FIGURE </w:t>
      </w:r>
      <w:r w:rsidR="00FC436B" w:rsidRPr="00FC436B">
        <w:rPr>
          <w:bCs/>
          <w:color w:val="FF0000"/>
          <w:lang w:val="en-US"/>
        </w:rPr>
        <w:t>2</w:t>
      </w:r>
      <w:r>
        <w:rPr>
          <w:bCs/>
          <w:lang w:val="en-US"/>
        </w:rPr>
        <w:t xml:space="preserve"> HERE]</w:t>
      </w:r>
    </w:p>
    <w:p w14:paraId="5572E53E" w14:textId="77777777" w:rsidR="0053171D" w:rsidRPr="00C00C37" w:rsidRDefault="0053171D" w:rsidP="00AD46F7">
      <w:pPr>
        <w:pStyle w:val="ecxmsonormal"/>
        <w:shd w:val="clear" w:color="auto" w:fill="FFFFFF"/>
        <w:tabs>
          <w:tab w:val="left" w:pos="1701"/>
        </w:tabs>
        <w:spacing w:before="120" w:beforeAutospacing="0" w:after="120" w:afterAutospacing="0" w:line="360" w:lineRule="auto"/>
        <w:jc w:val="both"/>
        <w:rPr>
          <w:i/>
          <w:noProof w:val="0"/>
        </w:rPr>
      </w:pPr>
      <w:r w:rsidRPr="00C00C37">
        <w:rPr>
          <w:b/>
          <w:bCs/>
          <w:noProof w:val="0"/>
        </w:rPr>
        <w:t>Robustness Test</w:t>
      </w:r>
    </w:p>
    <w:p w14:paraId="33D15B48" w14:textId="77777777" w:rsidR="0053171D" w:rsidRDefault="0053171D" w:rsidP="0053171D">
      <w:pPr>
        <w:tabs>
          <w:tab w:val="left" w:pos="709"/>
        </w:tabs>
        <w:spacing w:line="360" w:lineRule="auto"/>
        <w:jc w:val="both"/>
        <w:rPr>
          <w:rFonts w:eastAsiaTheme="minorEastAsia"/>
          <w:lang w:val="en-US"/>
        </w:rPr>
      </w:pPr>
      <w:r w:rsidRPr="00DE0337">
        <w:rPr>
          <w:color w:val="000000" w:themeColor="text1"/>
          <w:lang w:val="en-US"/>
        </w:rPr>
        <w:t xml:space="preserve">While an examination of coefficients reveals some evidence of differing shadow prices, it does not formally test the null hypothesis that individual parameters are similar across the </w:t>
      </w:r>
      <w:r w:rsidRPr="00DE0337">
        <w:rPr>
          <w:i/>
          <w:color w:val="000000" w:themeColor="text1"/>
          <w:lang w:val="en-US"/>
        </w:rPr>
        <w:t>corporate</w:t>
      </w:r>
      <w:r w:rsidRPr="00DE0337">
        <w:rPr>
          <w:color w:val="000000" w:themeColor="text1"/>
          <w:lang w:val="en-US"/>
        </w:rPr>
        <w:t xml:space="preserve"> and </w:t>
      </w:r>
      <w:r w:rsidRPr="00DE0337">
        <w:rPr>
          <w:i/>
          <w:color w:val="000000" w:themeColor="text1"/>
          <w:lang w:val="en-US"/>
        </w:rPr>
        <w:t>smaller tenant</w:t>
      </w:r>
      <w:r w:rsidRPr="00DE0337">
        <w:rPr>
          <w:color w:val="000000" w:themeColor="text1"/>
          <w:lang w:val="en-US"/>
        </w:rPr>
        <w:t xml:space="preserve"> segments. The existence of similarity in each regression coefficient estimate is examined by use of the Wald chi-squared test. The null hypothesis for each Wald test is </w:t>
      </w:r>
      <m:oMath>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i</m:t>
            </m:r>
            <m:d>
              <m:dPr>
                <m:ctrlPr>
                  <w:rPr>
                    <w:rFonts w:ascii="Cambria Math" w:hAnsi="Cambria Math"/>
                    <w:i/>
                    <w:lang w:val="en-US"/>
                  </w:rPr>
                </m:ctrlPr>
              </m:dPr>
              <m:e>
                <m:r>
                  <w:rPr>
                    <w:rFonts w:ascii="Cambria Math" w:hAnsi="Cambria Math"/>
                    <w:lang w:val="en-US"/>
                  </w:rPr>
                  <m:t>Corporate</m:t>
                </m:r>
              </m:e>
            </m:d>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i</m:t>
            </m:r>
            <m:d>
              <m:dPr>
                <m:ctrlPr>
                  <w:rPr>
                    <w:rFonts w:ascii="Cambria Math" w:hAnsi="Cambria Math"/>
                    <w:i/>
                    <w:lang w:val="en-US"/>
                  </w:rPr>
                </m:ctrlPr>
              </m:dPr>
              <m:e>
                <m:r>
                  <w:rPr>
                    <w:rFonts w:ascii="Cambria Math" w:hAnsi="Cambria Math"/>
                    <w:lang w:val="en-US"/>
                  </w:rPr>
                  <m:t>Smaller Tenant</m:t>
                </m:r>
              </m:e>
            </m:d>
          </m:sub>
        </m:sSub>
      </m:oMath>
      <w:r w:rsidRPr="00DE0337">
        <w:rPr>
          <w:rFonts w:eastAsiaTheme="minorEastAsia"/>
          <w:lang w:val="en-US"/>
        </w:rPr>
        <w:t xml:space="preserve">, where </w:t>
      </w:r>
      <w:r w:rsidRPr="007F4C53">
        <w:rPr>
          <w:rFonts w:eastAsiaTheme="minorEastAsia"/>
          <w:lang w:val="en-US"/>
        </w:rPr>
        <w:t xml:space="preserve">coefficient i = 1 to k. Adan </w:t>
      </w:r>
      <w:r>
        <w:rPr>
          <w:rFonts w:eastAsiaTheme="minorEastAsia"/>
          <w:lang w:val="en-US"/>
        </w:rPr>
        <w:t>and</w:t>
      </w:r>
      <w:r w:rsidRPr="007F4C53">
        <w:rPr>
          <w:rFonts w:eastAsiaTheme="minorEastAsia"/>
          <w:lang w:val="en-US"/>
        </w:rPr>
        <w:t xml:space="preserve"> Fuerst (2015) employ a similar procedure to compare the effect of different energy efficiency measures in reducing household energy and gas consumption. </w:t>
      </w:r>
    </w:p>
    <w:p w14:paraId="01A7B83F" w14:textId="77777777" w:rsidR="0053171D" w:rsidRPr="00DE0337" w:rsidRDefault="0053171D" w:rsidP="0053171D">
      <w:pPr>
        <w:tabs>
          <w:tab w:val="left" w:pos="709"/>
        </w:tabs>
        <w:spacing w:line="360" w:lineRule="auto"/>
        <w:jc w:val="both"/>
        <w:rPr>
          <w:lang w:val="en-US"/>
        </w:rPr>
      </w:pPr>
      <w:r>
        <w:rPr>
          <w:rFonts w:eastAsiaTheme="minorEastAsia"/>
          <w:lang w:val="en-US"/>
        </w:rPr>
        <w:tab/>
      </w:r>
      <w:r w:rsidRPr="007F4C53">
        <w:rPr>
          <w:rFonts w:eastAsiaTheme="minorEastAsia"/>
          <w:lang w:val="en-US"/>
        </w:rPr>
        <w:t xml:space="preserve">These authors use distinct models with similar specification to compare the impact of each measure. The advantage of the Wald chi-squared test over the Chow (1960) and Tiao </w:t>
      </w:r>
      <w:r>
        <w:rPr>
          <w:rFonts w:eastAsiaTheme="minorEastAsia"/>
          <w:lang w:val="en-US"/>
        </w:rPr>
        <w:t>and</w:t>
      </w:r>
      <w:r w:rsidRPr="007F4C53">
        <w:rPr>
          <w:rFonts w:eastAsiaTheme="minorEastAsia"/>
          <w:lang w:val="en-US"/>
        </w:rPr>
        <w:t xml:space="preserve"> Goldberger (1962) tests is that former generalizes to different variance estimates of the variance-covariance matrix, whereas the latter tests do not offer such flexibility. This is particularly relevant in our case as we cluster standard errors at submarket level. Nonetheless, the Wald test is employed with the same objective as the Tiao-Goldberger </w:t>
      </w:r>
      <w:bookmarkStart w:id="3" w:name="_Hlk483673542"/>
      <w:r w:rsidRPr="007F4C53">
        <w:rPr>
          <w:rFonts w:eastAsiaTheme="minorEastAsia"/>
          <w:lang w:val="en-US"/>
        </w:rPr>
        <w:t>(TG) test</w:t>
      </w:r>
      <w:bookmarkEnd w:id="3"/>
      <w:r w:rsidRPr="007F4C53">
        <w:rPr>
          <w:rFonts w:eastAsiaTheme="minorEastAsia"/>
          <w:lang w:val="en-US"/>
        </w:rPr>
        <w:t xml:space="preserve">, which is to examine the structural stability of individual parameters across distinct regressions. The latter procedure has been more widely adopted in the real estate literature (e.g. </w:t>
      </w:r>
      <w:r w:rsidRPr="007F4C53">
        <w:rPr>
          <w:lang w:val="en-US"/>
        </w:rPr>
        <w:t xml:space="preserve">Hardin </w:t>
      </w:r>
      <w:r w:rsidR="007E241C">
        <w:rPr>
          <w:lang w:val="en-US"/>
        </w:rPr>
        <w:t>and</w:t>
      </w:r>
      <w:r w:rsidRPr="007F4C53">
        <w:rPr>
          <w:lang w:val="en-US"/>
        </w:rPr>
        <w:t xml:space="preserve"> Carr</w:t>
      </w:r>
      <w:r>
        <w:rPr>
          <w:lang w:val="en-US"/>
        </w:rPr>
        <w:t>,</w:t>
      </w:r>
      <w:r w:rsidRPr="007F4C53">
        <w:rPr>
          <w:lang w:val="en-US"/>
        </w:rPr>
        <w:t xml:space="preserve"> 2006</w:t>
      </w:r>
      <w:r>
        <w:rPr>
          <w:lang w:val="en-US"/>
        </w:rPr>
        <w:t xml:space="preserve">; </w:t>
      </w:r>
      <w:r w:rsidRPr="007F4C53">
        <w:rPr>
          <w:lang w:val="en-US"/>
        </w:rPr>
        <w:t xml:space="preserve">Berry </w:t>
      </w:r>
      <w:r w:rsidRPr="007F4C53">
        <w:rPr>
          <w:i/>
          <w:lang w:val="en-US"/>
        </w:rPr>
        <w:t>et al.</w:t>
      </w:r>
      <w:r>
        <w:rPr>
          <w:i/>
          <w:lang w:val="en-US"/>
        </w:rPr>
        <w:t>,</w:t>
      </w:r>
      <w:r>
        <w:rPr>
          <w:lang w:val="en-US"/>
        </w:rPr>
        <w:t xml:space="preserve"> 2003; </w:t>
      </w:r>
      <w:r w:rsidRPr="007F4C53">
        <w:rPr>
          <w:lang w:val="en-US"/>
        </w:rPr>
        <w:t>Slade</w:t>
      </w:r>
      <w:r>
        <w:rPr>
          <w:lang w:val="en-US"/>
        </w:rPr>
        <w:t>, 2000</w:t>
      </w:r>
      <w:r w:rsidRPr="007F4C53">
        <w:rPr>
          <w:lang w:val="en-US"/>
        </w:rPr>
        <w:t>); however, none of these studies adopted clustered errors.</w:t>
      </w:r>
    </w:p>
    <w:p w14:paraId="1A53E942" w14:textId="77777777" w:rsidR="0053171D" w:rsidRDefault="0053171D" w:rsidP="0053171D">
      <w:pPr>
        <w:tabs>
          <w:tab w:val="left" w:pos="709"/>
        </w:tabs>
        <w:spacing w:line="360" w:lineRule="auto"/>
        <w:jc w:val="both"/>
        <w:rPr>
          <w:lang w:val="en-US"/>
        </w:rPr>
      </w:pPr>
      <w:r w:rsidRPr="00DE0337">
        <w:rPr>
          <w:lang w:val="en-US"/>
        </w:rPr>
        <w:tab/>
      </w:r>
      <w:r w:rsidRPr="00293430">
        <w:rPr>
          <w:color w:val="FF0000"/>
          <w:lang w:val="en-US"/>
        </w:rPr>
        <w:t>Table 5</w:t>
      </w:r>
      <w:r w:rsidRPr="00DE0337">
        <w:rPr>
          <w:lang w:val="en-US"/>
        </w:rPr>
        <w:t xml:space="preserve"> shows the results of the Wald chi-square test for building attribute and locational coefficients across the </w:t>
      </w:r>
      <w:r w:rsidRPr="00DE0337">
        <w:rPr>
          <w:i/>
          <w:lang w:val="en-US"/>
        </w:rPr>
        <w:t>corporate</w:t>
      </w:r>
      <w:r w:rsidRPr="00DE0337">
        <w:rPr>
          <w:lang w:val="en-US"/>
        </w:rPr>
        <w:t xml:space="preserve"> and </w:t>
      </w:r>
      <w:r w:rsidRPr="00DE0337">
        <w:rPr>
          <w:i/>
          <w:lang w:val="en-US"/>
        </w:rPr>
        <w:t>non-corporate</w:t>
      </w:r>
      <w:r w:rsidRPr="00DE0337">
        <w:rPr>
          <w:lang w:val="en-US"/>
        </w:rPr>
        <w:t xml:space="preserve"> niches. The results for the time dummy parameters can be found in the appendix of this study. Some parameters are significantly different for building attributes and locational variables, but not for temporal changes in market rent.</w:t>
      </w:r>
    </w:p>
    <w:p w14:paraId="20284E70" w14:textId="77777777" w:rsidR="007E241C" w:rsidRDefault="007E241C" w:rsidP="0053171D">
      <w:pPr>
        <w:tabs>
          <w:tab w:val="left" w:pos="709"/>
        </w:tabs>
        <w:spacing w:line="360" w:lineRule="auto"/>
        <w:jc w:val="both"/>
        <w:rPr>
          <w:lang w:val="en-US"/>
        </w:rPr>
      </w:pPr>
    </w:p>
    <w:p w14:paraId="0C5629DD" w14:textId="63233C2B" w:rsidR="007E241C" w:rsidRPr="00DE0337" w:rsidRDefault="007E241C" w:rsidP="00306CB5">
      <w:pPr>
        <w:spacing w:line="360" w:lineRule="auto"/>
        <w:ind w:firstLine="720"/>
        <w:jc w:val="center"/>
        <w:rPr>
          <w:lang w:val="en-US"/>
        </w:rPr>
      </w:pPr>
      <w:r>
        <w:rPr>
          <w:color w:val="000000" w:themeColor="text1"/>
          <w:lang w:val="en-US"/>
        </w:rPr>
        <w:t>[TABLE 5 HERE]</w:t>
      </w:r>
    </w:p>
    <w:p w14:paraId="6090B8C8" w14:textId="77777777" w:rsidR="0053171D" w:rsidRDefault="0053171D" w:rsidP="0053171D">
      <w:pPr>
        <w:spacing w:line="360" w:lineRule="auto"/>
        <w:ind w:firstLine="720"/>
        <w:jc w:val="both"/>
        <w:rPr>
          <w:color w:val="000000" w:themeColor="text1"/>
          <w:lang w:val="en-US"/>
        </w:rPr>
      </w:pPr>
      <w:r w:rsidRPr="00DE0337">
        <w:rPr>
          <w:color w:val="000000" w:themeColor="text1"/>
          <w:lang w:val="en-US"/>
        </w:rPr>
        <w:t>The Wald test for regr</w:t>
      </w:r>
      <w:r>
        <w:rPr>
          <w:color w:val="000000" w:themeColor="text1"/>
          <w:lang w:val="en-US"/>
        </w:rPr>
        <w:t>essions (II) and (III</w:t>
      </w:r>
      <w:r w:rsidRPr="00DE0337">
        <w:rPr>
          <w:color w:val="000000" w:themeColor="text1"/>
          <w:lang w:val="en-US"/>
        </w:rPr>
        <w:t xml:space="preserve">) shows that older and higher-rated properties are valued differently by </w:t>
      </w:r>
      <w:r w:rsidRPr="00DE0337">
        <w:rPr>
          <w:i/>
          <w:color w:val="000000" w:themeColor="text1"/>
          <w:lang w:val="en-US"/>
        </w:rPr>
        <w:t>corporate</w:t>
      </w:r>
      <w:r w:rsidRPr="00DE0337">
        <w:rPr>
          <w:color w:val="000000" w:themeColor="text1"/>
          <w:lang w:val="en-US"/>
        </w:rPr>
        <w:t xml:space="preserve"> and </w:t>
      </w:r>
      <w:r w:rsidRPr="00DE0337">
        <w:rPr>
          <w:i/>
          <w:color w:val="000000" w:themeColor="text1"/>
          <w:lang w:val="en-US"/>
        </w:rPr>
        <w:t>smaller</w:t>
      </w:r>
      <w:r w:rsidRPr="00DE0337">
        <w:rPr>
          <w:color w:val="000000" w:themeColor="text1"/>
          <w:lang w:val="en-US"/>
        </w:rPr>
        <w:t xml:space="preserve"> tenants. </w:t>
      </w:r>
      <w:r w:rsidR="005019C3" w:rsidRPr="00DE0337">
        <w:rPr>
          <w:color w:val="000000" w:themeColor="text1"/>
          <w:lang w:val="en-US"/>
        </w:rPr>
        <w:t>Considering</w:t>
      </w:r>
      <w:r w:rsidRPr="00DE0337">
        <w:rPr>
          <w:color w:val="000000" w:themeColor="text1"/>
          <w:lang w:val="en-US"/>
        </w:rPr>
        <w:t xml:space="preserve"> this evidence, re-examination of the </w:t>
      </w:r>
      <w:r>
        <w:rPr>
          <w:color w:val="000000" w:themeColor="text1"/>
          <w:lang w:val="en-US"/>
        </w:rPr>
        <w:t>models in Table 4</w:t>
      </w:r>
      <w:r w:rsidRPr="00DE0337">
        <w:rPr>
          <w:color w:val="000000" w:themeColor="text1"/>
          <w:lang w:val="en-US"/>
        </w:rPr>
        <w:t xml:space="preserve"> reveals that </w:t>
      </w:r>
      <w:r w:rsidRPr="00DE0337">
        <w:rPr>
          <w:i/>
          <w:color w:val="000000" w:themeColor="text1"/>
          <w:lang w:val="en-US"/>
        </w:rPr>
        <w:t>corporate</w:t>
      </w:r>
      <w:r w:rsidRPr="00DE0337">
        <w:rPr>
          <w:color w:val="000000" w:themeColor="text1"/>
          <w:lang w:val="en-US"/>
        </w:rPr>
        <w:t xml:space="preserve"> users may be more sensible to overall levels of property quality than their </w:t>
      </w:r>
      <w:r w:rsidRPr="00DE0337">
        <w:rPr>
          <w:i/>
          <w:color w:val="000000" w:themeColor="text1"/>
          <w:lang w:val="en-US"/>
        </w:rPr>
        <w:t>non-corporate</w:t>
      </w:r>
      <w:r w:rsidRPr="00DE0337">
        <w:rPr>
          <w:color w:val="000000" w:themeColor="text1"/>
          <w:lang w:val="en-US"/>
        </w:rPr>
        <w:t xml:space="preserve"> peers. The outcomes for the submarket dummies show that these two groups also value nine out of thirteen submarkets heterogeneously. </w:t>
      </w:r>
    </w:p>
    <w:p w14:paraId="2B0DC506" w14:textId="77777777" w:rsidR="0053171D" w:rsidRDefault="0053171D" w:rsidP="0053171D">
      <w:pPr>
        <w:spacing w:line="360" w:lineRule="auto"/>
        <w:ind w:firstLine="720"/>
        <w:jc w:val="both"/>
        <w:rPr>
          <w:color w:val="000000" w:themeColor="text1"/>
          <w:lang w:val="en-US"/>
        </w:rPr>
      </w:pPr>
      <w:r w:rsidRPr="00DE0337">
        <w:rPr>
          <w:color w:val="000000" w:themeColor="text1"/>
          <w:lang w:val="en-US"/>
        </w:rPr>
        <w:t xml:space="preserve">As expected, growth and less convenient locations tend to face larger discounts by </w:t>
      </w:r>
      <w:r w:rsidRPr="00DE0337">
        <w:rPr>
          <w:i/>
          <w:color w:val="000000" w:themeColor="text1"/>
          <w:lang w:val="en-US"/>
        </w:rPr>
        <w:t>corporate</w:t>
      </w:r>
      <w:r w:rsidRPr="00DE0337">
        <w:rPr>
          <w:color w:val="000000" w:themeColor="text1"/>
          <w:lang w:val="en-US"/>
        </w:rPr>
        <w:t xml:space="preserve"> occupiers. Hence, shadow rental values not only vary substantially across regions but also vary by property type within a given submarket. The Wald test results for the time dummies indicate that economic change affects both types groups of properties in similar ways.</w:t>
      </w:r>
    </w:p>
    <w:p w14:paraId="4A4C2E07" w14:textId="77777777" w:rsidR="0053171D" w:rsidRPr="00DE0337" w:rsidRDefault="0053171D" w:rsidP="00AD46F7">
      <w:pPr>
        <w:pStyle w:val="ecxmsonormal"/>
        <w:shd w:val="clear" w:color="auto" w:fill="FFFFFF"/>
        <w:tabs>
          <w:tab w:val="left" w:pos="1701"/>
        </w:tabs>
        <w:spacing w:before="120" w:beforeAutospacing="0" w:after="120" w:afterAutospacing="0" w:line="360" w:lineRule="auto"/>
        <w:jc w:val="both"/>
        <w:rPr>
          <w:noProof w:val="0"/>
        </w:rPr>
      </w:pPr>
      <w:r w:rsidRPr="00DE0337">
        <w:rPr>
          <w:b/>
          <w:bCs/>
          <w:noProof w:val="0"/>
        </w:rPr>
        <w:t>Conclusion</w:t>
      </w:r>
    </w:p>
    <w:p w14:paraId="006E823D" w14:textId="2FC5AE9C" w:rsidR="00D65F76" w:rsidRDefault="0053171D" w:rsidP="0053171D">
      <w:pPr>
        <w:tabs>
          <w:tab w:val="left" w:pos="709"/>
        </w:tabs>
        <w:spacing w:line="360" w:lineRule="auto"/>
        <w:jc w:val="both"/>
        <w:rPr>
          <w:color w:val="000000" w:themeColor="text1"/>
          <w:lang w:val="en-US"/>
        </w:rPr>
      </w:pPr>
      <w:r w:rsidRPr="00D65F76">
        <w:rPr>
          <w:lang w:val="en-US"/>
        </w:rPr>
        <w:t xml:space="preserve">The impact of locational, physical features and economic variables on office rent levels has been the subject of </w:t>
      </w:r>
      <w:r w:rsidR="00B064C6" w:rsidRPr="00D65F76">
        <w:rPr>
          <w:lang w:val="en-US"/>
        </w:rPr>
        <w:t>many</w:t>
      </w:r>
      <w:r w:rsidRPr="00D65F76">
        <w:rPr>
          <w:lang w:val="en-US"/>
        </w:rPr>
        <w:t xml:space="preserve"> previous studies. </w:t>
      </w:r>
      <w:r w:rsidR="0032749C">
        <w:rPr>
          <w:color w:val="FF0000"/>
          <w:lang w:val="en-US"/>
        </w:rPr>
        <w:t xml:space="preserve">While it is widely recognized that rents vary based on these covariates, fewer studies actually </w:t>
      </w:r>
      <w:r w:rsidR="00306CB5">
        <w:rPr>
          <w:color w:val="FF0000"/>
          <w:lang w:val="en-US"/>
        </w:rPr>
        <w:t>explain</w:t>
      </w:r>
      <w:r w:rsidR="0032749C">
        <w:rPr>
          <w:color w:val="FF0000"/>
          <w:lang w:val="en-US"/>
        </w:rPr>
        <w:t xml:space="preserve"> how occupier’s motives may also affect pricing. </w:t>
      </w:r>
      <w:r w:rsidRPr="00306CB5">
        <w:rPr>
          <w:color w:val="FF0000"/>
          <w:lang w:val="en-US"/>
        </w:rPr>
        <w:t xml:space="preserve">This research investigates whether the effect associated with </w:t>
      </w:r>
      <w:r w:rsidR="00306CB5">
        <w:rPr>
          <w:color w:val="FF0000"/>
          <w:lang w:val="en-US"/>
        </w:rPr>
        <w:t xml:space="preserve">these </w:t>
      </w:r>
      <w:r w:rsidR="00306CB5" w:rsidRPr="00306CB5">
        <w:rPr>
          <w:color w:val="FF0000"/>
          <w:lang w:val="en-US"/>
        </w:rPr>
        <w:t>classic</w:t>
      </w:r>
      <w:r w:rsidR="0032749C" w:rsidRPr="00306CB5">
        <w:rPr>
          <w:color w:val="FF0000"/>
          <w:lang w:val="en-US"/>
        </w:rPr>
        <w:t xml:space="preserve"> rent determinants</w:t>
      </w:r>
      <w:r w:rsidRPr="00306CB5">
        <w:rPr>
          <w:color w:val="FF0000"/>
          <w:lang w:val="en-US"/>
        </w:rPr>
        <w:t xml:space="preserve"> can be generalized </w:t>
      </w:r>
      <w:r w:rsidR="00306CB5">
        <w:rPr>
          <w:color w:val="FF0000"/>
          <w:lang w:val="en-US"/>
        </w:rPr>
        <w:t>or wheth</w:t>
      </w:r>
      <w:r w:rsidRPr="00306CB5">
        <w:rPr>
          <w:color w:val="FF0000"/>
          <w:lang w:val="en-US"/>
        </w:rPr>
        <w:t>er they are fragmented across two niches of the office market: corporate and smaller occupiers.</w:t>
      </w:r>
      <w:r w:rsidRPr="00DE0337">
        <w:rPr>
          <w:color w:val="000000" w:themeColor="text1"/>
          <w:lang w:val="en-US"/>
        </w:rPr>
        <w:t xml:space="preserve"> </w:t>
      </w:r>
      <w:r w:rsidR="00D65F76" w:rsidRPr="00306CB5">
        <w:rPr>
          <w:color w:val="FF0000"/>
          <w:lang w:val="en-US"/>
        </w:rPr>
        <w:t xml:space="preserve">This segmentation breakdown enables us to </w:t>
      </w:r>
      <w:r w:rsidR="00306CB5">
        <w:rPr>
          <w:color w:val="FF0000"/>
          <w:lang w:val="en-US"/>
        </w:rPr>
        <w:t xml:space="preserve">better </w:t>
      </w:r>
      <w:r w:rsidR="00306CB5" w:rsidRPr="00306CB5">
        <w:rPr>
          <w:color w:val="FF0000"/>
          <w:lang w:val="en-US"/>
        </w:rPr>
        <w:t xml:space="preserve">address why corporate office rents are different. </w:t>
      </w:r>
    </w:p>
    <w:p w14:paraId="678E9AE2" w14:textId="2034C383" w:rsidR="0053171D" w:rsidRDefault="00D65F76" w:rsidP="0053171D">
      <w:pPr>
        <w:tabs>
          <w:tab w:val="left" w:pos="709"/>
        </w:tabs>
        <w:spacing w:line="360" w:lineRule="auto"/>
        <w:jc w:val="both"/>
        <w:rPr>
          <w:color w:val="000000" w:themeColor="text1"/>
          <w:lang w:val="en-US"/>
        </w:rPr>
      </w:pPr>
      <w:r>
        <w:rPr>
          <w:color w:val="000000" w:themeColor="text1"/>
          <w:lang w:val="en-US"/>
        </w:rPr>
        <w:tab/>
      </w:r>
      <w:r w:rsidR="0053171D" w:rsidRPr="00DE0337">
        <w:rPr>
          <w:color w:val="000000" w:themeColor="text1"/>
          <w:lang w:val="en-US"/>
        </w:rPr>
        <w:t>Contrary to previous real estate segmentation studies, we do not assume that segmentation is a purely spatial phenomenon</w:t>
      </w:r>
      <w:r w:rsidR="0053171D">
        <w:rPr>
          <w:color w:val="000000" w:themeColor="text1"/>
          <w:lang w:val="en-US"/>
        </w:rPr>
        <w:t>,</w:t>
      </w:r>
      <w:r w:rsidR="0053171D" w:rsidRPr="00DE0337">
        <w:rPr>
          <w:color w:val="000000" w:themeColor="text1"/>
          <w:lang w:val="en-US"/>
        </w:rPr>
        <w:t xml:space="preserve"> but instead define these groups based on the mean size of leasable units inside a property </w:t>
      </w:r>
      <w:r w:rsidR="0053171D" w:rsidRPr="00DC75F9">
        <w:rPr>
          <w:color w:val="FF0000"/>
          <w:lang w:val="en-US"/>
        </w:rPr>
        <w:t>and, indirectly, on the type of office user</w:t>
      </w:r>
      <w:r w:rsidR="0053171D" w:rsidRPr="00DE0337">
        <w:rPr>
          <w:color w:val="000000" w:themeColor="text1"/>
          <w:lang w:val="en-US"/>
        </w:rPr>
        <w:t xml:space="preserve">. Our conceptual framework shows that pricing discrepancies may arise from transaction costs to </w:t>
      </w:r>
      <w:r w:rsidR="0053171D" w:rsidRPr="00B27E3D">
        <w:rPr>
          <w:color w:val="000000" w:themeColor="text1"/>
          <w:lang w:val="en-US"/>
        </w:rPr>
        <w:t xml:space="preserve">relocate from one segment to another (objective relocation costs) and from endogenous capital allocation decisions associated with different users (subjective relocation costs). </w:t>
      </w:r>
    </w:p>
    <w:p w14:paraId="64D8AFDC" w14:textId="42967351" w:rsidR="0053171D" w:rsidRPr="00B27E3D" w:rsidRDefault="0053171D" w:rsidP="0053171D">
      <w:pPr>
        <w:tabs>
          <w:tab w:val="left" w:pos="709"/>
        </w:tabs>
        <w:spacing w:line="360" w:lineRule="auto"/>
        <w:jc w:val="both"/>
        <w:rPr>
          <w:color w:val="000000" w:themeColor="text1"/>
          <w:lang w:val="en-US"/>
        </w:rPr>
      </w:pPr>
      <w:r>
        <w:rPr>
          <w:color w:val="000000" w:themeColor="text1"/>
          <w:lang w:val="en-US"/>
        </w:rPr>
        <w:tab/>
      </w:r>
      <w:r w:rsidRPr="00B27E3D">
        <w:rPr>
          <w:color w:val="000000" w:themeColor="text1"/>
          <w:lang w:val="en-US"/>
        </w:rPr>
        <w:t>The empirical analysis confirms that office markets are not homogeneous as there are substantial differences in the height and slope of hedonic rent equations of corporate and non-corporate buildings. The results indicate that users of properties with larger units tend to be more sensitive to overall property quality and more selective in their locational decisions. For instance, rent discounts associated with physical obsolescence and less convenient office locations are significantly higher for corporate occupiers. At the same time, economic change affects these markets in a very similar way. We thus conclude that these submarkets can be classified as imperfect substitutes, but not as independent real estate markets.</w:t>
      </w:r>
      <w:r w:rsidR="00466220">
        <w:rPr>
          <w:color w:val="000000" w:themeColor="text1"/>
          <w:lang w:val="en-US"/>
        </w:rPr>
        <w:t xml:space="preserve"> </w:t>
      </w:r>
    </w:p>
    <w:p w14:paraId="67DF6A01" w14:textId="77777777" w:rsidR="0053171D" w:rsidRPr="00B27E3D" w:rsidRDefault="0053171D" w:rsidP="0053171D">
      <w:pPr>
        <w:tabs>
          <w:tab w:val="left" w:pos="709"/>
        </w:tabs>
        <w:spacing w:line="360" w:lineRule="auto"/>
        <w:jc w:val="both"/>
        <w:rPr>
          <w:lang w:val="en-US"/>
        </w:rPr>
      </w:pPr>
      <w:r w:rsidRPr="00B27E3D">
        <w:rPr>
          <w:color w:val="000000" w:themeColor="text1"/>
          <w:lang w:val="en-US"/>
        </w:rPr>
        <w:tab/>
        <w:t>Yet there are some</w:t>
      </w:r>
      <w:r w:rsidRPr="00B27E3D">
        <w:rPr>
          <w:lang w:val="en-US"/>
        </w:rPr>
        <w:t xml:space="preserve"> caveats attached to the interpretation heterogeneous pricing of office market determinants. First, the controls for inherent heterogeneity are bound to be imperfect and correlated with unobserved variables. The omitted variable bias is pervasive in cross-sectional hedonic models as it is virtually impossible to control for all characteristics. Second, the definition of property-type niches can be </w:t>
      </w:r>
      <w:r w:rsidR="005019C3" w:rsidRPr="00B27E3D">
        <w:rPr>
          <w:lang w:val="en-US"/>
        </w:rPr>
        <w:t>subjective</w:t>
      </w:r>
      <w:r w:rsidRPr="00B27E3D">
        <w:rPr>
          <w:lang w:val="en-US"/>
        </w:rPr>
        <w:t xml:space="preserve"> as the methodologies that define them vary from one </w:t>
      </w:r>
      <w:r>
        <w:rPr>
          <w:lang w:val="en-US"/>
        </w:rPr>
        <w:t>specialist</w:t>
      </w:r>
      <w:r w:rsidRPr="00B27E3D">
        <w:rPr>
          <w:lang w:val="en-US"/>
        </w:rPr>
        <w:t xml:space="preserve"> to another. Third, empirical studies only provide a snapshot of price differentials for a specific </w:t>
      </w:r>
      <w:r w:rsidR="005019C3">
        <w:rPr>
          <w:lang w:val="en-US"/>
        </w:rPr>
        <w:t>period</w:t>
      </w:r>
      <w:r w:rsidRPr="00B27E3D">
        <w:rPr>
          <w:lang w:val="en-US"/>
        </w:rPr>
        <w:t>. It is reasonable to expect that certain price differentials may vary overtime and between segments.</w:t>
      </w:r>
    </w:p>
    <w:p w14:paraId="00F29577" w14:textId="5D383A84" w:rsidR="00E568BC" w:rsidRDefault="0053171D" w:rsidP="007C7104">
      <w:pPr>
        <w:tabs>
          <w:tab w:val="left" w:pos="709"/>
          <w:tab w:val="left" w:pos="2187"/>
        </w:tabs>
        <w:spacing w:line="360" w:lineRule="auto"/>
        <w:jc w:val="both"/>
        <w:rPr>
          <w:lang w:val="en-US"/>
        </w:rPr>
      </w:pPr>
      <w:r w:rsidRPr="00B27E3D">
        <w:rPr>
          <w:lang w:val="en-US"/>
        </w:rPr>
        <w:tab/>
        <w:t>Despite these considerations, thi</w:t>
      </w:r>
      <w:r>
        <w:rPr>
          <w:lang w:val="en-US"/>
        </w:rPr>
        <w:t xml:space="preserve">s research implies that “office </w:t>
      </w:r>
      <w:r w:rsidRPr="00B27E3D">
        <w:rPr>
          <w:lang w:val="en-US"/>
        </w:rPr>
        <w:t>markets</w:t>
      </w:r>
      <w:r>
        <w:rPr>
          <w:lang w:val="en-US"/>
        </w:rPr>
        <w:t>”</w:t>
      </w:r>
      <w:r w:rsidRPr="00B27E3D">
        <w:rPr>
          <w:lang w:val="en-US"/>
        </w:rPr>
        <w:t xml:space="preserve"> may be too complex and disparate to be reliably examined</w:t>
      </w:r>
      <w:r w:rsidRPr="00DE0337">
        <w:rPr>
          <w:lang w:val="en-US"/>
        </w:rPr>
        <w:t xml:space="preserve"> with a simple aggregate approach as practiced in developed office market research since the 1980s. The fragmented reality of office properties has important implications for investment decisions and real estate valuation. As data availability as well as level of detail and accuracy is likely to improve in the future, researchers will be able to address </w:t>
      </w:r>
      <w:r w:rsidR="007E241C" w:rsidRPr="00DE0337">
        <w:rPr>
          <w:lang w:val="en-US"/>
        </w:rPr>
        <w:t>many</w:t>
      </w:r>
      <w:r w:rsidRPr="00DE0337">
        <w:rPr>
          <w:lang w:val="en-US"/>
        </w:rPr>
        <w:t xml:space="preserve"> more specific issues, such as specific supply and demand factors that lead to localized valuation in office markets.</w:t>
      </w:r>
    </w:p>
    <w:p w14:paraId="17F9C4E9" w14:textId="2453CF45" w:rsidR="00B14BBF" w:rsidRDefault="00B14BBF" w:rsidP="00B14BBF">
      <w:pPr>
        <w:pStyle w:val="ecxmsonormal"/>
        <w:shd w:val="clear" w:color="auto" w:fill="FFFFFF"/>
        <w:tabs>
          <w:tab w:val="left" w:pos="1701"/>
        </w:tabs>
        <w:spacing w:before="120" w:beforeAutospacing="0" w:after="120" w:afterAutospacing="0" w:line="360" w:lineRule="auto"/>
        <w:jc w:val="both"/>
        <w:rPr>
          <w:b/>
          <w:bCs/>
          <w:noProof w:val="0"/>
        </w:rPr>
      </w:pPr>
      <w:r>
        <w:rPr>
          <w:b/>
          <w:bCs/>
          <w:noProof w:val="0"/>
        </w:rPr>
        <w:t>References</w:t>
      </w:r>
    </w:p>
    <w:p w14:paraId="185B9A0B" w14:textId="512FCACA" w:rsidR="00B14BBF" w:rsidRPr="00A66843" w:rsidRDefault="00B14BBF" w:rsidP="001302AB">
      <w:pPr>
        <w:tabs>
          <w:tab w:val="left" w:pos="0"/>
          <w:tab w:val="left" w:pos="709"/>
        </w:tabs>
        <w:jc w:val="both"/>
        <w:rPr>
          <w:sz w:val="20"/>
          <w:szCs w:val="20"/>
          <w:shd w:val="clear" w:color="auto" w:fill="FFFFFF"/>
          <w:lang w:val="en-US"/>
        </w:rPr>
      </w:pPr>
      <w:r w:rsidRPr="00A66843">
        <w:rPr>
          <w:sz w:val="20"/>
          <w:szCs w:val="20"/>
          <w:shd w:val="clear" w:color="auto" w:fill="FFFFFF"/>
          <w:lang w:val="en-US"/>
        </w:rPr>
        <w:t>Adan, H. and Fuerst</w:t>
      </w:r>
      <w:r w:rsidR="00A518F5" w:rsidRPr="0037644C">
        <w:rPr>
          <w:sz w:val="20"/>
          <w:szCs w:val="20"/>
          <w:shd w:val="clear" w:color="auto" w:fill="FFFFFF"/>
          <w:lang w:val="en-US"/>
        </w:rPr>
        <w:t xml:space="preserve">, </w:t>
      </w:r>
      <w:r w:rsidR="00A518F5" w:rsidRPr="00A66843">
        <w:rPr>
          <w:sz w:val="20"/>
          <w:szCs w:val="20"/>
          <w:shd w:val="clear" w:color="auto" w:fill="FFFFFF"/>
          <w:lang w:val="en-US"/>
        </w:rPr>
        <w:t>F</w:t>
      </w:r>
      <w:r w:rsidRPr="00A66843">
        <w:rPr>
          <w:sz w:val="20"/>
          <w:szCs w:val="20"/>
          <w:shd w:val="clear" w:color="auto" w:fill="FFFFFF"/>
          <w:lang w:val="en-US"/>
        </w:rPr>
        <w:t xml:space="preserve">. </w:t>
      </w:r>
      <w:r w:rsidR="00A518F5" w:rsidRPr="0037644C">
        <w:rPr>
          <w:sz w:val="20"/>
          <w:szCs w:val="20"/>
          <w:shd w:val="clear" w:color="auto" w:fill="FFFFFF"/>
          <w:lang w:val="en-US"/>
        </w:rPr>
        <w:t>(</w:t>
      </w:r>
      <w:r w:rsidRPr="00A66843">
        <w:rPr>
          <w:sz w:val="20"/>
          <w:szCs w:val="20"/>
          <w:shd w:val="clear" w:color="auto" w:fill="FFFFFF"/>
          <w:lang w:val="en-US"/>
        </w:rPr>
        <w:t>2015</w:t>
      </w:r>
      <w:r w:rsidR="00A518F5" w:rsidRPr="0037644C">
        <w:rPr>
          <w:sz w:val="20"/>
          <w:szCs w:val="20"/>
          <w:shd w:val="clear" w:color="auto" w:fill="FFFFFF"/>
          <w:lang w:val="en-US"/>
        </w:rPr>
        <w:t>)</w:t>
      </w:r>
      <w:r w:rsidRPr="00A66843">
        <w:rPr>
          <w:sz w:val="20"/>
          <w:szCs w:val="20"/>
          <w:shd w:val="clear" w:color="auto" w:fill="FFFFFF"/>
          <w:lang w:val="en-US"/>
        </w:rPr>
        <w:t xml:space="preserve">. </w:t>
      </w:r>
      <w:r w:rsidR="00A518F5" w:rsidRPr="0037644C">
        <w:rPr>
          <w:sz w:val="20"/>
          <w:szCs w:val="20"/>
          <w:shd w:val="clear" w:color="auto" w:fill="FFFFFF"/>
          <w:lang w:val="en-US"/>
        </w:rPr>
        <w:t>“</w:t>
      </w:r>
      <w:r w:rsidRPr="00A66843">
        <w:rPr>
          <w:sz w:val="20"/>
          <w:szCs w:val="20"/>
          <w:shd w:val="clear" w:color="auto" w:fill="FFFFFF"/>
          <w:lang w:val="en-US"/>
        </w:rPr>
        <w:t>Do Energy Efficiency Measures Really Reduce Household Energy Consumption? A Difference-In-Difference Analysis</w:t>
      </w:r>
      <w:r w:rsidR="00A518F5" w:rsidRPr="0037644C">
        <w:rPr>
          <w:sz w:val="20"/>
          <w:szCs w:val="20"/>
          <w:shd w:val="clear" w:color="auto" w:fill="FFFFFF"/>
          <w:lang w:val="en-US"/>
        </w:rPr>
        <w:t>”</w:t>
      </w:r>
      <w:r w:rsidRPr="00A66843">
        <w:rPr>
          <w:sz w:val="20"/>
          <w:szCs w:val="20"/>
          <w:shd w:val="clear" w:color="auto" w:fill="FFFFFF"/>
          <w:lang w:val="en-US"/>
        </w:rPr>
        <w:t>.</w:t>
      </w:r>
      <w:r w:rsidRPr="00A66843">
        <w:rPr>
          <w:rStyle w:val="apple-converted-space"/>
          <w:sz w:val="20"/>
          <w:szCs w:val="20"/>
          <w:shd w:val="clear" w:color="auto" w:fill="FFFFFF"/>
          <w:lang w:val="en-US"/>
        </w:rPr>
        <w:t> </w:t>
      </w:r>
      <w:r w:rsidRPr="00A66843">
        <w:rPr>
          <w:i/>
          <w:iCs/>
          <w:sz w:val="20"/>
          <w:szCs w:val="20"/>
          <w:shd w:val="clear" w:color="auto" w:fill="FFFFFF"/>
          <w:lang w:val="en-US"/>
        </w:rPr>
        <w:t>Energy Efficiency</w:t>
      </w:r>
      <w:r w:rsidR="00A518F5" w:rsidRPr="0037644C">
        <w:rPr>
          <w:sz w:val="20"/>
          <w:szCs w:val="20"/>
          <w:shd w:val="clear" w:color="auto" w:fill="FFFFFF"/>
          <w:lang w:val="en-US"/>
        </w:rPr>
        <w:t xml:space="preserve">, Vol. </w:t>
      </w:r>
      <w:r w:rsidRPr="00A66843">
        <w:rPr>
          <w:sz w:val="20"/>
          <w:szCs w:val="20"/>
          <w:shd w:val="clear" w:color="auto" w:fill="FFFFFF"/>
          <w:lang w:val="en-US"/>
        </w:rPr>
        <w:t>8</w:t>
      </w:r>
      <w:r w:rsidR="00A518F5" w:rsidRPr="0037644C">
        <w:rPr>
          <w:sz w:val="20"/>
          <w:szCs w:val="20"/>
          <w:shd w:val="clear" w:color="auto" w:fill="FFFFFF"/>
          <w:lang w:val="en-US"/>
        </w:rPr>
        <w:t>,</w:t>
      </w:r>
      <w:r w:rsidRPr="00A66843">
        <w:rPr>
          <w:sz w:val="20"/>
          <w:szCs w:val="20"/>
          <w:shd w:val="clear" w:color="auto" w:fill="FFFFFF"/>
          <w:lang w:val="en-US"/>
        </w:rPr>
        <w:t xml:space="preserve"> </w:t>
      </w:r>
      <w:r w:rsidR="00A518F5" w:rsidRPr="0037644C">
        <w:rPr>
          <w:sz w:val="20"/>
          <w:szCs w:val="20"/>
          <w:shd w:val="clear" w:color="auto" w:fill="FFFFFF"/>
          <w:lang w:val="en-US"/>
        </w:rPr>
        <w:t>pp.</w:t>
      </w:r>
      <w:r w:rsidR="00EB10FA" w:rsidRPr="0037644C">
        <w:rPr>
          <w:sz w:val="20"/>
          <w:szCs w:val="20"/>
          <w:shd w:val="clear" w:color="auto" w:fill="FFFFFF"/>
          <w:lang w:val="en-US"/>
        </w:rPr>
        <w:t xml:space="preserve"> </w:t>
      </w:r>
      <w:r w:rsidRPr="00A66843">
        <w:rPr>
          <w:sz w:val="20"/>
          <w:szCs w:val="20"/>
          <w:shd w:val="clear" w:color="auto" w:fill="FFFFFF"/>
          <w:lang w:val="en-US"/>
        </w:rPr>
        <w:t>1</w:t>
      </w:r>
      <w:r w:rsidRPr="00A66843">
        <w:rPr>
          <w:sz w:val="20"/>
          <w:szCs w:val="20"/>
          <w:lang w:val="en-US"/>
        </w:rPr>
        <w:t>–</w:t>
      </w:r>
      <w:r w:rsidRPr="00A66843">
        <w:rPr>
          <w:sz w:val="20"/>
          <w:szCs w:val="20"/>
          <w:shd w:val="clear" w:color="auto" w:fill="FFFFFF"/>
          <w:lang w:val="en-US"/>
        </w:rPr>
        <w:t>13.</w:t>
      </w:r>
    </w:p>
    <w:p w14:paraId="0D314FBF" w14:textId="554EF592" w:rsidR="00B14BBF" w:rsidRPr="0037644C" w:rsidRDefault="00B14BBF" w:rsidP="001302AB">
      <w:pPr>
        <w:tabs>
          <w:tab w:val="left" w:pos="0"/>
        </w:tabs>
        <w:autoSpaceDE w:val="0"/>
        <w:autoSpaceDN w:val="0"/>
        <w:adjustRightInd w:val="0"/>
        <w:jc w:val="both"/>
        <w:rPr>
          <w:sz w:val="20"/>
          <w:szCs w:val="20"/>
          <w:shd w:val="clear" w:color="auto" w:fill="FFFFFF"/>
          <w:lang w:val="en-US"/>
        </w:rPr>
      </w:pPr>
      <w:r w:rsidRPr="00A66843">
        <w:rPr>
          <w:sz w:val="20"/>
          <w:szCs w:val="20"/>
          <w:shd w:val="clear" w:color="auto" w:fill="FFFFFF"/>
          <w:lang w:val="en-US"/>
        </w:rPr>
        <w:t xml:space="preserve">Allen, M., Springe </w:t>
      </w:r>
      <w:r w:rsidR="00A518F5" w:rsidRPr="00A66843">
        <w:rPr>
          <w:sz w:val="20"/>
          <w:szCs w:val="20"/>
          <w:shd w:val="clear" w:color="auto" w:fill="FFFFFF"/>
          <w:lang w:val="en-US"/>
        </w:rPr>
        <w:t>T.</w:t>
      </w:r>
      <w:r w:rsidR="00A518F5" w:rsidRPr="0037644C">
        <w:rPr>
          <w:sz w:val="20"/>
          <w:szCs w:val="20"/>
          <w:shd w:val="clear" w:color="auto" w:fill="FFFFFF"/>
          <w:lang w:val="en-US"/>
        </w:rPr>
        <w:t xml:space="preserve"> </w:t>
      </w:r>
      <w:r w:rsidRPr="00A66843">
        <w:rPr>
          <w:sz w:val="20"/>
          <w:szCs w:val="20"/>
          <w:shd w:val="clear" w:color="auto" w:fill="FFFFFF"/>
          <w:lang w:val="en-US"/>
        </w:rPr>
        <w:t>and Waller</w:t>
      </w:r>
      <w:r w:rsidR="00A518F5" w:rsidRPr="0037644C">
        <w:rPr>
          <w:sz w:val="20"/>
          <w:szCs w:val="20"/>
          <w:shd w:val="clear" w:color="auto" w:fill="FFFFFF"/>
          <w:lang w:val="en-US"/>
        </w:rPr>
        <w:t xml:space="preserve">, </w:t>
      </w:r>
      <w:r w:rsidR="00A518F5" w:rsidRPr="00A66843">
        <w:rPr>
          <w:sz w:val="20"/>
          <w:szCs w:val="20"/>
          <w:shd w:val="clear" w:color="auto" w:fill="FFFFFF"/>
          <w:lang w:val="en-US"/>
        </w:rPr>
        <w:t>N.</w:t>
      </w:r>
      <w:r w:rsidRPr="00A66843">
        <w:rPr>
          <w:sz w:val="20"/>
          <w:szCs w:val="20"/>
          <w:shd w:val="clear" w:color="auto" w:fill="FFFFFF"/>
          <w:lang w:val="en-US"/>
        </w:rPr>
        <w:t xml:space="preserve"> </w:t>
      </w:r>
      <w:r w:rsidR="00A518F5" w:rsidRPr="0037644C">
        <w:rPr>
          <w:sz w:val="20"/>
          <w:szCs w:val="20"/>
          <w:shd w:val="clear" w:color="auto" w:fill="FFFFFF"/>
          <w:lang w:val="en-US"/>
        </w:rPr>
        <w:t>(</w:t>
      </w:r>
      <w:r w:rsidRPr="00A66843">
        <w:rPr>
          <w:sz w:val="20"/>
          <w:szCs w:val="20"/>
          <w:shd w:val="clear" w:color="auto" w:fill="FFFFFF"/>
          <w:lang w:val="en-US"/>
        </w:rPr>
        <w:t>1995</w:t>
      </w:r>
      <w:r w:rsidR="00A518F5" w:rsidRPr="0037644C">
        <w:rPr>
          <w:sz w:val="20"/>
          <w:szCs w:val="20"/>
          <w:shd w:val="clear" w:color="auto" w:fill="FFFFFF"/>
          <w:lang w:val="en-US"/>
        </w:rPr>
        <w:t>)</w:t>
      </w:r>
      <w:r w:rsidRPr="00A66843">
        <w:rPr>
          <w:sz w:val="20"/>
          <w:szCs w:val="20"/>
          <w:shd w:val="clear" w:color="auto" w:fill="FFFFFF"/>
          <w:lang w:val="en-US"/>
        </w:rPr>
        <w:t xml:space="preserve">. </w:t>
      </w:r>
      <w:r w:rsidR="00A518F5" w:rsidRPr="0037644C">
        <w:rPr>
          <w:sz w:val="20"/>
          <w:szCs w:val="20"/>
          <w:shd w:val="clear" w:color="auto" w:fill="FFFFFF"/>
          <w:lang w:val="en-US"/>
        </w:rPr>
        <w:t>“</w:t>
      </w:r>
      <w:r w:rsidRPr="00A66843">
        <w:rPr>
          <w:sz w:val="20"/>
          <w:szCs w:val="20"/>
          <w:shd w:val="clear" w:color="auto" w:fill="FFFFFF"/>
          <w:lang w:val="en-US"/>
        </w:rPr>
        <w:t xml:space="preserve">Implicit Pricing </w:t>
      </w:r>
      <w:r w:rsidR="00EB10FA" w:rsidRPr="0037644C">
        <w:rPr>
          <w:sz w:val="20"/>
          <w:szCs w:val="20"/>
          <w:shd w:val="clear" w:color="auto" w:fill="FFFFFF"/>
          <w:lang w:val="en-US"/>
        </w:rPr>
        <w:t>a</w:t>
      </w:r>
      <w:r w:rsidRPr="00A66843">
        <w:rPr>
          <w:sz w:val="20"/>
          <w:szCs w:val="20"/>
          <w:shd w:val="clear" w:color="auto" w:fill="FFFFFF"/>
          <w:lang w:val="en-US"/>
        </w:rPr>
        <w:t>cross Residential Rental Submarkets</w:t>
      </w:r>
      <w:r w:rsidR="00EB10FA" w:rsidRPr="0037644C">
        <w:rPr>
          <w:sz w:val="20"/>
          <w:szCs w:val="20"/>
          <w:shd w:val="clear" w:color="auto" w:fill="FFFFFF"/>
          <w:lang w:val="en-US"/>
        </w:rPr>
        <w:t>”</w:t>
      </w:r>
      <w:r w:rsidRPr="00A66843">
        <w:rPr>
          <w:sz w:val="20"/>
          <w:szCs w:val="20"/>
          <w:shd w:val="clear" w:color="auto" w:fill="FFFFFF"/>
          <w:lang w:val="en-US"/>
        </w:rPr>
        <w:t>.</w:t>
      </w:r>
      <w:r w:rsidRPr="00A66843">
        <w:rPr>
          <w:rStyle w:val="apple-converted-space"/>
          <w:sz w:val="20"/>
          <w:szCs w:val="20"/>
          <w:shd w:val="clear" w:color="auto" w:fill="FFFFFF"/>
          <w:lang w:val="en-US"/>
        </w:rPr>
        <w:t> </w:t>
      </w:r>
      <w:r w:rsidRPr="00A66843">
        <w:rPr>
          <w:i/>
          <w:iCs/>
          <w:sz w:val="20"/>
          <w:szCs w:val="20"/>
          <w:shd w:val="clear" w:color="auto" w:fill="FFFFFF"/>
          <w:lang w:val="en-US"/>
        </w:rPr>
        <w:t>Journal of Real Estate Finance and Economics</w:t>
      </w:r>
      <w:r w:rsidR="00EB10FA" w:rsidRPr="0037644C">
        <w:rPr>
          <w:iCs/>
          <w:sz w:val="20"/>
          <w:szCs w:val="20"/>
          <w:shd w:val="clear" w:color="auto" w:fill="FFFFFF"/>
          <w:lang w:val="en-US"/>
        </w:rPr>
        <w:t>, Vol.</w:t>
      </w:r>
      <w:r w:rsidRPr="00A66843">
        <w:rPr>
          <w:rStyle w:val="apple-converted-space"/>
          <w:sz w:val="20"/>
          <w:szCs w:val="20"/>
          <w:shd w:val="clear" w:color="auto" w:fill="FFFFFF"/>
          <w:lang w:val="en-US"/>
        </w:rPr>
        <w:t> </w:t>
      </w:r>
      <w:r w:rsidRPr="00A66843">
        <w:rPr>
          <w:iCs/>
          <w:sz w:val="20"/>
          <w:szCs w:val="20"/>
          <w:shd w:val="clear" w:color="auto" w:fill="FFFFFF"/>
          <w:lang w:val="en-US"/>
        </w:rPr>
        <w:t>11</w:t>
      </w:r>
      <w:r w:rsidR="00EB10FA" w:rsidRPr="0037644C">
        <w:rPr>
          <w:iCs/>
          <w:sz w:val="20"/>
          <w:szCs w:val="20"/>
          <w:shd w:val="clear" w:color="auto" w:fill="FFFFFF"/>
          <w:lang w:val="en-US"/>
        </w:rPr>
        <w:t>, pp.</w:t>
      </w:r>
      <w:r w:rsidRPr="00A66843">
        <w:rPr>
          <w:sz w:val="20"/>
          <w:szCs w:val="20"/>
          <w:shd w:val="clear" w:color="auto" w:fill="FFFFFF"/>
          <w:lang w:val="en-US"/>
        </w:rPr>
        <w:t xml:space="preserve"> 137</w:t>
      </w:r>
      <w:r w:rsidRPr="00A66843">
        <w:rPr>
          <w:sz w:val="20"/>
          <w:szCs w:val="20"/>
          <w:lang w:val="en-US"/>
        </w:rPr>
        <w:t>–</w:t>
      </w:r>
      <w:r w:rsidRPr="00A66843">
        <w:rPr>
          <w:sz w:val="20"/>
          <w:szCs w:val="20"/>
          <w:shd w:val="clear" w:color="auto" w:fill="FFFFFF"/>
          <w:lang w:val="en-US"/>
        </w:rPr>
        <w:t>151.</w:t>
      </w:r>
    </w:p>
    <w:p w14:paraId="4C4547F5" w14:textId="63BF5461" w:rsidR="0044424F" w:rsidRPr="00A66843" w:rsidRDefault="0044424F" w:rsidP="001302AB">
      <w:pPr>
        <w:tabs>
          <w:tab w:val="left" w:pos="142"/>
          <w:tab w:val="left" w:pos="709"/>
        </w:tabs>
        <w:autoSpaceDE w:val="0"/>
        <w:autoSpaceDN w:val="0"/>
        <w:adjustRightInd w:val="0"/>
        <w:jc w:val="both"/>
        <w:rPr>
          <w:sz w:val="20"/>
          <w:szCs w:val="20"/>
          <w:lang w:val="en-US"/>
        </w:rPr>
      </w:pPr>
      <w:r w:rsidRPr="0037644C">
        <w:rPr>
          <w:sz w:val="20"/>
          <w:szCs w:val="20"/>
          <w:shd w:val="clear" w:color="auto" w:fill="FFFFFF"/>
          <w:lang w:val="en-US"/>
        </w:rPr>
        <w:t xml:space="preserve">Alonso, W. </w:t>
      </w:r>
      <w:r w:rsidR="00EB10FA" w:rsidRPr="0037644C">
        <w:rPr>
          <w:sz w:val="20"/>
          <w:szCs w:val="20"/>
          <w:shd w:val="clear" w:color="auto" w:fill="FFFFFF"/>
          <w:lang w:val="en-US"/>
        </w:rPr>
        <w:t>(</w:t>
      </w:r>
      <w:r w:rsidRPr="0037644C">
        <w:rPr>
          <w:sz w:val="20"/>
          <w:szCs w:val="20"/>
          <w:shd w:val="clear" w:color="auto" w:fill="FFFFFF"/>
          <w:lang w:val="en-US"/>
        </w:rPr>
        <w:t>1964</w:t>
      </w:r>
      <w:r w:rsidR="00EB10FA" w:rsidRPr="0037644C">
        <w:rPr>
          <w:sz w:val="20"/>
          <w:szCs w:val="20"/>
          <w:shd w:val="clear" w:color="auto" w:fill="FFFFFF"/>
          <w:lang w:val="en-US"/>
        </w:rPr>
        <w:t>)</w:t>
      </w:r>
      <w:r w:rsidRPr="0037644C">
        <w:rPr>
          <w:sz w:val="20"/>
          <w:szCs w:val="20"/>
          <w:shd w:val="clear" w:color="auto" w:fill="FFFFFF"/>
          <w:lang w:val="en-US"/>
        </w:rPr>
        <w:t xml:space="preserve">. </w:t>
      </w:r>
      <w:r w:rsidRPr="007F4AC7">
        <w:rPr>
          <w:i/>
          <w:sz w:val="20"/>
          <w:szCs w:val="20"/>
          <w:shd w:val="clear" w:color="auto" w:fill="FFFFFF"/>
          <w:lang w:val="en-US"/>
        </w:rPr>
        <w:t>Location and Land Use. Toward a General Theory of Land Rent</w:t>
      </w:r>
      <w:r w:rsidRPr="007F4AC7">
        <w:rPr>
          <w:sz w:val="20"/>
          <w:szCs w:val="20"/>
          <w:shd w:val="clear" w:color="auto" w:fill="FFFFFF"/>
          <w:lang w:val="en-US"/>
        </w:rPr>
        <w:t xml:space="preserve">. </w:t>
      </w:r>
      <w:r w:rsidRPr="0037644C">
        <w:rPr>
          <w:sz w:val="20"/>
          <w:szCs w:val="20"/>
          <w:shd w:val="clear" w:color="auto" w:fill="FFFFFF"/>
          <w:lang w:val="en-US"/>
        </w:rPr>
        <w:t>Harvard University Press</w:t>
      </w:r>
      <w:r w:rsidR="00EB10FA" w:rsidRPr="0037644C">
        <w:rPr>
          <w:sz w:val="20"/>
          <w:szCs w:val="20"/>
          <w:shd w:val="clear" w:color="auto" w:fill="FFFFFF"/>
          <w:lang w:val="en-US"/>
        </w:rPr>
        <w:t>, Cambridge – M</w:t>
      </w:r>
      <w:r w:rsidR="00172DD7" w:rsidRPr="0037644C">
        <w:rPr>
          <w:sz w:val="20"/>
          <w:szCs w:val="20"/>
          <w:shd w:val="clear" w:color="auto" w:fill="FFFFFF"/>
          <w:lang w:val="en-US"/>
        </w:rPr>
        <w:t>A</w:t>
      </w:r>
      <w:r w:rsidR="00EB10FA" w:rsidRPr="0037644C">
        <w:rPr>
          <w:sz w:val="20"/>
          <w:szCs w:val="20"/>
          <w:shd w:val="clear" w:color="auto" w:fill="FFFFFF"/>
          <w:lang w:val="en-US"/>
        </w:rPr>
        <w:t xml:space="preserve">. </w:t>
      </w:r>
    </w:p>
    <w:p w14:paraId="37CD0B42" w14:textId="2205D87D" w:rsidR="00B14BBF" w:rsidRPr="007F4AC7" w:rsidRDefault="00B14BBF" w:rsidP="001302AB">
      <w:pPr>
        <w:tabs>
          <w:tab w:val="left" w:pos="0"/>
          <w:tab w:val="left" w:pos="709"/>
          <w:tab w:val="left" w:pos="1701"/>
        </w:tabs>
        <w:jc w:val="both"/>
        <w:rPr>
          <w:sz w:val="20"/>
          <w:szCs w:val="20"/>
          <w:shd w:val="clear" w:color="auto" w:fill="FFFFFF"/>
          <w:lang w:val="en-US"/>
        </w:rPr>
      </w:pPr>
      <w:r w:rsidRPr="00A66843">
        <w:rPr>
          <w:sz w:val="20"/>
          <w:szCs w:val="20"/>
          <w:shd w:val="clear" w:color="auto" w:fill="FFFFFF"/>
          <w:lang w:val="en-US"/>
        </w:rPr>
        <w:t xml:space="preserve">An, X., Deng, </w:t>
      </w:r>
      <w:r w:rsidR="00EB10FA" w:rsidRPr="00A66843">
        <w:rPr>
          <w:sz w:val="20"/>
          <w:szCs w:val="20"/>
          <w:shd w:val="clear" w:color="auto" w:fill="FFFFFF"/>
          <w:lang w:val="en-US"/>
        </w:rPr>
        <w:t>Y.</w:t>
      </w:r>
      <w:r w:rsidR="00EB10FA" w:rsidRPr="0037644C">
        <w:rPr>
          <w:sz w:val="20"/>
          <w:szCs w:val="20"/>
          <w:shd w:val="clear" w:color="auto" w:fill="FFFFFF"/>
          <w:lang w:val="en-US"/>
        </w:rPr>
        <w:t xml:space="preserve">, </w:t>
      </w:r>
      <w:r w:rsidRPr="00A66843">
        <w:rPr>
          <w:sz w:val="20"/>
          <w:szCs w:val="20"/>
          <w:shd w:val="clear" w:color="auto" w:fill="FFFFFF"/>
          <w:lang w:val="en-US"/>
        </w:rPr>
        <w:t>Fisher</w:t>
      </w:r>
      <w:r w:rsidR="00EB10FA" w:rsidRPr="0037644C">
        <w:rPr>
          <w:sz w:val="20"/>
          <w:szCs w:val="20"/>
          <w:shd w:val="clear" w:color="auto" w:fill="FFFFFF"/>
          <w:lang w:val="en-US"/>
        </w:rPr>
        <w:t xml:space="preserve">, </w:t>
      </w:r>
      <w:r w:rsidR="00EB10FA" w:rsidRPr="00A66843">
        <w:rPr>
          <w:sz w:val="20"/>
          <w:szCs w:val="20"/>
          <w:shd w:val="clear" w:color="auto" w:fill="FFFFFF"/>
          <w:lang w:val="en-US"/>
        </w:rPr>
        <w:t xml:space="preserve">J. </w:t>
      </w:r>
      <w:r w:rsidRPr="00A66843">
        <w:rPr>
          <w:sz w:val="20"/>
          <w:szCs w:val="20"/>
          <w:shd w:val="clear" w:color="auto" w:fill="FFFFFF"/>
          <w:lang w:val="en-US"/>
        </w:rPr>
        <w:t>and Hu</w:t>
      </w:r>
      <w:r w:rsidR="00EB10FA" w:rsidRPr="0037644C">
        <w:rPr>
          <w:sz w:val="20"/>
          <w:szCs w:val="20"/>
          <w:shd w:val="clear" w:color="auto" w:fill="FFFFFF"/>
          <w:lang w:val="en-US"/>
        </w:rPr>
        <w:t xml:space="preserve">, </w:t>
      </w:r>
      <w:r w:rsidR="00EB10FA" w:rsidRPr="00A66843">
        <w:rPr>
          <w:sz w:val="20"/>
          <w:szCs w:val="20"/>
          <w:shd w:val="clear" w:color="auto" w:fill="FFFFFF"/>
          <w:lang w:val="en-US"/>
        </w:rPr>
        <w:t>M.</w:t>
      </w:r>
      <w:r w:rsidRPr="00A66843">
        <w:rPr>
          <w:sz w:val="20"/>
          <w:szCs w:val="20"/>
          <w:shd w:val="clear" w:color="auto" w:fill="FFFFFF"/>
          <w:lang w:val="en-US"/>
        </w:rPr>
        <w:t xml:space="preserve"> </w:t>
      </w:r>
      <w:r w:rsidR="00EB10FA" w:rsidRPr="0037644C">
        <w:rPr>
          <w:sz w:val="20"/>
          <w:szCs w:val="20"/>
          <w:shd w:val="clear" w:color="auto" w:fill="FFFFFF"/>
          <w:lang w:val="en-US"/>
        </w:rPr>
        <w:t>(</w:t>
      </w:r>
      <w:r w:rsidRPr="00A66843">
        <w:rPr>
          <w:sz w:val="20"/>
          <w:szCs w:val="20"/>
          <w:shd w:val="clear" w:color="auto" w:fill="FFFFFF"/>
          <w:lang w:val="en-US"/>
        </w:rPr>
        <w:t>2016</w:t>
      </w:r>
      <w:r w:rsidR="00EB10FA" w:rsidRPr="0037644C">
        <w:rPr>
          <w:sz w:val="20"/>
          <w:szCs w:val="20"/>
          <w:shd w:val="clear" w:color="auto" w:fill="FFFFFF"/>
          <w:lang w:val="en-US"/>
        </w:rPr>
        <w:t>)</w:t>
      </w:r>
      <w:r w:rsidRPr="00A66843">
        <w:rPr>
          <w:sz w:val="20"/>
          <w:szCs w:val="20"/>
          <w:shd w:val="clear" w:color="auto" w:fill="FFFFFF"/>
          <w:lang w:val="en-US"/>
        </w:rPr>
        <w:t xml:space="preserve">. </w:t>
      </w:r>
      <w:r w:rsidR="00EB10FA" w:rsidRPr="0037644C">
        <w:rPr>
          <w:sz w:val="20"/>
          <w:szCs w:val="20"/>
          <w:shd w:val="clear" w:color="auto" w:fill="FFFFFF"/>
          <w:lang w:val="en-US"/>
        </w:rPr>
        <w:t>“</w:t>
      </w:r>
      <w:r w:rsidRPr="00A66843">
        <w:rPr>
          <w:sz w:val="20"/>
          <w:szCs w:val="20"/>
          <w:shd w:val="clear" w:color="auto" w:fill="FFFFFF"/>
          <w:lang w:val="en-US"/>
        </w:rPr>
        <w:t>Commercial Real Estate Rental Index: A Dynamic Panel Data Model Estimation</w:t>
      </w:r>
      <w:r w:rsidR="00EB10FA" w:rsidRPr="0037644C">
        <w:rPr>
          <w:sz w:val="20"/>
          <w:szCs w:val="20"/>
          <w:shd w:val="clear" w:color="auto" w:fill="FFFFFF"/>
          <w:lang w:val="en-US"/>
        </w:rPr>
        <w:t>”</w:t>
      </w:r>
      <w:r w:rsidRPr="00A66843">
        <w:rPr>
          <w:sz w:val="20"/>
          <w:szCs w:val="20"/>
          <w:shd w:val="clear" w:color="auto" w:fill="FFFFFF"/>
          <w:lang w:val="en-US"/>
        </w:rPr>
        <w:t xml:space="preserve">. </w:t>
      </w:r>
      <w:r w:rsidRPr="007F4AC7">
        <w:rPr>
          <w:i/>
          <w:sz w:val="20"/>
          <w:szCs w:val="20"/>
          <w:shd w:val="clear" w:color="auto" w:fill="FFFFFF"/>
          <w:lang w:val="en-US"/>
        </w:rPr>
        <w:t>Real Estate Economics</w:t>
      </w:r>
      <w:r w:rsidR="00EB10FA" w:rsidRPr="007F4AC7">
        <w:rPr>
          <w:sz w:val="20"/>
          <w:szCs w:val="20"/>
          <w:shd w:val="clear" w:color="auto" w:fill="FFFFFF"/>
          <w:lang w:val="en-US"/>
        </w:rPr>
        <w:t>,</w:t>
      </w:r>
      <w:r w:rsidRPr="007F4AC7">
        <w:rPr>
          <w:sz w:val="20"/>
          <w:szCs w:val="20"/>
          <w:shd w:val="clear" w:color="auto" w:fill="FFFFFF"/>
          <w:lang w:val="en-US"/>
        </w:rPr>
        <w:t xml:space="preserve"> </w:t>
      </w:r>
      <w:r w:rsidR="00EB10FA" w:rsidRPr="007F4AC7">
        <w:rPr>
          <w:sz w:val="20"/>
          <w:szCs w:val="20"/>
          <w:shd w:val="clear" w:color="auto" w:fill="FFFFFF"/>
          <w:lang w:val="en-US"/>
        </w:rPr>
        <w:t xml:space="preserve">Vol. </w:t>
      </w:r>
      <w:r w:rsidRPr="007F4AC7">
        <w:rPr>
          <w:sz w:val="20"/>
          <w:szCs w:val="20"/>
          <w:shd w:val="clear" w:color="auto" w:fill="FFFFFF"/>
          <w:lang w:val="en-US"/>
        </w:rPr>
        <w:t>44</w:t>
      </w:r>
      <w:r w:rsidR="00EB10FA" w:rsidRPr="007F4AC7">
        <w:rPr>
          <w:sz w:val="20"/>
          <w:szCs w:val="20"/>
          <w:shd w:val="clear" w:color="auto" w:fill="FFFFFF"/>
          <w:lang w:val="en-US"/>
        </w:rPr>
        <w:t>, pp.</w:t>
      </w:r>
      <w:r w:rsidRPr="007F4AC7">
        <w:rPr>
          <w:sz w:val="20"/>
          <w:szCs w:val="20"/>
          <w:shd w:val="clear" w:color="auto" w:fill="FFFFFF"/>
          <w:lang w:val="en-US"/>
        </w:rPr>
        <w:t xml:space="preserve"> 378</w:t>
      </w:r>
      <w:r w:rsidRPr="007F4AC7">
        <w:rPr>
          <w:sz w:val="20"/>
          <w:szCs w:val="20"/>
          <w:lang w:val="en-US"/>
        </w:rPr>
        <w:t>–</w:t>
      </w:r>
      <w:r w:rsidRPr="007F4AC7">
        <w:rPr>
          <w:sz w:val="20"/>
          <w:szCs w:val="20"/>
          <w:shd w:val="clear" w:color="auto" w:fill="FFFFFF"/>
          <w:lang w:val="en-US"/>
        </w:rPr>
        <w:t>410</w:t>
      </w:r>
      <w:r w:rsidR="00EB10FA" w:rsidRPr="007F4AC7">
        <w:rPr>
          <w:sz w:val="20"/>
          <w:szCs w:val="20"/>
          <w:shd w:val="clear" w:color="auto" w:fill="FFFFFF"/>
          <w:lang w:val="en-US"/>
        </w:rPr>
        <w:t>.</w:t>
      </w:r>
    </w:p>
    <w:p w14:paraId="5035B7A5" w14:textId="531D31A1" w:rsidR="00B14BBF" w:rsidRPr="00A66843" w:rsidRDefault="00B14BBF" w:rsidP="001302AB">
      <w:pPr>
        <w:pStyle w:val="ecxmsonormal"/>
        <w:shd w:val="clear" w:color="auto" w:fill="FFFFFF"/>
        <w:tabs>
          <w:tab w:val="left" w:pos="0"/>
          <w:tab w:val="left" w:pos="709"/>
        </w:tabs>
        <w:spacing w:before="0" w:beforeAutospacing="0" w:after="0" w:afterAutospacing="0"/>
        <w:jc w:val="both"/>
        <w:rPr>
          <w:sz w:val="20"/>
          <w:szCs w:val="20"/>
        </w:rPr>
      </w:pPr>
      <w:r w:rsidRPr="00A66843">
        <w:rPr>
          <w:sz w:val="20"/>
          <w:szCs w:val="20"/>
          <w:shd w:val="clear" w:color="auto" w:fill="FFFFFF"/>
        </w:rPr>
        <w:t xml:space="preserve">Arge, K. (2005). </w:t>
      </w:r>
      <w:r w:rsidR="00EB10FA" w:rsidRPr="0037644C">
        <w:rPr>
          <w:sz w:val="20"/>
          <w:szCs w:val="20"/>
          <w:shd w:val="clear" w:color="auto" w:fill="FFFFFF"/>
        </w:rPr>
        <w:t>“</w:t>
      </w:r>
      <w:r w:rsidRPr="00A66843">
        <w:rPr>
          <w:sz w:val="20"/>
          <w:szCs w:val="20"/>
          <w:shd w:val="clear" w:color="auto" w:fill="FFFFFF"/>
        </w:rPr>
        <w:t>Adaptable Office Buildings: Theory and Practice</w:t>
      </w:r>
      <w:r w:rsidR="00EB10FA" w:rsidRPr="0037644C">
        <w:rPr>
          <w:sz w:val="20"/>
          <w:szCs w:val="20"/>
          <w:shd w:val="clear" w:color="auto" w:fill="FFFFFF"/>
        </w:rPr>
        <w:t>”</w:t>
      </w:r>
      <w:r w:rsidRPr="00A66843">
        <w:rPr>
          <w:sz w:val="20"/>
          <w:szCs w:val="20"/>
          <w:shd w:val="clear" w:color="auto" w:fill="FFFFFF"/>
        </w:rPr>
        <w:t>.</w:t>
      </w:r>
      <w:r w:rsidRPr="00A66843">
        <w:rPr>
          <w:rStyle w:val="apple-converted-space"/>
          <w:sz w:val="20"/>
          <w:szCs w:val="20"/>
          <w:shd w:val="clear" w:color="auto" w:fill="FFFFFF"/>
        </w:rPr>
        <w:t> </w:t>
      </w:r>
      <w:r w:rsidRPr="00A66843">
        <w:rPr>
          <w:i/>
          <w:iCs/>
          <w:sz w:val="20"/>
          <w:szCs w:val="20"/>
          <w:shd w:val="clear" w:color="auto" w:fill="FFFFFF"/>
        </w:rPr>
        <w:t>Facilities</w:t>
      </w:r>
      <w:r w:rsidR="00EB10FA" w:rsidRPr="0037644C">
        <w:rPr>
          <w:iCs/>
          <w:sz w:val="20"/>
          <w:szCs w:val="20"/>
          <w:shd w:val="clear" w:color="auto" w:fill="FFFFFF"/>
        </w:rPr>
        <w:t>,</w:t>
      </w:r>
      <w:r w:rsidRPr="00A66843">
        <w:rPr>
          <w:iCs/>
          <w:sz w:val="20"/>
          <w:szCs w:val="20"/>
          <w:shd w:val="clear" w:color="auto" w:fill="FFFFFF"/>
        </w:rPr>
        <w:t xml:space="preserve"> </w:t>
      </w:r>
      <w:r w:rsidR="00EB10FA" w:rsidRPr="0037644C">
        <w:rPr>
          <w:iCs/>
          <w:sz w:val="20"/>
          <w:szCs w:val="20"/>
          <w:shd w:val="clear" w:color="auto" w:fill="FFFFFF"/>
        </w:rPr>
        <w:t xml:space="preserve">Vol. </w:t>
      </w:r>
      <w:r w:rsidRPr="00A66843">
        <w:rPr>
          <w:iCs/>
          <w:sz w:val="20"/>
          <w:szCs w:val="20"/>
          <w:shd w:val="clear" w:color="auto" w:fill="FFFFFF"/>
        </w:rPr>
        <w:t>23</w:t>
      </w:r>
      <w:r w:rsidR="00EB10FA" w:rsidRPr="0037644C">
        <w:rPr>
          <w:iCs/>
          <w:sz w:val="20"/>
          <w:szCs w:val="20"/>
          <w:shd w:val="clear" w:color="auto" w:fill="FFFFFF"/>
        </w:rPr>
        <w:t>, pp.</w:t>
      </w:r>
      <w:r w:rsidRPr="00A66843">
        <w:rPr>
          <w:sz w:val="20"/>
          <w:szCs w:val="20"/>
          <w:shd w:val="clear" w:color="auto" w:fill="FFFFFF"/>
        </w:rPr>
        <w:t xml:space="preserve"> 119</w:t>
      </w:r>
      <w:r w:rsidRPr="00A66843">
        <w:rPr>
          <w:sz w:val="20"/>
          <w:szCs w:val="20"/>
        </w:rPr>
        <w:t>–</w:t>
      </w:r>
      <w:r w:rsidRPr="00A66843">
        <w:rPr>
          <w:sz w:val="20"/>
          <w:szCs w:val="20"/>
          <w:shd w:val="clear" w:color="auto" w:fill="FFFFFF"/>
        </w:rPr>
        <w:t>127.</w:t>
      </w:r>
    </w:p>
    <w:p w14:paraId="37D31886" w14:textId="575781D8" w:rsidR="00B14BBF" w:rsidRPr="00A66843" w:rsidRDefault="00B14BBF" w:rsidP="001302AB">
      <w:pPr>
        <w:tabs>
          <w:tab w:val="left" w:pos="0"/>
          <w:tab w:val="left" w:pos="709"/>
          <w:tab w:val="left" w:pos="1701"/>
        </w:tabs>
        <w:jc w:val="both"/>
        <w:rPr>
          <w:sz w:val="20"/>
          <w:szCs w:val="20"/>
          <w:shd w:val="clear" w:color="auto" w:fill="FFFFFF"/>
          <w:lang w:val="en-US"/>
        </w:rPr>
      </w:pPr>
      <w:r w:rsidRPr="00A66843">
        <w:rPr>
          <w:sz w:val="20"/>
          <w:szCs w:val="20"/>
          <w:shd w:val="clear" w:color="auto" w:fill="FFFFFF"/>
          <w:lang w:val="en-US"/>
        </w:rPr>
        <w:t xml:space="preserve">Berry, J., Mcgreal, </w:t>
      </w:r>
      <w:r w:rsidR="00EB10FA" w:rsidRPr="00A66843">
        <w:rPr>
          <w:sz w:val="20"/>
          <w:szCs w:val="20"/>
          <w:shd w:val="clear" w:color="auto" w:fill="FFFFFF"/>
          <w:lang w:val="en-US"/>
        </w:rPr>
        <w:t>S.</w:t>
      </w:r>
      <w:r w:rsidR="00EB10FA" w:rsidRPr="0037644C">
        <w:rPr>
          <w:sz w:val="20"/>
          <w:szCs w:val="20"/>
          <w:shd w:val="clear" w:color="auto" w:fill="FFFFFF"/>
          <w:lang w:val="en-US"/>
        </w:rPr>
        <w:t xml:space="preserve">, </w:t>
      </w:r>
      <w:r w:rsidRPr="00A66843">
        <w:rPr>
          <w:sz w:val="20"/>
          <w:szCs w:val="20"/>
          <w:shd w:val="clear" w:color="auto" w:fill="FFFFFF"/>
          <w:lang w:val="en-US"/>
        </w:rPr>
        <w:t xml:space="preserve">Stevenson, </w:t>
      </w:r>
      <w:r w:rsidR="00EB10FA" w:rsidRPr="00A66843">
        <w:rPr>
          <w:sz w:val="20"/>
          <w:szCs w:val="20"/>
          <w:shd w:val="clear" w:color="auto" w:fill="FFFFFF"/>
          <w:lang w:val="en-US"/>
        </w:rPr>
        <w:t>S.</w:t>
      </w:r>
      <w:r w:rsidR="00EB10FA" w:rsidRPr="0037644C">
        <w:rPr>
          <w:sz w:val="20"/>
          <w:szCs w:val="20"/>
          <w:shd w:val="clear" w:color="auto" w:fill="FFFFFF"/>
          <w:lang w:val="en-US"/>
        </w:rPr>
        <w:t xml:space="preserve">, </w:t>
      </w:r>
      <w:r w:rsidRPr="00A66843">
        <w:rPr>
          <w:sz w:val="20"/>
          <w:szCs w:val="20"/>
          <w:shd w:val="clear" w:color="auto" w:fill="FFFFFF"/>
          <w:lang w:val="en-US"/>
        </w:rPr>
        <w:t>Young</w:t>
      </w:r>
      <w:r w:rsidR="00EB10FA" w:rsidRPr="0037644C">
        <w:rPr>
          <w:sz w:val="20"/>
          <w:szCs w:val="20"/>
          <w:shd w:val="clear" w:color="auto" w:fill="FFFFFF"/>
          <w:lang w:val="en-US"/>
        </w:rPr>
        <w:t xml:space="preserve">, </w:t>
      </w:r>
      <w:r w:rsidR="00EB10FA" w:rsidRPr="00A66843">
        <w:rPr>
          <w:sz w:val="20"/>
          <w:szCs w:val="20"/>
          <w:shd w:val="clear" w:color="auto" w:fill="FFFFFF"/>
          <w:lang w:val="en-US"/>
        </w:rPr>
        <w:t xml:space="preserve">J. </w:t>
      </w:r>
      <w:r w:rsidRPr="00A66843">
        <w:rPr>
          <w:sz w:val="20"/>
          <w:szCs w:val="20"/>
          <w:shd w:val="clear" w:color="auto" w:fill="FFFFFF"/>
          <w:lang w:val="en-US"/>
        </w:rPr>
        <w:t>and Webb</w:t>
      </w:r>
      <w:r w:rsidR="00EB10FA" w:rsidRPr="0037644C">
        <w:rPr>
          <w:sz w:val="20"/>
          <w:szCs w:val="20"/>
          <w:shd w:val="clear" w:color="auto" w:fill="FFFFFF"/>
          <w:lang w:val="en-US"/>
        </w:rPr>
        <w:t xml:space="preserve">, </w:t>
      </w:r>
      <w:r w:rsidR="00EB10FA" w:rsidRPr="00A66843">
        <w:rPr>
          <w:sz w:val="20"/>
          <w:szCs w:val="20"/>
          <w:shd w:val="clear" w:color="auto" w:fill="FFFFFF"/>
          <w:lang w:val="en-US"/>
        </w:rPr>
        <w:t>J.</w:t>
      </w:r>
      <w:r w:rsidRPr="00A66843">
        <w:rPr>
          <w:sz w:val="20"/>
          <w:szCs w:val="20"/>
          <w:shd w:val="clear" w:color="auto" w:fill="FFFFFF"/>
          <w:lang w:val="en-US"/>
        </w:rPr>
        <w:t xml:space="preserve"> </w:t>
      </w:r>
      <w:r w:rsidR="00EB10FA" w:rsidRPr="0037644C">
        <w:rPr>
          <w:sz w:val="20"/>
          <w:szCs w:val="20"/>
          <w:shd w:val="clear" w:color="auto" w:fill="FFFFFF"/>
          <w:lang w:val="en-US"/>
        </w:rPr>
        <w:t>(</w:t>
      </w:r>
      <w:r w:rsidRPr="00A66843">
        <w:rPr>
          <w:sz w:val="20"/>
          <w:szCs w:val="20"/>
          <w:shd w:val="clear" w:color="auto" w:fill="FFFFFF"/>
          <w:lang w:val="en-US"/>
        </w:rPr>
        <w:t>2003</w:t>
      </w:r>
      <w:r w:rsidR="00EB10FA" w:rsidRPr="0037644C">
        <w:rPr>
          <w:sz w:val="20"/>
          <w:szCs w:val="20"/>
          <w:shd w:val="clear" w:color="auto" w:fill="FFFFFF"/>
          <w:lang w:val="en-US"/>
        </w:rPr>
        <w:t>)</w:t>
      </w:r>
      <w:r w:rsidRPr="00A66843">
        <w:rPr>
          <w:sz w:val="20"/>
          <w:szCs w:val="20"/>
          <w:shd w:val="clear" w:color="auto" w:fill="FFFFFF"/>
          <w:lang w:val="en-US"/>
        </w:rPr>
        <w:t xml:space="preserve">. </w:t>
      </w:r>
      <w:r w:rsidR="00EB10FA" w:rsidRPr="0037644C">
        <w:rPr>
          <w:sz w:val="20"/>
          <w:szCs w:val="20"/>
          <w:shd w:val="clear" w:color="auto" w:fill="FFFFFF"/>
          <w:lang w:val="en-US"/>
        </w:rPr>
        <w:t>“</w:t>
      </w:r>
      <w:r w:rsidRPr="00A66843">
        <w:rPr>
          <w:sz w:val="20"/>
          <w:szCs w:val="20"/>
          <w:shd w:val="clear" w:color="auto" w:fill="FFFFFF"/>
          <w:lang w:val="en-US"/>
        </w:rPr>
        <w:t>Estimation of Apartment Submarkets in Dublin, Ireland</w:t>
      </w:r>
      <w:r w:rsidR="00EB10FA" w:rsidRPr="0037644C">
        <w:rPr>
          <w:sz w:val="20"/>
          <w:szCs w:val="20"/>
          <w:shd w:val="clear" w:color="auto" w:fill="FFFFFF"/>
          <w:lang w:val="en-US"/>
        </w:rPr>
        <w:t>”</w:t>
      </w:r>
      <w:r w:rsidRPr="00A66843">
        <w:rPr>
          <w:sz w:val="20"/>
          <w:szCs w:val="20"/>
          <w:shd w:val="clear" w:color="auto" w:fill="FFFFFF"/>
          <w:lang w:val="en-US"/>
        </w:rPr>
        <w:t>.</w:t>
      </w:r>
      <w:r w:rsidRPr="00A66843">
        <w:rPr>
          <w:rStyle w:val="apple-converted-space"/>
          <w:sz w:val="20"/>
          <w:szCs w:val="20"/>
          <w:shd w:val="clear" w:color="auto" w:fill="FFFFFF"/>
          <w:lang w:val="en-US"/>
        </w:rPr>
        <w:t> </w:t>
      </w:r>
      <w:r w:rsidRPr="00A66843">
        <w:rPr>
          <w:i/>
          <w:iCs/>
          <w:sz w:val="20"/>
          <w:szCs w:val="20"/>
          <w:shd w:val="clear" w:color="auto" w:fill="FFFFFF"/>
          <w:lang w:val="en-US"/>
        </w:rPr>
        <w:t>Journal of Real Estate Research</w:t>
      </w:r>
      <w:r w:rsidR="00EB10FA" w:rsidRPr="0037644C">
        <w:rPr>
          <w:iCs/>
          <w:sz w:val="20"/>
          <w:szCs w:val="20"/>
          <w:shd w:val="clear" w:color="auto" w:fill="FFFFFF"/>
          <w:lang w:val="en-US"/>
        </w:rPr>
        <w:t>,</w:t>
      </w:r>
      <w:r w:rsidRPr="00A66843">
        <w:rPr>
          <w:rStyle w:val="apple-converted-space"/>
          <w:sz w:val="20"/>
          <w:szCs w:val="20"/>
          <w:shd w:val="clear" w:color="auto" w:fill="FFFFFF"/>
          <w:lang w:val="en-US"/>
        </w:rPr>
        <w:t> </w:t>
      </w:r>
      <w:r w:rsidR="00EB10FA" w:rsidRPr="0037644C">
        <w:rPr>
          <w:rStyle w:val="apple-converted-space"/>
          <w:sz w:val="20"/>
          <w:szCs w:val="20"/>
          <w:shd w:val="clear" w:color="auto" w:fill="FFFFFF"/>
          <w:lang w:val="en-US"/>
        </w:rPr>
        <w:t xml:space="preserve">Vol. </w:t>
      </w:r>
      <w:r w:rsidRPr="00A66843">
        <w:rPr>
          <w:iCs/>
          <w:sz w:val="20"/>
          <w:szCs w:val="20"/>
          <w:shd w:val="clear" w:color="auto" w:fill="FFFFFF"/>
          <w:lang w:val="en-US"/>
        </w:rPr>
        <w:t>25</w:t>
      </w:r>
      <w:r w:rsidR="00EB10FA" w:rsidRPr="0037644C">
        <w:rPr>
          <w:iCs/>
          <w:sz w:val="20"/>
          <w:szCs w:val="20"/>
          <w:shd w:val="clear" w:color="auto" w:fill="FFFFFF"/>
          <w:lang w:val="en-US"/>
        </w:rPr>
        <w:t>, pp.</w:t>
      </w:r>
      <w:r w:rsidRPr="00A66843">
        <w:rPr>
          <w:sz w:val="20"/>
          <w:szCs w:val="20"/>
          <w:shd w:val="clear" w:color="auto" w:fill="FFFFFF"/>
          <w:lang w:val="en-US"/>
        </w:rPr>
        <w:t xml:space="preserve"> 159</w:t>
      </w:r>
      <w:r w:rsidRPr="00A66843">
        <w:rPr>
          <w:sz w:val="20"/>
          <w:szCs w:val="20"/>
          <w:lang w:val="en-US"/>
        </w:rPr>
        <w:t>–</w:t>
      </w:r>
      <w:r w:rsidRPr="00A66843">
        <w:rPr>
          <w:sz w:val="20"/>
          <w:szCs w:val="20"/>
          <w:shd w:val="clear" w:color="auto" w:fill="FFFFFF"/>
          <w:lang w:val="en-US"/>
        </w:rPr>
        <w:t>170.</w:t>
      </w:r>
    </w:p>
    <w:p w14:paraId="38608F84" w14:textId="0725FC95" w:rsidR="00B14BBF" w:rsidRPr="00A66843" w:rsidRDefault="00B14BBF" w:rsidP="001302AB">
      <w:pPr>
        <w:tabs>
          <w:tab w:val="left" w:pos="0"/>
          <w:tab w:val="left" w:pos="709"/>
          <w:tab w:val="left" w:pos="1701"/>
        </w:tabs>
        <w:jc w:val="both"/>
        <w:rPr>
          <w:sz w:val="20"/>
          <w:szCs w:val="20"/>
          <w:shd w:val="clear" w:color="auto" w:fill="FFFFFF"/>
          <w:lang w:val="en-US"/>
        </w:rPr>
      </w:pPr>
      <w:r w:rsidRPr="00A66843">
        <w:rPr>
          <w:sz w:val="20"/>
          <w:szCs w:val="20"/>
          <w:shd w:val="clear" w:color="auto" w:fill="FFFFFF"/>
          <w:lang w:val="en-US"/>
        </w:rPr>
        <w:t>Bischoff, O., and Maennig</w:t>
      </w:r>
      <w:r w:rsidR="00EB10FA" w:rsidRPr="0037644C">
        <w:rPr>
          <w:sz w:val="20"/>
          <w:szCs w:val="20"/>
          <w:shd w:val="clear" w:color="auto" w:fill="FFFFFF"/>
          <w:lang w:val="en-US"/>
        </w:rPr>
        <w:t xml:space="preserve">, </w:t>
      </w:r>
      <w:r w:rsidR="00EB10FA" w:rsidRPr="00A66843">
        <w:rPr>
          <w:sz w:val="20"/>
          <w:szCs w:val="20"/>
          <w:shd w:val="clear" w:color="auto" w:fill="FFFFFF"/>
          <w:lang w:val="en-US"/>
        </w:rPr>
        <w:t>W.</w:t>
      </w:r>
      <w:r w:rsidRPr="00A66843">
        <w:rPr>
          <w:sz w:val="20"/>
          <w:szCs w:val="20"/>
          <w:shd w:val="clear" w:color="auto" w:fill="FFFFFF"/>
          <w:lang w:val="en-US"/>
        </w:rPr>
        <w:t xml:space="preserve"> </w:t>
      </w:r>
      <w:r w:rsidR="00EB10FA" w:rsidRPr="0037644C">
        <w:rPr>
          <w:sz w:val="20"/>
          <w:szCs w:val="20"/>
          <w:shd w:val="clear" w:color="auto" w:fill="FFFFFF"/>
          <w:lang w:val="en-US"/>
        </w:rPr>
        <w:t>(</w:t>
      </w:r>
      <w:r w:rsidRPr="00A66843">
        <w:rPr>
          <w:sz w:val="20"/>
          <w:szCs w:val="20"/>
          <w:shd w:val="clear" w:color="auto" w:fill="FFFFFF"/>
          <w:lang w:val="en-US"/>
        </w:rPr>
        <w:t>2011</w:t>
      </w:r>
      <w:r w:rsidR="00EB10FA" w:rsidRPr="0037644C">
        <w:rPr>
          <w:sz w:val="20"/>
          <w:szCs w:val="20"/>
          <w:shd w:val="clear" w:color="auto" w:fill="FFFFFF"/>
          <w:lang w:val="en-US"/>
        </w:rPr>
        <w:t>)</w:t>
      </w:r>
      <w:r w:rsidRPr="00A66843">
        <w:rPr>
          <w:sz w:val="20"/>
          <w:szCs w:val="20"/>
          <w:shd w:val="clear" w:color="auto" w:fill="FFFFFF"/>
          <w:lang w:val="en-US"/>
        </w:rPr>
        <w:t xml:space="preserve">. </w:t>
      </w:r>
      <w:r w:rsidR="00EB10FA" w:rsidRPr="0037644C">
        <w:rPr>
          <w:sz w:val="20"/>
          <w:szCs w:val="20"/>
          <w:shd w:val="clear" w:color="auto" w:fill="FFFFFF"/>
          <w:lang w:val="en-US"/>
        </w:rPr>
        <w:t>“</w:t>
      </w:r>
      <w:r w:rsidRPr="00A66843">
        <w:rPr>
          <w:sz w:val="20"/>
          <w:szCs w:val="20"/>
          <w:shd w:val="clear" w:color="auto" w:fill="FFFFFF"/>
          <w:lang w:val="en-US"/>
        </w:rPr>
        <w:t>Rental Housing Market Segmentation in Germany According to Ownership</w:t>
      </w:r>
      <w:r w:rsidR="00EB10FA" w:rsidRPr="0037644C">
        <w:rPr>
          <w:sz w:val="20"/>
          <w:szCs w:val="20"/>
          <w:shd w:val="clear" w:color="auto" w:fill="FFFFFF"/>
          <w:lang w:val="en-US"/>
        </w:rPr>
        <w:t>”</w:t>
      </w:r>
      <w:r w:rsidRPr="00A66843">
        <w:rPr>
          <w:sz w:val="20"/>
          <w:szCs w:val="20"/>
          <w:shd w:val="clear" w:color="auto" w:fill="FFFFFF"/>
          <w:lang w:val="en-US"/>
        </w:rPr>
        <w:t>.</w:t>
      </w:r>
      <w:r w:rsidRPr="00A66843">
        <w:rPr>
          <w:rStyle w:val="apple-converted-space"/>
          <w:sz w:val="20"/>
          <w:szCs w:val="20"/>
          <w:shd w:val="clear" w:color="auto" w:fill="FFFFFF"/>
          <w:lang w:val="en-US"/>
        </w:rPr>
        <w:t> </w:t>
      </w:r>
      <w:r w:rsidRPr="00A66843">
        <w:rPr>
          <w:i/>
          <w:iCs/>
          <w:sz w:val="20"/>
          <w:szCs w:val="20"/>
          <w:shd w:val="clear" w:color="auto" w:fill="FFFFFF"/>
          <w:lang w:val="en-US"/>
        </w:rPr>
        <w:t>Journal of Property Research</w:t>
      </w:r>
      <w:r w:rsidR="00EB10FA" w:rsidRPr="0037644C">
        <w:rPr>
          <w:rStyle w:val="apple-converted-space"/>
          <w:sz w:val="20"/>
          <w:szCs w:val="20"/>
          <w:shd w:val="clear" w:color="auto" w:fill="FFFFFF"/>
          <w:lang w:val="en-US"/>
        </w:rPr>
        <w:t xml:space="preserve">, Vol. </w:t>
      </w:r>
      <w:r w:rsidRPr="00A66843">
        <w:rPr>
          <w:iCs/>
          <w:sz w:val="20"/>
          <w:szCs w:val="20"/>
          <w:shd w:val="clear" w:color="auto" w:fill="FFFFFF"/>
          <w:lang w:val="en-US"/>
        </w:rPr>
        <w:t>28</w:t>
      </w:r>
      <w:r w:rsidR="00EB10FA" w:rsidRPr="0037644C">
        <w:rPr>
          <w:iCs/>
          <w:sz w:val="20"/>
          <w:szCs w:val="20"/>
          <w:shd w:val="clear" w:color="auto" w:fill="FFFFFF"/>
          <w:lang w:val="en-US"/>
        </w:rPr>
        <w:t>, pp.</w:t>
      </w:r>
      <w:r w:rsidRPr="00A66843">
        <w:rPr>
          <w:sz w:val="20"/>
          <w:szCs w:val="20"/>
          <w:shd w:val="clear" w:color="auto" w:fill="FFFFFF"/>
          <w:lang w:val="en-US"/>
        </w:rPr>
        <w:t xml:space="preserve"> 133</w:t>
      </w:r>
      <w:r w:rsidRPr="00A66843">
        <w:rPr>
          <w:sz w:val="20"/>
          <w:szCs w:val="20"/>
          <w:lang w:val="en-US"/>
        </w:rPr>
        <w:t>–</w:t>
      </w:r>
      <w:r w:rsidRPr="00A66843">
        <w:rPr>
          <w:sz w:val="20"/>
          <w:szCs w:val="20"/>
          <w:shd w:val="clear" w:color="auto" w:fill="FFFFFF"/>
          <w:lang w:val="en-US"/>
        </w:rPr>
        <w:t>149.</w:t>
      </w:r>
    </w:p>
    <w:p w14:paraId="6B6E95B0" w14:textId="615EA67D" w:rsidR="00B14BBF" w:rsidRPr="00A66843" w:rsidRDefault="00B14BBF" w:rsidP="001302AB">
      <w:pPr>
        <w:tabs>
          <w:tab w:val="left" w:pos="0"/>
          <w:tab w:val="left" w:pos="567"/>
          <w:tab w:val="left" w:pos="1701"/>
        </w:tabs>
        <w:jc w:val="both"/>
        <w:rPr>
          <w:sz w:val="20"/>
          <w:szCs w:val="20"/>
          <w:shd w:val="clear" w:color="auto" w:fill="FFFFFF"/>
          <w:lang w:val="en-US"/>
        </w:rPr>
      </w:pPr>
      <w:r w:rsidRPr="00A66843">
        <w:rPr>
          <w:sz w:val="20"/>
          <w:szCs w:val="20"/>
          <w:shd w:val="clear" w:color="auto" w:fill="FFFFFF"/>
          <w:lang w:val="en-US"/>
        </w:rPr>
        <w:t xml:space="preserve">Black, R., Wolverton, </w:t>
      </w:r>
      <w:r w:rsidR="00EB10FA" w:rsidRPr="00A66843">
        <w:rPr>
          <w:sz w:val="20"/>
          <w:szCs w:val="20"/>
          <w:shd w:val="clear" w:color="auto" w:fill="FFFFFF"/>
          <w:lang w:val="en-US"/>
        </w:rPr>
        <w:t>M.</w:t>
      </w:r>
      <w:r w:rsidR="00EB10FA" w:rsidRPr="0037644C">
        <w:rPr>
          <w:sz w:val="20"/>
          <w:szCs w:val="20"/>
          <w:shd w:val="clear" w:color="auto" w:fill="FFFFFF"/>
          <w:lang w:val="en-US"/>
        </w:rPr>
        <w:t xml:space="preserve">, </w:t>
      </w:r>
      <w:r w:rsidRPr="00A66843">
        <w:rPr>
          <w:sz w:val="20"/>
          <w:szCs w:val="20"/>
          <w:shd w:val="clear" w:color="auto" w:fill="FFFFFF"/>
          <w:lang w:val="en-US"/>
        </w:rPr>
        <w:t>Warden</w:t>
      </w:r>
      <w:r w:rsidR="00EB10FA" w:rsidRPr="0037644C">
        <w:rPr>
          <w:sz w:val="20"/>
          <w:szCs w:val="20"/>
          <w:shd w:val="clear" w:color="auto" w:fill="FFFFFF"/>
          <w:lang w:val="en-US"/>
        </w:rPr>
        <w:t xml:space="preserve">, </w:t>
      </w:r>
      <w:r w:rsidR="00EB10FA" w:rsidRPr="00A66843">
        <w:rPr>
          <w:sz w:val="20"/>
          <w:szCs w:val="20"/>
          <w:shd w:val="clear" w:color="auto" w:fill="FFFFFF"/>
          <w:lang w:val="en-US"/>
        </w:rPr>
        <w:t xml:space="preserve">J. </w:t>
      </w:r>
      <w:r w:rsidRPr="00A66843">
        <w:rPr>
          <w:sz w:val="20"/>
          <w:szCs w:val="20"/>
          <w:shd w:val="clear" w:color="auto" w:fill="FFFFFF"/>
          <w:lang w:val="en-US"/>
        </w:rPr>
        <w:t>and Pittman</w:t>
      </w:r>
      <w:r w:rsidR="00EB10FA" w:rsidRPr="0037644C">
        <w:rPr>
          <w:sz w:val="20"/>
          <w:szCs w:val="20"/>
          <w:shd w:val="clear" w:color="auto" w:fill="FFFFFF"/>
          <w:lang w:val="en-US"/>
        </w:rPr>
        <w:t xml:space="preserve">, </w:t>
      </w:r>
      <w:r w:rsidR="00EB10FA" w:rsidRPr="00A66843">
        <w:rPr>
          <w:sz w:val="20"/>
          <w:szCs w:val="20"/>
          <w:shd w:val="clear" w:color="auto" w:fill="FFFFFF"/>
          <w:lang w:val="en-US"/>
        </w:rPr>
        <w:t>R.</w:t>
      </w:r>
      <w:r w:rsidRPr="00A66843">
        <w:rPr>
          <w:sz w:val="20"/>
          <w:szCs w:val="20"/>
          <w:shd w:val="clear" w:color="auto" w:fill="FFFFFF"/>
          <w:lang w:val="en-US"/>
        </w:rPr>
        <w:t xml:space="preserve"> </w:t>
      </w:r>
      <w:r w:rsidR="00EB10FA" w:rsidRPr="0037644C">
        <w:rPr>
          <w:sz w:val="20"/>
          <w:szCs w:val="20"/>
          <w:shd w:val="clear" w:color="auto" w:fill="FFFFFF"/>
          <w:lang w:val="en-US"/>
        </w:rPr>
        <w:t>(</w:t>
      </w:r>
      <w:r w:rsidRPr="00A66843">
        <w:rPr>
          <w:sz w:val="20"/>
          <w:szCs w:val="20"/>
          <w:shd w:val="clear" w:color="auto" w:fill="FFFFFF"/>
          <w:lang w:val="en-US"/>
        </w:rPr>
        <w:t>1997</w:t>
      </w:r>
      <w:r w:rsidR="00EB10FA" w:rsidRPr="0037644C">
        <w:rPr>
          <w:sz w:val="20"/>
          <w:szCs w:val="20"/>
          <w:shd w:val="clear" w:color="auto" w:fill="FFFFFF"/>
          <w:lang w:val="en-US"/>
        </w:rPr>
        <w:t>)</w:t>
      </w:r>
      <w:r w:rsidRPr="00A66843">
        <w:rPr>
          <w:sz w:val="20"/>
          <w:szCs w:val="20"/>
          <w:shd w:val="clear" w:color="auto" w:fill="FFFFFF"/>
          <w:lang w:val="en-US"/>
        </w:rPr>
        <w:t xml:space="preserve">. </w:t>
      </w:r>
      <w:r w:rsidR="00EB10FA" w:rsidRPr="0037644C">
        <w:rPr>
          <w:sz w:val="20"/>
          <w:szCs w:val="20"/>
          <w:shd w:val="clear" w:color="auto" w:fill="FFFFFF"/>
          <w:lang w:val="en-US"/>
        </w:rPr>
        <w:t>“</w:t>
      </w:r>
      <w:r w:rsidRPr="00A66843">
        <w:rPr>
          <w:sz w:val="20"/>
          <w:szCs w:val="20"/>
          <w:shd w:val="clear" w:color="auto" w:fill="FFFFFF"/>
          <w:lang w:val="en-US"/>
        </w:rPr>
        <w:t>Manufacturing Versus Distribution: Implicit Pricing of Real Property Characteristics by Submarket</w:t>
      </w:r>
      <w:r w:rsidR="00EB10FA" w:rsidRPr="0037644C">
        <w:rPr>
          <w:sz w:val="20"/>
          <w:szCs w:val="20"/>
          <w:shd w:val="clear" w:color="auto" w:fill="FFFFFF"/>
          <w:lang w:val="en-US"/>
        </w:rPr>
        <w:t>”</w:t>
      </w:r>
      <w:r w:rsidRPr="00A66843">
        <w:rPr>
          <w:sz w:val="20"/>
          <w:szCs w:val="20"/>
          <w:shd w:val="clear" w:color="auto" w:fill="FFFFFF"/>
          <w:lang w:val="en-US"/>
        </w:rPr>
        <w:t>.</w:t>
      </w:r>
      <w:r w:rsidRPr="00A66843">
        <w:rPr>
          <w:rStyle w:val="apple-converted-space"/>
          <w:sz w:val="20"/>
          <w:szCs w:val="20"/>
          <w:shd w:val="clear" w:color="auto" w:fill="FFFFFF"/>
          <w:lang w:val="en-US"/>
        </w:rPr>
        <w:t> </w:t>
      </w:r>
      <w:r w:rsidRPr="00A66843">
        <w:rPr>
          <w:i/>
          <w:iCs/>
          <w:sz w:val="20"/>
          <w:szCs w:val="20"/>
          <w:shd w:val="clear" w:color="auto" w:fill="FFFFFF"/>
          <w:lang w:val="en-US"/>
        </w:rPr>
        <w:t>Journal of Real Estate Finance and Economics</w:t>
      </w:r>
      <w:r w:rsidR="00EB10FA" w:rsidRPr="0037644C">
        <w:rPr>
          <w:rStyle w:val="apple-converted-space"/>
          <w:sz w:val="20"/>
          <w:szCs w:val="20"/>
          <w:shd w:val="clear" w:color="auto" w:fill="FFFFFF"/>
          <w:lang w:val="en-US"/>
        </w:rPr>
        <w:t xml:space="preserve">, Vol. </w:t>
      </w:r>
      <w:r w:rsidRPr="00A66843">
        <w:rPr>
          <w:iCs/>
          <w:sz w:val="20"/>
          <w:szCs w:val="20"/>
          <w:shd w:val="clear" w:color="auto" w:fill="FFFFFF"/>
          <w:lang w:val="en-US"/>
        </w:rPr>
        <w:t>15</w:t>
      </w:r>
      <w:r w:rsidR="00EB10FA" w:rsidRPr="0037644C">
        <w:rPr>
          <w:iCs/>
          <w:sz w:val="20"/>
          <w:szCs w:val="20"/>
          <w:shd w:val="clear" w:color="auto" w:fill="FFFFFF"/>
          <w:lang w:val="en-US"/>
        </w:rPr>
        <w:t>, pp.</w:t>
      </w:r>
      <w:r w:rsidRPr="00A66843">
        <w:rPr>
          <w:sz w:val="20"/>
          <w:szCs w:val="20"/>
          <w:shd w:val="clear" w:color="auto" w:fill="FFFFFF"/>
          <w:lang w:val="en-US"/>
        </w:rPr>
        <w:t xml:space="preserve"> 271</w:t>
      </w:r>
      <w:r w:rsidRPr="00A66843">
        <w:rPr>
          <w:sz w:val="20"/>
          <w:szCs w:val="20"/>
          <w:lang w:val="en-US"/>
        </w:rPr>
        <w:t>–</w:t>
      </w:r>
      <w:r w:rsidRPr="00A66843">
        <w:rPr>
          <w:sz w:val="20"/>
          <w:szCs w:val="20"/>
          <w:shd w:val="clear" w:color="auto" w:fill="FFFFFF"/>
          <w:lang w:val="en-US"/>
        </w:rPr>
        <w:t>285.</w:t>
      </w:r>
    </w:p>
    <w:p w14:paraId="0C717FDF" w14:textId="02B99FCB" w:rsidR="00B14BBF" w:rsidRPr="00A66843" w:rsidRDefault="00B14BBF" w:rsidP="001302AB">
      <w:pPr>
        <w:tabs>
          <w:tab w:val="left" w:pos="0"/>
          <w:tab w:val="left" w:pos="567"/>
          <w:tab w:val="left" w:pos="1701"/>
        </w:tabs>
        <w:jc w:val="both"/>
        <w:rPr>
          <w:sz w:val="20"/>
          <w:szCs w:val="20"/>
          <w:lang w:val="en-US"/>
        </w:rPr>
      </w:pPr>
      <w:r w:rsidRPr="00A66843">
        <w:rPr>
          <w:sz w:val="20"/>
          <w:szCs w:val="20"/>
          <w:lang w:val="en-US"/>
        </w:rPr>
        <w:t>Bollinger, C., Ihlanfeldt</w:t>
      </w:r>
      <w:r w:rsidR="00775C70" w:rsidRPr="0037644C">
        <w:rPr>
          <w:sz w:val="20"/>
          <w:szCs w:val="20"/>
          <w:lang w:val="en-US"/>
        </w:rPr>
        <w:t xml:space="preserve">, </w:t>
      </w:r>
      <w:r w:rsidR="00775C70" w:rsidRPr="00A66843">
        <w:rPr>
          <w:sz w:val="20"/>
          <w:szCs w:val="20"/>
          <w:lang w:val="en-US"/>
        </w:rPr>
        <w:t>K.</w:t>
      </w:r>
      <w:r w:rsidRPr="00A66843">
        <w:rPr>
          <w:sz w:val="20"/>
          <w:szCs w:val="20"/>
          <w:lang w:val="en-US"/>
        </w:rPr>
        <w:t xml:space="preserve"> and Bowes</w:t>
      </w:r>
      <w:r w:rsidR="00775C70" w:rsidRPr="0037644C">
        <w:rPr>
          <w:sz w:val="20"/>
          <w:szCs w:val="20"/>
          <w:lang w:val="en-US"/>
        </w:rPr>
        <w:t xml:space="preserve">, </w:t>
      </w:r>
      <w:r w:rsidR="00775C70" w:rsidRPr="00A66843">
        <w:rPr>
          <w:sz w:val="20"/>
          <w:szCs w:val="20"/>
          <w:lang w:val="en-US"/>
        </w:rPr>
        <w:t>D.</w:t>
      </w:r>
      <w:r w:rsidRPr="00A66843">
        <w:rPr>
          <w:sz w:val="20"/>
          <w:szCs w:val="20"/>
          <w:lang w:val="en-US"/>
        </w:rPr>
        <w:t xml:space="preserve"> </w:t>
      </w:r>
      <w:r w:rsidR="00775C70" w:rsidRPr="0037644C">
        <w:rPr>
          <w:sz w:val="20"/>
          <w:szCs w:val="20"/>
          <w:lang w:val="en-US"/>
        </w:rPr>
        <w:t>(</w:t>
      </w:r>
      <w:r w:rsidRPr="00A66843">
        <w:rPr>
          <w:sz w:val="20"/>
          <w:szCs w:val="20"/>
          <w:lang w:val="en-US"/>
        </w:rPr>
        <w:t>1998</w:t>
      </w:r>
      <w:r w:rsidR="00775C70" w:rsidRPr="0037644C">
        <w:rPr>
          <w:sz w:val="20"/>
          <w:szCs w:val="20"/>
          <w:lang w:val="en-US"/>
        </w:rPr>
        <w:t>)</w:t>
      </w:r>
      <w:r w:rsidRPr="00A66843">
        <w:rPr>
          <w:sz w:val="20"/>
          <w:szCs w:val="20"/>
          <w:lang w:val="en-US"/>
        </w:rPr>
        <w:t xml:space="preserve">. </w:t>
      </w:r>
      <w:r w:rsidR="00775C70" w:rsidRPr="0037644C">
        <w:rPr>
          <w:sz w:val="20"/>
          <w:szCs w:val="20"/>
          <w:lang w:val="en-US"/>
        </w:rPr>
        <w:t>“</w:t>
      </w:r>
      <w:r w:rsidRPr="00A66843">
        <w:rPr>
          <w:sz w:val="20"/>
          <w:szCs w:val="20"/>
          <w:lang w:val="en-US"/>
        </w:rPr>
        <w:t>Spatial Variations in Office Rents in The Atlanta Region</w:t>
      </w:r>
      <w:r w:rsidR="00775C70" w:rsidRPr="0037644C">
        <w:rPr>
          <w:sz w:val="20"/>
          <w:szCs w:val="20"/>
          <w:lang w:val="en-US"/>
        </w:rPr>
        <w:t>”</w:t>
      </w:r>
      <w:r w:rsidRPr="00A66843">
        <w:rPr>
          <w:sz w:val="20"/>
          <w:szCs w:val="20"/>
          <w:lang w:val="en-US"/>
        </w:rPr>
        <w:t xml:space="preserve">. </w:t>
      </w:r>
      <w:r w:rsidRPr="00A66843">
        <w:rPr>
          <w:i/>
          <w:sz w:val="20"/>
          <w:szCs w:val="20"/>
          <w:lang w:val="en-US"/>
        </w:rPr>
        <w:t>Urban Studies</w:t>
      </w:r>
      <w:r w:rsidR="00775C70" w:rsidRPr="0037644C">
        <w:rPr>
          <w:sz w:val="20"/>
          <w:szCs w:val="20"/>
          <w:lang w:val="en-US"/>
        </w:rPr>
        <w:t xml:space="preserve">, Vol. </w:t>
      </w:r>
      <w:r w:rsidRPr="00A66843">
        <w:rPr>
          <w:sz w:val="20"/>
          <w:szCs w:val="20"/>
          <w:lang w:val="en-US"/>
        </w:rPr>
        <w:t>35</w:t>
      </w:r>
      <w:r w:rsidR="00775C70" w:rsidRPr="0037644C">
        <w:rPr>
          <w:sz w:val="20"/>
          <w:szCs w:val="20"/>
          <w:lang w:val="en-US"/>
        </w:rPr>
        <w:t>, pp.</w:t>
      </w:r>
      <w:r w:rsidRPr="00A66843">
        <w:rPr>
          <w:sz w:val="20"/>
          <w:szCs w:val="20"/>
          <w:lang w:val="en-US"/>
        </w:rPr>
        <w:t xml:space="preserve"> 1097–1118.</w:t>
      </w:r>
    </w:p>
    <w:p w14:paraId="79433618" w14:textId="02FA646A" w:rsidR="00B14BBF" w:rsidRPr="00A66843" w:rsidRDefault="00B14BBF" w:rsidP="001302AB">
      <w:pPr>
        <w:tabs>
          <w:tab w:val="left" w:pos="0"/>
          <w:tab w:val="left" w:pos="709"/>
        </w:tabs>
        <w:jc w:val="both"/>
        <w:rPr>
          <w:sz w:val="20"/>
          <w:szCs w:val="20"/>
          <w:shd w:val="clear" w:color="auto" w:fill="FFFFFF"/>
          <w:lang w:val="en-US"/>
        </w:rPr>
      </w:pPr>
      <w:r w:rsidRPr="00A66843">
        <w:rPr>
          <w:sz w:val="20"/>
          <w:szCs w:val="20"/>
          <w:shd w:val="clear" w:color="auto" w:fill="FFFFFF"/>
          <w:lang w:val="en-US"/>
        </w:rPr>
        <w:t>Bourassa, S., Hoesli</w:t>
      </w:r>
      <w:r w:rsidR="00775C70" w:rsidRPr="0037644C">
        <w:rPr>
          <w:sz w:val="20"/>
          <w:szCs w:val="20"/>
          <w:shd w:val="clear" w:color="auto" w:fill="FFFFFF"/>
          <w:lang w:val="en-US"/>
        </w:rPr>
        <w:t>,</w:t>
      </w:r>
      <w:r w:rsidRPr="00A66843">
        <w:rPr>
          <w:sz w:val="20"/>
          <w:szCs w:val="20"/>
          <w:shd w:val="clear" w:color="auto" w:fill="FFFFFF"/>
          <w:lang w:val="en-US"/>
        </w:rPr>
        <w:t xml:space="preserve"> </w:t>
      </w:r>
      <w:r w:rsidR="00775C70" w:rsidRPr="00A66843">
        <w:rPr>
          <w:sz w:val="20"/>
          <w:szCs w:val="20"/>
          <w:shd w:val="clear" w:color="auto" w:fill="FFFFFF"/>
          <w:lang w:val="en-US"/>
        </w:rPr>
        <w:t>M.</w:t>
      </w:r>
      <w:r w:rsidR="00775C70" w:rsidRPr="0037644C">
        <w:rPr>
          <w:sz w:val="20"/>
          <w:szCs w:val="20"/>
          <w:shd w:val="clear" w:color="auto" w:fill="FFFFFF"/>
          <w:lang w:val="en-US"/>
        </w:rPr>
        <w:t xml:space="preserve"> </w:t>
      </w:r>
      <w:r w:rsidRPr="00A66843">
        <w:rPr>
          <w:sz w:val="20"/>
          <w:szCs w:val="20"/>
          <w:shd w:val="clear" w:color="auto" w:fill="FFFFFF"/>
          <w:lang w:val="en-US"/>
        </w:rPr>
        <w:t>and Peng</w:t>
      </w:r>
      <w:r w:rsidR="00775C70" w:rsidRPr="0037644C">
        <w:rPr>
          <w:sz w:val="20"/>
          <w:szCs w:val="20"/>
          <w:shd w:val="clear" w:color="auto" w:fill="FFFFFF"/>
          <w:lang w:val="en-US"/>
        </w:rPr>
        <w:t xml:space="preserve">, </w:t>
      </w:r>
      <w:r w:rsidR="00775C70" w:rsidRPr="00A66843">
        <w:rPr>
          <w:sz w:val="20"/>
          <w:szCs w:val="20"/>
          <w:shd w:val="clear" w:color="auto" w:fill="FFFFFF"/>
          <w:lang w:val="en-US"/>
        </w:rPr>
        <w:t>V.</w:t>
      </w:r>
      <w:r w:rsidRPr="00A66843">
        <w:rPr>
          <w:sz w:val="20"/>
          <w:szCs w:val="20"/>
          <w:shd w:val="clear" w:color="auto" w:fill="FFFFFF"/>
          <w:lang w:val="en-US"/>
        </w:rPr>
        <w:t xml:space="preserve"> </w:t>
      </w:r>
      <w:r w:rsidR="00775C70" w:rsidRPr="0037644C">
        <w:rPr>
          <w:sz w:val="20"/>
          <w:szCs w:val="20"/>
          <w:shd w:val="clear" w:color="auto" w:fill="FFFFFF"/>
          <w:lang w:val="en-US"/>
        </w:rPr>
        <w:t>(</w:t>
      </w:r>
      <w:r w:rsidRPr="00A66843">
        <w:rPr>
          <w:sz w:val="20"/>
          <w:szCs w:val="20"/>
          <w:shd w:val="clear" w:color="auto" w:fill="FFFFFF"/>
          <w:lang w:val="en-US"/>
        </w:rPr>
        <w:t>2003</w:t>
      </w:r>
      <w:r w:rsidR="00775C70" w:rsidRPr="0037644C">
        <w:rPr>
          <w:sz w:val="20"/>
          <w:szCs w:val="20"/>
          <w:shd w:val="clear" w:color="auto" w:fill="FFFFFF"/>
          <w:lang w:val="en-US"/>
        </w:rPr>
        <w:t>)</w:t>
      </w:r>
      <w:r w:rsidRPr="00A66843">
        <w:rPr>
          <w:sz w:val="20"/>
          <w:szCs w:val="20"/>
          <w:shd w:val="clear" w:color="auto" w:fill="FFFFFF"/>
          <w:lang w:val="en-US"/>
        </w:rPr>
        <w:t xml:space="preserve">. </w:t>
      </w:r>
      <w:r w:rsidR="00775C70" w:rsidRPr="0037644C">
        <w:rPr>
          <w:sz w:val="20"/>
          <w:szCs w:val="20"/>
          <w:shd w:val="clear" w:color="auto" w:fill="FFFFFF"/>
          <w:lang w:val="en-US"/>
        </w:rPr>
        <w:t>“</w:t>
      </w:r>
      <w:r w:rsidRPr="00A66843">
        <w:rPr>
          <w:sz w:val="20"/>
          <w:szCs w:val="20"/>
          <w:shd w:val="clear" w:color="auto" w:fill="FFFFFF"/>
          <w:lang w:val="en-US"/>
        </w:rPr>
        <w:t>Do Housing Submarkets Really Matter?</w:t>
      </w:r>
      <w:r w:rsidR="00775C70" w:rsidRPr="0037644C">
        <w:rPr>
          <w:sz w:val="20"/>
          <w:szCs w:val="20"/>
          <w:shd w:val="clear" w:color="auto" w:fill="FFFFFF"/>
          <w:lang w:val="en-US"/>
        </w:rPr>
        <w:t>”</w:t>
      </w:r>
      <w:r w:rsidRPr="00A66843">
        <w:rPr>
          <w:rStyle w:val="apple-converted-space"/>
          <w:sz w:val="20"/>
          <w:szCs w:val="20"/>
          <w:shd w:val="clear" w:color="auto" w:fill="FFFFFF"/>
          <w:lang w:val="en-US"/>
        </w:rPr>
        <w:t> </w:t>
      </w:r>
      <w:r w:rsidRPr="00A66843">
        <w:rPr>
          <w:i/>
          <w:iCs/>
          <w:sz w:val="20"/>
          <w:szCs w:val="20"/>
          <w:shd w:val="clear" w:color="auto" w:fill="FFFFFF"/>
          <w:lang w:val="en-US"/>
        </w:rPr>
        <w:t>Journal of Housing Economics</w:t>
      </w:r>
      <w:r w:rsidR="00775C70" w:rsidRPr="0037644C">
        <w:rPr>
          <w:rStyle w:val="apple-converted-space"/>
          <w:sz w:val="20"/>
          <w:szCs w:val="20"/>
          <w:shd w:val="clear" w:color="auto" w:fill="FFFFFF"/>
          <w:lang w:val="en-US"/>
        </w:rPr>
        <w:t xml:space="preserve">, Vol. </w:t>
      </w:r>
      <w:r w:rsidRPr="00A66843">
        <w:rPr>
          <w:iCs/>
          <w:sz w:val="20"/>
          <w:szCs w:val="20"/>
          <w:shd w:val="clear" w:color="auto" w:fill="FFFFFF"/>
          <w:lang w:val="en-US"/>
        </w:rPr>
        <w:t>12</w:t>
      </w:r>
      <w:r w:rsidR="00775C70" w:rsidRPr="0037644C">
        <w:rPr>
          <w:iCs/>
          <w:sz w:val="20"/>
          <w:szCs w:val="20"/>
          <w:shd w:val="clear" w:color="auto" w:fill="FFFFFF"/>
          <w:lang w:val="en-US"/>
        </w:rPr>
        <w:t>, pp</w:t>
      </w:r>
      <w:r w:rsidRPr="00A66843">
        <w:rPr>
          <w:sz w:val="20"/>
          <w:szCs w:val="20"/>
          <w:shd w:val="clear" w:color="auto" w:fill="FFFFFF"/>
          <w:lang w:val="en-US"/>
        </w:rPr>
        <w:t xml:space="preserve"> 12</w:t>
      </w:r>
      <w:r w:rsidRPr="00A66843">
        <w:rPr>
          <w:sz w:val="20"/>
          <w:szCs w:val="20"/>
          <w:lang w:val="en-US"/>
        </w:rPr>
        <w:t>–</w:t>
      </w:r>
      <w:r w:rsidRPr="00A66843">
        <w:rPr>
          <w:sz w:val="20"/>
          <w:szCs w:val="20"/>
          <w:shd w:val="clear" w:color="auto" w:fill="FFFFFF"/>
          <w:lang w:val="en-US"/>
        </w:rPr>
        <w:t>28.</w:t>
      </w:r>
    </w:p>
    <w:p w14:paraId="227F3DBE" w14:textId="739D02EC" w:rsidR="00B14BBF" w:rsidRPr="00A66843" w:rsidRDefault="00B14BBF" w:rsidP="001302AB">
      <w:pPr>
        <w:tabs>
          <w:tab w:val="left" w:pos="0"/>
        </w:tabs>
        <w:autoSpaceDE w:val="0"/>
        <w:autoSpaceDN w:val="0"/>
        <w:adjustRightInd w:val="0"/>
        <w:jc w:val="both"/>
        <w:rPr>
          <w:sz w:val="20"/>
          <w:szCs w:val="20"/>
          <w:lang w:val="en-US"/>
        </w:rPr>
      </w:pPr>
      <w:r w:rsidRPr="00A66843">
        <w:rPr>
          <w:sz w:val="20"/>
          <w:szCs w:val="20"/>
          <w:lang w:val="en-US"/>
        </w:rPr>
        <w:t>Bulan, L.</w:t>
      </w:r>
      <w:r w:rsidR="00775C70" w:rsidRPr="0037644C">
        <w:rPr>
          <w:sz w:val="20"/>
          <w:szCs w:val="20"/>
          <w:lang w:val="en-US"/>
        </w:rPr>
        <w:t>,</w:t>
      </w:r>
      <w:r w:rsidRPr="00A66843">
        <w:rPr>
          <w:sz w:val="20"/>
          <w:szCs w:val="20"/>
          <w:lang w:val="en-US"/>
        </w:rPr>
        <w:t xml:space="preserve"> Mayer</w:t>
      </w:r>
      <w:r w:rsidR="00775C70" w:rsidRPr="0037644C">
        <w:rPr>
          <w:sz w:val="20"/>
          <w:szCs w:val="20"/>
          <w:lang w:val="en-US"/>
        </w:rPr>
        <w:t xml:space="preserve">, </w:t>
      </w:r>
      <w:r w:rsidR="00775C70" w:rsidRPr="00A66843">
        <w:rPr>
          <w:sz w:val="20"/>
          <w:szCs w:val="20"/>
          <w:lang w:val="en-US"/>
        </w:rPr>
        <w:t>C.</w:t>
      </w:r>
      <w:r w:rsidRPr="00A66843">
        <w:rPr>
          <w:sz w:val="20"/>
          <w:szCs w:val="20"/>
          <w:lang w:val="en-US"/>
        </w:rPr>
        <w:t xml:space="preserve"> and Somerville</w:t>
      </w:r>
      <w:r w:rsidR="00775C70" w:rsidRPr="0037644C">
        <w:rPr>
          <w:sz w:val="20"/>
          <w:szCs w:val="20"/>
          <w:lang w:val="en-US"/>
        </w:rPr>
        <w:t xml:space="preserve">, </w:t>
      </w:r>
      <w:r w:rsidR="00775C70" w:rsidRPr="00A66843">
        <w:rPr>
          <w:sz w:val="20"/>
          <w:szCs w:val="20"/>
          <w:lang w:val="en-US"/>
        </w:rPr>
        <w:t>C.</w:t>
      </w:r>
      <w:r w:rsidRPr="00A66843">
        <w:rPr>
          <w:sz w:val="20"/>
          <w:szCs w:val="20"/>
          <w:lang w:val="en-US"/>
        </w:rPr>
        <w:t xml:space="preserve"> </w:t>
      </w:r>
      <w:r w:rsidR="00775C70" w:rsidRPr="0037644C">
        <w:rPr>
          <w:sz w:val="20"/>
          <w:szCs w:val="20"/>
          <w:lang w:val="en-US"/>
        </w:rPr>
        <w:t>(</w:t>
      </w:r>
      <w:r w:rsidRPr="00A66843">
        <w:rPr>
          <w:sz w:val="20"/>
          <w:szCs w:val="20"/>
          <w:lang w:val="en-US"/>
        </w:rPr>
        <w:t>2009</w:t>
      </w:r>
      <w:r w:rsidR="00775C70" w:rsidRPr="0037644C">
        <w:rPr>
          <w:sz w:val="20"/>
          <w:szCs w:val="20"/>
          <w:lang w:val="en-US"/>
        </w:rPr>
        <w:t>)</w:t>
      </w:r>
      <w:r w:rsidRPr="00A66843">
        <w:rPr>
          <w:sz w:val="20"/>
          <w:szCs w:val="20"/>
          <w:lang w:val="en-US"/>
        </w:rPr>
        <w:t xml:space="preserve">. </w:t>
      </w:r>
      <w:r w:rsidR="00775C70" w:rsidRPr="0037644C">
        <w:rPr>
          <w:sz w:val="20"/>
          <w:szCs w:val="20"/>
          <w:lang w:val="en-US"/>
        </w:rPr>
        <w:t>“</w:t>
      </w:r>
      <w:r w:rsidRPr="00A66843">
        <w:rPr>
          <w:sz w:val="20"/>
          <w:szCs w:val="20"/>
          <w:lang w:val="en-US"/>
        </w:rPr>
        <w:t>Irreversible Investment, Real Options and Competition: Evidence from Real Estate Development</w:t>
      </w:r>
      <w:r w:rsidR="00775C70" w:rsidRPr="0037644C">
        <w:rPr>
          <w:sz w:val="20"/>
          <w:szCs w:val="20"/>
          <w:lang w:val="en-US"/>
        </w:rPr>
        <w:t>”</w:t>
      </w:r>
      <w:r w:rsidRPr="00A66843">
        <w:rPr>
          <w:sz w:val="20"/>
          <w:szCs w:val="20"/>
          <w:lang w:val="en-US"/>
        </w:rPr>
        <w:t xml:space="preserve">. </w:t>
      </w:r>
      <w:r w:rsidRPr="00A66843">
        <w:rPr>
          <w:i/>
          <w:sz w:val="20"/>
          <w:szCs w:val="20"/>
          <w:lang w:val="en-US"/>
        </w:rPr>
        <w:t>Journal of Urban Economics</w:t>
      </w:r>
      <w:r w:rsidR="00775C70" w:rsidRPr="0037644C">
        <w:rPr>
          <w:sz w:val="20"/>
          <w:szCs w:val="20"/>
          <w:lang w:val="en-US"/>
        </w:rPr>
        <w:t xml:space="preserve">, Vol. </w:t>
      </w:r>
      <w:r w:rsidRPr="00A66843">
        <w:rPr>
          <w:sz w:val="20"/>
          <w:szCs w:val="20"/>
          <w:lang w:val="en-US"/>
        </w:rPr>
        <w:t>65</w:t>
      </w:r>
      <w:r w:rsidR="00775C70" w:rsidRPr="0037644C">
        <w:rPr>
          <w:sz w:val="20"/>
          <w:szCs w:val="20"/>
          <w:lang w:val="en-US"/>
        </w:rPr>
        <w:t>, pp.</w:t>
      </w:r>
      <w:r w:rsidRPr="00A66843">
        <w:rPr>
          <w:sz w:val="20"/>
          <w:szCs w:val="20"/>
          <w:lang w:val="en-US"/>
        </w:rPr>
        <w:t xml:space="preserve"> 237–251.</w:t>
      </w:r>
    </w:p>
    <w:p w14:paraId="20644BF7" w14:textId="0E6D5CBF" w:rsidR="00B14BBF" w:rsidRPr="00A66843" w:rsidRDefault="00B14BBF" w:rsidP="001302AB">
      <w:pPr>
        <w:tabs>
          <w:tab w:val="left" w:pos="0"/>
          <w:tab w:val="left" w:pos="709"/>
          <w:tab w:val="left" w:pos="1701"/>
        </w:tabs>
        <w:jc w:val="both"/>
        <w:rPr>
          <w:sz w:val="20"/>
          <w:szCs w:val="20"/>
          <w:lang w:val="en-US"/>
        </w:rPr>
      </w:pPr>
      <w:r w:rsidRPr="00A66843">
        <w:rPr>
          <w:sz w:val="20"/>
          <w:szCs w:val="20"/>
          <w:lang w:val="en-US"/>
        </w:rPr>
        <w:t xml:space="preserve">Clapp, J. 1993. </w:t>
      </w:r>
      <w:r w:rsidRPr="00A66843">
        <w:rPr>
          <w:i/>
          <w:sz w:val="20"/>
          <w:szCs w:val="20"/>
          <w:lang w:val="en-US"/>
        </w:rPr>
        <w:t>The Dynamics of Office Markets</w:t>
      </w:r>
      <w:r w:rsidR="00775C70" w:rsidRPr="0037644C">
        <w:rPr>
          <w:sz w:val="20"/>
          <w:szCs w:val="20"/>
          <w:lang w:val="en-US"/>
        </w:rPr>
        <w:t xml:space="preserve">, </w:t>
      </w:r>
      <w:r w:rsidR="00775C70" w:rsidRPr="00A66843">
        <w:rPr>
          <w:sz w:val="20"/>
          <w:szCs w:val="20"/>
          <w:lang w:val="en-US"/>
        </w:rPr>
        <w:t>Urban Institute Press</w:t>
      </w:r>
      <w:r w:rsidR="00775C70" w:rsidRPr="0037644C">
        <w:rPr>
          <w:sz w:val="20"/>
          <w:szCs w:val="20"/>
          <w:lang w:val="en-US"/>
        </w:rPr>
        <w:t xml:space="preserve">, </w:t>
      </w:r>
      <w:r w:rsidRPr="00A66843">
        <w:rPr>
          <w:sz w:val="20"/>
          <w:szCs w:val="20"/>
          <w:lang w:val="en-US"/>
        </w:rPr>
        <w:t>Washington</w:t>
      </w:r>
      <w:r w:rsidR="00775C70" w:rsidRPr="0037644C">
        <w:rPr>
          <w:sz w:val="20"/>
          <w:szCs w:val="20"/>
          <w:lang w:val="en-US"/>
        </w:rPr>
        <w:t xml:space="preserve"> –</w:t>
      </w:r>
      <w:r w:rsidRPr="00A66843">
        <w:rPr>
          <w:sz w:val="20"/>
          <w:szCs w:val="20"/>
          <w:lang w:val="en-US"/>
        </w:rPr>
        <w:t xml:space="preserve"> DC</w:t>
      </w:r>
      <w:r w:rsidR="00775C70" w:rsidRPr="0037644C">
        <w:rPr>
          <w:sz w:val="20"/>
          <w:szCs w:val="20"/>
          <w:lang w:val="en-US"/>
        </w:rPr>
        <w:t>.</w:t>
      </w:r>
      <w:r w:rsidRPr="00A66843">
        <w:rPr>
          <w:sz w:val="20"/>
          <w:szCs w:val="20"/>
          <w:lang w:val="en-US"/>
        </w:rPr>
        <w:t xml:space="preserve"> </w:t>
      </w:r>
    </w:p>
    <w:p w14:paraId="42C30471" w14:textId="1AD1649B" w:rsidR="00B14BBF" w:rsidRPr="00A66843" w:rsidRDefault="00B14BBF" w:rsidP="001302AB">
      <w:pPr>
        <w:tabs>
          <w:tab w:val="left" w:pos="0"/>
          <w:tab w:val="left" w:pos="709"/>
          <w:tab w:val="left" w:pos="1701"/>
        </w:tabs>
        <w:jc w:val="both"/>
        <w:rPr>
          <w:sz w:val="20"/>
          <w:szCs w:val="20"/>
          <w:shd w:val="clear" w:color="auto" w:fill="FFFFFF"/>
          <w:lang w:val="en-US"/>
        </w:rPr>
      </w:pPr>
      <w:r w:rsidRPr="00A66843">
        <w:rPr>
          <w:sz w:val="20"/>
          <w:szCs w:val="20"/>
          <w:shd w:val="clear" w:color="auto" w:fill="FFFFFF"/>
          <w:lang w:val="en-US"/>
        </w:rPr>
        <w:t>Clapp, J., Pollakowski</w:t>
      </w:r>
      <w:r w:rsidR="00775C70" w:rsidRPr="0037644C">
        <w:rPr>
          <w:sz w:val="20"/>
          <w:szCs w:val="20"/>
          <w:shd w:val="clear" w:color="auto" w:fill="FFFFFF"/>
          <w:lang w:val="en-US"/>
        </w:rPr>
        <w:t xml:space="preserve">, </w:t>
      </w:r>
      <w:r w:rsidR="00775C70" w:rsidRPr="00A66843">
        <w:rPr>
          <w:sz w:val="20"/>
          <w:szCs w:val="20"/>
          <w:shd w:val="clear" w:color="auto" w:fill="FFFFFF"/>
          <w:lang w:val="en-US"/>
        </w:rPr>
        <w:t>H.</w:t>
      </w:r>
      <w:r w:rsidR="00775C70" w:rsidRPr="0037644C">
        <w:rPr>
          <w:sz w:val="20"/>
          <w:szCs w:val="20"/>
          <w:shd w:val="clear" w:color="auto" w:fill="FFFFFF"/>
          <w:lang w:val="en-US"/>
        </w:rPr>
        <w:t xml:space="preserve"> </w:t>
      </w:r>
      <w:r w:rsidRPr="00A66843">
        <w:rPr>
          <w:sz w:val="20"/>
          <w:szCs w:val="20"/>
          <w:shd w:val="clear" w:color="auto" w:fill="FFFFFF"/>
          <w:lang w:val="en-US"/>
        </w:rPr>
        <w:t>and Lynford</w:t>
      </w:r>
      <w:r w:rsidR="00775C70" w:rsidRPr="0037644C">
        <w:rPr>
          <w:sz w:val="20"/>
          <w:szCs w:val="20"/>
          <w:shd w:val="clear" w:color="auto" w:fill="FFFFFF"/>
          <w:lang w:val="en-US"/>
        </w:rPr>
        <w:t xml:space="preserve">, </w:t>
      </w:r>
      <w:r w:rsidR="00775C70" w:rsidRPr="00A66843">
        <w:rPr>
          <w:sz w:val="20"/>
          <w:szCs w:val="20"/>
          <w:shd w:val="clear" w:color="auto" w:fill="FFFFFF"/>
          <w:lang w:val="en-US"/>
        </w:rPr>
        <w:t>L.</w:t>
      </w:r>
      <w:r w:rsidRPr="00A66843">
        <w:rPr>
          <w:sz w:val="20"/>
          <w:szCs w:val="20"/>
          <w:shd w:val="clear" w:color="auto" w:fill="FFFFFF"/>
          <w:lang w:val="en-US"/>
        </w:rPr>
        <w:t xml:space="preserve"> </w:t>
      </w:r>
      <w:r w:rsidR="00775C70" w:rsidRPr="0037644C">
        <w:rPr>
          <w:sz w:val="20"/>
          <w:szCs w:val="20"/>
          <w:shd w:val="clear" w:color="auto" w:fill="FFFFFF"/>
          <w:lang w:val="en-US"/>
        </w:rPr>
        <w:t>(</w:t>
      </w:r>
      <w:r w:rsidRPr="00A66843">
        <w:rPr>
          <w:sz w:val="20"/>
          <w:szCs w:val="20"/>
          <w:shd w:val="clear" w:color="auto" w:fill="FFFFFF"/>
          <w:lang w:val="en-US"/>
        </w:rPr>
        <w:t>1992</w:t>
      </w:r>
      <w:r w:rsidR="00775C70" w:rsidRPr="0037644C">
        <w:rPr>
          <w:sz w:val="20"/>
          <w:szCs w:val="20"/>
          <w:shd w:val="clear" w:color="auto" w:fill="FFFFFF"/>
          <w:lang w:val="en-US"/>
        </w:rPr>
        <w:t>)</w:t>
      </w:r>
      <w:r w:rsidRPr="00A66843">
        <w:rPr>
          <w:sz w:val="20"/>
          <w:szCs w:val="20"/>
          <w:shd w:val="clear" w:color="auto" w:fill="FFFFFF"/>
          <w:lang w:val="en-US"/>
        </w:rPr>
        <w:t xml:space="preserve">. </w:t>
      </w:r>
      <w:r w:rsidR="00775C70" w:rsidRPr="0037644C">
        <w:rPr>
          <w:sz w:val="20"/>
          <w:szCs w:val="20"/>
          <w:shd w:val="clear" w:color="auto" w:fill="FFFFFF"/>
          <w:lang w:val="en-US"/>
        </w:rPr>
        <w:t>“</w:t>
      </w:r>
      <w:r w:rsidRPr="00A66843">
        <w:rPr>
          <w:sz w:val="20"/>
          <w:szCs w:val="20"/>
          <w:shd w:val="clear" w:color="auto" w:fill="FFFFFF"/>
          <w:lang w:val="en-US"/>
        </w:rPr>
        <w:t>Intra-Metropolitan Location and Office Market Dynamics</w:t>
      </w:r>
      <w:r w:rsidR="00775C70" w:rsidRPr="0037644C">
        <w:rPr>
          <w:sz w:val="20"/>
          <w:szCs w:val="20"/>
          <w:shd w:val="clear" w:color="auto" w:fill="FFFFFF"/>
          <w:lang w:val="en-US"/>
        </w:rPr>
        <w:t>”</w:t>
      </w:r>
      <w:r w:rsidRPr="00A66843">
        <w:rPr>
          <w:sz w:val="20"/>
          <w:szCs w:val="20"/>
          <w:shd w:val="clear" w:color="auto" w:fill="FFFFFF"/>
          <w:lang w:val="en-US"/>
        </w:rPr>
        <w:t>.</w:t>
      </w:r>
      <w:r w:rsidRPr="00A66843">
        <w:rPr>
          <w:rStyle w:val="apple-converted-space"/>
          <w:sz w:val="20"/>
          <w:szCs w:val="20"/>
          <w:shd w:val="clear" w:color="auto" w:fill="FFFFFF"/>
          <w:lang w:val="en-US"/>
        </w:rPr>
        <w:t> </w:t>
      </w:r>
      <w:r w:rsidRPr="00A66843">
        <w:rPr>
          <w:i/>
          <w:iCs/>
          <w:sz w:val="20"/>
          <w:szCs w:val="20"/>
          <w:shd w:val="clear" w:color="auto" w:fill="FFFFFF"/>
          <w:lang w:val="en-US"/>
        </w:rPr>
        <w:t>Real Estate Economics</w:t>
      </w:r>
      <w:r w:rsidR="00775C70" w:rsidRPr="0037644C">
        <w:rPr>
          <w:rStyle w:val="apple-converted-space"/>
          <w:sz w:val="20"/>
          <w:szCs w:val="20"/>
          <w:shd w:val="clear" w:color="auto" w:fill="FFFFFF"/>
          <w:lang w:val="en-US"/>
        </w:rPr>
        <w:t xml:space="preserve">, Vol. </w:t>
      </w:r>
      <w:r w:rsidRPr="00A66843">
        <w:rPr>
          <w:iCs/>
          <w:sz w:val="20"/>
          <w:szCs w:val="20"/>
          <w:shd w:val="clear" w:color="auto" w:fill="FFFFFF"/>
          <w:lang w:val="en-US"/>
        </w:rPr>
        <w:t>20</w:t>
      </w:r>
      <w:r w:rsidR="00775C70" w:rsidRPr="0037644C">
        <w:rPr>
          <w:iCs/>
          <w:sz w:val="20"/>
          <w:szCs w:val="20"/>
          <w:shd w:val="clear" w:color="auto" w:fill="FFFFFF"/>
          <w:lang w:val="en-US"/>
        </w:rPr>
        <w:t>, pp.</w:t>
      </w:r>
      <w:r w:rsidRPr="00A66843">
        <w:rPr>
          <w:sz w:val="20"/>
          <w:szCs w:val="20"/>
          <w:shd w:val="clear" w:color="auto" w:fill="FFFFFF"/>
          <w:lang w:val="en-US"/>
        </w:rPr>
        <w:t xml:space="preserve"> 229</w:t>
      </w:r>
      <w:r w:rsidRPr="00A66843">
        <w:rPr>
          <w:sz w:val="20"/>
          <w:szCs w:val="20"/>
          <w:lang w:val="en-US"/>
        </w:rPr>
        <w:t>–</w:t>
      </w:r>
      <w:r w:rsidRPr="00A66843">
        <w:rPr>
          <w:sz w:val="20"/>
          <w:szCs w:val="20"/>
          <w:shd w:val="clear" w:color="auto" w:fill="FFFFFF"/>
          <w:lang w:val="en-US"/>
        </w:rPr>
        <w:t>258.</w:t>
      </w:r>
    </w:p>
    <w:p w14:paraId="437A94B7" w14:textId="1BA5D21D" w:rsidR="00B14BBF" w:rsidRPr="007F4AC7" w:rsidRDefault="00B14BBF" w:rsidP="001302AB">
      <w:pPr>
        <w:tabs>
          <w:tab w:val="left" w:pos="0"/>
        </w:tabs>
        <w:jc w:val="both"/>
        <w:rPr>
          <w:sz w:val="20"/>
          <w:szCs w:val="20"/>
          <w:shd w:val="clear" w:color="auto" w:fill="FFFFFF"/>
          <w:lang w:val="en-US"/>
        </w:rPr>
      </w:pPr>
      <w:r w:rsidRPr="00A66843">
        <w:rPr>
          <w:sz w:val="20"/>
          <w:szCs w:val="20"/>
          <w:shd w:val="clear" w:color="auto" w:fill="FFFFFF"/>
          <w:lang w:val="en-US"/>
        </w:rPr>
        <w:t>Chegut, A.</w:t>
      </w:r>
      <w:r w:rsidR="00775C70" w:rsidRPr="0037644C">
        <w:rPr>
          <w:sz w:val="20"/>
          <w:szCs w:val="20"/>
          <w:shd w:val="clear" w:color="auto" w:fill="FFFFFF"/>
          <w:lang w:val="en-US"/>
        </w:rPr>
        <w:t xml:space="preserve">, </w:t>
      </w:r>
      <w:r w:rsidRPr="00A66843">
        <w:rPr>
          <w:sz w:val="20"/>
          <w:szCs w:val="20"/>
          <w:shd w:val="clear" w:color="auto" w:fill="FFFFFF"/>
          <w:lang w:val="en-US"/>
        </w:rPr>
        <w:t>Eichholtz</w:t>
      </w:r>
      <w:r w:rsidR="00775C70" w:rsidRPr="0037644C">
        <w:rPr>
          <w:sz w:val="20"/>
          <w:szCs w:val="20"/>
          <w:shd w:val="clear" w:color="auto" w:fill="FFFFFF"/>
          <w:lang w:val="en-US"/>
        </w:rPr>
        <w:t xml:space="preserve">, </w:t>
      </w:r>
      <w:r w:rsidR="00775C70" w:rsidRPr="00A66843">
        <w:rPr>
          <w:sz w:val="20"/>
          <w:szCs w:val="20"/>
          <w:shd w:val="clear" w:color="auto" w:fill="FFFFFF"/>
          <w:lang w:val="en-US"/>
        </w:rPr>
        <w:t>P.</w:t>
      </w:r>
      <w:r w:rsidRPr="00A66843">
        <w:rPr>
          <w:sz w:val="20"/>
          <w:szCs w:val="20"/>
          <w:shd w:val="clear" w:color="auto" w:fill="FFFFFF"/>
          <w:lang w:val="en-US"/>
        </w:rPr>
        <w:t xml:space="preserve"> and Rodrigues</w:t>
      </w:r>
      <w:r w:rsidR="00775C70" w:rsidRPr="0037644C">
        <w:rPr>
          <w:sz w:val="20"/>
          <w:szCs w:val="20"/>
          <w:shd w:val="clear" w:color="auto" w:fill="FFFFFF"/>
          <w:lang w:val="en-US"/>
        </w:rPr>
        <w:t xml:space="preserve">, </w:t>
      </w:r>
      <w:r w:rsidR="00775C70" w:rsidRPr="00A66843">
        <w:rPr>
          <w:sz w:val="20"/>
          <w:szCs w:val="20"/>
          <w:shd w:val="clear" w:color="auto" w:fill="FFFFFF"/>
          <w:lang w:val="en-US"/>
        </w:rPr>
        <w:t>P.</w:t>
      </w:r>
      <w:r w:rsidRPr="00A66843">
        <w:rPr>
          <w:sz w:val="20"/>
          <w:szCs w:val="20"/>
          <w:shd w:val="clear" w:color="auto" w:fill="FFFFFF"/>
          <w:lang w:val="en-US"/>
        </w:rPr>
        <w:t xml:space="preserve"> </w:t>
      </w:r>
      <w:r w:rsidR="00775C70" w:rsidRPr="0037644C">
        <w:rPr>
          <w:sz w:val="20"/>
          <w:szCs w:val="20"/>
          <w:shd w:val="clear" w:color="auto" w:fill="FFFFFF"/>
          <w:lang w:val="en-US"/>
        </w:rPr>
        <w:t>(</w:t>
      </w:r>
      <w:r w:rsidRPr="00A66843">
        <w:rPr>
          <w:sz w:val="20"/>
          <w:szCs w:val="20"/>
          <w:shd w:val="clear" w:color="auto" w:fill="FFFFFF"/>
          <w:lang w:val="en-US"/>
        </w:rPr>
        <w:t>2013</w:t>
      </w:r>
      <w:r w:rsidR="00775C70" w:rsidRPr="0037644C">
        <w:rPr>
          <w:sz w:val="20"/>
          <w:szCs w:val="20"/>
          <w:shd w:val="clear" w:color="auto" w:fill="FFFFFF"/>
          <w:lang w:val="en-US"/>
        </w:rPr>
        <w:t>)</w:t>
      </w:r>
      <w:r w:rsidRPr="00A66843">
        <w:rPr>
          <w:sz w:val="20"/>
          <w:szCs w:val="20"/>
          <w:shd w:val="clear" w:color="auto" w:fill="FFFFFF"/>
          <w:lang w:val="en-US"/>
        </w:rPr>
        <w:t xml:space="preserve">. </w:t>
      </w:r>
      <w:r w:rsidR="00775C70" w:rsidRPr="0037644C">
        <w:rPr>
          <w:sz w:val="20"/>
          <w:szCs w:val="20"/>
          <w:shd w:val="clear" w:color="auto" w:fill="FFFFFF"/>
          <w:lang w:val="en-US"/>
        </w:rPr>
        <w:t>“</w:t>
      </w:r>
      <w:r w:rsidRPr="00A66843">
        <w:rPr>
          <w:sz w:val="20"/>
          <w:szCs w:val="20"/>
          <w:shd w:val="clear" w:color="auto" w:fill="FFFFFF"/>
          <w:lang w:val="en-US"/>
        </w:rPr>
        <w:t>The London Commercial Property Price Index</w:t>
      </w:r>
      <w:r w:rsidR="00775C70" w:rsidRPr="0037644C">
        <w:rPr>
          <w:sz w:val="20"/>
          <w:szCs w:val="20"/>
          <w:shd w:val="clear" w:color="auto" w:fill="FFFFFF"/>
          <w:lang w:val="en-US"/>
        </w:rPr>
        <w:t>”</w:t>
      </w:r>
      <w:r w:rsidRPr="00A66843">
        <w:rPr>
          <w:sz w:val="20"/>
          <w:szCs w:val="20"/>
          <w:shd w:val="clear" w:color="auto" w:fill="FFFFFF"/>
          <w:lang w:val="en-US"/>
        </w:rPr>
        <w:t>.</w:t>
      </w:r>
      <w:r w:rsidRPr="00A66843">
        <w:rPr>
          <w:rStyle w:val="apple-converted-space"/>
          <w:sz w:val="20"/>
          <w:szCs w:val="20"/>
          <w:shd w:val="clear" w:color="auto" w:fill="FFFFFF"/>
          <w:lang w:val="en-US"/>
        </w:rPr>
        <w:t> </w:t>
      </w:r>
      <w:r w:rsidRPr="007F4AC7">
        <w:rPr>
          <w:i/>
          <w:iCs/>
          <w:sz w:val="20"/>
          <w:szCs w:val="20"/>
          <w:shd w:val="clear" w:color="auto" w:fill="FFFFFF"/>
          <w:lang w:val="en-US"/>
        </w:rPr>
        <w:t>Journal of Real Estate Finance and Economics</w:t>
      </w:r>
      <w:r w:rsidR="00775C70" w:rsidRPr="0037644C">
        <w:rPr>
          <w:rStyle w:val="apple-converted-space"/>
          <w:sz w:val="20"/>
          <w:szCs w:val="20"/>
          <w:shd w:val="clear" w:color="auto" w:fill="FFFFFF"/>
          <w:lang w:val="en-US"/>
        </w:rPr>
        <w:t xml:space="preserve">, Vol. </w:t>
      </w:r>
      <w:r w:rsidRPr="007F4AC7">
        <w:rPr>
          <w:iCs/>
          <w:sz w:val="20"/>
          <w:szCs w:val="20"/>
          <w:shd w:val="clear" w:color="auto" w:fill="FFFFFF"/>
          <w:lang w:val="en-US"/>
        </w:rPr>
        <w:t>47</w:t>
      </w:r>
      <w:r w:rsidR="00775C70" w:rsidRPr="007F4AC7">
        <w:rPr>
          <w:iCs/>
          <w:sz w:val="20"/>
          <w:szCs w:val="20"/>
          <w:shd w:val="clear" w:color="auto" w:fill="FFFFFF"/>
          <w:lang w:val="en-US"/>
        </w:rPr>
        <w:t>, pp.</w:t>
      </w:r>
      <w:r w:rsidRPr="007F4AC7">
        <w:rPr>
          <w:sz w:val="20"/>
          <w:szCs w:val="20"/>
          <w:shd w:val="clear" w:color="auto" w:fill="FFFFFF"/>
          <w:lang w:val="en-US"/>
        </w:rPr>
        <w:t xml:space="preserve"> 588</w:t>
      </w:r>
      <w:r w:rsidRPr="007F4AC7">
        <w:rPr>
          <w:sz w:val="20"/>
          <w:szCs w:val="20"/>
          <w:lang w:val="en-US"/>
        </w:rPr>
        <w:t>–</w:t>
      </w:r>
      <w:r w:rsidRPr="007F4AC7">
        <w:rPr>
          <w:sz w:val="20"/>
          <w:szCs w:val="20"/>
          <w:shd w:val="clear" w:color="auto" w:fill="FFFFFF"/>
          <w:lang w:val="en-US"/>
        </w:rPr>
        <w:t>616.</w:t>
      </w:r>
    </w:p>
    <w:p w14:paraId="68B62774" w14:textId="5AEB656C" w:rsidR="00517898" w:rsidRPr="0037644C" w:rsidRDefault="00517898" w:rsidP="001302AB">
      <w:pPr>
        <w:tabs>
          <w:tab w:val="left" w:pos="709"/>
        </w:tabs>
        <w:jc w:val="both"/>
        <w:rPr>
          <w:rStyle w:val="apple-converted-space"/>
          <w:sz w:val="20"/>
          <w:szCs w:val="20"/>
          <w:shd w:val="clear" w:color="auto" w:fill="FFFFFF"/>
          <w:lang w:val="en-US"/>
        </w:rPr>
      </w:pPr>
      <w:r w:rsidRPr="007F4AC7">
        <w:rPr>
          <w:sz w:val="20"/>
          <w:szCs w:val="20"/>
          <w:shd w:val="clear" w:color="auto" w:fill="FFFFFF"/>
          <w:lang w:val="en-US"/>
        </w:rPr>
        <w:t xml:space="preserve">Colliers International, 2014. </w:t>
      </w:r>
      <w:r w:rsidR="00775C70" w:rsidRPr="0037644C">
        <w:rPr>
          <w:sz w:val="20"/>
          <w:szCs w:val="20"/>
          <w:shd w:val="clear" w:color="auto" w:fill="FFFFFF"/>
          <w:lang w:val="en-US"/>
        </w:rPr>
        <w:t>“</w:t>
      </w:r>
      <w:r w:rsidRPr="0037644C">
        <w:rPr>
          <w:sz w:val="20"/>
          <w:szCs w:val="20"/>
          <w:shd w:val="clear" w:color="auto" w:fill="FFFFFF"/>
          <w:lang w:val="en-US"/>
        </w:rPr>
        <w:t>How to Understand the Brazilian Real Estate Marke</w:t>
      </w:r>
      <w:r w:rsidR="00172DD7" w:rsidRPr="0037644C">
        <w:rPr>
          <w:sz w:val="20"/>
          <w:szCs w:val="20"/>
          <w:shd w:val="clear" w:color="auto" w:fill="FFFFFF"/>
          <w:lang w:val="en-US"/>
        </w:rPr>
        <w:t>t”</w:t>
      </w:r>
      <w:r w:rsidRPr="0037644C">
        <w:rPr>
          <w:sz w:val="20"/>
          <w:szCs w:val="20"/>
          <w:shd w:val="clear" w:color="auto" w:fill="FFFFFF"/>
          <w:lang w:val="en-US"/>
        </w:rPr>
        <w:t xml:space="preserve">, available at http://brazcanchamber.org/wp-content/uploads/2014/01/How-to-Understand-Real-State-market-in-Brazil.pdf [Assessed on 28 </w:t>
      </w:r>
      <w:r w:rsidR="00172DD7" w:rsidRPr="0037644C">
        <w:rPr>
          <w:sz w:val="20"/>
          <w:szCs w:val="20"/>
          <w:shd w:val="clear" w:color="auto" w:fill="FFFFFF"/>
          <w:lang w:val="en-US"/>
        </w:rPr>
        <w:t>August</w:t>
      </w:r>
      <w:r w:rsidRPr="0037644C">
        <w:rPr>
          <w:sz w:val="20"/>
          <w:szCs w:val="20"/>
          <w:shd w:val="clear" w:color="auto" w:fill="FFFFFF"/>
          <w:lang w:val="en-US"/>
        </w:rPr>
        <w:t xml:space="preserve"> 2017]</w:t>
      </w:r>
      <w:r w:rsidR="00172DD7" w:rsidRPr="0037644C">
        <w:rPr>
          <w:sz w:val="20"/>
          <w:szCs w:val="20"/>
          <w:shd w:val="clear" w:color="auto" w:fill="FFFFFF"/>
          <w:lang w:val="en-US"/>
        </w:rPr>
        <w:t>.</w:t>
      </w:r>
    </w:p>
    <w:p w14:paraId="570E7B13" w14:textId="42928D78" w:rsidR="00B14BBF" w:rsidRPr="00A66843" w:rsidRDefault="00B14BBF" w:rsidP="001302AB">
      <w:pPr>
        <w:tabs>
          <w:tab w:val="left" w:pos="0"/>
        </w:tabs>
        <w:jc w:val="both"/>
        <w:rPr>
          <w:sz w:val="20"/>
          <w:szCs w:val="20"/>
          <w:shd w:val="clear" w:color="auto" w:fill="FFFFFF"/>
          <w:lang w:val="en-US"/>
        </w:rPr>
      </w:pPr>
      <w:r w:rsidRPr="00A66843">
        <w:rPr>
          <w:sz w:val="20"/>
          <w:szCs w:val="20"/>
          <w:shd w:val="clear" w:color="auto" w:fill="FFFFFF"/>
          <w:lang w:val="en-US"/>
        </w:rPr>
        <w:t>Cho, Y., Hwang</w:t>
      </w:r>
      <w:r w:rsidR="00172DD7" w:rsidRPr="0037644C">
        <w:rPr>
          <w:sz w:val="20"/>
          <w:szCs w:val="20"/>
          <w:shd w:val="clear" w:color="auto" w:fill="FFFFFF"/>
          <w:lang w:val="en-US"/>
        </w:rPr>
        <w:t xml:space="preserve">, </w:t>
      </w:r>
      <w:r w:rsidR="00172DD7" w:rsidRPr="00A66843">
        <w:rPr>
          <w:sz w:val="20"/>
          <w:szCs w:val="20"/>
          <w:shd w:val="clear" w:color="auto" w:fill="FFFFFF"/>
          <w:lang w:val="en-US"/>
        </w:rPr>
        <w:t>S.</w:t>
      </w:r>
      <w:r w:rsidRPr="00A66843">
        <w:rPr>
          <w:sz w:val="20"/>
          <w:szCs w:val="20"/>
          <w:shd w:val="clear" w:color="auto" w:fill="FFFFFF"/>
          <w:lang w:val="en-US"/>
        </w:rPr>
        <w:t xml:space="preserve"> and Lee</w:t>
      </w:r>
      <w:r w:rsidR="00172DD7" w:rsidRPr="0037644C">
        <w:rPr>
          <w:sz w:val="20"/>
          <w:szCs w:val="20"/>
          <w:shd w:val="clear" w:color="auto" w:fill="FFFFFF"/>
          <w:lang w:val="en-US"/>
        </w:rPr>
        <w:t xml:space="preserve">, </w:t>
      </w:r>
      <w:r w:rsidR="00172DD7" w:rsidRPr="00A66843">
        <w:rPr>
          <w:sz w:val="20"/>
          <w:szCs w:val="20"/>
          <w:shd w:val="clear" w:color="auto" w:fill="FFFFFF"/>
          <w:lang w:val="en-US"/>
        </w:rPr>
        <w:t>Y.</w:t>
      </w:r>
      <w:r w:rsidRPr="00A66843">
        <w:rPr>
          <w:sz w:val="20"/>
          <w:szCs w:val="20"/>
          <w:shd w:val="clear" w:color="auto" w:fill="FFFFFF"/>
          <w:lang w:val="en-US"/>
        </w:rPr>
        <w:t xml:space="preserve"> </w:t>
      </w:r>
      <w:r w:rsidR="00172DD7" w:rsidRPr="0037644C">
        <w:rPr>
          <w:sz w:val="20"/>
          <w:szCs w:val="20"/>
          <w:shd w:val="clear" w:color="auto" w:fill="FFFFFF"/>
          <w:lang w:val="en-US"/>
        </w:rPr>
        <w:t>(</w:t>
      </w:r>
      <w:r w:rsidRPr="00A66843">
        <w:rPr>
          <w:sz w:val="20"/>
          <w:szCs w:val="20"/>
          <w:shd w:val="clear" w:color="auto" w:fill="FFFFFF"/>
          <w:lang w:val="en-US"/>
        </w:rPr>
        <w:t>2014</w:t>
      </w:r>
      <w:r w:rsidR="00172DD7" w:rsidRPr="0037644C">
        <w:rPr>
          <w:sz w:val="20"/>
          <w:szCs w:val="20"/>
          <w:shd w:val="clear" w:color="auto" w:fill="FFFFFF"/>
          <w:lang w:val="en-US"/>
        </w:rPr>
        <w:t>)</w:t>
      </w:r>
      <w:r w:rsidRPr="00A66843">
        <w:rPr>
          <w:sz w:val="20"/>
          <w:szCs w:val="20"/>
          <w:shd w:val="clear" w:color="auto" w:fill="FFFFFF"/>
          <w:lang w:val="en-US"/>
        </w:rPr>
        <w:t xml:space="preserve">. </w:t>
      </w:r>
      <w:r w:rsidR="00172DD7" w:rsidRPr="0037644C">
        <w:rPr>
          <w:sz w:val="20"/>
          <w:szCs w:val="20"/>
          <w:shd w:val="clear" w:color="auto" w:fill="FFFFFF"/>
          <w:lang w:val="en-US"/>
        </w:rPr>
        <w:t>“</w:t>
      </w:r>
      <w:r w:rsidRPr="00A66843">
        <w:rPr>
          <w:sz w:val="20"/>
          <w:szCs w:val="20"/>
          <w:shd w:val="clear" w:color="auto" w:fill="FFFFFF"/>
          <w:lang w:val="en-US"/>
        </w:rPr>
        <w:t>The Dynamics of Appraisal Smoothing</w:t>
      </w:r>
      <w:r w:rsidR="00172DD7" w:rsidRPr="0037644C">
        <w:rPr>
          <w:sz w:val="20"/>
          <w:szCs w:val="20"/>
          <w:shd w:val="clear" w:color="auto" w:fill="FFFFFF"/>
          <w:lang w:val="en-US"/>
        </w:rPr>
        <w:t>”</w:t>
      </w:r>
      <w:r w:rsidRPr="00A66843">
        <w:rPr>
          <w:sz w:val="20"/>
          <w:szCs w:val="20"/>
          <w:shd w:val="clear" w:color="auto" w:fill="FFFFFF"/>
          <w:lang w:val="en-US"/>
        </w:rPr>
        <w:t>.</w:t>
      </w:r>
      <w:r w:rsidRPr="00A66843">
        <w:rPr>
          <w:rStyle w:val="apple-converted-space"/>
          <w:sz w:val="20"/>
          <w:szCs w:val="20"/>
          <w:shd w:val="clear" w:color="auto" w:fill="FFFFFF"/>
          <w:lang w:val="en-US"/>
        </w:rPr>
        <w:t> </w:t>
      </w:r>
      <w:r w:rsidRPr="00A66843">
        <w:rPr>
          <w:i/>
          <w:iCs/>
          <w:sz w:val="20"/>
          <w:szCs w:val="20"/>
          <w:shd w:val="clear" w:color="auto" w:fill="FFFFFF"/>
          <w:lang w:val="en-US"/>
        </w:rPr>
        <w:t>Real Estate Economics</w:t>
      </w:r>
      <w:r w:rsidR="00172DD7" w:rsidRPr="0037644C">
        <w:rPr>
          <w:rStyle w:val="apple-converted-space"/>
          <w:sz w:val="20"/>
          <w:szCs w:val="20"/>
          <w:shd w:val="clear" w:color="auto" w:fill="FFFFFF"/>
          <w:lang w:val="en-US"/>
        </w:rPr>
        <w:t xml:space="preserve">, Vol. </w:t>
      </w:r>
      <w:r w:rsidRPr="00A66843">
        <w:rPr>
          <w:iCs/>
          <w:sz w:val="20"/>
          <w:szCs w:val="20"/>
          <w:shd w:val="clear" w:color="auto" w:fill="FFFFFF"/>
          <w:lang w:val="en-US"/>
        </w:rPr>
        <w:t>42</w:t>
      </w:r>
      <w:r w:rsidR="00172DD7" w:rsidRPr="0037644C">
        <w:rPr>
          <w:iCs/>
          <w:sz w:val="20"/>
          <w:szCs w:val="20"/>
          <w:shd w:val="clear" w:color="auto" w:fill="FFFFFF"/>
          <w:lang w:val="en-US"/>
        </w:rPr>
        <w:t>, pp.</w:t>
      </w:r>
      <w:r w:rsidRPr="00A66843">
        <w:rPr>
          <w:sz w:val="20"/>
          <w:szCs w:val="20"/>
          <w:shd w:val="clear" w:color="auto" w:fill="FFFFFF"/>
          <w:lang w:val="en-US"/>
        </w:rPr>
        <w:t xml:space="preserve"> 497</w:t>
      </w:r>
      <w:r w:rsidRPr="00A66843">
        <w:rPr>
          <w:sz w:val="20"/>
          <w:szCs w:val="20"/>
          <w:lang w:val="en-US"/>
        </w:rPr>
        <w:t>–</w:t>
      </w:r>
      <w:r w:rsidRPr="00A66843">
        <w:rPr>
          <w:sz w:val="20"/>
          <w:szCs w:val="20"/>
          <w:shd w:val="clear" w:color="auto" w:fill="FFFFFF"/>
          <w:lang w:val="en-US"/>
        </w:rPr>
        <w:t>529.</w:t>
      </w:r>
    </w:p>
    <w:p w14:paraId="6194784B" w14:textId="78DF1CC0" w:rsidR="00B14BBF" w:rsidRPr="007F4AC7" w:rsidRDefault="00B14BBF" w:rsidP="001302AB">
      <w:pPr>
        <w:tabs>
          <w:tab w:val="left" w:pos="0"/>
        </w:tabs>
        <w:autoSpaceDE w:val="0"/>
        <w:autoSpaceDN w:val="0"/>
        <w:adjustRightInd w:val="0"/>
        <w:jc w:val="both"/>
        <w:rPr>
          <w:sz w:val="20"/>
          <w:szCs w:val="20"/>
          <w:lang w:val="en-US"/>
        </w:rPr>
      </w:pPr>
      <w:r w:rsidRPr="00A66843">
        <w:rPr>
          <w:sz w:val="20"/>
          <w:szCs w:val="20"/>
          <w:lang w:val="en-US"/>
        </w:rPr>
        <w:t xml:space="preserve">Chow, G. </w:t>
      </w:r>
      <w:r w:rsidR="00172DD7" w:rsidRPr="0037644C">
        <w:rPr>
          <w:sz w:val="20"/>
          <w:szCs w:val="20"/>
          <w:lang w:val="en-US"/>
        </w:rPr>
        <w:t>(</w:t>
      </w:r>
      <w:r w:rsidRPr="00A66843">
        <w:rPr>
          <w:sz w:val="20"/>
          <w:szCs w:val="20"/>
          <w:lang w:val="en-US"/>
        </w:rPr>
        <w:t>1960</w:t>
      </w:r>
      <w:r w:rsidR="00172DD7" w:rsidRPr="0037644C">
        <w:rPr>
          <w:sz w:val="20"/>
          <w:szCs w:val="20"/>
          <w:lang w:val="en-US"/>
        </w:rPr>
        <w:t>)</w:t>
      </w:r>
      <w:r w:rsidRPr="00A66843">
        <w:rPr>
          <w:sz w:val="20"/>
          <w:szCs w:val="20"/>
          <w:lang w:val="en-US"/>
        </w:rPr>
        <w:t xml:space="preserve">. </w:t>
      </w:r>
      <w:r w:rsidR="00172DD7" w:rsidRPr="0037644C">
        <w:rPr>
          <w:sz w:val="20"/>
          <w:szCs w:val="20"/>
          <w:lang w:val="en-US"/>
        </w:rPr>
        <w:t>“</w:t>
      </w:r>
      <w:r w:rsidRPr="00A66843">
        <w:rPr>
          <w:sz w:val="20"/>
          <w:szCs w:val="20"/>
          <w:lang w:val="en-US"/>
        </w:rPr>
        <w:t>Tests of Equality between Sets of Coefficients in Two Linear Regressions</w:t>
      </w:r>
      <w:r w:rsidR="00172DD7" w:rsidRPr="0037644C">
        <w:rPr>
          <w:sz w:val="20"/>
          <w:szCs w:val="20"/>
          <w:lang w:val="en-US"/>
        </w:rPr>
        <w:t>”</w:t>
      </w:r>
      <w:r w:rsidRPr="00A66843">
        <w:rPr>
          <w:sz w:val="20"/>
          <w:szCs w:val="20"/>
          <w:lang w:val="en-US"/>
        </w:rPr>
        <w:t xml:space="preserve">. </w:t>
      </w:r>
      <w:r w:rsidRPr="007F4AC7">
        <w:rPr>
          <w:i/>
          <w:sz w:val="20"/>
          <w:szCs w:val="20"/>
          <w:lang w:val="en-US"/>
        </w:rPr>
        <w:t>Econometrica</w:t>
      </w:r>
      <w:r w:rsidR="00172DD7" w:rsidRPr="007F4AC7">
        <w:rPr>
          <w:sz w:val="20"/>
          <w:szCs w:val="20"/>
          <w:lang w:val="en-US"/>
        </w:rPr>
        <w:t xml:space="preserve">, Vol. </w:t>
      </w:r>
      <w:r w:rsidRPr="007F4AC7">
        <w:rPr>
          <w:sz w:val="20"/>
          <w:szCs w:val="20"/>
          <w:lang w:val="en-US"/>
        </w:rPr>
        <w:t>28</w:t>
      </w:r>
      <w:r w:rsidR="00172DD7" w:rsidRPr="007F4AC7">
        <w:rPr>
          <w:sz w:val="20"/>
          <w:szCs w:val="20"/>
          <w:lang w:val="en-US"/>
        </w:rPr>
        <w:t>, pp.</w:t>
      </w:r>
      <w:r w:rsidRPr="007F4AC7">
        <w:rPr>
          <w:sz w:val="20"/>
          <w:szCs w:val="20"/>
          <w:lang w:val="en-US"/>
        </w:rPr>
        <w:t xml:space="preserve"> 591–605.</w:t>
      </w:r>
    </w:p>
    <w:p w14:paraId="6F86563D" w14:textId="6F52EA17" w:rsidR="001302AB" w:rsidRPr="007F4AC7" w:rsidRDefault="001302AB" w:rsidP="001302AB">
      <w:pPr>
        <w:tabs>
          <w:tab w:val="left" w:pos="709"/>
        </w:tabs>
        <w:jc w:val="both"/>
        <w:rPr>
          <w:sz w:val="20"/>
          <w:szCs w:val="20"/>
          <w:lang w:val="en-US"/>
        </w:rPr>
      </w:pPr>
      <w:r w:rsidRPr="007F4AC7">
        <w:rPr>
          <w:rStyle w:val="apple-converted-space"/>
          <w:sz w:val="20"/>
          <w:szCs w:val="20"/>
          <w:lang w:val="en-US"/>
        </w:rPr>
        <w:t xml:space="preserve">Credit Suisse, 2016. </w:t>
      </w:r>
      <w:r w:rsidR="00172DD7" w:rsidRPr="007F4AC7">
        <w:rPr>
          <w:rStyle w:val="apple-converted-space"/>
          <w:sz w:val="20"/>
          <w:szCs w:val="20"/>
          <w:lang w:val="en-US"/>
        </w:rPr>
        <w:t>“</w:t>
      </w:r>
      <w:r w:rsidRPr="007F4AC7">
        <w:rPr>
          <w:i/>
          <w:sz w:val="20"/>
          <w:szCs w:val="20"/>
          <w:lang w:val="en-US"/>
        </w:rPr>
        <w:t>Regulamento do CSHG Real Estate - Fundo De Investimento Imobiliario – FII</w:t>
      </w:r>
      <w:r w:rsidRPr="007F4AC7">
        <w:rPr>
          <w:sz w:val="20"/>
          <w:szCs w:val="20"/>
          <w:lang w:val="en-US"/>
        </w:rPr>
        <w:t xml:space="preserve">, available at https://www.cshg.com.br/site/publico/imob/imob1.seam# </w:t>
      </w:r>
      <w:r w:rsidRPr="007F4AC7">
        <w:rPr>
          <w:sz w:val="20"/>
          <w:szCs w:val="20"/>
          <w:shd w:val="clear" w:color="auto" w:fill="FFFFFF"/>
          <w:lang w:val="en-US"/>
        </w:rPr>
        <w:t xml:space="preserve">[Assessed on 28 </w:t>
      </w:r>
      <w:r w:rsidR="00172DD7" w:rsidRPr="007F4AC7">
        <w:rPr>
          <w:sz w:val="20"/>
          <w:szCs w:val="20"/>
          <w:shd w:val="clear" w:color="auto" w:fill="FFFFFF"/>
          <w:lang w:val="en-US"/>
        </w:rPr>
        <w:t>August</w:t>
      </w:r>
      <w:r w:rsidRPr="007F4AC7">
        <w:rPr>
          <w:sz w:val="20"/>
          <w:szCs w:val="20"/>
          <w:shd w:val="clear" w:color="auto" w:fill="FFFFFF"/>
          <w:lang w:val="en-US"/>
        </w:rPr>
        <w:t xml:space="preserve"> 2017]</w:t>
      </w:r>
      <w:r w:rsidR="00172DD7" w:rsidRPr="007F4AC7">
        <w:rPr>
          <w:sz w:val="20"/>
          <w:szCs w:val="20"/>
          <w:shd w:val="clear" w:color="auto" w:fill="FFFFFF"/>
          <w:lang w:val="en-US"/>
        </w:rPr>
        <w:t>.</w:t>
      </w:r>
    </w:p>
    <w:p w14:paraId="046777F5" w14:textId="455CBDD0" w:rsidR="001302AB" w:rsidRPr="0037644C" w:rsidRDefault="00B14BBF" w:rsidP="001302AB">
      <w:pPr>
        <w:tabs>
          <w:tab w:val="left" w:pos="0"/>
        </w:tabs>
        <w:autoSpaceDE w:val="0"/>
        <w:autoSpaceDN w:val="0"/>
        <w:adjustRightInd w:val="0"/>
        <w:jc w:val="both"/>
        <w:rPr>
          <w:sz w:val="20"/>
          <w:szCs w:val="20"/>
          <w:lang w:val="en-US"/>
        </w:rPr>
      </w:pPr>
      <w:r w:rsidRPr="00A66843">
        <w:rPr>
          <w:sz w:val="20"/>
          <w:szCs w:val="20"/>
          <w:lang w:val="en-US"/>
        </w:rPr>
        <w:t>Dipasquale, D. and Wheaton</w:t>
      </w:r>
      <w:r w:rsidR="00172DD7" w:rsidRPr="0037644C">
        <w:rPr>
          <w:sz w:val="20"/>
          <w:szCs w:val="20"/>
          <w:lang w:val="en-US"/>
        </w:rPr>
        <w:t>,</w:t>
      </w:r>
      <w:r w:rsidRPr="00A66843">
        <w:rPr>
          <w:sz w:val="20"/>
          <w:szCs w:val="20"/>
          <w:lang w:val="en-US"/>
        </w:rPr>
        <w:t xml:space="preserve"> </w:t>
      </w:r>
      <w:r w:rsidR="00172DD7" w:rsidRPr="00A66843">
        <w:rPr>
          <w:sz w:val="20"/>
          <w:szCs w:val="20"/>
          <w:lang w:val="en-US"/>
        </w:rPr>
        <w:t>W.</w:t>
      </w:r>
      <w:r w:rsidR="00172DD7" w:rsidRPr="0037644C">
        <w:rPr>
          <w:sz w:val="20"/>
          <w:szCs w:val="20"/>
          <w:lang w:val="en-US"/>
        </w:rPr>
        <w:t xml:space="preserve"> (</w:t>
      </w:r>
      <w:r w:rsidRPr="00A66843">
        <w:rPr>
          <w:sz w:val="20"/>
          <w:szCs w:val="20"/>
          <w:lang w:val="en-US"/>
        </w:rPr>
        <w:t>1996</w:t>
      </w:r>
      <w:r w:rsidR="00172DD7" w:rsidRPr="0037644C">
        <w:rPr>
          <w:sz w:val="20"/>
          <w:szCs w:val="20"/>
          <w:lang w:val="en-US"/>
        </w:rPr>
        <w:t>)</w:t>
      </w:r>
      <w:r w:rsidRPr="00A66843">
        <w:rPr>
          <w:sz w:val="20"/>
          <w:szCs w:val="20"/>
          <w:lang w:val="en-US"/>
        </w:rPr>
        <w:t xml:space="preserve">. </w:t>
      </w:r>
      <w:r w:rsidRPr="00A66843">
        <w:rPr>
          <w:i/>
          <w:sz w:val="20"/>
          <w:szCs w:val="20"/>
          <w:lang w:val="en-US"/>
        </w:rPr>
        <w:t>Urban Economics and Real Estate Markets</w:t>
      </w:r>
      <w:r w:rsidR="00172DD7" w:rsidRPr="0037644C">
        <w:rPr>
          <w:sz w:val="20"/>
          <w:szCs w:val="20"/>
          <w:lang w:val="en-US"/>
        </w:rPr>
        <w:t>,</w:t>
      </w:r>
      <w:r w:rsidRPr="00A66843">
        <w:rPr>
          <w:sz w:val="20"/>
          <w:szCs w:val="20"/>
          <w:lang w:val="en-US"/>
        </w:rPr>
        <w:t xml:space="preserve"> </w:t>
      </w:r>
      <w:r w:rsidR="00172DD7" w:rsidRPr="00A66843">
        <w:rPr>
          <w:sz w:val="20"/>
          <w:szCs w:val="20"/>
          <w:lang w:val="en-US"/>
        </w:rPr>
        <w:t>Prentice Hall</w:t>
      </w:r>
      <w:r w:rsidR="00172DD7" w:rsidRPr="0037644C">
        <w:rPr>
          <w:sz w:val="20"/>
          <w:szCs w:val="20"/>
          <w:lang w:val="en-US"/>
        </w:rPr>
        <w:t>,</w:t>
      </w:r>
      <w:r w:rsidR="00172DD7" w:rsidRPr="00A66843">
        <w:rPr>
          <w:sz w:val="20"/>
          <w:szCs w:val="20"/>
          <w:lang w:val="en-US"/>
        </w:rPr>
        <w:t xml:space="preserve"> </w:t>
      </w:r>
      <w:r w:rsidRPr="00A66843">
        <w:rPr>
          <w:sz w:val="20"/>
          <w:szCs w:val="20"/>
          <w:lang w:val="en-US"/>
        </w:rPr>
        <w:t>Englewood Cliffs</w:t>
      </w:r>
      <w:r w:rsidR="00172DD7" w:rsidRPr="0037644C">
        <w:rPr>
          <w:sz w:val="20"/>
          <w:szCs w:val="20"/>
          <w:lang w:val="en-US"/>
        </w:rPr>
        <w:t xml:space="preserve"> –</w:t>
      </w:r>
      <w:r w:rsidRPr="00A66843">
        <w:rPr>
          <w:sz w:val="20"/>
          <w:szCs w:val="20"/>
          <w:lang w:val="en-US"/>
        </w:rPr>
        <w:t xml:space="preserve"> NJ</w:t>
      </w:r>
      <w:r w:rsidR="00172DD7" w:rsidRPr="0037644C">
        <w:rPr>
          <w:sz w:val="20"/>
          <w:szCs w:val="20"/>
          <w:lang w:val="en-US"/>
        </w:rPr>
        <w:t>.</w:t>
      </w:r>
    </w:p>
    <w:p w14:paraId="1D019A8D" w14:textId="75793876" w:rsidR="0044424F" w:rsidRPr="0037644C" w:rsidRDefault="0044424F" w:rsidP="001302AB">
      <w:pPr>
        <w:tabs>
          <w:tab w:val="left" w:pos="0"/>
        </w:tabs>
        <w:autoSpaceDE w:val="0"/>
        <w:autoSpaceDN w:val="0"/>
        <w:adjustRightInd w:val="0"/>
        <w:jc w:val="both"/>
        <w:rPr>
          <w:sz w:val="20"/>
          <w:szCs w:val="20"/>
          <w:lang w:val="en-US"/>
        </w:rPr>
      </w:pPr>
      <w:r w:rsidRPr="0037644C">
        <w:rPr>
          <w:spacing w:val="5"/>
          <w:sz w:val="20"/>
          <w:szCs w:val="20"/>
          <w:shd w:val="clear" w:color="auto" w:fill="FFFFFF"/>
          <w:lang w:val="en-US"/>
        </w:rPr>
        <w:t>Dong, </w:t>
      </w:r>
      <w:r w:rsidR="00172DD7" w:rsidRPr="0037644C">
        <w:rPr>
          <w:spacing w:val="5"/>
          <w:sz w:val="20"/>
          <w:szCs w:val="20"/>
          <w:shd w:val="clear" w:color="auto" w:fill="FFFFFF"/>
          <w:lang w:val="en-US"/>
        </w:rPr>
        <w:t xml:space="preserve">Z. and </w:t>
      </w:r>
      <w:r w:rsidRPr="0037644C">
        <w:rPr>
          <w:spacing w:val="5"/>
          <w:sz w:val="20"/>
          <w:szCs w:val="20"/>
          <w:shd w:val="clear" w:color="auto" w:fill="FFFFFF"/>
          <w:lang w:val="en-US"/>
        </w:rPr>
        <w:t>Sing,</w:t>
      </w:r>
      <w:r w:rsidR="00172DD7" w:rsidRPr="0037644C">
        <w:rPr>
          <w:spacing w:val="5"/>
          <w:sz w:val="20"/>
          <w:szCs w:val="20"/>
          <w:shd w:val="clear" w:color="auto" w:fill="FFFFFF"/>
          <w:lang w:val="en-US"/>
        </w:rPr>
        <w:t xml:space="preserve"> T.</w:t>
      </w:r>
      <w:r w:rsidRPr="0037644C">
        <w:rPr>
          <w:spacing w:val="5"/>
          <w:sz w:val="20"/>
          <w:szCs w:val="20"/>
          <w:shd w:val="clear" w:color="auto" w:fill="FFFFFF"/>
          <w:lang w:val="en-US"/>
        </w:rPr>
        <w:t xml:space="preserve"> (2017) "Developers’ </w:t>
      </w:r>
      <w:r w:rsidR="00172DD7" w:rsidRPr="0037644C">
        <w:rPr>
          <w:spacing w:val="5"/>
          <w:sz w:val="20"/>
          <w:szCs w:val="20"/>
          <w:shd w:val="clear" w:color="auto" w:fill="FFFFFF"/>
          <w:lang w:val="en-US"/>
        </w:rPr>
        <w:t>H</w:t>
      </w:r>
      <w:r w:rsidRPr="0037644C">
        <w:rPr>
          <w:spacing w:val="5"/>
          <w:sz w:val="20"/>
          <w:szCs w:val="20"/>
          <w:shd w:val="clear" w:color="auto" w:fill="FFFFFF"/>
          <w:lang w:val="en-US"/>
        </w:rPr>
        <w:t xml:space="preserve">eterogeneity and </w:t>
      </w:r>
      <w:r w:rsidR="00172DD7" w:rsidRPr="0037644C">
        <w:rPr>
          <w:spacing w:val="5"/>
          <w:sz w:val="20"/>
          <w:szCs w:val="20"/>
          <w:shd w:val="clear" w:color="auto" w:fill="FFFFFF"/>
          <w:lang w:val="en-US"/>
        </w:rPr>
        <w:t>R</w:t>
      </w:r>
      <w:r w:rsidRPr="0037644C">
        <w:rPr>
          <w:spacing w:val="5"/>
          <w:sz w:val="20"/>
          <w:szCs w:val="20"/>
          <w:shd w:val="clear" w:color="auto" w:fill="FFFFFF"/>
          <w:lang w:val="en-US"/>
        </w:rPr>
        <w:t xml:space="preserve">eal </w:t>
      </w:r>
      <w:r w:rsidR="00172DD7" w:rsidRPr="0037644C">
        <w:rPr>
          <w:spacing w:val="5"/>
          <w:sz w:val="20"/>
          <w:szCs w:val="20"/>
          <w:shd w:val="clear" w:color="auto" w:fill="FFFFFF"/>
          <w:lang w:val="en-US"/>
        </w:rPr>
        <w:t>E</w:t>
      </w:r>
      <w:r w:rsidRPr="0037644C">
        <w:rPr>
          <w:spacing w:val="5"/>
          <w:sz w:val="20"/>
          <w:szCs w:val="20"/>
          <w:shd w:val="clear" w:color="auto" w:fill="FFFFFF"/>
          <w:lang w:val="en-US"/>
        </w:rPr>
        <w:t xml:space="preserve">state </w:t>
      </w:r>
      <w:r w:rsidR="00172DD7" w:rsidRPr="0037644C">
        <w:rPr>
          <w:spacing w:val="5"/>
          <w:sz w:val="20"/>
          <w:szCs w:val="20"/>
          <w:shd w:val="clear" w:color="auto" w:fill="FFFFFF"/>
          <w:lang w:val="en-US"/>
        </w:rPr>
        <w:t>D</w:t>
      </w:r>
      <w:r w:rsidRPr="0037644C">
        <w:rPr>
          <w:spacing w:val="5"/>
          <w:sz w:val="20"/>
          <w:szCs w:val="20"/>
          <w:shd w:val="clear" w:color="auto" w:fill="FFFFFF"/>
          <w:lang w:val="en-US"/>
        </w:rPr>
        <w:t xml:space="preserve">evelopment </w:t>
      </w:r>
      <w:r w:rsidR="00172DD7" w:rsidRPr="0037644C">
        <w:rPr>
          <w:spacing w:val="5"/>
          <w:sz w:val="20"/>
          <w:szCs w:val="20"/>
          <w:shd w:val="clear" w:color="auto" w:fill="FFFFFF"/>
          <w:lang w:val="en-US"/>
        </w:rPr>
        <w:t>T</w:t>
      </w:r>
      <w:r w:rsidRPr="0037644C">
        <w:rPr>
          <w:spacing w:val="5"/>
          <w:sz w:val="20"/>
          <w:szCs w:val="20"/>
          <w:shd w:val="clear" w:color="auto" w:fill="FFFFFF"/>
          <w:lang w:val="en-US"/>
        </w:rPr>
        <w:t xml:space="preserve">iming </w:t>
      </w:r>
      <w:r w:rsidR="00172DD7" w:rsidRPr="0037644C">
        <w:rPr>
          <w:spacing w:val="5"/>
          <w:sz w:val="20"/>
          <w:szCs w:val="20"/>
          <w:shd w:val="clear" w:color="auto" w:fill="FFFFFF"/>
          <w:lang w:val="en-US"/>
        </w:rPr>
        <w:t>O</w:t>
      </w:r>
      <w:r w:rsidRPr="0037644C">
        <w:rPr>
          <w:spacing w:val="5"/>
          <w:sz w:val="20"/>
          <w:szCs w:val="20"/>
          <w:shd w:val="clear" w:color="auto" w:fill="FFFFFF"/>
          <w:lang w:val="en-US"/>
        </w:rPr>
        <w:t>ptions", </w:t>
      </w:r>
      <w:r w:rsidRPr="0037644C">
        <w:rPr>
          <w:sz w:val="20"/>
          <w:szCs w:val="20"/>
          <w:lang w:val="en-US"/>
        </w:rPr>
        <w:t>Journal of Property Investment &amp; Finance</w:t>
      </w:r>
      <w:r w:rsidRPr="0037644C">
        <w:rPr>
          <w:spacing w:val="5"/>
          <w:sz w:val="20"/>
          <w:szCs w:val="20"/>
          <w:shd w:val="clear" w:color="auto" w:fill="FFFFFF"/>
          <w:lang w:val="en-US"/>
        </w:rPr>
        <w:t>, Vol. 35</w:t>
      </w:r>
      <w:r w:rsidR="00172DD7" w:rsidRPr="0037644C">
        <w:rPr>
          <w:spacing w:val="5"/>
          <w:sz w:val="20"/>
          <w:szCs w:val="20"/>
          <w:shd w:val="clear" w:color="auto" w:fill="FFFFFF"/>
          <w:lang w:val="en-US"/>
        </w:rPr>
        <w:t>,</w:t>
      </w:r>
      <w:r w:rsidRPr="0037644C">
        <w:rPr>
          <w:spacing w:val="5"/>
          <w:sz w:val="20"/>
          <w:szCs w:val="20"/>
          <w:shd w:val="clear" w:color="auto" w:fill="FFFFFF"/>
          <w:lang w:val="en-US"/>
        </w:rPr>
        <w:t xml:space="preserve"> pp.472-488</w:t>
      </w:r>
      <w:r w:rsidR="00172DD7" w:rsidRPr="0037644C">
        <w:rPr>
          <w:spacing w:val="5"/>
          <w:sz w:val="20"/>
          <w:szCs w:val="20"/>
          <w:shd w:val="clear" w:color="auto" w:fill="FFFFFF"/>
          <w:lang w:val="en-US"/>
        </w:rPr>
        <w:t>.</w:t>
      </w:r>
    </w:p>
    <w:p w14:paraId="4B0B1225" w14:textId="21C21EFC" w:rsidR="00B14BBF" w:rsidRPr="00A66843" w:rsidRDefault="00B14BBF" w:rsidP="001302AB">
      <w:pPr>
        <w:tabs>
          <w:tab w:val="left" w:pos="0"/>
          <w:tab w:val="left" w:pos="709"/>
          <w:tab w:val="left" w:pos="1701"/>
        </w:tabs>
        <w:jc w:val="both"/>
        <w:rPr>
          <w:sz w:val="20"/>
          <w:szCs w:val="20"/>
          <w:shd w:val="clear" w:color="auto" w:fill="FFFFFF"/>
          <w:lang w:val="en-US"/>
        </w:rPr>
      </w:pPr>
      <w:r w:rsidRPr="00A66843">
        <w:rPr>
          <w:sz w:val="20"/>
          <w:szCs w:val="20"/>
          <w:shd w:val="clear" w:color="auto" w:fill="FFFFFF"/>
          <w:lang w:val="en-US"/>
        </w:rPr>
        <w:t>Dunse, N. and Jones</w:t>
      </w:r>
      <w:r w:rsidR="00172DD7" w:rsidRPr="0037644C">
        <w:rPr>
          <w:sz w:val="20"/>
          <w:szCs w:val="20"/>
          <w:shd w:val="clear" w:color="auto" w:fill="FFFFFF"/>
          <w:lang w:val="en-US"/>
        </w:rPr>
        <w:t xml:space="preserve">, </w:t>
      </w:r>
      <w:r w:rsidR="00172DD7" w:rsidRPr="00A66843">
        <w:rPr>
          <w:sz w:val="20"/>
          <w:szCs w:val="20"/>
          <w:shd w:val="clear" w:color="auto" w:fill="FFFFFF"/>
          <w:lang w:val="en-US"/>
        </w:rPr>
        <w:t>C.</w:t>
      </w:r>
      <w:r w:rsidRPr="00A66843">
        <w:rPr>
          <w:sz w:val="20"/>
          <w:szCs w:val="20"/>
          <w:shd w:val="clear" w:color="auto" w:fill="FFFFFF"/>
          <w:lang w:val="en-US"/>
        </w:rPr>
        <w:t xml:space="preserve"> </w:t>
      </w:r>
      <w:r w:rsidR="00172DD7" w:rsidRPr="0037644C">
        <w:rPr>
          <w:sz w:val="20"/>
          <w:szCs w:val="20"/>
          <w:shd w:val="clear" w:color="auto" w:fill="FFFFFF"/>
          <w:lang w:val="en-US"/>
        </w:rPr>
        <w:t>(</w:t>
      </w:r>
      <w:r w:rsidRPr="00A66843">
        <w:rPr>
          <w:sz w:val="20"/>
          <w:szCs w:val="20"/>
          <w:shd w:val="clear" w:color="auto" w:fill="FFFFFF"/>
          <w:lang w:val="en-US"/>
        </w:rPr>
        <w:t>2002</w:t>
      </w:r>
      <w:r w:rsidR="00172DD7" w:rsidRPr="0037644C">
        <w:rPr>
          <w:sz w:val="20"/>
          <w:szCs w:val="20"/>
          <w:shd w:val="clear" w:color="auto" w:fill="FFFFFF"/>
          <w:lang w:val="en-US"/>
        </w:rPr>
        <w:t>)</w:t>
      </w:r>
      <w:r w:rsidRPr="00A66843">
        <w:rPr>
          <w:sz w:val="20"/>
          <w:szCs w:val="20"/>
          <w:shd w:val="clear" w:color="auto" w:fill="FFFFFF"/>
          <w:lang w:val="en-US"/>
        </w:rPr>
        <w:t xml:space="preserve">. </w:t>
      </w:r>
      <w:r w:rsidR="00172DD7" w:rsidRPr="0037644C">
        <w:rPr>
          <w:sz w:val="20"/>
          <w:szCs w:val="20"/>
          <w:shd w:val="clear" w:color="auto" w:fill="FFFFFF"/>
          <w:lang w:val="en-US"/>
        </w:rPr>
        <w:t>“</w:t>
      </w:r>
      <w:r w:rsidRPr="00A66843">
        <w:rPr>
          <w:sz w:val="20"/>
          <w:szCs w:val="20"/>
          <w:shd w:val="clear" w:color="auto" w:fill="FFFFFF"/>
          <w:lang w:val="en-US"/>
        </w:rPr>
        <w:t>The Existence of Office Submarkets in Cities</w:t>
      </w:r>
      <w:r w:rsidR="00172DD7" w:rsidRPr="0037644C">
        <w:rPr>
          <w:sz w:val="20"/>
          <w:szCs w:val="20"/>
          <w:shd w:val="clear" w:color="auto" w:fill="FFFFFF"/>
          <w:lang w:val="en-US"/>
        </w:rPr>
        <w:t>”</w:t>
      </w:r>
      <w:r w:rsidRPr="00A66843">
        <w:rPr>
          <w:sz w:val="20"/>
          <w:szCs w:val="20"/>
          <w:shd w:val="clear" w:color="auto" w:fill="FFFFFF"/>
          <w:lang w:val="en-US"/>
        </w:rPr>
        <w:t xml:space="preserve">. </w:t>
      </w:r>
      <w:r w:rsidRPr="00A66843">
        <w:rPr>
          <w:i/>
          <w:iCs/>
          <w:sz w:val="20"/>
          <w:szCs w:val="20"/>
          <w:shd w:val="clear" w:color="auto" w:fill="FFFFFF"/>
          <w:lang w:val="en-US"/>
        </w:rPr>
        <w:t>Journal of Property Research</w:t>
      </w:r>
      <w:r w:rsidR="00172DD7" w:rsidRPr="0037644C">
        <w:rPr>
          <w:rStyle w:val="apple-converted-space"/>
          <w:sz w:val="20"/>
          <w:szCs w:val="20"/>
          <w:shd w:val="clear" w:color="auto" w:fill="FFFFFF"/>
          <w:lang w:val="en-US"/>
        </w:rPr>
        <w:t xml:space="preserve">, Vol. </w:t>
      </w:r>
      <w:r w:rsidRPr="00A66843">
        <w:rPr>
          <w:iCs/>
          <w:sz w:val="20"/>
          <w:szCs w:val="20"/>
          <w:shd w:val="clear" w:color="auto" w:fill="FFFFFF"/>
          <w:lang w:val="en-US"/>
        </w:rPr>
        <w:t>19</w:t>
      </w:r>
      <w:r w:rsidR="00172DD7" w:rsidRPr="0037644C">
        <w:rPr>
          <w:iCs/>
          <w:sz w:val="20"/>
          <w:szCs w:val="20"/>
          <w:shd w:val="clear" w:color="auto" w:fill="FFFFFF"/>
          <w:lang w:val="en-US"/>
        </w:rPr>
        <w:t>, pp.</w:t>
      </w:r>
      <w:r w:rsidRPr="00A66843">
        <w:rPr>
          <w:sz w:val="20"/>
          <w:szCs w:val="20"/>
          <w:shd w:val="clear" w:color="auto" w:fill="FFFFFF"/>
          <w:lang w:val="en-US"/>
        </w:rPr>
        <w:t xml:space="preserve"> 159</w:t>
      </w:r>
      <w:r w:rsidRPr="00A66843">
        <w:rPr>
          <w:sz w:val="20"/>
          <w:szCs w:val="20"/>
          <w:lang w:val="en-US"/>
        </w:rPr>
        <w:t>–</w:t>
      </w:r>
      <w:r w:rsidRPr="00A66843">
        <w:rPr>
          <w:sz w:val="20"/>
          <w:szCs w:val="20"/>
          <w:shd w:val="clear" w:color="auto" w:fill="FFFFFF"/>
          <w:lang w:val="en-US"/>
        </w:rPr>
        <w:t>182.</w:t>
      </w:r>
    </w:p>
    <w:p w14:paraId="02C3E159" w14:textId="1B889024" w:rsidR="00B14BBF" w:rsidRPr="00A66843" w:rsidRDefault="00B14BBF" w:rsidP="001302AB">
      <w:pPr>
        <w:tabs>
          <w:tab w:val="left" w:pos="0"/>
          <w:tab w:val="left" w:pos="709"/>
          <w:tab w:val="left" w:pos="1701"/>
        </w:tabs>
        <w:jc w:val="both"/>
        <w:rPr>
          <w:sz w:val="20"/>
          <w:szCs w:val="20"/>
          <w:lang w:val="en-US"/>
        </w:rPr>
      </w:pPr>
      <w:r w:rsidRPr="00A66843">
        <w:rPr>
          <w:sz w:val="20"/>
          <w:szCs w:val="20"/>
          <w:lang w:val="en-US"/>
        </w:rPr>
        <w:t>Dunse, N., Leishman</w:t>
      </w:r>
      <w:r w:rsidR="00172DD7" w:rsidRPr="0037644C">
        <w:rPr>
          <w:sz w:val="20"/>
          <w:szCs w:val="20"/>
          <w:lang w:val="en-US"/>
        </w:rPr>
        <w:t xml:space="preserve">, </w:t>
      </w:r>
      <w:r w:rsidR="00172DD7" w:rsidRPr="00A66843">
        <w:rPr>
          <w:sz w:val="20"/>
          <w:szCs w:val="20"/>
          <w:lang w:val="en-US"/>
        </w:rPr>
        <w:t xml:space="preserve">C. </w:t>
      </w:r>
      <w:r w:rsidRPr="00A66843">
        <w:rPr>
          <w:sz w:val="20"/>
          <w:szCs w:val="20"/>
          <w:lang w:val="en-US"/>
        </w:rPr>
        <w:t>and Watkins</w:t>
      </w:r>
      <w:r w:rsidR="00172DD7" w:rsidRPr="0037644C">
        <w:rPr>
          <w:sz w:val="20"/>
          <w:szCs w:val="20"/>
          <w:lang w:val="en-US"/>
        </w:rPr>
        <w:t xml:space="preserve">, </w:t>
      </w:r>
      <w:r w:rsidR="00172DD7" w:rsidRPr="00A66843">
        <w:rPr>
          <w:sz w:val="20"/>
          <w:szCs w:val="20"/>
          <w:lang w:val="en-US"/>
        </w:rPr>
        <w:t>C.</w:t>
      </w:r>
      <w:r w:rsidRPr="00A66843">
        <w:rPr>
          <w:sz w:val="20"/>
          <w:szCs w:val="20"/>
          <w:lang w:val="en-US"/>
        </w:rPr>
        <w:t xml:space="preserve"> </w:t>
      </w:r>
      <w:r w:rsidR="00172DD7" w:rsidRPr="0037644C">
        <w:rPr>
          <w:sz w:val="20"/>
          <w:szCs w:val="20"/>
          <w:lang w:val="en-US"/>
        </w:rPr>
        <w:t>(</w:t>
      </w:r>
      <w:r w:rsidRPr="00A66843">
        <w:rPr>
          <w:sz w:val="20"/>
          <w:szCs w:val="20"/>
          <w:lang w:val="en-US"/>
        </w:rPr>
        <w:t>2002</w:t>
      </w:r>
      <w:r w:rsidR="00172DD7" w:rsidRPr="0037644C">
        <w:rPr>
          <w:sz w:val="20"/>
          <w:szCs w:val="20"/>
          <w:lang w:val="en-US"/>
        </w:rPr>
        <w:t>)</w:t>
      </w:r>
      <w:r w:rsidRPr="00A66843">
        <w:rPr>
          <w:sz w:val="20"/>
          <w:szCs w:val="20"/>
          <w:lang w:val="en-US"/>
        </w:rPr>
        <w:t xml:space="preserve">. </w:t>
      </w:r>
      <w:r w:rsidR="00172DD7" w:rsidRPr="0037644C">
        <w:rPr>
          <w:sz w:val="20"/>
          <w:szCs w:val="20"/>
          <w:lang w:val="en-US"/>
        </w:rPr>
        <w:t>“</w:t>
      </w:r>
      <w:r w:rsidRPr="00A66843">
        <w:rPr>
          <w:sz w:val="20"/>
          <w:szCs w:val="20"/>
          <w:lang w:val="en-US"/>
        </w:rPr>
        <w:t>Testing the Existence of Office Submarkets: A Comparison of Evidence from Two Cities</w:t>
      </w:r>
      <w:r w:rsidR="00172DD7" w:rsidRPr="0037644C">
        <w:rPr>
          <w:sz w:val="20"/>
          <w:szCs w:val="20"/>
          <w:lang w:val="en-US"/>
        </w:rPr>
        <w:t>”</w:t>
      </w:r>
      <w:r w:rsidRPr="00A66843">
        <w:rPr>
          <w:sz w:val="20"/>
          <w:szCs w:val="20"/>
          <w:lang w:val="en-US"/>
        </w:rPr>
        <w:t xml:space="preserve">. </w:t>
      </w:r>
      <w:r w:rsidRPr="00A66843">
        <w:rPr>
          <w:i/>
          <w:sz w:val="20"/>
          <w:szCs w:val="20"/>
          <w:lang w:val="en-US"/>
        </w:rPr>
        <w:t>Urban Studies</w:t>
      </w:r>
      <w:r w:rsidR="00172DD7" w:rsidRPr="0037644C">
        <w:rPr>
          <w:sz w:val="20"/>
          <w:szCs w:val="20"/>
          <w:lang w:val="en-US"/>
        </w:rPr>
        <w:t xml:space="preserve">, Vol. </w:t>
      </w:r>
      <w:r w:rsidRPr="00A66843">
        <w:rPr>
          <w:sz w:val="20"/>
          <w:szCs w:val="20"/>
          <w:lang w:val="en-US"/>
        </w:rPr>
        <w:t>39</w:t>
      </w:r>
      <w:r w:rsidR="00172DD7" w:rsidRPr="0037644C">
        <w:rPr>
          <w:sz w:val="20"/>
          <w:szCs w:val="20"/>
          <w:lang w:val="en-US"/>
        </w:rPr>
        <w:t>, pp.</w:t>
      </w:r>
      <w:r w:rsidRPr="00A66843">
        <w:rPr>
          <w:sz w:val="20"/>
          <w:szCs w:val="20"/>
          <w:lang w:val="en-US"/>
        </w:rPr>
        <w:t xml:space="preserve"> 483–506.</w:t>
      </w:r>
    </w:p>
    <w:p w14:paraId="2FA8C6E2" w14:textId="0761A995" w:rsidR="00B14BBF" w:rsidRPr="0037644C" w:rsidRDefault="00B14BBF" w:rsidP="001302AB">
      <w:pPr>
        <w:tabs>
          <w:tab w:val="left" w:pos="0"/>
          <w:tab w:val="left" w:pos="567"/>
        </w:tabs>
        <w:jc w:val="both"/>
        <w:rPr>
          <w:sz w:val="20"/>
          <w:szCs w:val="20"/>
          <w:shd w:val="clear" w:color="auto" w:fill="FFFFFF"/>
          <w:lang w:val="en-US"/>
        </w:rPr>
      </w:pPr>
      <w:r w:rsidRPr="0037644C">
        <w:rPr>
          <w:sz w:val="20"/>
          <w:szCs w:val="20"/>
          <w:shd w:val="clear" w:color="auto" w:fill="FFFFFF"/>
          <w:lang w:val="en-US"/>
        </w:rPr>
        <w:t>Eichholtz, P., Kok</w:t>
      </w:r>
      <w:r w:rsidR="00172DD7" w:rsidRPr="0037644C">
        <w:rPr>
          <w:sz w:val="20"/>
          <w:szCs w:val="20"/>
          <w:shd w:val="clear" w:color="auto" w:fill="FFFFFF"/>
          <w:lang w:val="en-US"/>
        </w:rPr>
        <w:t xml:space="preserve">, N., </w:t>
      </w:r>
      <w:r w:rsidRPr="0037644C">
        <w:rPr>
          <w:sz w:val="20"/>
          <w:szCs w:val="20"/>
          <w:shd w:val="clear" w:color="auto" w:fill="FFFFFF"/>
          <w:lang w:val="en-US"/>
        </w:rPr>
        <w:t>and Quigley</w:t>
      </w:r>
      <w:r w:rsidR="00172DD7" w:rsidRPr="0037644C">
        <w:rPr>
          <w:sz w:val="20"/>
          <w:szCs w:val="20"/>
          <w:shd w:val="clear" w:color="auto" w:fill="FFFFFF"/>
          <w:lang w:val="en-US"/>
        </w:rPr>
        <w:t>, J.</w:t>
      </w:r>
      <w:r w:rsidRPr="0037644C">
        <w:rPr>
          <w:sz w:val="20"/>
          <w:szCs w:val="20"/>
          <w:shd w:val="clear" w:color="auto" w:fill="FFFFFF"/>
          <w:lang w:val="en-US"/>
        </w:rPr>
        <w:t xml:space="preserve"> </w:t>
      </w:r>
      <w:r w:rsidR="00172DD7" w:rsidRPr="0037644C">
        <w:rPr>
          <w:sz w:val="20"/>
          <w:szCs w:val="20"/>
          <w:shd w:val="clear" w:color="auto" w:fill="FFFFFF"/>
          <w:lang w:val="en-US"/>
        </w:rPr>
        <w:t>(</w:t>
      </w:r>
      <w:r w:rsidRPr="0037644C">
        <w:rPr>
          <w:sz w:val="20"/>
          <w:szCs w:val="20"/>
          <w:shd w:val="clear" w:color="auto" w:fill="FFFFFF"/>
          <w:lang w:val="en-US"/>
        </w:rPr>
        <w:t>2010</w:t>
      </w:r>
      <w:r w:rsidR="00172DD7" w:rsidRPr="0037644C">
        <w:rPr>
          <w:sz w:val="20"/>
          <w:szCs w:val="20"/>
          <w:shd w:val="clear" w:color="auto" w:fill="FFFFFF"/>
          <w:lang w:val="en-US"/>
        </w:rPr>
        <w:t>)</w:t>
      </w:r>
      <w:r w:rsidRPr="0037644C">
        <w:rPr>
          <w:sz w:val="20"/>
          <w:szCs w:val="20"/>
          <w:shd w:val="clear" w:color="auto" w:fill="FFFFFF"/>
          <w:lang w:val="en-US"/>
        </w:rPr>
        <w:t xml:space="preserve">. </w:t>
      </w:r>
      <w:r w:rsidR="00172DD7" w:rsidRPr="0037644C">
        <w:rPr>
          <w:sz w:val="20"/>
          <w:szCs w:val="20"/>
          <w:shd w:val="clear" w:color="auto" w:fill="FFFFFF"/>
          <w:lang w:val="en-US"/>
        </w:rPr>
        <w:t>“</w:t>
      </w:r>
      <w:r w:rsidRPr="0037644C">
        <w:rPr>
          <w:sz w:val="20"/>
          <w:szCs w:val="20"/>
          <w:shd w:val="clear" w:color="auto" w:fill="FFFFFF"/>
          <w:lang w:val="en-US"/>
        </w:rPr>
        <w:t>Doing Well by Doing Good? Green Office Buildings</w:t>
      </w:r>
      <w:r w:rsidR="00172DD7" w:rsidRPr="0037644C">
        <w:rPr>
          <w:sz w:val="20"/>
          <w:szCs w:val="20"/>
          <w:shd w:val="clear" w:color="auto" w:fill="FFFFFF"/>
          <w:lang w:val="en-US"/>
        </w:rPr>
        <w:t>”</w:t>
      </w:r>
      <w:r w:rsidRPr="0037644C">
        <w:rPr>
          <w:sz w:val="20"/>
          <w:szCs w:val="20"/>
          <w:shd w:val="clear" w:color="auto" w:fill="FFFFFF"/>
          <w:lang w:val="en-US"/>
        </w:rPr>
        <w:t>.</w:t>
      </w:r>
      <w:r w:rsidRPr="0037644C">
        <w:rPr>
          <w:rStyle w:val="apple-converted-space"/>
          <w:sz w:val="20"/>
          <w:szCs w:val="20"/>
          <w:shd w:val="clear" w:color="auto" w:fill="FFFFFF"/>
          <w:lang w:val="en-US"/>
        </w:rPr>
        <w:t> </w:t>
      </w:r>
      <w:r w:rsidRPr="0037644C">
        <w:rPr>
          <w:i/>
          <w:iCs/>
          <w:sz w:val="20"/>
          <w:szCs w:val="20"/>
          <w:shd w:val="clear" w:color="auto" w:fill="FFFFFF"/>
          <w:lang w:val="en-US"/>
        </w:rPr>
        <w:t>American Economic Review</w:t>
      </w:r>
      <w:r w:rsidR="00172DD7" w:rsidRPr="0037644C">
        <w:rPr>
          <w:sz w:val="20"/>
          <w:szCs w:val="20"/>
          <w:shd w:val="clear" w:color="auto" w:fill="FFFFFF"/>
          <w:lang w:val="en-US"/>
        </w:rPr>
        <w:t xml:space="preserve">, Vol. </w:t>
      </w:r>
      <w:r w:rsidRPr="0037644C">
        <w:rPr>
          <w:sz w:val="20"/>
          <w:szCs w:val="20"/>
          <w:shd w:val="clear" w:color="auto" w:fill="FFFFFF"/>
          <w:lang w:val="en-US"/>
        </w:rPr>
        <w:t>100</w:t>
      </w:r>
      <w:r w:rsidR="00172DD7" w:rsidRPr="0037644C">
        <w:rPr>
          <w:sz w:val="20"/>
          <w:szCs w:val="20"/>
          <w:shd w:val="clear" w:color="auto" w:fill="FFFFFF"/>
          <w:lang w:val="en-US"/>
        </w:rPr>
        <w:t>, pp.</w:t>
      </w:r>
      <w:r w:rsidRPr="0037644C">
        <w:rPr>
          <w:sz w:val="20"/>
          <w:szCs w:val="20"/>
          <w:shd w:val="clear" w:color="auto" w:fill="FFFFFF"/>
          <w:lang w:val="en-US"/>
        </w:rPr>
        <w:t xml:space="preserve"> 2492</w:t>
      </w:r>
      <w:r w:rsidRPr="0037644C">
        <w:rPr>
          <w:sz w:val="20"/>
          <w:szCs w:val="20"/>
          <w:lang w:val="en-US"/>
        </w:rPr>
        <w:t>–</w:t>
      </w:r>
      <w:r w:rsidRPr="0037644C">
        <w:rPr>
          <w:sz w:val="20"/>
          <w:szCs w:val="20"/>
          <w:shd w:val="clear" w:color="auto" w:fill="FFFFFF"/>
          <w:lang w:val="en-US"/>
        </w:rPr>
        <w:t>2509.</w:t>
      </w:r>
    </w:p>
    <w:p w14:paraId="37269E38" w14:textId="740E046D" w:rsidR="00B14BBF" w:rsidRPr="007F4AC7" w:rsidRDefault="00B14BBF" w:rsidP="001302AB">
      <w:pPr>
        <w:tabs>
          <w:tab w:val="left" w:pos="0"/>
          <w:tab w:val="left" w:pos="709"/>
          <w:tab w:val="left" w:pos="1701"/>
        </w:tabs>
        <w:autoSpaceDE w:val="0"/>
        <w:autoSpaceDN w:val="0"/>
        <w:adjustRightInd w:val="0"/>
        <w:jc w:val="both"/>
        <w:rPr>
          <w:sz w:val="20"/>
          <w:szCs w:val="20"/>
          <w:shd w:val="clear" w:color="auto" w:fill="FFFFFF"/>
          <w:lang w:val="en-US"/>
        </w:rPr>
      </w:pPr>
      <w:r w:rsidRPr="00A66843">
        <w:rPr>
          <w:sz w:val="20"/>
          <w:szCs w:val="20"/>
          <w:shd w:val="clear" w:color="auto" w:fill="FFFFFF"/>
          <w:lang w:val="en-US"/>
        </w:rPr>
        <w:t>Fuerst, F. and Marcato</w:t>
      </w:r>
      <w:r w:rsidR="00172DD7" w:rsidRPr="0037644C">
        <w:rPr>
          <w:sz w:val="20"/>
          <w:szCs w:val="20"/>
          <w:shd w:val="clear" w:color="auto" w:fill="FFFFFF"/>
          <w:lang w:val="en-US"/>
        </w:rPr>
        <w:t xml:space="preserve">, </w:t>
      </w:r>
      <w:r w:rsidR="00172DD7" w:rsidRPr="00A66843">
        <w:rPr>
          <w:sz w:val="20"/>
          <w:szCs w:val="20"/>
          <w:shd w:val="clear" w:color="auto" w:fill="FFFFFF"/>
          <w:lang w:val="en-US"/>
        </w:rPr>
        <w:t>G.</w:t>
      </w:r>
      <w:r w:rsidRPr="00A66843">
        <w:rPr>
          <w:sz w:val="20"/>
          <w:szCs w:val="20"/>
          <w:shd w:val="clear" w:color="auto" w:fill="FFFFFF"/>
          <w:lang w:val="en-US"/>
        </w:rPr>
        <w:t xml:space="preserve"> </w:t>
      </w:r>
      <w:r w:rsidR="00172DD7" w:rsidRPr="0037644C">
        <w:rPr>
          <w:sz w:val="20"/>
          <w:szCs w:val="20"/>
          <w:shd w:val="clear" w:color="auto" w:fill="FFFFFF"/>
          <w:lang w:val="en-US"/>
        </w:rPr>
        <w:t>(</w:t>
      </w:r>
      <w:r w:rsidRPr="00A66843">
        <w:rPr>
          <w:sz w:val="20"/>
          <w:szCs w:val="20"/>
          <w:shd w:val="clear" w:color="auto" w:fill="FFFFFF"/>
          <w:lang w:val="en-US"/>
        </w:rPr>
        <w:t>2011</w:t>
      </w:r>
      <w:r w:rsidR="00172DD7" w:rsidRPr="0037644C">
        <w:rPr>
          <w:sz w:val="20"/>
          <w:szCs w:val="20"/>
          <w:shd w:val="clear" w:color="auto" w:fill="FFFFFF"/>
          <w:lang w:val="en-US"/>
        </w:rPr>
        <w:t>)</w:t>
      </w:r>
      <w:r w:rsidRPr="00A66843">
        <w:rPr>
          <w:sz w:val="20"/>
          <w:szCs w:val="20"/>
          <w:shd w:val="clear" w:color="auto" w:fill="FFFFFF"/>
          <w:lang w:val="en-US"/>
        </w:rPr>
        <w:t xml:space="preserve">. </w:t>
      </w:r>
      <w:r w:rsidR="00172DD7" w:rsidRPr="0037644C">
        <w:rPr>
          <w:sz w:val="20"/>
          <w:szCs w:val="20"/>
          <w:shd w:val="clear" w:color="auto" w:fill="FFFFFF"/>
          <w:lang w:val="en-US"/>
        </w:rPr>
        <w:t>“</w:t>
      </w:r>
      <w:r w:rsidRPr="00A66843">
        <w:rPr>
          <w:sz w:val="20"/>
          <w:szCs w:val="20"/>
          <w:shd w:val="clear" w:color="auto" w:fill="FFFFFF"/>
          <w:lang w:val="en-US"/>
        </w:rPr>
        <w:t>Re-Thinking Commercial Real Estate Market Segmentation</w:t>
      </w:r>
      <w:r w:rsidR="00172DD7" w:rsidRPr="0037644C">
        <w:rPr>
          <w:sz w:val="20"/>
          <w:szCs w:val="20"/>
          <w:shd w:val="clear" w:color="auto" w:fill="FFFFFF"/>
          <w:lang w:val="en-US"/>
        </w:rPr>
        <w:t>”</w:t>
      </w:r>
      <w:r w:rsidRPr="00A66843">
        <w:rPr>
          <w:sz w:val="20"/>
          <w:szCs w:val="20"/>
          <w:shd w:val="clear" w:color="auto" w:fill="FFFFFF"/>
          <w:lang w:val="en-US"/>
        </w:rPr>
        <w:t xml:space="preserve">. </w:t>
      </w:r>
      <w:r w:rsidRPr="007F4AC7">
        <w:rPr>
          <w:sz w:val="20"/>
          <w:szCs w:val="20"/>
          <w:shd w:val="clear" w:color="auto" w:fill="FFFFFF"/>
          <w:lang w:val="en-US"/>
        </w:rPr>
        <w:t>Working Paper, University of Cambridge, Department of Land Economy.</w:t>
      </w:r>
    </w:p>
    <w:p w14:paraId="5F909A5E" w14:textId="1396284E" w:rsidR="00B14BBF" w:rsidRPr="00A66843" w:rsidRDefault="00B14BBF" w:rsidP="001302AB">
      <w:pPr>
        <w:tabs>
          <w:tab w:val="left" w:pos="0"/>
          <w:tab w:val="left" w:pos="709"/>
          <w:tab w:val="left" w:pos="1701"/>
        </w:tabs>
        <w:autoSpaceDE w:val="0"/>
        <w:autoSpaceDN w:val="0"/>
        <w:adjustRightInd w:val="0"/>
        <w:jc w:val="both"/>
        <w:rPr>
          <w:sz w:val="20"/>
          <w:szCs w:val="20"/>
          <w:shd w:val="clear" w:color="auto" w:fill="FFFFFF"/>
          <w:lang w:val="en-US"/>
        </w:rPr>
      </w:pPr>
      <w:r w:rsidRPr="007F4AC7">
        <w:rPr>
          <w:sz w:val="20"/>
          <w:szCs w:val="20"/>
          <w:shd w:val="clear" w:color="auto" w:fill="FFFFFF"/>
          <w:lang w:val="en-US"/>
        </w:rPr>
        <w:t xml:space="preserve">Fuerst. </w:t>
      </w:r>
      <w:r w:rsidRPr="00A66843">
        <w:rPr>
          <w:sz w:val="20"/>
          <w:szCs w:val="20"/>
          <w:shd w:val="clear" w:color="auto" w:fill="FFFFFF"/>
          <w:lang w:val="en-US"/>
        </w:rPr>
        <w:t>F. and Mcallister</w:t>
      </w:r>
      <w:r w:rsidR="00172DD7" w:rsidRPr="0037644C">
        <w:rPr>
          <w:sz w:val="20"/>
          <w:szCs w:val="20"/>
          <w:shd w:val="clear" w:color="auto" w:fill="FFFFFF"/>
          <w:lang w:val="en-US"/>
        </w:rPr>
        <w:t>,</w:t>
      </w:r>
      <w:r w:rsidR="00172DD7" w:rsidRPr="00A66843">
        <w:rPr>
          <w:sz w:val="20"/>
          <w:szCs w:val="20"/>
          <w:shd w:val="clear" w:color="auto" w:fill="FFFFFF"/>
          <w:lang w:val="en-US"/>
        </w:rPr>
        <w:t xml:space="preserve"> P.</w:t>
      </w:r>
      <w:r w:rsidRPr="00A66843">
        <w:rPr>
          <w:sz w:val="20"/>
          <w:szCs w:val="20"/>
          <w:shd w:val="clear" w:color="auto" w:fill="FFFFFF"/>
          <w:lang w:val="en-US"/>
        </w:rPr>
        <w:t xml:space="preserve"> </w:t>
      </w:r>
      <w:r w:rsidR="00172DD7" w:rsidRPr="0037644C">
        <w:rPr>
          <w:sz w:val="20"/>
          <w:szCs w:val="20"/>
          <w:shd w:val="clear" w:color="auto" w:fill="FFFFFF"/>
          <w:lang w:val="en-US"/>
        </w:rPr>
        <w:t>(</w:t>
      </w:r>
      <w:r w:rsidRPr="00A66843">
        <w:rPr>
          <w:sz w:val="20"/>
          <w:szCs w:val="20"/>
          <w:shd w:val="clear" w:color="auto" w:fill="FFFFFF"/>
          <w:lang w:val="en-US"/>
        </w:rPr>
        <w:t>2011</w:t>
      </w:r>
      <w:r w:rsidR="00172DD7" w:rsidRPr="0037644C">
        <w:rPr>
          <w:sz w:val="20"/>
          <w:szCs w:val="20"/>
          <w:shd w:val="clear" w:color="auto" w:fill="FFFFFF"/>
          <w:lang w:val="en-US"/>
        </w:rPr>
        <w:t>)</w:t>
      </w:r>
      <w:r w:rsidRPr="00A66843">
        <w:rPr>
          <w:sz w:val="20"/>
          <w:szCs w:val="20"/>
          <w:shd w:val="clear" w:color="auto" w:fill="FFFFFF"/>
          <w:lang w:val="en-US"/>
        </w:rPr>
        <w:t xml:space="preserve">. </w:t>
      </w:r>
      <w:r w:rsidR="00172DD7" w:rsidRPr="0037644C">
        <w:rPr>
          <w:sz w:val="20"/>
          <w:szCs w:val="20"/>
          <w:shd w:val="clear" w:color="auto" w:fill="FFFFFF"/>
          <w:lang w:val="en-US"/>
        </w:rPr>
        <w:t>“</w:t>
      </w:r>
      <w:r w:rsidRPr="00A66843">
        <w:rPr>
          <w:sz w:val="20"/>
          <w:szCs w:val="20"/>
          <w:shd w:val="clear" w:color="auto" w:fill="FFFFFF"/>
          <w:lang w:val="en-US"/>
        </w:rPr>
        <w:t>Green Noise or Green Value? Measuring the Effects of Environmental Certification on Office Values</w:t>
      </w:r>
      <w:r w:rsidR="00172DD7" w:rsidRPr="0037644C">
        <w:rPr>
          <w:sz w:val="20"/>
          <w:szCs w:val="20"/>
          <w:shd w:val="clear" w:color="auto" w:fill="FFFFFF"/>
          <w:lang w:val="en-US"/>
        </w:rPr>
        <w:t>”</w:t>
      </w:r>
      <w:r w:rsidRPr="00A66843">
        <w:rPr>
          <w:sz w:val="20"/>
          <w:szCs w:val="20"/>
          <w:shd w:val="clear" w:color="auto" w:fill="FFFFFF"/>
          <w:lang w:val="en-US"/>
        </w:rPr>
        <w:t>.</w:t>
      </w:r>
      <w:r w:rsidRPr="00A66843">
        <w:rPr>
          <w:rStyle w:val="apple-converted-space"/>
          <w:sz w:val="20"/>
          <w:szCs w:val="20"/>
          <w:shd w:val="clear" w:color="auto" w:fill="FFFFFF"/>
          <w:lang w:val="en-US"/>
        </w:rPr>
        <w:t> </w:t>
      </w:r>
      <w:r w:rsidRPr="00A66843">
        <w:rPr>
          <w:i/>
          <w:iCs/>
          <w:sz w:val="20"/>
          <w:szCs w:val="20"/>
          <w:shd w:val="clear" w:color="auto" w:fill="FFFFFF"/>
          <w:lang w:val="en-US"/>
        </w:rPr>
        <w:t>Real Estate Economics</w:t>
      </w:r>
      <w:r w:rsidR="00172DD7" w:rsidRPr="0037644C">
        <w:rPr>
          <w:sz w:val="20"/>
          <w:szCs w:val="20"/>
          <w:shd w:val="clear" w:color="auto" w:fill="FFFFFF"/>
          <w:lang w:val="en-US"/>
        </w:rPr>
        <w:t>,</w:t>
      </w:r>
      <w:r w:rsidRPr="00A66843">
        <w:rPr>
          <w:rStyle w:val="apple-converted-space"/>
          <w:sz w:val="20"/>
          <w:szCs w:val="20"/>
          <w:shd w:val="clear" w:color="auto" w:fill="FFFFFF"/>
          <w:lang w:val="en-US"/>
        </w:rPr>
        <w:t> </w:t>
      </w:r>
      <w:r w:rsidR="00172DD7" w:rsidRPr="0037644C">
        <w:rPr>
          <w:rStyle w:val="apple-converted-space"/>
          <w:sz w:val="20"/>
          <w:szCs w:val="20"/>
          <w:shd w:val="clear" w:color="auto" w:fill="FFFFFF"/>
          <w:lang w:val="en-US"/>
        </w:rPr>
        <w:t xml:space="preserve">Vol. </w:t>
      </w:r>
      <w:r w:rsidRPr="00A66843">
        <w:rPr>
          <w:iCs/>
          <w:sz w:val="20"/>
          <w:szCs w:val="20"/>
          <w:shd w:val="clear" w:color="auto" w:fill="FFFFFF"/>
          <w:lang w:val="en-US"/>
        </w:rPr>
        <w:t>39:</w:t>
      </w:r>
      <w:r w:rsidR="00172DD7" w:rsidRPr="0037644C">
        <w:rPr>
          <w:iCs/>
          <w:sz w:val="20"/>
          <w:szCs w:val="20"/>
          <w:shd w:val="clear" w:color="auto" w:fill="FFFFFF"/>
          <w:lang w:val="en-US"/>
        </w:rPr>
        <w:t xml:space="preserve">, pp. </w:t>
      </w:r>
      <w:r w:rsidRPr="00A66843">
        <w:rPr>
          <w:sz w:val="20"/>
          <w:szCs w:val="20"/>
          <w:shd w:val="clear" w:color="auto" w:fill="FFFFFF"/>
          <w:lang w:val="en-US"/>
        </w:rPr>
        <w:t>45</w:t>
      </w:r>
      <w:r w:rsidRPr="00A66843">
        <w:rPr>
          <w:sz w:val="20"/>
          <w:szCs w:val="20"/>
          <w:lang w:val="en-US"/>
        </w:rPr>
        <w:t>–</w:t>
      </w:r>
      <w:r w:rsidRPr="00A66843">
        <w:rPr>
          <w:sz w:val="20"/>
          <w:szCs w:val="20"/>
          <w:shd w:val="clear" w:color="auto" w:fill="FFFFFF"/>
          <w:lang w:val="en-US"/>
        </w:rPr>
        <w:t>69.</w:t>
      </w:r>
    </w:p>
    <w:p w14:paraId="497EE1B0" w14:textId="2014412E" w:rsidR="00B14BBF" w:rsidRPr="00A66843" w:rsidRDefault="00B14BBF" w:rsidP="001302AB">
      <w:pPr>
        <w:tabs>
          <w:tab w:val="left" w:pos="0"/>
          <w:tab w:val="left" w:pos="709"/>
          <w:tab w:val="left" w:pos="5189"/>
        </w:tabs>
        <w:jc w:val="both"/>
        <w:rPr>
          <w:sz w:val="20"/>
          <w:szCs w:val="20"/>
          <w:shd w:val="clear" w:color="auto" w:fill="FFFFFF"/>
          <w:lang w:val="en-US"/>
        </w:rPr>
      </w:pPr>
      <w:r w:rsidRPr="00A66843">
        <w:rPr>
          <w:sz w:val="20"/>
          <w:szCs w:val="20"/>
          <w:shd w:val="clear" w:color="auto" w:fill="FFFFFF"/>
          <w:lang w:val="en-US"/>
        </w:rPr>
        <w:t>Fuerst, F., Mcallister</w:t>
      </w:r>
      <w:r w:rsidR="00172DD7" w:rsidRPr="0037644C">
        <w:rPr>
          <w:sz w:val="20"/>
          <w:szCs w:val="20"/>
          <w:shd w:val="clear" w:color="auto" w:fill="FFFFFF"/>
          <w:lang w:val="en-US"/>
        </w:rPr>
        <w:t xml:space="preserve">, </w:t>
      </w:r>
      <w:r w:rsidR="00172DD7" w:rsidRPr="00A66843">
        <w:rPr>
          <w:sz w:val="20"/>
          <w:szCs w:val="20"/>
          <w:shd w:val="clear" w:color="auto" w:fill="FFFFFF"/>
          <w:lang w:val="en-US"/>
        </w:rPr>
        <w:t>P.</w:t>
      </w:r>
      <w:r w:rsidRPr="00A66843">
        <w:rPr>
          <w:sz w:val="20"/>
          <w:szCs w:val="20"/>
          <w:shd w:val="clear" w:color="auto" w:fill="FFFFFF"/>
          <w:lang w:val="en-US"/>
        </w:rPr>
        <w:t xml:space="preserve"> and Sivitanides</w:t>
      </w:r>
      <w:r w:rsidR="00172DD7" w:rsidRPr="0037644C">
        <w:rPr>
          <w:sz w:val="20"/>
          <w:szCs w:val="20"/>
          <w:shd w:val="clear" w:color="auto" w:fill="FFFFFF"/>
          <w:lang w:val="en-US"/>
        </w:rPr>
        <w:t xml:space="preserve">, </w:t>
      </w:r>
      <w:r w:rsidR="00172DD7" w:rsidRPr="00A66843">
        <w:rPr>
          <w:sz w:val="20"/>
          <w:szCs w:val="20"/>
          <w:shd w:val="clear" w:color="auto" w:fill="FFFFFF"/>
          <w:lang w:val="en-US"/>
        </w:rPr>
        <w:t>P.</w:t>
      </w:r>
      <w:r w:rsidRPr="00A66843">
        <w:rPr>
          <w:sz w:val="20"/>
          <w:szCs w:val="20"/>
          <w:shd w:val="clear" w:color="auto" w:fill="FFFFFF"/>
          <w:lang w:val="en-US"/>
        </w:rPr>
        <w:t xml:space="preserve"> </w:t>
      </w:r>
      <w:r w:rsidR="00172DD7" w:rsidRPr="0037644C">
        <w:rPr>
          <w:sz w:val="20"/>
          <w:szCs w:val="20"/>
          <w:shd w:val="clear" w:color="auto" w:fill="FFFFFF"/>
          <w:lang w:val="en-US"/>
        </w:rPr>
        <w:t>(</w:t>
      </w:r>
      <w:r w:rsidRPr="00A66843">
        <w:rPr>
          <w:sz w:val="20"/>
          <w:szCs w:val="20"/>
          <w:shd w:val="clear" w:color="auto" w:fill="FFFFFF"/>
          <w:lang w:val="en-US"/>
        </w:rPr>
        <w:t>2015</w:t>
      </w:r>
      <w:r w:rsidR="00172DD7" w:rsidRPr="0037644C">
        <w:rPr>
          <w:sz w:val="20"/>
          <w:szCs w:val="20"/>
          <w:shd w:val="clear" w:color="auto" w:fill="FFFFFF"/>
          <w:lang w:val="en-US"/>
        </w:rPr>
        <w:t>)</w:t>
      </w:r>
      <w:r w:rsidRPr="00A66843">
        <w:rPr>
          <w:sz w:val="20"/>
          <w:szCs w:val="20"/>
          <w:shd w:val="clear" w:color="auto" w:fill="FFFFFF"/>
          <w:lang w:val="en-US"/>
        </w:rPr>
        <w:t xml:space="preserve">. </w:t>
      </w:r>
      <w:r w:rsidR="00172DD7" w:rsidRPr="0037644C">
        <w:rPr>
          <w:sz w:val="20"/>
          <w:szCs w:val="20"/>
          <w:shd w:val="clear" w:color="auto" w:fill="FFFFFF"/>
          <w:lang w:val="en-US"/>
        </w:rPr>
        <w:t>“</w:t>
      </w:r>
      <w:r w:rsidRPr="00A66843">
        <w:rPr>
          <w:sz w:val="20"/>
          <w:szCs w:val="20"/>
          <w:shd w:val="clear" w:color="auto" w:fill="FFFFFF"/>
          <w:lang w:val="en-US"/>
        </w:rPr>
        <w:t>Flight To Quality? An Investigation of Changing Price Spreads in Commercial Real Estate Markets</w:t>
      </w:r>
      <w:r w:rsidR="00172DD7" w:rsidRPr="0037644C">
        <w:rPr>
          <w:sz w:val="20"/>
          <w:szCs w:val="20"/>
          <w:shd w:val="clear" w:color="auto" w:fill="FFFFFF"/>
          <w:lang w:val="en-US"/>
        </w:rPr>
        <w:t>”</w:t>
      </w:r>
      <w:r w:rsidRPr="00A66843">
        <w:rPr>
          <w:sz w:val="20"/>
          <w:szCs w:val="20"/>
          <w:shd w:val="clear" w:color="auto" w:fill="FFFFFF"/>
          <w:lang w:val="en-US"/>
        </w:rPr>
        <w:t xml:space="preserve">. </w:t>
      </w:r>
      <w:r w:rsidRPr="00A66843">
        <w:rPr>
          <w:i/>
          <w:iCs/>
          <w:sz w:val="20"/>
          <w:szCs w:val="20"/>
          <w:shd w:val="clear" w:color="auto" w:fill="FFFFFF"/>
          <w:lang w:val="en-US"/>
        </w:rPr>
        <w:t>Studies in Economics and Finance</w:t>
      </w:r>
      <w:r w:rsidR="00172DD7" w:rsidRPr="0037644C">
        <w:rPr>
          <w:rStyle w:val="apple-converted-space"/>
          <w:sz w:val="20"/>
          <w:szCs w:val="20"/>
          <w:shd w:val="clear" w:color="auto" w:fill="FFFFFF"/>
          <w:lang w:val="en-US"/>
        </w:rPr>
        <w:t xml:space="preserve">, Vol. </w:t>
      </w:r>
      <w:r w:rsidRPr="00A66843">
        <w:rPr>
          <w:iCs/>
          <w:sz w:val="20"/>
          <w:szCs w:val="20"/>
          <w:shd w:val="clear" w:color="auto" w:fill="FFFFFF"/>
          <w:lang w:val="en-US"/>
        </w:rPr>
        <w:t>32</w:t>
      </w:r>
      <w:r w:rsidR="00172DD7" w:rsidRPr="0037644C">
        <w:rPr>
          <w:iCs/>
          <w:sz w:val="20"/>
          <w:szCs w:val="20"/>
          <w:shd w:val="clear" w:color="auto" w:fill="FFFFFF"/>
          <w:lang w:val="en-US"/>
        </w:rPr>
        <w:t>, pp.</w:t>
      </w:r>
      <w:r w:rsidRPr="00A66843">
        <w:rPr>
          <w:sz w:val="20"/>
          <w:szCs w:val="20"/>
          <w:shd w:val="clear" w:color="auto" w:fill="FFFFFF"/>
          <w:lang w:val="en-US"/>
        </w:rPr>
        <w:t xml:space="preserve"> 2</w:t>
      </w:r>
      <w:r w:rsidRPr="00A66843">
        <w:rPr>
          <w:sz w:val="20"/>
          <w:szCs w:val="20"/>
          <w:lang w:val="en-US"/>
        </w:rPr>
        <w:t>–</w:t>
      </w:r>
      <w:r w:rsidRPr="00A66843">
        <w:rPr>
          <w:sz w:val="20"/>
          <w:szCs w:val="20"/>
          <w:shd w:val="clear" w:color="auto" w:fill="FFFFFF"/>
          <w:lang w:val="en-US"/>
        </w:rPr>
        <w:t>16.</w:t>
      </w:r>
    </w:p>
    <w:p w14:paraId="23A4F91A" w14:textId="50C13756" w:rsidR="00B14BBF" w:rsidRPr="00A66843" w:rsidRDefault="00B14BBF" w:rsidP="001302AB">
      <w:pPr>
        <w:tabs>
          <w:tab w:val="left" w:pos="0"/>
          <w:tab w:val="left" w:pos="567"/>
        </w:tabs>
        <w:autoSpaceDE w:val="0"/>
        <w:autoSpaceDN w:val="0"/>
        <w:adjustRightInd w:val="0"/>
        <w:jc w:val="both"/>
        <w:rPr>
          <w:sz w:val="20"/>
          <w:szCs w:val="20"/>
          <w:lang w:val="en-US"/>
        </w:rPr>
      </w:pPr>
      <w:r w:rsidRPr="00A66843">
        <w:rPr>
          <w:sz w:val="20"/>
          <w:szCs w:val="20"/>
          <w:shd w:val="clear" w:color="auto" w:fill="FFFFFF"/>
          <w:lang w:val="en-US"/>
        </w:rPr>
        <w:t>Geltner</w:t>
      </w:r>
      <w:r w:rsidRPr="00A66843">
        <w:rPr>
          <w:sz w:val="20"/>
          <w:szCs w:val="20"/>
          <w:lang w:val="en-US"/>
        </w:rPr>
        <w:t xml:space="preserve">, D. and </w:t>
      </w:r>
      <w:r w:rsidRPr="00A66843">
        <w:rPr>
          <w:sz w:val="20"/>
          <w:szCs w:val="20"/>
          <w:shd w:val="clear" w:color="auto" w:fill="FFFFFF"/>
          <w:lang w:val="en-US"/>
        </w:rPr>
        <w:t>Fisher</w:t>
      </w:r>
      <w:r w:rsidR="00172DD7" w:rsidRPr="0037644C">
        <w:rPr>
          <w:sz w:val="20"/>
          <w:szCs w:val="20"/>
          <w:shd w:val="clear" w:color="auto" w:fill="FFFFFF"/>
          <w:lang w:val="en-US"/>
        </w:rPr>
        <w:t xml:space="preserve">, </w:t>
      </w:r>
      <w:r w:rsidR="00172DD7" w:rsidRPr="00A66843">
        <w:rPr>
          <w:sz w:val="20"/>
          <w:szCs w:val="20"/>
          <w:lang w:val="en-US"/>
        </w:rPr>
        <w:t>J.</w:t>
      </w:r>
      <w:r w:rsidRPr="00A66843">
        <w:rPr>
          <w:sz w:val="20"/>
          <w:szCs w:val="20"/>
          <w:lang w:val="en-US"/>
        </w:rPr>
        <w:t xml:space="preserve"> </w:t>
      </w:r>
      <w:r w:rsidR="00172DD7" w:rsidRPr="0037644C">
        <w:rPr>
          <w:sz w:val="20"/>
          <w:szCs w:val="20"/>
          <w:lang w:val="en-US"/>
        </w:rPr>
        <w:t>(</w:t>
      </w:r>
      <w:r w:rsidRPr="00A66843">
        <w:rPr>
          <w:sz w:val="20"/>
          <w:szCs w:val="20"/>
          <w:lang w:val="en-US"/>
        </w:rPr>
        <w:t>2007</w:t>
      </w:r>
      <w:r w:rsidR="00172DD7" w:rsidRPr="0037644C">
        <w:rPr>
          <w:sz w:val="20"/>
          <w:szCs w:val="20"/>
          <w:lang w:val="en-US"/>
        </w:rPr>
        <w:t>)</w:t>
      </w:r>
      <w:r w:rsidRPr="00A66843">
        <w:rPr>
          <w:sz w:val="20"/>
          <w:szCs w:val="20"/>
          <w:lang w:val="en-US"/>
        </w:rPr>
        <w:t xml:space="preserve">. </w:t>
      </w:r>
      <w:r w:rsidR="00172DD7" w:rsidRPr="0037644C">
        <w:rPr>
          <w:sz w:val="20"/>
          <w:szCs w:val="20"/>
          <w:lang w:val="en-US"/>
        </w:rPr>
        <w:t>“</w:t>
      </w:r>
      <w:r w:rsidRPr="00A66843">
        <w:rPr>
          <w:sz w:val="20"/>
          <w:szCs w:val="20"/>
          <w:lang w:val="en-US"/>
        </w:rPr>
        <w:t>Pricing and Index Considerations in Commercial Real Estate Derivatives</w:t>
      </w:r>
      <w:r w:rsidR="00172DD7" w:rsidRPr="0037644C">
        <w:rPr>
          <w:sz w:val="20"/>
          <w:szCs w:val="20"/>
          <w:lang w:val="en-US"/>
        </w:rPr>
        <w:t>”</w:t>
      </w:r>
      <w:r w:rsidRPr="00A66843">
        <w:rPr>
          <w:sz w:val="20"/>
          <w:szCs w:val="20"/>
          <w:lang w:val="en-US"/>
        </w:rPr>
        <w:t xml:space="preserve">. </w:t>
      </w:r>
      <w:r w:rsidRPr="00A66843">
        <w:rPr>
          <w:i/>
          <w:iCs/>
          <w:sz w:val="20"/>
          <w:szCs w:val="20"/>
          <w:lang w:val="en-US"/>
        </w:rPr>
        <w:t>Journal of Portfolio Management</w:t>
      </w:r>
      <w:r w:rsidR="00172DD7" w:rsidRPr="0037644C">
        <w:rPr>
          <w:iCs/>
          <w:sz w:val="20"/>
          <w:szCs w:val="20"/>
          <w:lang w:val="en-US"/>
        </w:rPr>
        <w:t xml:space="preserve">, Vol. </w:t>
      </w:r>
      <w:r w:rsidRPr="00A66843">
        <w:rPr>
          <w:sz w:val="20"/>
          <w:szCs w:val="20"/>
          <w:lang w:val="en-US"/>
        </w:rPr>
        <w:t>33</w:t>
      </w:r>
      <w:r w:rsidR="00172DD7" w:rsidRPr="0037644C">
        <w:rPr>
          <w:sz w:val="20"/>
          <w:szCs w:val="20"/>
          <w:lang w:val="en-US"/>
        </w:rPr>
        <w:t>, pp.</w:t>
      </w:r>
      <w:r w:rsidRPr="00A66843">
        <w:rPr>
          <w:sz w:val="20"/>
          <w:szCs w:val="20"/>
          <w:lang w:val="en-US"/>
        </w:rPr>
        <w:t xml:space="preserve"> 99–118.</w:t>
      </w:r>
    </w:p>
    <w:p w14:paraId="09743BC7" w14:textId="7B511A85" w:rsidR="00B14BBF" w:rsidRPr="0037644C" w:rsidRDefault="00B14BBF" w:rsidP="001302AB">
      <w:pPr>
        <w:pStyle w:val="ecxmsonormal"/>
        <w:shd w:val="clear" w:color="auto" w:fill="FFFFFF"/>
        <w:tabs>
          <w:tab w:val="left" w:pos="0"/>
          <w:tab w:val="left" w:pos="709"/>
        </w:tabs>
        <w:spacing w:before="0" w:beforeAutospacing="0" w:after="0" w:afterAutospacing="0"/>
        <w:jc w:val="both"/>
        <w:rPr>
          <w:sz w:val="20"/>
          <w:szCs w:val="20"/>
          <w:shd w:val="clear" w:color="auto" w:fill="FFFFFF"/>
        </w:rPr>
      </w:pPr>
      <w:r w:rsidRPr="0037644C">
        <w:rPr>
          <w:sz w:val="20"/>
          <w:szCs w:val="20"/>
          <w:shd w:val="clear" w:color="auto" w:fill="FFFFFF"/>
        </w:rPr>
        <w:t>Gosling, J., Sassi</w:t>
      </w:r>
      <w:r w:rsidR="00172DD7" w:rsidRPr="0037644C">
        <w:rPr>
          <w:sz w:val="20"/>
          <w:szCs w:val="20"/>
          <w:shd w:val="clear" w:color="auto" w:fill="FFFFFF"/>
        </w:rPr>
        <w:t>, P.,</w:t>
      </w:r>
      <w:r w:rsidRPr="0037644C">
        <w:rPr>
          <w:sz w:val="20"/>
          <w:szCs w:val="20"/>
          <w:shd w:val="clear" w:color="auto" w:fill="FFFFFF"/>
        </w:rPr>
        <w:t xml:space="preserve"> Naim </w:t>
      </w:r>
      <w:r w:rsidR="00172DD7" w:rsidRPr="0037644C">
        <w:rPr>
          <w:sz w:val="20"/>
          <w:szCs w:val="20"/>
          <w:shd w:val="clear" w:color="auto" w:fill="FFFFFF"/>
        </w:rPr>
        <w:t xml:space="preserve">M. </w:t>
      </w:r>
      <w:r w:rsidRPr="0037644C">
        <w:rPr>
          <w:sz w:val="20"/>
          <w:szCs w:val="20"/>
          <w:shd w:val="clear" w:color="auto" w:fill="FFFFFF"/>
        </w:rPr>
        <w:t>and Lark</w:t>
      </w:r>
      <w:r w:rsidR="00172DD7" w:rsidRPr="0037644C">
        <w:rPr>
          <w:sz w:val="20"/>
          <w:szCs w:val="20"/>
          <w:shd w:val="clear" w:color="auto" w:fill="FFFFFF"/>
        </w:rPr>
        <w:t>, R.</w:t>
      </w:r>
      <w:r w:rsidRPr="0037644C">
        <w:rPr>
          <w:sz w:val="20"/>
          <w:szCs w:val="20"/>
          <w:shd w:val="clear" w:color="auto" w:fill="FFFFFF"/>
        </w:rPr>
        <w:t xml:space="preserve"> </w:t>
      </w:r>
      <w:r w:rsidR="00172DD7" w:rsidRPr="0037644C">
        <w:rPr>
          <w:sz w:val="20"/>
          <w:szCs w:val="20"/>
          <w:shd w:val="clear" w:color="auto" w:fill="FFFFFF"/>
        </w:rPr>
        <w:t>(</w:t>
      </w:r>
      <w:r w:rsidRPr="0037644C">
        <w:rPr>
          <w:sz w:val="20"/>
          <w:szCs w:val="20"/>
          <w:shd w:val="clear" w:color="auto" w:fill="FFFFFF"/>
        </w:rPr>
        <w:t>2013</w:t>
      </w:r>
      <w:r w:rsidR="00172DD7" w:rsidRPr="0037644C">
        <w:rPr>
          <w:sz w:val="20"/>
          <w:szCs w:val="20"/>
          <w:shd w:val="clear" w:color="auto" w:fill="FFFFFF"/>
        </w:rPr>
        <w:t>)</w:t>
      </w:r>
      <w:r w:rsidRPr="0037644C">
        <w:rPr>
          <w:sz w:val="20"/>
          <w:szCs w:val="20"/>
          <w:shd w:val="clear" w:color="auto" w:fill="FFFFFF"/>
        </w:rPr>
        <w:t xml:space="preserve">. </w:t>
      </w:r>
      <w:r w:rsidR="00172DD7" w:rsidRPr="0037644C">
        <w:rPr>
          <w:sz w:val="20"/>
          <w:szCs w:val="20"/>
          <w:shd w:val="clear" w:color="auto" w:fill="FFFFFF"/>
        </w:rPr>
        <w:t>“</w:t>
      </w:r>
      <w:r w:rsidRPr="0037644C">
        <w:rPr>
          <w:sz w:val="20"/>
          <w:szCs w:val="20"/>
          <w:shd w:val="clear" w:color="auto" w:fill="FFFFFF"/>
        </w:rPr>
        <w:t>Adaptable Buildings: A Systems Approach</w:t>
      </w:r>
      <w:r w:rsidR="00172DD7" w:rsidRPr="0037644C">
        <w:rPr>
          <w:sz w:val="20"/>
          <w:szCs w:val="20"/>
          <w:shd w:val="clear" w:color="auto" w:fill="FFFFFF"/>
        </w:rPr>
        <w:t>”</w:t>
      </w:r>
      <w:r w:rsidRPr="0037644C">
        <w:rPr>
          <w:sz w:val="20"/>
          <w:szCs w:val="20"/>
          <w:shd w:val="clear" w:color="auto" w:fill="FFFFFF"/>
        </w:rPr>
        <w:t>.</w:t>
      </w:r>
      <w:r w:rsidRPr="0037644C">
        <w:rPr>
          <w:rStyle w:val="apple-converted-space"/>
          <w:sz w:val="20"/>
          <w:szCs w:val="20"/>
          <w:shd w:val="clear" w:color="auto" w:fill="FFFFFF"/>
        </w:rPr>
        <w:t> </w:t>
      </w:r>
      <w:r w:rsidRPr="0037644C">
        <w:rPr>
          <w:i/>
          <w:iCs/>
          <w:sz w:val="20"/>
          <w:szCs w:val="20"/>
          <w:shd w:val="clear" w:color="auto" w:fill="FFFFFF"/>
        </w:rPr>
        <w:t>Sustainable Cities and Society</w:t>
      </w:r>
      <w:r w:rsidR="00172DD7" w:rsidRPr="0037644C">
        <w:rPr>
          <w:rStyle w:val="apple-converted-space"/>
          <w:sz w:val="20"/>
          <w:szCs w:val="20"/>
          <w:shd w:val="clear" w:color="auto" w:fill="FFFFFF"/>
        </w:rPr>
        <w:t xml:space="preserve">, Vol. </w:t>
      </w:r>
      <w:r w:rsidRPr="0037644C">
        <w:rPr>
          <w:iCs/>
          <w:sz w:val="20"/>
          <w:szCs w:val="20"/>
          <w:shd w:val="clear" w:color="auto" w:fill="FFFFFF"/>
        </w:rPr>
        <w:t>7</w:t>
      </w:r>
      <w:r w:rsidR="00172DD7" w:rsidRPr="0037644C">
        <w:rPr>
          <w:sz w:val="20"/>
          <w:szCs w:val="20"/>
          <w:shd w:val="clear" w:color="auto" w:fill="FFFFFF"/>
        </w:rPr>
        <w:t>, pp.</w:t>
      </w:r>
      <w:r w:rsidRPr="0037644C">
        <w:rPr>
          <w:sz w:val="20"/>
          <w:szCs w:val="20"/>
          <w:shd w:val="clear" w:color="auto" w:fill="FFFFFF"/>
        </w:rPr>
        <w:t xml:space="preserve"> 44</w:t>
      </w:r>
      <w:r w:rsidRPr="0037644C">
        <w:rPr>
          <w:sz w:val="20"/>
          <w:szCs w:val="20"/>
        </w:rPr>
        <w:t>–</w:t>
      </w:r>
      <w:r w:rsidRPr="0037644C">
        <w:rPr>
          <w:sz w:val="20"/>
          <w:szCs w:val="20"/>
          <w:shd w:val="clear" w:color="auto" w:fill="FFFFFF"/>
        </w:rPr>
        <w:t>51.</w:t>
      </w:r>
    </w:p>
    <w:p w14:paraId="4B25ECAD" w14:textId="43793FC0" w:rsidR="00B14BBF" w:rsidRPr="0037644C" w:rsidRDefault="00B14BBF" w:rsidP="001302AB">
      <w:pPr>
        <w:tabs>
          <w:tab w:val="left" w:pos="0"/>
          <w:tab w:val="left" w:pos="709"/>
          <w:tab w:val="left" w:pos="1701"/>
        </w:tabs>
        <w:jc w:val="both"/>
        <w:rPr>
          <w:sz w:val="20"/>
          <w:szCs w:val="20"/>
          <w:shd w:val="clear" w:color="auto" w:fill="FFFFFF"/>
          <w:lang w:val="en-US"/>
        </w:rPr>
      </w:pPr>
      <w:r w:rsidRPr="00A66843">
        <w:rPr>
          <w:sz w:val="20"/>
          <w:szCs w:val="20"/>
          <w:shd w:val="clear" w:color="auto" w:fill="FFFFFF"/>
          <w:lang w:val="en-US"/>
        </w:rPr>
        <w:t>Hardin, W. and Carr</w:t>
      </w:r>
      <w:r w:rsidR="00172DD7" w:rsidRPr="0037644C">
        <w:rPr>
          <w:sz w:val="20"/>
          <w:szCs w:val="20"/>
          <w:shd w:val="clear" w:color="auto" w:fill="FFFFFF"/>
          <w:lang w:val="en-US"/>
        </w:rPr>
        <w:t xml:space="preserve">, </w:t>
      </w:r>
      <w:r w:rsidR="00172DD7" w:rsidRPr="00A66843">
        <w:rPr>
          <w:sz w:val="20"/>
          <w:szCs w:val="20"/>
          <w:shd w:val="clear" w:color="auto" w:fill="FFFFFF"/>
          <w:lang w:val="en-US"/>
        </w:rPr>
        <w:t>J.</w:t>
      </w:r>
      <w:r w:rsidRPr="00A66843">
        <w:rPr>
          <w:sz w:val="20"/>
          <w:szCs w:val="20"/>
          <w:shd w:val="clear" w:color="auto" w:fill="FFFFFF"/>
          <w:lang w:val="en-US"/>
        </w:rPr>
        <w:t xml:space="preserve"> </w:t>
      </w:r>
      <w:r w:rsidR="00172DD7" w:rsidRPr="0037644C">
        <w:rPr>
          <w:sz w:val="20"/>
          <w:szCs w:val="20"/>
          <w:shd w:val="clear" w:color="auto" w:fill="FFFFFF"/>
          <w:lang w:val="en-US"/>
        </w:rPr>
        <w:t>(</w:t>
      </w:r>
      <w:r w:rsidRPr="00A66843">
        <w:rPr>
          <w:sz w:val="20"/>
          <w:szCs w:val="20"/>
          <w:shd w:val="clear" w:color="auto" w:fill="FFFFFF"/>
          <w:lang w:val="en-US"/>
        </w:rPr>
        <w:t>2006</w:t>
      </w:r>
      <w:r w:rsidR="00172DD7" w:rsidRPr="0037644C">
        <w:rPr>
          <w:sz w:val="20"/>
          <w:szCs w:val="20"/>
          <w:shd w:val="clear" w:color="auto" w:fill="FFFFFF"/>
          <w:lang w:val="en-US"/>
        </w:rPr>
        <w:t>)</w:t>
      </w:r>
      <w:r w:rsidRPr="00A66843">
        <w:rPr>
          <w:sz w:val="20"/>
          <w:szCs w:val="20"/>
          <w:shd w:val="clear" w:color="auto" w:fill="FFFFFF"/>
          <w:lang w:val="en-US"/>
        </w:rPr>
        <w:t xml:space="preserve">. </w:t>
      </w:r>
      <w:r w:rsidR="00172DD7" w:rsidRPr="0037644C">
        <w:rPr>
          <w:sz w:val="20"/>
          <w:szCs w:val="20"/>
          <w:shd w:val="clear" w:color="auto" w:fill="FFFFFF"/>
          <w:lang w:val="en-US"/>
        </w:rPr>
        <w:t>“</w:t>
      </w:r>
      <w:r w:rsidRPr="00A66843">
        <w:rPr>
          <w:sz w:val="20"/>
          <w:szCs w:val="20"/>
          <w:shd w:val="clear" w:color="auto" w:fill="FFFFFF"/>
          <w:lang w:val="en-US"/>
        </w:rPr>
        <w:t>Disaggregating Neighborhood and Community Center Property Types</w:t>
      </w:r>
      <w:r w:rsidR="00172DD7" w:rsidRPr="0037644C">
        <w:rPr>
          <w:sz w:val="20"/>
          <w:szCs w:val="20"/>
          <w:shd w:val="clear" w:color="auto" w:fill="FFFFFF"/>
          <w:lang w:val="en-US"/>
        </w:rPr>
        <w:t>”</w:t>
      </w:r>
      <w:r w:rsidRPr="00A66843">
        <w:rPr>
          <w:sz w:val="20"/>
          <w:szCs w:val="20"/>
          <w:shd w:val="clear" w:color="auto" w:fill="FFFFFF"/>
          <w:lang w:val="en-US"/>
        </w:rPr>
        <w:t>.</w:t>
      </w:r>
      <w:r w:rsidRPr="00A66843">
        <w:rPr>
          <w:rStyle w:val="apple-converted-space"/>
          <w:sz w:val="20"/>
          <w:szCs w:val="20"/>
          <w:shd w:val="clear" w:color="auto" w:fill="FFFFFF"/>
          <w:lang w:val="en-US"/>
        </w:rPr>
        <w:t> </w:t>
      </w:r>
      <w:r w:rsidRPr="00A66843">
        <w:rPr>
          <w:i/>
          <w:iCs/>
          <w:sz w:val="20"/>
          <w:szCs w:val="20"/>
          <w:shd w:val="clear" w:color="auto" w:fill="FFFFFF"/>
          <w:lang w:val="en-US"/>
        </w:rPr>
        <w:t>Journal of Real Estate</w:t>
      </w:r>
      <w:r w:rsidRPr="00A66843">
        <w:rPr>
          <w:iCs/>
          <w:sz w:val="20"/>
          <w:szCs w:val="20"/>
          <w:shd w:val="clear" w:color="auto" w:fill="FFFFFF"/>
          <w:lang w:val="en-US"/>
        </w:rPr>
        <w:t xml:space="preserve"> </w:t>
      </w:r>
      <w:r w:rsidRPr="00A66843">
        <w:rPr>
          <w:i/>
          <w:iCs/>
          <w:sz w:val="20"/>
          <w:szCs w:val="20"/>
          <w:shd w:val="clear" w:color="auto" w:fill="FFFFFF"/>
          <w:lang w:val="en-US"/>
        </w:rPr>
        <w:t>Research</w:t>
      </w:r>
      <w:r w:rsidR="006E454E" w:rsidRPr="0037644C">
        <w:rPr>
          <w:iCs/>
          <w:sz w:val="20"/>
          <w:szCs w:val="20"/>
          <w:shd w:val="clear" w:color="auto" w:fill="FFFFFF"/>
          <w:lang w:val="en-US"/>
        </w:rPr>
        <w:t>, Vol.</w:t>
      </w:r>
      <w:r w:rsidRPr="00A66843">
        <w:rPr>
          <w:rStyle w:val="apple-converted-space"/>
          <w:sz w:val="20"/>
          <w:szCs w:val="20"/>
          <w:shd w:val="clear" w:color="auto" w:fill="FFFFFF"/>
          <w:lang w:val="en-US"/>
        </w:rPr>
        <w:t> </w:t>
      </w:r>
      <w:r w:rsidRPr="00A66843">
        <w:rPr>
          <w:iCs/>
          <w:sz w:val="20"/>
          <w:szCs w:val="20"/>
          <w:shd w:val="clear" w:color="auto" w:fill="FFFFFF"/>
          <w:lang w:val="en-US"/>
        </w:rPr>
        <w:t>28</w:t>
      </w:r>
      <w:r w:rsidR="006E454E" w:rsidRPr="0037644C">
        <w:rPr>
          <w:iCs/>
          <w:sz w:val="20"/>
          <w:szCs w:val="20"/>
          <w:shd w:val="clear" w:color="auto" w:fill="FFFFFF"/>
          <w:lang w:val="en-US"/>
        </w:rPr>
        <w:t>, pp.</w:t>
      </w:r>
      <w:r w:rsidRPr="00A66843">
        <w:rPr>
          <w:sz w:val="20"/>
          <w:szCs w:val="20"/>
          <w:shd w:val="clear" w:color="auto" w:fill="FFFFFF"/>
          <w:lang w:val="en-US"/>
        </w:rPr>
        <w:t xml:space="preserve"> 167</w:t>
      </w:r>
      <w:r w:rsidRPr="00A66843">
        <w:rPr>
          <w:sz w:val="20"/>
          <w:szCs w:val="20"/>
          <w:lang w:val="en-US"/>
        </w:rPr>
        <w:t>–</w:t>
      </w:r>
      <w:r w:rsidRPr="00A66843">
        <w:rPr>
          <w:sz w:val="20"/>
          <w:szCs w:val="20"/>
          <w:shd w:val="clear" w:color="auto" w:fill="FFFFFF"/>
          <w:lang w:val="en-US"/>
        </w:rPr>
        <w:t>192.</w:t>
      </w:r>
    </w:p>
    <w:p w14:paraId="2B970AC7" w14:textId="48ED0CFF" w:rsidR="00A91B8F" w:rsidRPr="00A66843" w:rsidRDefault="00A91B8F" w:rsidP="001302AB">
      <w:pPr>
        <w:pStyle w:val="ecxmsonormal"/>
        <w:shd w:val="clear" w:color="auto" w:fill="FFFFFF"/>
        <w:tabs>
          <w:tab w:val="left" w:pos="142"/>
          <w:tab w:val="left" w:pos="709"/>
        </w:tabs>
        <w:spacing w:before="0" w:beforeAutospacing="0" w:after="0" w:afterAutospacing="0"/>
        <w:jc w:val="both"/>
        <w:rPr>
          <w:noProof w:val="0"/>
          <w:sz w:val="20"/>
          <w:szCs w:val="20"/>
          <w:shd w:val="clear" w:color="auto" w:fill="FFFFFF"/>
        </w:rPr>
      </w:pPr>
      <w:r w:rsidRPr="0037644C">
        <w:rPr>
          <w:noProof w:val="0"/>
          <w:sz w:val="20"/>
          <w:szCs w:val="20"/>
          <w:shd w:val="clear" w:color="auto" w:fill="FFFFFF"/>
        </w:rPr>
        <w:t>Helbich, M., Brunauer, W., Vaz, E.</w:t>
      </w:r>
      <w:r w:rsidR="006E454E" w:rsidRPr="0037644C">
        <w:rPr>
          <w:noProof w:val="0"/>
          <w:sz w:val="20"/>
          <w:szCs w:val="20"/>
          <w:shd w:val="clear" w:color="auto" w:fill="FFFFFF"/>
        </w:rPr>
        <w:t xml:space="preserve"> and</w:t>
      </w:r>
      <w:r w:rsidRPr="0037644C">
        <w:rPr>
          <w:noProof w:val="0"/>
          <w:sz w:val="20"/>
          <w:szCs w:val="20"/>
          <w:shd w:val="clear" w:color="auto" w:fill="FFFFFF"/>
        </w:rPr>
        <w:t xml:space="preserve"> Nijkamp, P. </w:t>
      </w:r>
      <w:r w:rsidR="006E454E" w:rsidRPr="0037644C">
        <w:rPr>
          <w:noProof w:val="0"/>
          <w:sz w:val="20"/>
          <w:szCs w:val="20"/>
          <w:shd w:val="clear" w:color="auto" w:fill="FFFFFF"/>
        </w:rPr>
        <w:t>(</w:t>
      </w:r>
      <w:r w:rsidRPr="0037644C">
        <w:rPr>
          <w:noProof w:val="0"/>
          <w:sz w:val="20"/>
          <w:szCs w:val="20"/>
          <w:shd w:val="clear" w:color="auto" w:fill="FFFFFF"/>
        </w:rPr>
        <w:t>2014</w:t>
      </w:r>
      <w:r w:rsidR="006E454E" w:rsidRPr="0037644C">
        <w:rPr>
          <w:noProof w:val="0"/>
          <w:sz w:val="20"/>
          <w:szCs w:val="20"/>
          <w:shd w:val="clear" w:color="auto" w:fill="FFFFFF"/>
        </w:rPr>
        <w:t>)</w:t>
      </w:r>
      <w:r w:rsidRPr="0037644C">
        <w:rPr>
          <w:noProof w:val="0"/>
          <w:sz w:val="20"/>
          <w:szCs w:val="20"/>
          <w:shd w:val="clear" w:color="auto" w:fill="FFFFFF"/>
        </w:rPr>
        <w:t xml:space="preserve">. </w:t>
      </w:r>
      <w:r w:rsidR="006E454E" w:rsidRPr="0037644C">
        <w:rPr>
          <w:noProof w:val="0"/>
          <w:sz w:val="20"/>
          <w:szCs w:val="20"/>
          <w:shd w:val="clear" w:color="auto" w:fill="FFFFFF"/>
        </w:rPr>
        <w:t>“</w:t>
      </w:r>
      <w:r w:rsidRPr="0037644C">
        <w:rPr>
          <w:noProof w:val="0"/>
          <w:sz w:val="20"/>
          <w:szCs w:val="20"/>
          <w:shd w:val="clear" w:color="auto" w:fill="FFFFFF"/>
        </w:rPr>
        <w:t>Spatial Heterogeneity in Hedonic House Price Models</w:t>
      </w:r>
      <w:r w:rsidR="006E454E" w:rsidRPr="0037644C">
        <w:rPr>
          <w:noProof w:val="0"/>
          <w:sz w:val="20"/>
          <w:szCs w:val="20"/>
          <w:shd w:val="clear" w:color="auto" w:fill="FFFFFF"/>
        </w:rPr>
        <w:t>”</w:t>
      </w:r>
      <w:r w:rsidRPr="0037644C">
        <w:rPr>
          <w:noProof w:val="0"/>
          <w:sz w:val="20"/>
          <w:szCs w:val="20"/>
          <w:shd w:val="clear" w:color="auto" w:fill="FFFFFF"/>
        </w:rPr>
        <w:t xml:space="preserve">. </w:t>
      </w:r>
      <w:r w:rsidRPr="0037644C">
        <w:rPr>
          <w:i/>
          <w:noProof w:val="0"/>
          <w:sz w:val="20"/>
          <w:szCs w:val="20"/>
          <w:shd w:val="clear" w:color="auto" w:fill="FFFFFF"/>
        </w:rPr>
        <w:t>Urban Studies</w:t>
      </w:r>
      <w:r w:rsidRPr="0037644C">
        <w:rPr>
          <w:noProof w:val="0"/>
          <w:sz w:val="20"/>
          <w:szCs w:val="20"/>
          <w:shd w:val="clear" w:color="auto" w:fill="FFFFFF"/>
        </w:rPr>
        <w:t xml:space="preserve">, </w:t>
      </w:r>
      <w:r w:rsidR="006E454E" w:rsidRPr="0037644C">
        <w:rPr>
          <w:noProof w:val="0"/>
          <w:sz w:val="20"/>
          <w:szCs w:val="20"/>
          <w:shd w:val="clear" w:color="auto" w:fill="FFFFFF"/>
        </w:rPr>
        <w:t xml:space="preserve">Vol. </w:t>
      </w:r>
      <w:r w:rsidRPr="0037644C">
        <w:rPr>
          <w:noProof w:val="0"/>
          <w:sz w:val="20"/>
          <w:szCs w:val="20"/>
          <w:shd w:val="clear" w:color="auto" w:fill="FFFFFF"/>
        </w:rPr>
        <w:t xml:space="preserve">51, </w:t>
      </w:r>
      <w:r w:rsidR="006E454E" w:rsidRPr="0037644C">
        <w:rPr>
          <w:noProof w:val="0"/>
          <w:sz w:val="20"/>
          <w:szCs w:val="20"/>
          <w:shd w:val="clear" w:color="auto" w:fill="FFFFFF"/>
        </w:rPr>
        <w:t xml:space="preserve">pp. </w:t>
      </w:r>
      <w:r w:rsidRPr="0037644C">
        <w:rPr>
          <w:noProof w:val="0"/>
          <w:sz w:val="20"/>
          <w:szCs w:val="20"/>
          <w:shd w:val="clear" w:color="auto" w:fill="FFFFFF"/>
        </w:rPr>
        <w:t xml:space="preserve">390-411. </w:t>
      </w:r>
    </w:p>
    <w:p w14:paraId="4E9D805C" w14:textId="6C9426C8" w:rsidR="00B14BBF" w:rsidRDefault="00B14BBF" w:rsidP="001302AB">
      <w:pPr>
        <w:tabs>
          <w:tab w:val="left" w:pos="0"/>
        </w:tabs>
        <w:autoSpaceDE w:val="0"/>
        <w:autoSpaceDN w:val="0"/>
        <w:adjustRightInd w:val="0"/>
        <w:jc w:val="both"/>
        <w:rPr>
          <w:sz w:val="20"/>
          <w:szCs w:val="20"/>
          <w:shd w:val="clear" w:color="auto" w:fill="FFFFFF"/>
          <w:lang w:val="en-US"/>
        </w:rPr>
      </w:pPr>
      <w:r w:rsidRPr="00A66843">
        <w:rPr>
          <w:sz w:val="20"/>
          <w:szCs w:val="20"/>
          <w:shd w:val="clear" w:color="auto" w:fill="FFFFFF"/>
          <w:lang w:val="en-US"/>
        </w:rPr>
        <w:t>Ibanez, M. and Pennington-Cross</w:t>
      </w:r>
      <w:r w:rsidR="006E454E" w:rsidRPr="0037644C">
        <w:rPr>
          <w:sz w:val="20"/>
          <w:szCs w:val="20"/>
          <w:shd w:val="clear" w:color="auto" w:fill="FFFFFF"/>
          <w:lang w:val="en-US"/>
        </w:rPr>
        <w:t xml:space="preserve">, </w:t>
      </w:r>
      <w:r w:rsidR="006E454E" w:rsidRPr="00A66843">
        <w:rPr>
          <w:sz w:val="20"/>
          <w:szCs w:val="20"/>
          <w:shd w:val="clear" w:color="auto" w:fill="FFFFFF"/>
          <w:lang w:val="en-US"/>
        </w:rPr>
        <w:t>A.</w:t>
      </w:r>
      <w:r w:rsidRPr="00A66843">
        <w:rPr>
          <w:sz w:val="20"/>
          <w:szCs w:val="20"/>
          <w:shd w:val="clear" w:color="auto" w:fill="FFFFFF"/>
          <w:lang w:val="en-US"/>
        </w:rPr>
        <w:t xml:space="preserve"> </w:t>
      </w:r>
      <w:r w:rsidR="006E454E" w:rsidRPr="0037644C">
        <w:rPr>
          <w:sz w:val="20"/>
          <w:szCs w:val="20"/>
          <w:shd w:val="clear" w:color="auto" w:fill="FFFFFF"/>
          <w:lang w:val="en-US"/>
        </w:rPr>
        <w:t>(</w:t>
      </w:r>
      <w:r w:rsidRPr="00A66843">
        <w:rPr>
          <w:sz w:val="20"/>
          <w:szCs w:val="20"/>
          <w:shd w:val="clear" w:color="auto" w:fill="FFFFFF"/>
          <w:lang w:val="en-US"/>
        </w:rPr>
        <w:t>2013</w:t>
      </w:r>
      <w:r w:rsidR="006E454E" w:rsidRPr="0037644C">
        <w:rPr>
          <w:sz w:val="20"/>
          <w:szCs w:val="20"/>
          <w:shd w:val="clear" w:color="auto" w:fill="FFFFFF"/>
          <w:lang w:val="en-US"/>
        </w:rPr>
        <w:t>)</w:t>
      </w:r>
      <w:r w:rsidRPr="00A66843">
        <w:rPr>
          <w:sz w:val="20"/>
          <w:szCs w:val="20"/>
          <w:shd w:val="clear" w:color="auto" w:fill="FFFFFF"/>
          <w:lang w:val="en-US"/>
        </w:rPr>
        <w:t xml:space="preserve">. </w:t>
      </w:r>
      <w:r w:rsidR="006E454E" w:rsidRPr="0037644C">
        <w:rPr>
          <w:sz w:val="20"/>
          <w:szCs w:val="20"/>
          <w:shd w:val="clear" w:color="auto" w:fill="FFFFFF"/>
          <w:lang w:val="en-US"/>
        </w:rPr>
        <w:t>“</w:t>
      </w:r>
      <w:r w:rsidRPr="00A66843">
        <w:rPr>
          <w:sz w:val="20"/>
          <w:szCs w:val="20"/>
          <w:shd w:val="clear" w:color="auto" w:fill="FFFFFF"/>
          <w:lang w:val="en-US"/>
        </w:rPr>
        <w:t>Commercial Property Rent Dynamics in US Metropolitan Areas: An Examination of Office, Industrial, Flex and Retail Space</w:t>
      </w:r>
      <w:r w:rsidR="006E454E" w:rsidRPr="0037644C">
        <w:rPr>
          <w:sz w:val="20"/>
          <w:szCs w:val="20"/>
          <w:shd w:val="clear" w:color="auto" w:fill="FFFFFF"/>
          <w:lang w:val="en-US"/>
        </w:rPr>
        <w:t>”</w:t>
      </w:r>
      <w:r w:rsidRPr="00A66843">
        <w:rPr>
          <w:sz w:val="20"/>
          <w:szCs w:val="20"/>
          <w:shd w:val="clear" w:color="auto" w:fill="FFFFFF"/>
          <w:lang w:val="en-US"/>
        </w:rPr>
        <w:t>.</w:t>
      </w:r>
      <w:r w:rsidRPr="00A66843">
        <w:rPr>
          <w:rStyle w:val="apple-converted-space"/>
          <w:sz w:val="20"/>
          <w:szCs w:val="20"/>
          <w:shd w:val="clear" w:color="auto" w:fill="FFFFFF"/>
          <w:lang w:val="en-US"/>
        </w:rPr>
        <w:t> </w:t>
      </w:r>
      <w:r w:rsidRPr="007F4AC7">
        <w:rPr>
          <w:i/>
          <w:iCs/>
          <w:sz w:val="20"/>
          <w:szCs w:val="20"/>
          <w:shd w:val="clear" w:color="auto" w:fill="FFFFFF"/>
          <w:lang w:val="en-US"/>
        </w:rPr>
        <w:t>Journal of Real Estate Finance and Economics</w:t>
      </w:r>
      <w:r w:rsidR="006E454E" w:rsidRPr="0037644C">
        <w:rPr>
          <w:rStyle w:val="apple-converted-space"/>
          <w:sz w:val="20"/>
          <w:szCs w:val="20"/>
          <w:shd w:val="clear" w:color="auto" w:fill="FFFFFF"/>
          <w:lang w:val="en-US"/>
        </w:rPr>
        <w:t xml:space="preserve">, Vol. </w:t>
      </w:r>
      <w:r w:rsidRPr="007F4AC7">
        <w:rPr>
          <w:iCs/>
          <w:sz w:val="20"/>
          <w:szCs w:val="20"/>
          <w:shd w:val="clear" w:color="auto" w:fill="FFFFFF"/>
          <w:lang w:val="en-US"/>
        </w:rPr>
        <w:t>46</w:t>
      </w:r>
      <w:r w:rsidR="006E454E" w:rsidRPr="007F4AC7">
        <w:rPr>
          <w:iCs/>
          <w:sz w:val="20"/>
          <w:szCs w:val="20"/>
          <w:shd w:val="clear" w:color="auto" w:fill="FFFFFF"/>
          <w:lang w:val="en-US"/>
        </w:rPr>
        <w:t>, pp.</w:t>
      </w:r>
      <w:r w:rsidRPr="00D62B9D">
        <w:rPr>
          <w:sz w:val="20"/>
          <w:szCs w:val="20"/>
          <w:shd w:val="clear" w:color="auto" w:fill="FFFFFF"/>
          <w:lang w:val="en-US"/>
        </w:rPr>
        <w:t xml:space="preserve"> 232</w:t>
      </w:r>
      <w:r w:rsidRPr="00D62B9D">
        <w:rPr>
          <w:sz w:val="20"/>
          <w:szCs w:val="20"/>
          <w:lang w:val="en-US"/>
        </w:rPr>
        <w:t>–</w:t>
      </w:r>
      <w:r w:rsidRPr="00D62B9D">
        <w:rPr>
          <w:sz w:val="20"/>
          <w:szCs w:val="20"/>
          <w:shd w:val="clear" w:color="auto" w:fill="FFFFFF"/>
          <w:lang w:val="en-US"/>
        </w:rPr>
        <w:t>259.</w:t>
      </w:r>
    </w:p>
    <w:p w14:paraId="0AA0C391" w14:textId="3467ACE8" w:rsidR="005E047D" w:rsidRPr="005E047D" w:rsidRDefault="005E047D" w:rsidP="005E047D">
      <w:pPr>
        <w:jc w:val="both"/>
        <w:rPr>
          <w:rFonts w:eastAsia="Times New Roman"/>
          <w:color w:val="FF0000"/>
          <w:sz w:val="20"/>
          <w:szCs w:val="20"/>
          <w:lang w:val="en-US" w:eastAsia="en-GB"/>
        </w:rPr>
      </w:pPr>
      <w:r w:rsidRPr="005E047D">
        <w:rPr>
          <w:rFonts w:eastAsia="Times New Roman"/>
          <w:color w:val="FF0000"/>
          <w:sz w:val="20"/>
          <w:szCs w:val="20"/>
          <w:lang w:val="en-US" w:eastAsia="en-GB"/>
        </w:rPr>
        <w:t xml:space="preserve">Isard, P. (1977). “How </w:t>
      </w:r>
      <w:r w:rsidR="00232642">
        <w:rPr>
          <w:rFonts w:eastAsia="Times New Roman"/>
          <w:color w:val="FF0000"/>
          <w:sz w:val="20"/>
          <w:szCs w:val="20"/>
          <w:lang w:val="en-US" w:eastAsia="en-GB"/>
        </w:rPr>
        <w:t>F</w:t>
      </w:r>
      <w:r w:rsidRPr="005E047D">
        <w:rPr>
          <w:rFonts w:eastAsia="Times New Roman"/>
          <w:color w:val="FF0000"/>
          <w:sz w:val="20"/>
          <w:szCs w:val="20"/>
          <w:lang w:val="en-US" w:eastAsia="en-GB"/>
        </w:rPr>
        <w:t xml:space="preserve">ar </w:t>
      </w:r>
      <w:r w:rsidR="00232642">
        <w:rPr>
          <w:rFonts w:eastAsia="Times New Roman"/>
          <w:color w:val="FF0000"/>
          <w:sz w:val="20"/>
          <w:szCs w:val="20"/>
          <w:lang w:val="en-US" w:eastAsia="en-GB"/>
        </w:rPr>
        <w:t>C</w:t>
      </w:r>
      <w:r w:rsidRPr="005E047D">
        <w:rPr>
          <w:rFonts w:eastAsia="Times New Roman"/>
          <w:color w:val="FF0000"/>
          <w:sz w:val="20"/>
          <w:szCs w:val="20"/>
          <w:lang w:val="en-US" w:eastAsia="en-GB"/>
        </w:rPr>
        <w:t xml:space="preserve">an we </w:t>
      </w:r>
      <w:r w:rsidR="00232642">
        <w:rPr>
          <w:rFonts w:eastAsia="Times New Roman"/>
          <w:color w:val="FF0000"/>
          <w:sz w:val="20"/>
          <w:szCs w:val="20"/>
          <w:lang w:val="en-US" w:eastAsia="en-GB"/>
        </w:rPr>
        <w:t>P</w:t>
      </w:r>
      <w:r w:rsidRPr="005E047D">
        <w:rPr>
          <w:rFonts w:eastAsia="Times New Roman"/>
          <w:color w:val="FF0000"/>
          <w:sz w:val="20"/>
          <w:szCs w:val="20"/>
          <w:lang w:val="en-US" w:eastAsia="en-GB"/>
        </w:rPr>
        <w:t xml:space="preserve">ush </w:t>
      </w:r>
      <w:r w:rsidR="00232642">
        <w:rPr>
          <w:rFonts w:eastAsia="Times New Roman"/>
          <w:color w:val="FF0000"/>
          <w:sz w:val="20"/>
          <w:szCs w:val="20"/>
          <w:lang w:val="en-US" w:eastAsia="en-GB"/>
        </w:rPr>
        <w:t>t</w:t>
      </w:r>
      <w:r w:rsidRPr="005E047D">
        <w:rPr>
          <w:rFonts w:eastAsia="Times New Roman"/>
          <w:color w:val="FF0000"/>
          <w:sz w:val="20"/>
          <w:szCs w:val="20"/>
          <w:lang w:val="en-US" w:eastAsia="en-GB"/>
        </w:rPr>
        <w:t>he</w:t>
      </w:r>
      <w:r w:rsidR="00232642">
        <w:rPr>
          <w:rFonts w:eastAsia="Times New Roman"/>
          <w:color w:val="FF0000"/>
          <w:sz w:val="20"/>
          <w:szCs w:val="20"/>
          <w:lang w:val="en-US" w:eastAsia="en-GB"/>
        </w:rPr>
        <w:t xml:space="preserve"> L</w:t>
      </w:r>
      <w:r w:rsidRPr="005E047D">
        <w:rPr>
          <w:rFonts w:eastAsia="Times New Roman"/>
          <w:color w:val="FF0000"/>
          <w:sz w:val="20"/>
          <w:szCs w:val="20"/>
          <w:lang w:val="en-US" w:eastAsia="en-GB"/>
        </w:rPr>
        <w:t xml:space="preserve">aw of </w:t>
      </w:r>
      <w:r w:rsidR="00232642">
        <w:rPr>
          <w:rFonts w:eastAsia="Times New Roman"/>
          <w:color w:val="FF0000"/>
          <w:sz w:val="20"/>
          <w:szCs w:val="20"/>
          <w:lang w:val="en-US" w:eastAsia="en-GB"/>
        </w:rPr>
        <w:t>O</w:t>
      </w:r>
      <w:r w:rsidRPr="005E047D">
        <w:rPr>
          <w:rFonts w:eastAsia="Times New Roman"/>
          <w:color w:val="FF0000"/>
          <w:sz w:val="20"/>
          <w:szCs w:val="20"/>
          <w:lang w:val="en-US" w:eastAsia="en-GB"/>
        </w:rPr>
        <w:t xml:space="preserve">ne </w:t>
      </w:r>
      <w:r w:rsidR="00232642">
        <w:rPr>
          <w:rFonts w:eastAsia="Times New Roman"/>
          <w:color w:val="FF0000"/>
          <w:sz w:val="20"/>
          <w:szCs w:val="20"/>
          <w:lang w:val="en-US" w:eastAsia="en-GB"/>
        </w:rPr>
        <w:t>P</w:t>
      </w:r>
      <w:r w:rsidRPr="005E047D">
        <w:rPr>
          <w:rFonts w:eastAsia="Times New Roman"/>
          <w:color w:val="FF0000"/>
          <w:sz w:val="20"/>
          <w:szCs w:val="20"/>
          <w:lang w:val="en-US" w:eastAsia="en-GB"/>
        </w:rPr>
        <w:t xml:space="preserve">rice?”. </w:t>
      </w:r>
      <w:r w:rsidRPr="005E047D">
        <w:rPr>
          <w:rFonts w:eastAsia="Times New Roman"/>
          <w:i/>
          <w:iCs/>
          <w:color w:val="FF0000"/>
          <w:sz w:val="20"/>
          <w:szCs w:val="20"/>
          <w:lang w:val="en-US" w:eastAsia="en-GB"/>
        </w:rPr>
        <w:t>The American Economic Review</w:t>
      </w:r>
      <w:r w:rsidRPr="005E047D">
        <w:rPr>
          <w:rFonts w:eastAsia="Times New Roman"/>
          <w:color w:val="FF0000"/>
          <w:sz w:val="20"/>
          <w:szCs w:val="20"/>
          <w:lang w:val="en-US" w:eastAsia="en-GB"/>
        </w:rPr>
        <w:t xml:space="preserve">, </w:t>
      </w:r>
      <w:r w:rsidR="00232642">
        <w:rPr>
          <w:rFonts w:eastAsia="Times New Roman"/>
          <w:color w:val="FF0000"/>
          <w:sz w:val="20"/>
          <w:szCs w:val="20"/>
          <w:lang w:val="en-US" w:eastAsia="en-GB"/>
        </w:rPr>
        <w:t xml:space="preserve">Vol. </w:t>
      </w:r>
      <w:r w:rsidRPr="005E047D">
        <w:rPr>
          <w:rFonts w:eastAsia="Times New Roman"/>
          <w:iCs/>
          <w:color w:val="FF0000"/>
          <w:sz w:val="20"/>
          <w:szCs w:val="20"/>
          <w:lang w:val="en-US" w:eastAsia="en-GB"/>
        </w:rPr>
        <w:t>67</w:t>
      </w:r>
      <w:r w:rsidRPr="005E047D">
        <w:rPr>
          <w:rFonts w:eastAsia="Times New Roman"/>
          <w:color w:val="FF0000"/>
          <w:sz w:val="20"/>
          <w:szCs w:val="20"/>
          <w:lang w:val="en-US" w:eastAsia="en-GB"/>
        </w:rPr>
        <w:t xml:space="preserve">, </w:t>
      </w:r>
      <w:r w:rsidR="00232642">
        <w:rPr>
          <w:rFonts w:eastAsia="Times New Roman"/>
          <w:color w:val="FF0000"/>
          <w:sz w:val="20"/>
          <w:szCs w:val="20"/>
          <w:lang w:val="en-US" w:eastAsia="en-GB"/>
        </w:rPr>
        <w:t xml:space="preserve">pp. </w:t>
      </w:r>
      <w:r w:rsidRPr="005E047D">
        <w:rPr>
          <w:rFonts w:eastAsia="Times New Roman"/>
          <w:color w:val="FF0000"/>
          <w:sz w:val="20"/>
          <w:szCs w:val="20"/>
          <w:lang w:val="en-US" w:eastAsia="en-GB"/>
        </w:rPr>
        <w:t>942-948.</w:t>
      </w:r>
    </w:p>
    <w:p w14:paraId="7AE0F414" w14:textId="31C611A6" w:rsidR="006E454E" w:rsidRPr="0037644C" w:rsidRDefault="001302AB" w:rsidP="001302AB">
      <w:pPr>
        <w:tabs>
          <w:tab w:val="left" w:pos="142"/>
          <w:tab w:val="left" w:pos="709"/>
        </w:tabs>
        <w:jc w:val="both"/>
        <w:rPr>
          <w:sz w:val="20"/>
          <w:szCs w:val="20"/>
          <w:lang w:val="en-US"/>
        </w:rPr>
      </w:pPr>
      <w:r w:rsidRPr="007F4AC7">
        <w:rPr>
          <w:sz w:val="20"/>
          <w:szCs w:val="20"/>
          <w:lang w:val="en-US"/>
        </w:rPr>
        <w:t xml:space="preserve">JLL., 2016. </w:t>
      </w:r>
      <w:r w:rsidR="006E454E" w:rsidRPr="0037644C">
        <w:rPr>
          <w:sz w:val="20"/>
          <w:szCs w:val="20"/>
          <w:lang w:val="en-US"/>
        </w:rPr>
        <w:t>“</w:t>
      </w:r>
      <w:r w:rsidRPr="0037644C">
        <w:rPr>
          <w:sz w:val="20"/>
          <w:szCs w:val="20"/>
          <w:lang w:val="en-US"/>
        </w:rPr>
        <w:t>Central London Office Market Report Q4 2015</w:t>
      </w:r>
      <w:r w:rsidR="006E454E" w:rsidRPr="0037644C">
        <w:rPr>
          <w:sz w:val="20"/>
          <w:szCs w:val="20"/>
          <w:lang w:val="en-US"/>
        </w:rPr>
        <w:t xml:space="preserve">”, available at http://www.jll.co.uk/united-kingdom/en-gb/research/297/central-london-office-market-research-report-q4-2015 </w:t>
      </w:r>
      <w:r w:rsidR="006E454E" w:rsidRPr="0037644C">
        <w:rPr>
          <w:sz w:val="20"/>
          <w:szCs w:val="20"/>
          <w:shd w:val="clear" w:color="auto" w:fill="FFFFFF"/>
          <w:lang w:val="en-US"/>
        </w:rPr>
        <w:t>[Assessed on 28 August 2017].</w:t>
      </w:r>
    </w:p>
    <w:p w14:paraId="16A87D46" w14:textId="77777777" w:rsidR="006E454E" w:rsidRPr="0037644C" w:rsidRDefault="00517898" w:rsidP="001302AB">
      <w:pPr>
        <w:tabs>
          <w:tab w:val="left" w:pos="142"/>
          <w:tab w:val="left" w:pos="709"/>
        </w:tabs>
        <w:jc w:val="both"/>
        <w:rPr>
          <w:sz w:val="20"/>
          <w:szCs w:val="20"/>
          <w:lang w:val="en-US"/>
        </w:rPr>
      </w:pPr>
      <w:r w:rsidRPr="0037644C">
        <w:rPr>
          <w:sz w:val="20"/>
          <w:szCs w:val="20"/>
          <w:lang w:val="en-US"/>
        </w:rPr>
        <w:t xml:space="preserve">Ke, Q., </w:t>
      </w:r>
      <w:r w:rsidR="006E454E" w:rsidRPr="0037644C">
        <w:rPr>
          <w:sz w:val="20"/>
          <w:szCs w:val="20"/>
          <w:lang w:val="en-US"/>
        </w:rPr>
        <w:t xml:space="preserve">and </w:t>
      </w:r>
      <w:r w:rsidRPr="0037644C">
        <w:rPr>
          <w:sz w:val="20"/>
          <w:szCs w:val="20"/>
          <w:lang w:val="en-US"/>
        </w:rPr>
        <w:t xml:space="preserve">Wang, W. </w:t>
      </w:r>
      <w:r w:rsidR="006E454E" w:rsidRPr="0037644C">
        <w:rPr>
          <w:sz w:val="20"/>
          <w:szCs w:val="20"/>
          <w:lang w:val="en-US"/>
        </w:rPr>
        <w:t>(</w:t>
      </w:r>
      <w:r w:rsidRPr="0037644C">
        <w:rPr>
          <w:sz w:val="20"/>
          <w:szCs w:val="20"/>
          <w:lang w:val="en-US"/>
        </w:rPr>
        <w:t>2016</w:t>
      </w:r>
      <w:r w:rsidR="006E454E" w:rsidRPr="0037644C">
        <w:rPr>
          <w:sz w:val="20"/>
          <w:szCs w:val="20"/>
          <w:lang w:val="en-US"/>
        </w:rPr>
        <w:t>)</w:t>
      </w:r>
      <w:r w:rsidRPr="0037644C">
        <w:rPr>
          <w:sz w:val="20"/>
          <w:szCs w:val="20"/>
          <w:lang w:val="en-US"/>
        </w:rPr>
        <w:t xml:space="preserve">. </w:t>
      </w:r>
      <w:r w:rsidR="006E454E" w:rsidRPr="0037644C">
        <w:rPr>
          <w:sz w:val="20"/>
          <w:szCs w:val="20"/>
          <w:lang w:val="en-US"/>
        </w:rPr>
        <w:t>“</w:t>
      </w:r>
      <w:r w:rsidRPr="0037644C">
        <w:rPr>
          <w:sz w:val="20"/>
          <w:szCs w:val="20"/>
          <w:lang w:val="en-US"/>
        </w:rPr>
        <w:t>The Factors that Determine Shopping Center Rent in China</w:t>
      </w:r>
      <w:r w:rsidR="006E454E" w:rsidRPr="0037644C">
        <w:rPr>
          <w:sz w:val="20"/>
          <w:szCs w:val="20"/>
          <w:lang w:val="en-US"/>
        </w:rPr>
        <w:t>”</w:t>
      </w:r>
      <w:r w:rsidRPr="0037644C">
        <w:rPr>
          <w:sz w:val="20"/>
          <w:szCs w:val="20"/>
          <w:lang w:val="en-US"/>
        </w:rPr>
        <w:t xml:space="preserve">. </w:t>
      </w:r>
      <w:r w:rsidRPr="0037644C">
        <w:rPr>
          <w:i/>
          <w:sz w:val="20"/>
          <w:szCs w:val="20"/>
          <w:lang w:val="en-US"/>
        </w:rPr>
        <w:t>Journal of Property Investment &amp; Finance</w:t>
      </w:r>
      <w:r w:rsidRPr="0037644C">
        <w:rPr>
          <w:sz w:val="20"/>
          <w:szCs w:val="20"/>
          <w:lang w:val="en-US"/>
        </w:rPr>
        <w:t xml:space="preserve">, </w:t>
      </w:r>
      <w:r w:rsidR="006E454E" w:rsidRPr="0037644C">
        <w:rPr>
          <w:sz w:val="20"/>
          <w:szCs w:val="20"/>
          <w:lang w:val="en-US"/>
        </w:rPr>
        <w:t xml:space="preserve">Vol. </w:t>
      </w:r>
      <w:r w:rsidRPr="0037644C">
        <w:rPr>
          <w:sz w:val="20"/>
          <w:szCs w:val="20"/>
          <w:lang w:val="en-US"/>
        </w:rPr>
        <w:t xml:space="preserve">34, </w:t>
      </w:r>
      <w:r w:rsidR="006E454E" w:rsidRPr="0037644C">
        <w:rPr>
          <w:sz w:val="20"/>
          <w:szCs w:val="20"/>
          <w:lang w:val="en-US"/>
        </w:rPr>
        <w:t xml:space="preserve">pp. </w:t>
      </w:r>
      <w:r w:rsidRPr="0037644C">
        <w:rPr>
          <w:sz w:val="20"/>
          <w:szCs w:val="20"/>
          <w:lang w:val="en-US"/>
        </w:rPr>
        <w:t xml:space="preserve">172-185. </w:t>
      </w:r>
    </w:p>
    <w:p w14:paraId="399CD9C1" w14:textId="090BDF97" w:rsidR="0044424F" w:rsidRPr="0037644C" w:rsidRDefault="0044424F" w:rsidP="001302AB">
      <w:pPr>
        <w:tabs>
          <w:tab w:val="left" w:pos="142"/>
          <w:tab w:val="left" w:pos="709"/>
        </w:tabs>
        <w:jc w:val="both"/>
        <w:rPr>
          <w:sz w:val="20"/>
          <w:szCs w:val="20"/>
          <w:lang w:val="en-US"/>
        </w:rPr>
      </w:pPr>
      <w:r w:rsidRPr="0037644C">
        <w:rPr>
          <w:spacing w:val="5"/>
          <w:sz w:val="20"/>
          <w:szCs w:val="20"/>
          <w:shd w:val="clear" w:color="auto" w:fill="FFFFFF"/>
          <w:lang w:val="en-US"/>
        </w:rPr>
        <w:t>Liusman, </w:t>
      </w:r>
      <w:r w:rsidR="006E454E" w:rsidRPr="0037644C">
        <w:rPr>
          <w:spacing w:val="5"/>
          <w:sz w:val="20"/>
          <w:szCs w:val="20"/>
          <w:shd w:val="clear" w:color="auto" w:fill="FFFFFF"/>
          <w:lang w:val="en-US"/>
        </w:rPr>
        <w:t xml:space="preserve">E., Ho, </w:t>
      </w:r>
      <w:r w:rsidRPr="0037644C">
        <w:rPr>
          <w:spacing w:val="5"/>
          <w:sz w:val="20"/>
          <w:szCs w:val="20"/>
          <w:shd w:val="clear" w:color="auto" w:fill="FFFFFF"/>
          <w:lang w:val="en-US"/>
        </w:rPr>
        <w:t>D, </w:t>
      </w:r>
      <w:r w:rsidR="006E454E" w:rsidRPr="0037644C">
        <w:rPr>
          <w:spacing w:val="5"/>
          <w:sz w:val="20"/>
          <w:szCs w:val="20"/>
          <w:shd w:val="clear" w:color="auto" w:fill="FFFFFF"/>
          <w:lang w:val="en-US"/>
        </w:rPr>
        <w:t xml:space="preserve">Lo, </w:t>
      </w:r>
      <w:r w:rsidRPr="0037644C">
        <w:rPr>
          <w:spacing w:val="5"/>
          <w:sz w:val="20"/>
          <w:szCs w:val="20"/>
          <w:shd w:val="clear" w:color="auto" w:fill="FFFFFF"/>
          <w:lang w:val="en-US"/>
        </w:rPr>
        <w:t>H</w:t>
      </w:r>
      <w:r w:rsidR="006E454E" w:rsidRPr="0037644C">
        <w:rPr>
          <w:spacing w:val="5"/>
          <w:sz w:val="20"/>
          <w:szCs w:val="20"/>
          <w:shd w:val="clear" w:color="auto" w:fill="FFFFFF"/>
          <w:lang w:val="en-US"/>
        </w:rPr>
        <w:t>. and Lo, D.</w:t>
      </w:r>
      <w:r w:rsidRPr="0037644C">
        <w:rPr>
          <w:spacing w:val="5"/>
          <w:sz w:val="20"/>
          <w:szCs w:val="20"/>
          <w:shd w:val="clear" w:color="auto" w:fill="FFFFFF"/>
          <w:lang w:val="en-US"/>
        </w:rPr>
        <w:t xml:space="preserve"> (2017) "Office </w:t>
      </w:r>
      <w:r w:rsidR="006E454E" w:rsidRPr="0037644C">
        <w:rPr>
          <w:spacing w:val="5"/>
          <w:sz w:val="20"/>
          <w:szCs w:val="20"/>
          <w:shd w:val="clear" w:color="auto" w:fill="FFFFFF"/>
          <w:lang w:val="en-US"/>
        </w:rPr>
        <w:t>R</w:t>
      </w:r>
      <w:r w:rsidRPr="0037644C">
        <w:rPr>
          <w:spacing w:val="5"/>
          <w:sz w:val="20"/>
          <w:szCs w:val="20"/>
          <w:shd w:val="clear" w:color="auto" w:fill="FFFFFF"/>
          <w:lang w:val="en-US"/>
        </w:rPr>
        <w:t xml:space="preserve">ents, </w:t>
      </w:r>
      <w:r w:rsidR="006E454E" w:rsidRPr="0037644C">
        <w:rPr>
          <w:spacing w:val="5"/>
          <w:sz w:val="20"/>
          <w:szCs w:val="20"/>
          <w:shd w:val="clear" w:color="auto" w:fill="FFFFFF"/>
          <w:lang w:val="en-US"/>
        </w:rPr>
        <w:t>M</w:t>
      </w:r>
      <w:r w:rsidRPr="0037644C">
        <w:rPr>
          <w:spacing w:val="5"/>
          <w:sz w:val="20"/>
          <w:szCs w:val="20"/>
          <w:shd w:val="clear" w:color="auto" w:fill="FFFFFF"/>
          <w:lang w:val="en-US"/>
        </w:rPr>
        <w:t xml:space="preserve">ixed-use </w:t>
      </w:r>
      <w:r w:rsidR="006E454E" w:rsidRPr="0037644C">
        <w:rPr>
          <w:spacing w:val="5"/>
          <w:sz w:val="20"/>
          <w:szCs w:val="20"/>
          <w:shd w:val="clear" w:color="auto" w:fill="FFFFFF"/>
          <w:lang w:val="en-US"/>
        </w:rPr>
        <w:t>D</w:t>
      </w:r>
      <w:r w:rsidRPr="0037644C">
        <w:rPr>
          <w:spacing w:val="5"/>
          <w:sz w:val="20"/>
          <w:szCs w:val="20"/>
          <w:shd w:val="clear" w:color="auto" w:fill="FFFFFF"/>
          <w:lang w:val="en-US"/>
        </w:rPr>
        <w:t xml:space="preserve">evelopments, and </w:t>
      </w:r>
      <w:r w:rsidR="006E454E" w:rsidRPr="0037644C">
        <w:rPr>
          <w:spacing w:val="5"/>
          <w:sz w:val="20"/>
          <w:szCs w:val="20"/>
          <w:shd w:val="clear" w:color="auto" w:fill="FFFFFF"/>
          <w:lang w:val="en-US"/>
        </w:rPr>
        <w:t>A</w:t>
      </w:r>
      <w:r w:rsidRPr="0037644C">
        <w:rPr>
          <w:spacing w:val="5"/>
          <w:sz w:val="20"/>
          <w:szCs w:val="20"/>
          <w:shd w:val="clear" w:color="auto" w:fill="FFFFFF"/>
          <w:lang w:val="en-US"/>
        </w:rPr>
        <w:t xml:space="preserve">gglomeration </w:t>
      </w:r>
      <w:r w:rsidR="006E454E" w:rsidRPr="0037644C">
        <w:rPr>
          <w:spacing w:val="5"/>
          <w:sz w:val="20"/>
          <w:szCs w:val="20"/>
          <w:shd w:val="clear" w:color="auto" w:fill="FFFFFF"/>
          <w:lang w:val="en-US"/>
        </w:rPr>
        <w:t>E</w:t>
      </w:r>
      <w:r w:rsidRPr="0037644C">
        <w:rPr>
          <w:spacing w:val="5"/>
          <w:sz w:val="20"/>
          <w:szCs w:val="20"/>
          <w:shd w:val="clear" w:color="auto" w:fill="FFFFFF"/>
          <w:lang w:val="en-US"/>
        </w:rPr>
        <w:t xml:space="preserve">conomies: </w:t>
      </w:r>
      <w:r w:rsidR="006E454E" w:rsidRPr="0037644C">
        <w:rPr>
          <w:spacing w:val="5"/>
          <w:sz w:val="20"/>
          <w:szCs w:val="20"/>
          <w:shd w:val="clear" w:color="auto" w:fill="FFFFFF"/>
          <w:lang w:val="en-US"/>
        </w:rPr>
        <w:t>A</w:t>
      </w:r>
      <w:r w:rsidRPr="0037644C">
        <w:rPr>
          <w:spacing w:val="5"/>
          <w:sz w:val="20"/>
          <w:szCs w:val="20"/>
          <w:shd w:val="clear" w:color="auto" w:fill="FFFFFF"/>
          <w:lang w:val="en-US"/>
        </w:rPr>
        <w:t xml:space="preserve"> </w:t>
      </w:r>
      <w:r w:rsidR="006E454E" w:rsidRPr="0037644C">
        <w:rPr>
          <w:spacing w:val="5"/>
          <w:sz w:val="20"/>
          <w:szCs w:val="20"/>
          <w:shd w:val="clear" w:color="auto" w:fill="FFFFFF"/>
          <w:lang w:val="en-US"/>
        </w:rPr>
        <w:t>P</w:t>
      </w:r>
      <w:r w:rsidRPr="0037644C">
        <w:rPr>
          <w:spacing w:val="5"/>
          <w:sz w:val="20"/>
          <w:szCs w:val="20"/>
          <w:shd w:val="clear" w:color="auto" w:fill="FFFFFF"/>
          <w:lang w:val="en-US"/>
        </w:rPr>
        <w:t xml:space="preserve">anel </w:t>
      </w:r>
      <w:r w:rsidR="006E454E" w:rsidRPr="0037644C">
        <w:rPr>
          <w:spacing w:val="5"/>
          <w:sz w:val="20"/>
          <w:szCs w:val="20"/>
          <w:shd w:val="clear" w:color="auto" w:fill="FFFFFF"/>
          <w:lang w:val="en-US"/>
        </w:rPr>
        <w:t>D</w:t>
      </w:r>
      <w:r w:rsidRPr="0037644C">
        <w:rPr>
          <w:spacing w:val="5"/>
          <w:sz w:val="20"/>
          <w:szCs w:val="20"/>
          <w:shd w:val="clear" w:color="auto" w:fill="FFFFFF"/>
          <w:lang w:val="en-US"/>
        </w:rPr>
        <w:t xml:space="preserve">ata </w:t>
      </w:r>
      <w:r w:rsidR="006E454E" w:rsidRPr="0037644C">
        <w:rPr>
          <w:spacing w:val="5"/>
          <w:sz w:val="20"/>
          <w:szCs w:val="20"/>
          <w:shd w:val="clear" w:color="auto" w:fill="FFFFFF"/>
          <w:lang w:val="en-US"/>
        </w:rPr>
        <w:t>A</w:t>
      </w:r>
      <w:r w:rsidRPr="0037644C">
        <w:rPr>
          <w:spacing w:val="5"/>
          <w:sz w:val="20"/>
          <w:szCs w:val="20"/>
          <w:shd w:val="clear" w:color="auto" w:fill="FFFFFF"/>
          <w:lang w:val="en-US"/>
        </w:rPr>
        <w:t>nalysis", </w:t>
      </w:r>
      <w:r w:rsidRPr="0037644C">
        <w:rPr>
          <w:i/>
          <w:sz w:val="20"/>
          <w:szCs w:val="20"/>
          <w:lang w:val="en-US"/>
        </w:rPr>
        <w:t>Journal of Property Investment &amp; Finance</w:t>
      </w:r>
      <w:r w:rsidRPr="0037644C">
        <w:rPr>
          <w:spacing w:val="5"/>
          <w:sz w:val="20"/>
          <w:szCs w:val="20"/>
          <w:shd w:val="clear" w:color="auto" w:fill="FFFFFF"/>
          <w:lang w:val="en-US"/>
        </w:rPr>
        <w:t>, Vol. 35, pp.455-471</w:t>
      </w:r>
      <w:r w:rsidR="006E454E" w:rsidRPr="0037644C">
        <w:rPr>
          <w:spacing w:val="5"/>
          <w:sz w:val="20"/>
          <w:szCs w:val="20"/>
          <w:shd w:val="clear" w:color="auto" w:fill="FFFFFF"/>
          <w:lang w:val="en-US"/>
        </w:rPr>
        <w:t>.</w:t>
      </w:r>
    </w:p>
    <w:p w14:paraId="577E5E9C" w14:textId="1AFDAF58" w:rsidR="00517898" w:rsidRPr="0037644C" w:rsidRDefault="00517898" w:rsidP="001302AB">
      <w:pPr>
        <w:tabs>
          <w:tab w:val="left" w:pos="709"/>
        </w:tabs>
        <w:jc w:val="both"/>
        <w:rPr>
          <w:sz w:val="20"/>
          <w:szCs w:val="20"/>
          <w:shd w:val="clear" w:color="auto" w:fill="FFFFFF"/>
          <w:lang w:val="en-US"/>
        </w:rPr>
      </w:pPr>
      <w:r w:rsidRPr="0037644C">
        <w:rPr>
          <w:sz w:val="20"/>
          <w:szCs w:val="20"/>
          <w:shd w:val="clear" w:color="auto" w:fill="FFFFFF"/>
          <w:lang w:val="en-US"/>
        </w:rPr>
        <w:t>MCord, M., Davis, P., Haran, M., McGreal, S</w:t>
      </w:r>
      <w:r w:rsidR="006E454E" w:rsidRPr="0037644C">
        <w:rPr>
          <w:sz w:val="20"/>
          <w:szCs w:val="20"/>
          <w:shd w:val="clear" w:color="auto" w:fill="FFFFFF"/>
          <w:lang w:val="en-US"/>
        </w:rPr>
        <w:t xml:space="preserve">. and </w:t>
      </w:r>
      <w:r w:rsidRPr="0037644C">
        <w:rPr>
          <w:sz w:val="20"/>
          <w:szCs w:val="20"/>
          <w:shd w:val="clear" w:color="auto" w:fill="FFFFFF"/>
          <w:lang w:val="en-US"/>
        </w:rPr>
        <w:t xml:space="preserve">Mcllhatton, D. </w:t>
      </w:r>
      <w:r w:rsidR="006E454E" w:rsidRPr="0037644C">
        <w:rPr>
          <w:sz w:val="20"/>
          <w:szCs w:val="20"/>
          <w:shd w:val="clear" w:color="auto" w:fill="FFFFFF"/>
          <w:lang w:val="en-US"/>
        </w:rPr>
        <w:t>(</w:t>
      </w:r>
      <w:r w:rsidRPr="0037644C">
        <w:rPr>
          <w:sz w:val="20"/>
          <w:szCs w:val="20"/>
          <w:shd w:val="clear" w:color="auto" w:fill="FFFFFF"/>
          <w:lang w:val="en-US"/>
        </w:rPr>
        <w:t>2012</w:t>
      </w:r>
      <w:r w:rsidR="006E454E" w:rsidRPr="0037644C">
        <w:rPr>
          <w:sz w:val="20"/>
          <w:szCs w:val="20"/>
          <w:shd w:val="clear" w:color="auto" w:fill="FFFFFF"/>
          <w:lang w:val="en-US"/>
        </w:rPr>
        <w:t>)</w:t>
      </w:r>
      <w:r w:rsidRPr="0037644C">
        <w:rPr>
          <w:sz w:val="20"/>
          <w:szCs w:val="20"/>
          <w:shd w:val="clear" w:color="auto" w:fill="FFFFFF"/>
          <w:lang w:val="en-US"/>
        </w:rPr>
        <w:t xml:space="preserve">. </w:t>
      </w:r>
      <w:r w:rsidR="006E454E" w:rsidRPr="0037644C">
        <w:rPr>
          <w:sz w:val="20"/>
          <w:szCs w:val="20"/>
          <w:shd w:val="clear" w:color="auto" w:fill="FFFFFF"/>
          <w:lang w:val="en-US"/>
        </w:rPr>
        <w:t>“</w:t>
      </w:r>
      <w:r w:rsidRPr="0037644C">
        <w:rPr>
          <w:sz w:val="20"/>
          <w:szCs w:val="20"/>
          <w:shd w:val="clear" w:color="auto" w:fill="FFFFFF"/>
          <w:lang w:val="en-US"/>
        </w:rPr>
        <w:t>Spatial Variation as a Determinant of House Price</w:t>
      </w:r>
      <w:r w:rsidR="006E454E" w:rsidRPr="0037644C">
        <w:rPr>
          <w:sz w:val="20"/>
          <w:szCs w:val="20"/>
          <w:shd w:val="clear" w:color="auto" w:fill="FFFFFF"/>
          <w:lang w:val="en-US"/>
        </w:rPr>
        <w:t>”</w:t>
      </w:r>
      <w:r w:rsidRPr="0037644C">
        <w:rPr>
          <w:sz w:val="20"/>
          <w:szCs w:val="20"/>
          <w:shd w:val="clear" w:color="auto" w:fill="FFFFFF"/>
          <w:lang w:val="en-US"/>
        </w:rPr>
        <w:t xml:space="preserve">. </w:t>
      </w:r>
      <w:r w:rsidRPr="0037644C">
        <w:rPr>
          <w:i/>
          <w:sz w:val="20"/>
          <w:szCs w:val="20"/>
          <w:shd w:val="clear" w:color="auto" w:fill="FFFFFF"/>
          <w:lang w:val="en-US"/>
        </w:rPr>
        <w:t>Journal of Financial Management of Property and Construction</w:t>
      </w:r>
      <w:r w:rsidRPr="0037644C">
        <w:rPr>
          <w:sz w:val="20"/>
          <w:szCs w:val="20"/>
          <w:shd w:val="clear" w:color="auto" w:fill="FFFFFF"/>
          <w:lang w:val="en-US"/>
        </w:rPr>
        <w:t xml:space="preserve">, </w:t>
      </w:r>
      <w:r w:rsidR="006E454E" w:rsidRPr="0037644C">
        <w:rPr>
          <w:sz w:val="20"/>
          <w:szCs w:val="20"/>
          <w:shd w:val="clear" w:color="auto" w:fill="FFFFFF"/>
          <w:lang w:val="en-US"/>
        </w:rPr>
        <w:t xml:space="preserve">Vol. </w:t>
      </w:r>
      <w:r w:rsidRPr="0037644C">
        <w:rPr>
          <w:sz w:val="20"/>
          <w:szCs w:val="20"/>
          <w:shd w:val="clear" w:color="auto" w:fill="FFFFFF"/>
          <w:lang w:val="en-US"/>
        </w:rPr>
        <w:t xml:space="preserve">17, </w:t>
      </w:r>
      <w:r w:rsidR="006E454E" w:rsidRPr="0037644C">
        <w:rPr>
          <w:sz w:val="20"/>
          <w:szCs w:val="20"/>
          <w:shd w:val="clear" w:color="auto" w:fill="FFFFFF"/>
          <w:lang w:val="en-US"/>
        </w:rPr>
        <w:t xml:space="preserve">pp. </w:t>
      </w:r>
      <w:r w:rsidRPr="0037644C">
        <w:rPr>
          <w:sz w:val="20"/>
          <w:szCs w:val="20"/>
          <w:shd w:val="clear" w:color="auto" w:fill="FFFFFF"/>
          <w:lang w:val="en-US"/>
        </w:rPr>
        <w:t xml:space="preserve">49-72. </w:t>
      </w:r>
    </w:p>
    <w:p w14:paraId="67118AAD" w14:textId="6BD5A0AC" w:rsidR="00B14BBF" w:rsidRDefault="00B14BBF" w:rsidP="001302AB">
      <w:pPr>
        <w:tabs>
          <w:tab w:val="left" w:pos="0"/>
          <w:tab w:val="left" w:pos="709"/>
        </w:tabs>
        <w:jc w:val="both"/>
        <w:rPr>
          <w:sz w:val="20"/>
          <w:szCs w:val="20"/>
          <w:shd w:val="clear" w:color="auto" w:fill="FFFFFF"/>
          <w:lang w:val="en-US"/>
        </w:rPr>
      </w:pPr>
      <w:r w:rsidRPr="00D62B9D">
        <w:rPr>
          <w:sz w:val="20"/>
          <w:szCs w:val="20"/>
          <w:shd w:val="clear" w:color="auto" w:fill="FFFFFF"/>
          <w:lang w:val="en-US"/>
        </w:rPr>
        <w:t>Olayonwa, G., Iman</w:t>
      </w:r>
      <w:r w:rsidR="006E454E" w:rsidRPr="0037644C">
        <w:rPr>
          <w:sz w:val="20"/>
          <w:szCs w:val="20"/>
          <w:shd w:val="clear" w:color="auto" w:fill="FFFFFF"/>
          <w:lang w:val="en-US"/>
        </w:rPr>
        <w:t xml:space="preserve">, </w:t>
      </w:r>
      <w:r w:rsidR="006E454E" w:rsidRPr="00D62B9D">
        <w:rPr>
          <w:sz w:val="20"/>
          <w:szCs w:val="20"/>
          <w:shd w:val="clear" w:color="auto" w:fill="FFFFFF"/>
          <w:lang w:val="en-US"/>
        </w:rPr>
        <w:t>A.</w:t>
      </w:r>
      <w:r w:rsidRPr="00D62B9D">
        <w:rPr>
          <w:sz w:val="20"/>
          <w:szCs w:val="20"/>
          <w:shd w:val="clear" w:color="auto" w:fill="FFFFFF"/>
          <w:lang w:val="en-US"/>
        </w:rPr>
        <w:t xml:space="preserve"> and Ismail</w:t>
      </w:r>
      <w:r w:rsidR="006E454E" w:rsidRPr="0037644C">
        <w:rPr>
          <w:sz w:val="20"/>
          <w:szCs w:val="20"/>
          <w:shd w:val="clear" w:color="auto" w:fill="FFFFFF"/>
          <w:lang w:val="en-US"/>
        </w:rPr>
        <w:t xml:space="preserve">, </w:t>
      </w:r>
      <w:r w:rsidR="006E454E" w:rsidRPr="00D62B9D">
        <w:rPr>
          <w:sz w:val="20"/>
          <w:szCs w:val="20"/>
          <w:shd w:val="clear" w:color="auto" w:fill="FFFFFF"/>
          <w:lang w:val="en-US"/>
        </w:rPr>
        <w:t>S.</w:t>
      </w:r>
      <w:r w:rsidRPr="00D62B9D">
        <w:rPr>
          <w:sz w:val="20"/>
          <w:szCs w:val="20"/>
          <w:shd w:val="clear" w:color="auto" w:fill="FFFFFF"/>
          <w:lang w:val="en-US"/>
        </w:rPr>
        <w:t xml:space="preserve"> </w:t>
      </w:r>
      <w:r w:rsidR="006E454E" w:rsidRPr="0037644C">
        <w:rPr>
          <w:sz w:val="20"/>
          <w:szCs w:val="20"/>
          <w:shd w:val="clear" w:color="auto" w:fill="FFFFFF"/>
          <w:lang w:val="en-US"/>
        </w:rPr>
        <w:t>(</w:t>
      </w:r>
      <w:r w:rsidRPr="00D62B9D">
        <w:rPr>
          <w:sz w:val="20"/>
          <w:szCs w:val="20"/>
          <w:shd w:val="clear" w:color="auto" w:fill="FFFFFF"/>
          <w:lang w:val="en-US"/>
        </w:rPr>
        <w:t>2012</w:t>
      </w:r>
      <w:r w:rsidR="006E454E" w:rsidRPr="0037644C">
        <w:rPr>
          <w:sz w:val="20"/>
          <w:szCs w:val="20"/>
          <w:shd w:val="clear" w:color="auto" w:fill="FFFFFF"/>
          <w:lang w:val="en-US"/>
        </w:rPr>
        <w:t>)</w:t>
      </w:r>
      <w:r w:rsidRPr="00D62B9D">
        <w:rPr>
          <w:sz w:val="20"/>
          <w:szCs w:val="20"/>
          <w:shd w:val="clear" w:color="auto" w:fill="FFFFFF"/>
          <w:lang w:val="en-US"/>
        </w:rPr>
        <w:t xml:space="preserve">. </w:t>
      </w:r>
      <w:r w:rsidR="006E454E" w:rsidRPr="0037644C">
        <w:rPr>
          <w:sz w:val="20"/>
          <w:szCs w:val="20"/>
          <w:shd w:val="clear" w:color="auto" w:fill="FFFFFF"/>
          <w:lang w:val="en-US"/>
        </w:rPr>
        <w:t>“</w:t>
      </w:r>
      <w:r w:rsidRPr="00D62B9D">
        <w:rPr>
          <w:sz w:val="20"/>
          <w:szCs w:val="20"/>
          <w:shd w:val="clear" w:color="auto" w:fill="FFFFFF"/>
          <w:lang w:val="en-US"/>
        </w:rPr>
        <w:t>Office Quality Classification Theoretical and Empirical Issues</w:t>
      </w:r>
      <w:r w:rsidR="006E454E" w:rsidRPr="0037644C">
        <w:rPr>
          <w:sz w:val="20"/>
          <w:szCs w:val="20"/>
          <w:shd w:val="clear" w:color="auto" w:fill="FFFFFF"/>
          <w:lang w:val="en-US"/>
        </w:rPr>
        <w:t>”</w:t>
      </w:r>
      <w:r w:rsidRPr="00D62B9D">
        <w:rPr>
          <w:sz w:val="20"/>
          <w:szCs w:val="20"/>
          <w:shd w:val="clear" w:color="auto" w:fill="FFFFFF"/>
          <w:lang w:val="en-US"/>
        </w:rPr>
        <w:t>.</w:t>
      </w:r>
      <w:r w:rsidRPr="00D62B9D">
        <w:rPr>
          <w:rStyle w:val="apple-converted-space"/>
          <w:sz w:val="20"/>
          <w:szCs w:val="20"/>
          <w:shd w:val="clear" w:color="auto" w:fill="FFFFFF"/>
          <w:lang w:val="en-US"/>
        </w:rPr>
        <w:t> </w:t>
      </w:r>
      <w:r w:rsidRPr="00D62B9D">
        <w:rPr>
          <w:i/>
          <w:iCs/>
          <w:sz w:val="20"/>
          <w:szCs w:val="20"/>
          <w:shd w:val="clear" w:color="auto" w:fill="FFFFFF"/>
          <w:lang w:val="en-US"/>
        </w:rPr>
        <w:t>International Journal of Strategic Property Management</w:t>
      </w:r>
      <w:r w:rsidR="006E454E" w:rsidRPr="0037644C">
        <w:rPr>
          <w:rStyle w:val="apple-converted-space"/>
          <w:sz w:val="20"/>
          <w:szCs w:val="20"/>
          <w:shd w:val="clear" w:color="auto" w:fill="FFFFFF"/>
          <w:lang w:val="en-US"/>
        </w:rPr>
        <w:t xml:space="preserve">, Vol. </w:t>
      </w:r>
      <w:r w:rsidRPr="00D62B9D">
        <w:rPr>
          <w:iCs/>
          <w:sz w:val="20"/>
          <w:szCs w:val="20"/>
          <w:shd w:val="clear" w:color="auto" w:fill="FFFFFF"/>
          <w:lang w:val="en-US"/>
        </w:rPr>
        <w:t>16</w:t>
      </w:r>
      <w:r w:rsidR="006E454E" w:rsidRPr="0037644C">
        <w:rPr>
          <w:iCs/>
          <w:sz w:val="20"/>
          <w:szCs w:val="20"/>
          <w:shd w:val="clear" w:color="auto" w:fill="FFFFFF"/>
          <w:lang w:val="en-US"/>
        </w:rPr>
        <w:t>, pp.</w:t>
      </w:r>
      <w:r w:rsidRPr="00D62B9D">
        <w:rPr>
          <w:sz w:val="20"/>
          <w:szCs w:val="20"/>
          <w:shd w:val="clear" w:color="auto" w:fill="FFFFFF"/>
          <w:lang w:val="en-US"/>
        </w:rPr>
        <w:t xml:space="preserve"> 126</w:t>
      </w:r>
      <w:r w:rsidRPr="00D62B9D">
        <w:rPr>
          <w:sz w:val="20"/>
          <w:szCs w:val="20"/>
          <w:lang w:val="en-US"/>
        </w:rPr>
        <w:t>–</w:t>
      </w:r>
      <w:r w:rsidRPr="00D62B9D">
        <w:rPr>
          <w:sz w:val="20"/>
          <w:szCs w:val="20"/>
          <w:shd w:val="clear" w:color="auto" w:fill="FFFFFF"/>
          <w:lang w:val="en-US"/>
        </w:rPr>
        <w:t>142.</w:t>
      </w:r>
    </w:p>
    <w:p w14:paraId="78C6FEEC" w14:textId="2F5C8C40" w:rsidR="00232642" w:rsidRPr="00232642" w:rsidRDefault="00232642" w:rsidP="002326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color w:val="FF0000"/>
          <w:sz w:val="20"/>
          <w:szCs w:val="20"/>
          <w:lang w:val="en-US" w:eastAsia="en-GB"/>
        </w:rPr>
      </w:pPr>
      <w:r w:rsidRPr="00232642">
        <w:rPr>
          <w:rStyle w:val="author"/>
          <w:color w:val="FF0000"/>
          <w:sz w:val="20"/>
          <w:szCs w:val="20"/>
          <w:lang w:val="en-US"/>
        </w:rPr>
        <w:t>Lamont, O., and Thaler, R. (</w:t>
      </w:r>
      <w:r w:rsidRPr="00232642">
        <w:rPr>
          <w:rStyle w:val="year"/>
          <w:iCs/>
          <w:color w:val="FF0000"/>
          <w:sz w:val="20"/>
          <w:szCs w:val="20"/>
          <w:lang w:val="en-US"/>
        </w:rPr>
        <w:t>2003).</w:t>
      </w:r>
      <w:r w:rsidRPr="00232642">
        <w:rPr>
          <w:rStyle w:val="HTMLCite"/>
          <w:color w:val="FF0000"/>
          <w:sz w:val="20"/>
          <w:szCs w:val="20"/>
          <w:lang w:val="en-US"/>
        </w:rPr>
        <w:t xml:space="preserve"> </w:t>
      </w:r>
      <w:r w:rsidRPr="00232642">
        <w:rPr>
          <w:rStyle w:val="Ttulo1"/>
          <w:iCs/>
          <w:color w:val="FF0000"/>
          <w:sz w:val="20"/>
          <w:szCs w:val="20"/>
          <w:lang w:val="en-US"/>
        </w:rPr>
        <w:t>"Anomalies: The Law of One Price in Financial Markets."</w:t>
      </w:r>
      <w:r w:rsidRPr="00232642">
        <w:rPr>
          <w:rStyle w:val="HTMLCite"/>
          <w:color w:val="FF0000"/>
          <w:sz w:val="20"/>
          <w:szCs w:val="20"/>
          <w:lang w:val="en-US"/>
        </w:rPr>
        <w:t xml:space="preserve"> </w:t>
      </w:r>
      <w:r w:rsidRPr="00232642">
        <w:rPr>
          <w:rStyle w:val="journal"/>
          <w:i/>
          <w:iCs/>
          <w:color w:val="FF0000"/>
          <w:sz w:val="20"/>
          <w:szCs w:val="20"/>
          <w:lang w:val="en-US"/>
        </w:rPr>
        <w:t>Journal of Economic Perspectives</w:t>
      </w:r>
      <w:r w:rsidRPr="00232642">
        <w:rPr>
          <w:rStyle w:val="HTMLCite"/>
          <w:color w:val="FF0000"/>
          <w:sz w:val="20"/>
          <w:szCs w:val="20"/>
          <w:lang w:val="en-US"/>
        </w:rPr>
        <w:t xml:space="preserve">, Vol. </w:t>
      </w:r>
      <w:r w:rsidRPr="00232642">
        <w:rPr>
          <w:rStyle w:val="vol"/>
          <w:iCs/>
          <w:color w:val="FF0000"/>
          <w:sz w:val="20"/>
          <w:szCs w:val="20"/>
          <w:lang w:val="en-US"/>
        </w:rPr>
        <w:t>17, pp. 191-202</w:t>
      </w:r>
      <w:r w:rsidRPr="00232642">
        <w:rPr>
          <w:rStyle w:val="pages"/>
          <w:iCs/>
          <w:color w:val="FF0000"/>
          <w:sz w:val="20"/>
          <w:szCs w:val="20"/>
          <w:lang w:val="en-US"/>
        </w:rPr>
        <w:t>.</w:t>
      </w:r>
    </w:p>
    <w:p w14:paraId="2702017D" w14:textId="06DE0672" w:rsidR="00B14BBF" w:rsidRPr="00D62B9D" w:rsidRDefault="00B14BBF" w:rsidP="001302AB">
      <w:pPr>
        <w:tabs>
          <w:tab w:val="left" w:pos="0"/>
          <w:tab w:val="left" w:pos="567"/>
        </w:tabs>
        <w:jc w:val="both"/>
        <w:rPr>
          <w:sz w:val="20"/>
          <w:szCs w:val="20"/>
          <w:lang w:val="en-US"/>
        </w:rPr>
      </w:pPr>
      <w:r w:rsidRPr="00D62B9D">
        <w:rPr>
          <w:sz w:val="20"/>
          <w:szCs w:val="20"/>
          <w:shd w:val="clear" w:color="auto" w:fill="FFFFFF"/>
          <w:lang w:val="en-US"/>
        </w:rPr>
        <w:t xml:space="preserve">Reichardt, A., Fuerst, </w:t>
      </w:r>
      <w:r w:rsidR="0037644C" w:rsidRPr="00D62B9D">
        <w:rPr>
          <w:sz w:val="20"/>
          <w:szCs w:val="20"/>
          <w:shd w:val="clear" w:color="auto" w:fill="FFFFFF"/>
          <w:lang w:val="en-US"/>
        </w:rPr>
        <w:t>F.</w:t>
      </w:r>
      <w:r w:rsidR="0037644C" w:rsidRPr="0037644C">
        <w:rPr>
          <w:sz w:val="20"/>
          <w:szCs w:val="20"/>
          <w:shd w:val="clear" w:color="auto" w:fill="FFFFFF"/>
          <w:lang w:val="en-US"/>
        </w:rPr>
        <w:t xml:space="preserve">, </w:t>
      </w:r>
      <w:r w:rsidRPr="00D62B9D">
        <w:rPr>
          <w:sz w:val="20"/>
          <w:szCs w:val="20"/>
          <w:shd w:val="clear" w:color="auto" w:fill="FFFFFF"/>
          <w:lang w:val="en-US"/>
        </w:rPr>
        <w:t>Rottke</w:t>
      </w:r>
      <w:r w:rsidR="0037644C" w:rsidRPr="0037644C">
        <w:rPr>
          <w:sz w:val="20"/>
          <w:szCs w:val="20"/>
          <w:shd w:val="clear" w:color="auto" w:fill="FFFFFF"/>
          <w:lang w:val="en-US"/>
        </w:rPr>
        <w:t xml:space="preserve">, </w:t>
      </w:r>
      <w:r w:rsidR="0037644C" w:rsidRPr="00D62B9D">
        <w:rPr>
          <w:sz w:val="20"/>
          <w:szCs w:val="20"/>
          <w:shd w:val="clear" w:color="auto" w:fill="FFFFFF"/>
          <w:lang w:val="en-US"/>
        </w:rPr>
        <w:t>N.</w:t>
      </w:r>
      <w:r w:rsidRPr="00D62B9D">
        <w:rPr>
          <w:sz w:val="20"/>
          <w:szCs w:val="20"/>
          <w:shd w:val="clear" w:color="auto" w:fill="FFFFFF"/>
          <w:lang w:val="en-US"/>
        </w:rPr>
        <w:t xml:space="preserve"> and Zietz</w:t>
      </w:r>
      <w:r w:rsidR="0037644C" w:rsidRPr="0037644C">
        <w:rPr>
          <w:sz w:val="20"/>
          <w:szCs w:val="20"/>
          <w:shd w:val="clear" w:color="auto" w:fill="FFFFFF"/>
          <w:lang w:val="en-US"/>
        </w:rPr>
        <w:t xml:space="preserve">, </w:t>
      </w:r>
      <w:r w:rsidR="0037644C" w:rsidRPr="00D62B9D">
        <w:rPr>
          <w:sz w:val="20"/>
          <w:szCs w:val="20"/>
          <w:shd w:val="clear" w:color="auto" w:fill="FFFFFF"/>
          <w:lang w:val="en-US"/>
        </w:rPr>
        <w:t>J.</w:t>
      </w:r>
      <w:r w:rsidRPr="00D62B9D">
        <w:rPr>
          <w:sz w:val="20"/>
          <w:szCs w:val="20"/>
          <w:shd w:val="clear" w:color="auto" w:fill="FFFFFF"/>
          <w:lang w:val="en-US"/>
        </w:rPr>
        <w:t xml:space="preserve"> </w:t>
      </w:r>
      <w:r w:rsidR="0037644C" w:rsidRPr="0037644C">
        <w:rPr>
          <w:sz w:val="20"/>
          <w:szCs w:val="20"/>
          <w:shd w:val="clear" w:color="auto" w:fill="FFFFFF"/>
          <w:lang w:val="en-US"/>
        </w:rPr>
        <w:t>(</w:t>
      </w:r>
      <w:r w:rsidRPr="00D62B9D">
        <w:rPr>
          <w:sz w:val="20"/>
          <w:szCs w:val="20"/>
          <w:shd w:val="clear" w:color="auto" w:fill="FFFFFF"/>
          <w:lang w:val="en-US"/>
        </w:rPr>
        <w:t>2012</w:t>
      </w:r>
      <w:r w:rsidR="0037644C" w:rsidRPr="0037644C">
        <w:rPr>
          <w:sz w:val="20"/>
          <w:szCs w:val="20"/>
          <w:shd w:val="clear" w:color="auto" w:fill="FFFFFF"/>
          <w:lang w:val="en-US"/>
        </w:rPr>
        <w:t>)</w:t>
      </w:r>
      <w:r w:rsidRPr="00D62B9D">
        <w:rPr>
          <w:sz w:val="20"/>
          <w:szCs w:val="20"/>
          <w:shd w:val="clear" w:color="auto" w:fill="FFFFFF"/>
          <w:lang w:val="en-US"/>
        </w:rPr>
        <w:t xml:space="preserve">. </w:t>
      </w:r>
      <w:r w:rsidR="0037644C" w:rsidRPr="0037644C">
        <w:rPr>
          <w:sz w:val="20"/>
          <w:szCs w:val="20"/>
          <w:shd w:val="clear" w:color="auto" w:fill="FFFFFF"/>
          <w:lang w:val="en-US"/>
        </w:rPr>
        <w:t>“</w:t>
      </w:r>
      <w:r w:rsidRPr="00D62B9D">
        <w:rPr>
          <w:sz w:val="20"/>
          <w:szCs w:val="20"/>
          <w:shd w:val="clear" w:color="auto" w:fill="FFFFFF"/>
          <w:lang w:val="en-US"/>
        </w:rPr>
        <w:t>Sustainable Building Certification and the Rent Premium: A Panel Data Approach</w:t>
      </w:r>
      <w:r w:rsidR="0037644C" w:rsidRPr="0037644C">
        <w:rPr>
          <w:sz w:val="20"/>
          <w:szCs w:val="20"/>
          <w:shd w:val="clear" w:color="auto" w:fill="FFFFFF"/>
          <w:lang w:val="en-US"/>
        </w:rPr>
        <w:t>”</w:t>
      </w:r>
      <w:r w:rsidRPr="00D62B9D">
        <w:rPr>
          <w:sz w:val="20"/>
          <w:szCs w:val="20"/>
          <w:shd w:val="clear" w:color="auto" w:fill="FFFFFF"/>
          <w:lang w:val="en-US"/>
        </w:rPr>
        <w:t>.</w:t>
      </w:r>
      <w:r w:rsidRPr="00D62B9D">
        <w:rPr>
          <w:rStyle w:val="apple-converted-space"/>
          <w:sz w:val="20"/>
          <w:szCs w:val="20"/>
          <w:shd w:val="clear" w:color="auto" w:fill="FFFFFF"/>
          <w:lang w:val="en-US"/>
        </w:rPr>
        <w:t> </w:t>
      </w:r>
      <w:r w:rsidRPr="00D62B9D">
        <w:rPr>
          <w:i/>
          <w:iCs/>
          <w:sz w:val="20"/>
          <w:szCs w:val="20"/>
          <w:shd w:val="clear" w:color="auto" w:fill="FFFFFF"/>
          <w:lang w:val="en-US"/>
        </w:rPr>
        <w:t>Journal of Real Estate Research</w:t>
      </w:r>
      <w:r w:rsidR="0037644C" w:rsidRPr="0037644C">
        <w:rPr>
          <w:rStyle w:val="apple-converted-space"/>
          <w:sz w:val="20"/>
          <w:szCs w:val="20"/>
          <w:shd w:val="clear" w:color="auto" w:fill="FFFFFF"/>
          <w:lang w:val="en-US"/>
        </w:rPr>
        <w:t xml:space="preserve">, Vol. </w:t>
      </w:r>
      <w:r w:rsidRPr="00D62B9D">
        <w:rPr>
          <w:iCs/>
          <w:sz w:val="20"/>
          <w:szCs w:val="20"/>
          <w:shd w:val="clear" w:color="auto" w:fill="FFFFFF"/>
          <w:lang w:val="en-US"/>
        </w:rPr>
        <w:t>34</w:t>
      </w:r>
      <w:r w:rsidR="0037644C" w:rsidRPr="0037644C">
        <w:rPr>
          <w:iCs/>
          <w:sz w:val="20"/>
          <w:szCs w:val="20"/>
          <w:shd w:val="clear" w:color="auto" w:fill="FFFFFF"/>
          <w:lang w:val="en-US"/>
        </w:rPr>
        <w:t>, pp.</w:t>
      </w:r>
      <w:r w:rsidRPr="00D62B9D">
        <w:rPr>
          <w:sz w:val="20"/>
          <w:szCs w:val="20"/>
          <w:shd w:val="clear" w:color="auto" w:fill="FFFFFF"/>
          <w:lang w:val="en-US"/>
        </w:rPr>
        <w:t xml:space="preserve"> 99</w:t>
      </w:r>
      <w:r w:rsidRPr="00D62B9D">
        <w:rPr>
          <w:sz w:val="20"/>
          <w:szCs w:val="20"/>
          <w:lang w:val="en-US"/>
        </w:rPr>
        <w:t>–</w:t>
      </w:r>
      <w:r w:rsidRPr="00D62B9D">
        <w:rPr>
          <w:sz w:val="20"/>
          <w:szCs w:val="20"/>
          <w:shd w:val="clear" w:color="auto" w:fill="FFFFFF"/>
          <w:lang w:val="en-US"/>
        </w:rPr>
        <w:t>126.</w:t>
      </w:r>
    </w:p>
    <w:p w14:paraId="12FFEECE" w14:textId="476313B9" w:rsidR="00B14BBF" w:rsidRPr="00A66843" w:rsidRDefault="00B14BBF" w:rsidP="001302AB">
      <w:pPr>
        <w:tabs>
          <w:tab w:val="left" w:pos="0"/>
          <w:tab w:val="left" w:pos="709"/>
        </w:tabs>
        <w:jc w:val="both"/>
        <w:rPr>
          <w:sz w:val="20"/>
          <w:szCs w:val="20"/>
          <w:shd w:val="clear" w:color="auto" w:fill="FFFFFF"/>
          <w:lang w:val="en-US"/>
        </w:rPr>
      </w:pPr>
      <w:r w:rsidRPr="00D62B9D">
        <w:rPr>
          <w:sz w:val="20"/>
          <w:szCs w:val="20"/>
          <w:shd w:val="clear" w:color="auto" w:fill="FFFFFF"/>
          <w:lang w:val="en-US"/>
        </w:rPr>
        <w:t>Robinson, S. and Mcallister</w:t>
      </w:r>
      <w:r w:rsidR="0037644C" w:rsidRPr="0037644C">
        <w:rPr>
          <w:sz w:val="20"/>
          <w:szCs w:val="20"/>
          <w:shd w:val="clear" w:color="auto" w:fill="FFFFFF"/>
          <w:lang w:val="en-US"/>
        </w:rPr>
        <w:t xml:space="preserve">, </w:t>
      </w:r>
      <w:r w:rsidR="0037644C" w:rsidRPr="00D62B9D">
        <w:rPr>
          <w:sz w:val="20"/>
          <w:szCs w:val="20"/>
          <w:shd w:val="clear" w:color="auto" w:fill="FFFFFF"/>
          <w:lang w:val="en-US"/>
        </w:rPr>
        <w:t>P.</w:t>
      </w:r>
      <w:r w:rsidRPr="00D62B9D">
        <w:rPr>
          <w:sz w:val="20"/>
          <w:szCs w:val="20"/>
          <w:shd w:val="clear" w:color="auto" w:fill="FFFFFF"/>
          <w:lang w:val="en-US"/>
        </w:rPr>
        <w:t xml:space="preserve"> </w:t>
      </w:r>
      <w:r w:rsidR="0037644C" w:rsidRPr="0037644C">
        <w:rPr>
          <w:sz w:val="20"/>
          <w:szCs w:val="20"/>
          <w:shd w:val="clear" w:color="auto" w:fill="FFFFFF"/>
          <w:lang w:val="en-US"/>
        </w:rPr>
        <w:t>(</w:t>
      </w:r>
      <w:r w:rsidRPr="00A66843">
        <w:rPr>
          <w:sz w:val="20"/>
          <w:szCs w:val="20"/>
          <w:shd w:val="clear" w:color="auto" w:fill="FFFFFF"/>
          <w:lang w:val="en-US"/>
        </w:rPr>
        <w:t>2015</w:t>
      </w:r>
      <w:r w:rsidR="0037644C" w:rsidRPr="0037644C">
        <w:rPr>
          <w:sz w:val="20"/>
          <w:szCs w:val="20"/>
          <w:shd w:val="clear" w:color="auto" w:fill="FFFFFF"/>
          <w:lang w:val="en-US"/>
        </w:rPr>
        <w:t>)</w:t>
      </w:r>
      <w:r w:rsidRPr="00A66843">
        <w:rPr>
          <w:sz w:val="20"/>
          <w:szCs w:val="20"/>
          <w:shd w:val="clear" w:color="auto" w:fill="FFFFFF"/>
          <w:lang w:val="en-US"/>
        </w:rPr>
        <w:t xml:space="preserve">. </w:t>
      </w:r>
      <w:r w:rsidR="0037644C" w:rsidRPr="0037644C">
        <w:rPr>
          <w:sz w:val="20"/>
          <w:szCs w:val="20"/>
          <w:shd w:val="clear" w:color="auto" w:fill="FFFFFF"/>
          <w:lang w:val="en-US"/>
        </w:rPr>
        <w:t>“</w:t>
      </w:r>
      <w:r w:rsidRPr="00A66843">
        <w:rPr>
          <w:sz w:val="20"/>
          <w:szCs w:val="20"/>
          <w:shd w:val="clear" w:color="auto" w:fill="FFFFFF"/>
          <w:lang w:val="en-US"/>
        </w:rPr>
        <w:t>Heterogeneous Price Premiums in Sustainable Real Estate? An Investigation of the Relation between Value and Price Premiums</w:t>
      </w:r>
      <w:r w:rsidR="0037644C" w:rsidRPr="0037644C">
        <w:rPr>
          <w:sz w:val="20"/>
          <w:szCs w:val="20"/>
          <w:shd w:val="clear" w:color="auto" w:fill="FFFFFF"/>
          <w:lang w:val="en-US"/>
        </w:rPr>
        <w:t>”</w:t>
      </w:r>
      <w:r w:rsidRPr="00D62B9D">
        <w:rPr>
          <w:sz w:val="20"/>
          <w:szCs w:val="20"/>
          <w:shd w:val="clear" w:color="auto" w:fill="FFFFFF"/>
          <w:lang w:val="en-US"/>
        </w:rPr>
        <w:t>.</w:t>
      </w:r>
      <w:r w:rsidRPr="00D62B9D">
        <w:rPr>
          <w:rStyle w:val="apple-converted-space"/>
          <w:sz w:val="20"/>
          <w:szCs w:val="20"/>
          <w:shd w:val="clear" w:color="auto" w:fill="FFFFFF"/>
          <w:lang w:val="en-US"/>
        </w:rPr>
        <w:t> </w:t>
      </w:r>
      <w:r w:rsidRPr="00D62B9D">
        <w:rPr>
          <w:i/>
          <w:iCs/>
          <w:sz w:val="20"/>
          <w:szCs w:val="20"/>
          <w:shd w:val="clear" w:color="auto" w:fill="FFFFFF"/>
          <w:lang w:val="en-US"/>
        </w:rPr>
        <w:t>Journal of Sustainable Real Estate</w:t>
      </w:r>
      <w:r w:rsidR="0037644C" w:rsidRPr="0037644C">
        <w:rPr>
          <w:rStyle w:val="apple-converted-space"/>
          <w:sz w:val="20"/>
          <w:szCs w:val="20"/>
          <w:shd w:val="clear" w:color="auto" w:fill="FFFFFF"/>
          <w:lang w:val="en-US"/>
        </w:rPr>
        <w:t xml:space="preserve">, Vol. </w:t>
      </w:r>
      <w:r w:rsidRPr="00D62B9D">
        <w:rPr>
          <w:iCs/>
          <w:sz w:val="20"/>
          <w:szCs w:val="20"/>
          <w:shd w:val="clear" w:color="auto" w:fill="FFFFFF"/>
          <w:lang w:val="en-US"/>
        </w:rPr>
        <w:t>7</w:t>
      </w:r>
      <w:r w:rsidR="0037644C" w:rsidRPr="0037644C">
        <w:rPr>
          <w:iCs/>
          <w:sz w:val="20"/>
          <w:szCs w:val="20"/>
          <w:shd w:val="clear" w:color="auto" w:fill="FFFFFF"/>
          <w:lang w:val="en-US"/>
        </w:rPr>
        <w:t>, pp.</w:t>
      </w:r>
      <w:r w:rsidRPr="00A66843">
        <w:rPr>
          <w:sz w:val="20"/>
          <w:szCs w:val="20"/>
          <w:shd w:val="clear" w:color="auto" w:fill="FFFFFF"/>
          <w:lang w:val="en-US"/>
        </w:rPr>
        <w:t xml:space="preserve"> 1</w:t>
      </w:r>
      <w:r w:rsidRPr="00A66843">
        <w:rPr>
          <w:sz w:val="20"/>
          <w:szCs w:val="20"/>
          <w:lang w:val="en-US"/>
        </w:rPr>
        <w:t>–</w:t>
      </w:r>
      <w:r w:rsidRPr="00A66843">
        <w:rPr>
          <w:sz w:val="20"/>
          <w:szCs w:val="20"/>
          <w:shd w:val="clear" w:color="auto" w:fill="FFFFFF"/>
          <w:lang w:val="en-US"/>
        </w:rPr>
        <w:t>20.</w:t>
      </w:r>
    </w:p>
    <w:p w14:paraId="7F7918DE" w14:textId="284F4447" w:rsidR="00B14BBF" w:rsidRPr="00D62B9D" w:rsidRDefault="00B14BBF" w:rsidP="001302AB">
      <w:pPr>
        <w:tabs>
          <w:tab w:val="left" w:pos="0"/>
          <w:tab w:val="left" w:pos="709"/>
        </w:tabs>
        <w:jc w:val="both"/>
        <w:rPr>
          <w:sz w:val="20"/>
          <w:szCs w:val="20"/>
          <w:shd w:val="clear" w:color="auto" w:fill="FFFFFF"/>
          <w:lang w:val="en-US"/>
        </w:rPr>
      </w:pPr>
      <w:r w:rsidRPr="00A66843">
        <w:rPr>
          <w:sz w:val="20"/>
          <w:szCs w:val="20"/>
          <w:shd w:val="clear" w:color="auto" w:fill="FFFFFF"/>
          <w:lang w:val="en-US"/>
        </w:rPr>
        <w:t xml:space="preserve">Rosen, S. </w:t>
      </w:r>
      <w:r w:rsidR="0037644C" w:rsidRPr="0037644C">
        <w:rPr>
          <w:sz w:val="20"/>
          <w:szCs w:val="20"/>
          <w:shd w:val="clear" w:color="auto" w:fill="FFFFFF"/>
          <w:lang w:val="en-US"/>
        </w:rPr>
        <w:t>(</w:t>
      </w:r>
      <w:r w:rsidRPr="00A66843">
        <w:rPr>
          <w:sz w:val="20"/>
          <w:szCs w:val="20"/>
          <w:shd w:val="clear" w:color="auto" w:fill="FFFFFF"/>
          <w:lang w:val="en-US"/>
        </w:rPr>
        <w:t>1974</w:t>
      </w:r>
      <w:r w:rsidR="0037644C" w:rsidRPr="0037644C">
        <w:rPr>
          <w:sz w:val="20"/>
          <w:szCs w:val="20"/>
          <w:shd w:val="clear" w:color="auto" w:fill="FFFFFF"/>
          <w:lang w:val="en-US"/>
        </w:rPr>
        <w:t>)</w:t>
      </w:r>
      <w:r w:rsidRPr="00A66843">
        <w:rPr>
          <w:sz w:val="20"/>
          <w:szCs w:val="20"/>
          <w:shd w:val="clear" w:color="auto" w:fill="FFFFFF"/>
          <w:lang w:val="en-US"/>
        </w:rPr>
        <w:t xml:space="preserve">. </w:t>
      </w:r>
      <w:r w:rsidR="0037644C" w:rsidRPr="0037644C">
        <w:rPr>
          <w:sz w:val="20"/>
          <w:szCs w:val="20"/>
          <w:shd w:val="clear" w:color="auto" w:fill="FFFFFF"/>
          <w:lang w:val="en-US"/>
        </w:rPr>
        <w:t>“</w:t>
      </w:r>
      <w:r w:rsidRPr="00A66843">
        <w:rPr>
          <w:sz w:val="20"/>
          <w:szCs w:val="20"/>
          <w:shd w:val="clear" w:color="auto" w:fill="FFFFFF"/>
          <w:lang w:val="en-US"/>
        </w:rPr>
        <w:t>Hedonic Prices and Implicit Markets: Product Differentiation in Pure Competition</w:t>
      </w:r>
      <w:r w:rsidR="0037644C" w:rsidRPr="0037644C">
        <w:rPr>
          <w:sz w:val="20"/>
          <w:szCs w:val="20"/>
          <w:shd w:val="clear" w:color="auto" w:fill="FFFFFF"/>
          <w:lang w:val="en-US"/>
        </w:rPr>
        <w:t>”</w:t>
      </w:r>
      <w:r w:rsidRPr="00A66843">
        <w:rPr>
          <w:sz w:val="20"/>
          <w:szCs w:val="20"/>
          <w:shd w:val="clear" w:color="auto" w:fill="FFFFFF"/>
          <w:lang w:val="en-US"/>
        </w:rPr>
        <w:t>.</w:t>
      </w:r>
      <w:r w:rsidRPr="00A66843">
        <w:rPr>
          <w:rStyle w:val="apple-converted-space"/>
          <w:sz w:val="20"/>
          <w:szCs w:val="20"/>
          <w:shd w:val="clear" w:color="auto" w:fill="FFFFFF"/>
          <w:lang w:val="en-US"/>
        </w:rPr>
        <w:t> </w:t>
      </w:r>
      <w:r w:rsidRPr="00A66843">
        <w:rPr>
          <w:i/>
          <w:iCs/>
          <w:sz w:val="20"/>
          <w:szCs w:val="20"/>
          <w:shd w:val="clear" w:color="auto" w:fill="FFFFFF"/>
          <w:lang w:val="en-US"/>
        </w:rPr>
        <w:t>Journal of Political Economy</w:t>
      </w:r>
      <w:r w:rsidR="0037644C" w:rsidRPr="0037644C">
        <w:rPr>
          <w:rStyle w:val="apple-converted-space"/>
          <w:sz w:val="20"/>
          <w:szCs w:val="20"/>
          <w:shd w:val="clear" w:color="auto" w:fill="FFFFFF"/>
          <w:lang w:val="en-US"/>
        </w:rPr>
        <w:t xml:space="preserve">, Vol. </w:t>
      </w:r>
      <w:r w:rsidRPr="00D62B9D">
        <w:rPr>
          <w:iCs/>
          <w:sz w:val="20"/>
          <w:szCs w:val="20"/>
          <w:shd w:val="clear" w:color="auto" w:fill="FFFFFF"/>
          <w:lang w:val="en-US"/>
        </w:rPr>
        <w:t>82</w:t>
      </w:r>
      <w:r w:rsidR="0037644C" w:rsidRPr="0037644C">
        <w:rPr>
          <w:iCs/>
          <w:sz w:val="20"/>
          <w:szCs w:val="20"/>
          <w:shd w:val="clear" w:color="auto" w:fill="FFFFFF"/>
          <w:lang w:val="en-US"/>
        </w:rPr>
        <w:t>, pp.</w:t>
      </w:r>
      <w:r w:rsidRPr="00D62B9D">
        <w:rPr>
          <w:sz w:val="20"/>
          <w:szCs w:val="20"/>
          <w:shd w:val="clear" w:color="auto" w:fill="FFFFFF"/>
          <w:lang w:val="en-US"/>
        </w:rPr>
        <w:t xml:space="preserve"> 34</w:t>
      </w:r>
      <w:r w:rsidRPr="00D62B9D">
        <w:rPr>
          <w:sz w:val="20"/>
          <w:szCs w:val="20"/>
          <w:lang w:val="en-US"/>
        </w:rPr>
        <w:t>–</w:t>
      </w:r>
      <w:r w:rsidRPr="00D62B9D">
        <w:rPr>
          <w:sz w:val="20"/>
          <w:szCs w:val="20"/>
          <w:shd w:val="clear" w:color="auto" w:fill="FFFFFF"/>
          <w:lang w:val="en-US"/>
        </w:rPr>
        <w:t>55.</w:t>
      </w:r>
    </w:p>
    <w:p w14:paraId="3D788D99" w14:textId="4E3DEEA6" w:rsidR="00B14BBF" w:rsidRPr="00A66843" w:rsidRDefault="00B14BBF" w:rsidP="001302AB">
      <w:pPr>
        <w:tabs>
          <w:tab w:val="left" w:pos="0"/>
          <w:tab w:val="left" w:pos="709"/>
        </w:tabs>
        <w:jc w:val="both"/>
        <w:rPr>
          <w:sz w:val="20"/>
          <w:szCs w:val="20"/>
          <w:shd w:val="clear" w:color="auto" w:fill="FFFFFF"/>
          <w:lang w:val="en-US"/>
        </w:rPr>
      </w:pPr>
      <w:r w:rsidRPr="00D62B9D">
        <w:rPr>
          <w:sz w:val="20"/>
          <w:szCs w:val="20"/>
          <w:shd w:val="clear" w:color="auto" w:fill="FFFFFF"/>
          <w:lang w:val="en-US"/>
        </w:rPr>
        <w:t>Shilton, L. and Stanley</w:t>
      </w:r>
      <w:r w:rsidR="0037644C" w:rsidRPr="0037644C">
        <w:rPr>
          <w:sz w:val="20"/>
          <w:szCs w:val="20"/>
          <w:shd w:val="clear" w:color="auto" w:fill="FFFFFF"/>
          <w:lang w:val="en-US"/>
        </w:rPr>
        <w:t xml:space="preserve">, </w:t>
      </w:r>
      <w:r w:rsidR="0037644C" w:rsidRPr="00D62B9D">
        <w:rPr>
          <w:sz w:val="20"/>
          <w:szCs w:val="20"/>
          <w:shd w:val="clear" w:color="auto" w:fill="FFFFFF"/>
          <w:lang w:val="en-US"/>
        </w:rPr>
        <w:t>C.</w:t>
      </w:r>
      <w:r w:rsidRPr="00D62B9D">
        <w:rPr>
          <w:sz w:val="20"/>
          <w:szCs w:val="20"/>
          <w:shd w:val="clear" w:color="auto" w:fill="FFFFFF"/>
          <w:lang w:val="en-US"/>
        </w:rPr>
        <w:t xml:space="preserve"> </w:t>
      </w:r>
      <w:r w:rsidR="0037644C" w:rsidRPr="0037644C">
        <w:rPr>
          <w:sz w:val="20"/>
          <w:szCs w:val="20"/>
          <w:shd w:val="clear" w:color="auto" w:fill="FFFFFF"/>
          <w:lang w:val="en-US"/>
        </w:rPr>
        <w:t>(</w:t>
      </w:r>
      <w:r w:rsidRPr="00D62B9D">
        <w:rPr>
          <w:sz w:val="20"/>
          <w:szCs w:val="20"/>
          <w:shd w:val="clear" w:color="auto" w:fill="FFFFFF"/>
          <w:lang w:val="en-US"/>
        </w:rPr>
        <w:t>1999</w:t>
      </w:r>
      <w:r w:rsidR="0037644C" w:rsidRPr="0037644C">
        <w:rPr>
          <w:sz w:val="20"/>
          <w:szCs w:val="20"/>
          <w:shd w:val="clear" w:color="auto" w:fill="FFFFFF"/>
          <w:lang w:val="en-US"/>
        </w:rPr>
        <w:t>)</w:t>
      </w:r>
      <w:r w:rsidRPr="00D62B9D">
        <w:rPr>
          <w:sz w:val="20"/>
          <w:szCs w:val="20"/>
          <w:shd w:val="clear" w:color="auto" w:fill="FFFFFF"/>
          <w:lang w:val="en-US"/>
        </w:rPr>
        <w:t xml:space="preserve">. </w:t>
      </w:r>
      <w:r w:rsidR="0037644C" w:rsidRPr="0037644C">
        <w:rPr>
          <w:sz w:val="20"/>
          <w:szCs w:val="20"/>
          <w:shd w:val="clear" w:color="auto" w:fill="FFFFFF"/>
          <w:lang w:val="en-US"/>
        </w:rPr>
        <w:t>“</w:t>
      </w:r>
      <w:r w:rsidRPr="00D62B9D">
        <w:rPr>
          <w:sz w:val="20"/>
          <w:szCs w:val="20"/>
          <w:shd w:val="clear" w:color="auto" w:fill="FFFFFF"/>
          <w:lang w:val="en-US"/>
        </w:rPr>
        <w:t>Spatial Patterns of Headquarters</w:t>
      </w:r>
      <w:r w:rsidR="0037644C" w:rsidRPr="0037644C">
        <w:rPr>
          <w:sz w:val="20"/>
          <w:szCs w:val="20"/>
          <w:shd w:val="clear" w:color="auto" w:fill="FFFFFF"/>
          <w:lang w:val="en-US"/>
        </w:rPr>
        <w:t>”</w:t>
      </w:r>
      <w:r w:rsidRPr="00D62B9D">
        <w:rPr>
          <w:sz w:val="20"/>
          <w:szCs w:val="20"/>
          <w:shd w:val="clear" w:color="auto" w:fill="FFFFFF"/>
          <w:lang w:val="en-US"/>
        </w:rPr>
        <w:t>.</w:t>
      </w:r>
      <w:r w:rsidRPr="00D62B9D">
        <w:rPr>
          <w:rStyle w:val="apple-converted-space"/>
          <w:sz w:val="20"/>
          <w:szCs w:val="20"/>
          <w:shd w:val="clear" w:color="auto" w:fill="FFFFFF"/>
          <w:lang w:val="en-US"/>
        </w:rPr>
        <w:t> </w:t>
      </w:r>
      <w:r w:rsidRPr="00D62B9D">
        <w:rPr>
          <w:i/>
          <w:iCs/>
          <w:sz w:val="20"/>
          <w:szCs w:val="20"/>
          <w:shd w:val="clear" w:color="auto" w:fill="FFFFFF"/>
          <w:lang w:val="en-US"/>
        </w:rPr>
        <w:t>Journal of Real Estate Research</w:t>
      </w:r>
      <w:r w:rsidR="0037644C" w:rsidRPr="0037644C">
        <w:rPr>
          <w:rStyle w:val="apple-converted-space"/>
          <w:sz w:val="20"/>
          <w:szCs w:val="20"/>
          <w:shd w:val="clear" w:color="auto" w:fill="FFFFFF"/>
          <w:lang w:val="en-US"/>
        </w:rPr>
        <w:t xml:space="preserve">, Vol. </w:t>
      </w:r>
      <w:r w:rsidRPr="00D62B9D">
        <w:rPr>
          <w:iCs/>
          <w:sz w:val="20"/>
          <w:szCs w:val="20"/>
          <w:shd w:val="clear" w:color="auto" w:fill="FFFFFF"/>
          <w:lang w:val="en-US"/>
        </w:rPr>
        <w:t>17</w:t>
      </w:r>
      <w:r w:rsidR="0037644C" w:rsidRPr="0037644C">
        <w:rPr>
          <w:sz w:val="20"/>
          <w:szCs w:val="20"/>
          <w:shd w:val="clear" w:color="auto" w:fill="FFFFFF"/>
          <w:lang w:val="en-US"/>
        </w:rPr>
        <w:t>, pp.</w:t>
      </w:r>
      <w:r w:rsidRPr="00A66843">
        <w:rPr>
          <w:sz w:val="20"/>
          <w:szCs w:val="20"/>
          <w:shd w:val="clear" w:color="auto" w:fill="FFFFFF"/>
          <w:lang w:val="en-US"/>
        </w:rPr>
        <w:t xml:space="preserve"> 341</w:t>
      </w:r>
      <w:r w:rsidRPr="00A66843">
        <w:rPr>
          <w:sz w:val="20"/>
          <w:szCs w:val="20"/>
          <w:lang w:val="en-US"/>
        </w:rPr>
        <w:t>–</w:t>
      </w:r>
      <w:r w:rsidRPr="00A66843">
        <w:rPr>
          <w:sz w:val="20"/>
          <w:szCs w:val="20"/>
          <w:shd w:val="clear" w:color="auto" w:fill="FFFFFF"/>
          <w:lang w:val="en-US"/>
        </w:rPr>
        <w:t>364.</w:t>
      </w:r>
    </w:p>
    <w:p w14:paraId="54DD01D8" w14:textId="129E0C05" w:rsidR="00B14BBF" w:rsidRPr="00D62B9D" w:rsidRDefault="00B14BBF" w:rsidP="001302AB">
      <w:pPr>
        <w:tabs>
          <w:tab w:val="left" w:pos="0"/>
          <w:tab w:val="left" w:pos="567"/>
          <w:tab w:val="left" w:pos="1701"/>
        </w:tabs>
        <w:jc w:val="both"/>
        <w:rPr>
          <w:sz w:val="20"/>
          <w:szCs w:val="20"/>
          <w:lang w:val="en-US"/>
        </w:rPr>
      </w:pPr>
      <w:r w:rsidRPr="007F4AC7">
        <w:rPr>
          <w:sz w:val="20"/>
          <w:szCs w:val="20"/>
          <w:lang w:val="en-US"/>
        </w:rPr>
        <w:t xml:space="preserve">Slade, B. 2000. </w:t>
      </w:r>
      <w:r w:rsidR="0037644C" w:rsidRPr="0037644C">
        <w:rPr>
          <w:sz w:val="20"/>
          <w:szCs w:val="20"/>
          <w:lang w:val="en-US"/>
        </w:rPr>
        <w:t>“</w:t>
      </w:r>
      <w:r w:rsidRPr="00D62B9D">
        <w:rPr>
          <w:sz w:val="20"/>
          <w:szCs w:val="20"/>
          <w:lang w:val="en-US"/>
        </w:rPr>
        <w:t>Office Rent Determinants during Market Decline and Recovery</w:t>
      </w:r>
      <w:r w:rsidR="0037644C" w:rsidRPr="0037644C">
        <w:rPr>
          <w:sz w:val="20"/>
          <w:szCs w:val="20"/>
          <w:lang w:val="en-US"/>
        </w:rPr>
        <w:t>”</w:t>
      </w:r>
      <w:r w:rsidRPr="00D62B9D">
        <w:rPr>
          <w:sz w:val="20"/>
          <w:szCs w:val="20"/>
          <w:lang w:val="en-US"/>
        </w:rPr>
        <w:t xml:space="preserve">. </w:t>
      </w:r>
      <w:r w:rsidRPr="00D62B9D">
        <w:rPr>
          <w:i/>
          <w:sz w:val="20"/>
          <w:szCs w:val="20"/>
          <w:lang w:val="en-US"/>
        </w:rPr>
        <w:t>Journal of Real Estate Research</w:t>
      </w:r>
      <w:r w:rsidR="0037644C" w:rsidRPr="0037644C">
        <w:rPr>
          <w:sz w:val="20"/>
          <w:szCs w:val="20"/>
          <w:lang w:val="en-US"/>
        </w:rPr>
        <w:t xml:space="preserve">, Vol. </w:t>
      </w:r>
      <w:r w:rsidRPr="00D62B9D">
        <w:rPr>
          <w:sz w:val="20"/>
          <w:szCs w:val="20"/>
          <w:lang w:val="en-US"/>
        </w:rPr>
        <w:t>20</w:t>
      </w:r>
      <w:r w:rsidR="0037644C" w:rsidRPr="0037644C">
        <w:rPr>
          <w:sz w:val="20"/>
          <w:szCs w:val="20"/>
          <w:lang w:val="en-US"/>
        </w:rPr>
        <w:t>, pp.</w:t>
      </w:r>
      <w:r w:rsidRPr="00D62B9D">
        <w:rPr>
          <w:sz w:val="20"/>
          <w:szCs w:val="20"/>
          <w:lang w:val="en-US"/>
        </w:rPr>
        <w:t xml:space="preserve"> 357–380.</w:t>
      </w:r>
    </w:p>
    <w:p w14:paraId="3D9C9E73" w14:textId="38A9A75D" w:rsidR="00B14BBF" w:rsidRPr="00D62B9D" w:rsidRDefault="00B14BBF" w:rsidP="001302AB">
      <w:pPr>
        <w:tabs>
          <w:tab w:val="left" w:pos="0"/>
        </w:tabs>
        <w:autoSpaceDE w:val="0"/>
        <w:autoSpaceDN w:val="0"/>
        <w:adjustRightInd w:val="0"/>
        <w:jc w:val="both"/>
        <w:rPr>
          <w:sz w:val="20"/>
          <w:szCs w:val="20"/>
          <w:shd w:val="clear" w:color="auto" w:fill="FFFFFF"/>
          <w:lang w:val="en-US"/>
        </w:rPr>
      </w:pPr>
      <w:r w:rsidRPr="00D62B9D">
        <w:rPr>
          <w:sz w:val="20"/>
          <w:szCs w:val="20"/>
          <w:shd w:val="clear" w:color="auto" w:fill="FFFFFF"/>
          <w:lang w:val="en-US"/>
        </w:rPr>
        <w:t xml:space="preserve">Slaughter, E. </w:t>
      </w:r>
      <w:r w:rsidR="0037644C" w:rsidRPr="0037644C">
        <w:rPr>
          <w:sz w:val="20"/>
          <w:szCs w:val="20"/>
          <w:shd w:val="clear" w:color="auto" w:fill="FFFFFF"/>
          <w:lang w:val="en-US"/>
        </w:rPr>
        <w:t>(</w:t>
      </w:r>
      <w:r w:rsidRPr="00D62B9D">
        <w:rPr>
          <w:sz w:val="20"/>
          <w:szCs w:val="20"/>
          <w:shd w:val="clear" w:color="auto" w:fill="FFFFFF"/>
          <w:lang w:val="en-US"/>
        </w:rPr>
        <w:t>2001</w:t>
      </w:r>
      <w:r w:rsidR="0037644C" w:rsidRPr="0037644C">
        <w:rPr>
          <w:sz w:val="20"/>
          <w:szCs w:val="20"/>
          <w:shd w:val="clear" w:color="auto" w:fill="FFFFFF"/>
          <w:lang w:val="en-US"/>
        </w:rPr>
        <w:t>)</w:t>
      </w:r>
      <w:r w:rsidRPr="00D62B9D">
        <w:rPr>
          <w:sz w:val="20"/>
          <w:szCs w:val="20"/>
          <w:shd w:val="clear" w:color="auto" w:fill="FFFFFF"/>
          <w:lang w:val="en-US"/>
        </w:rPr>
        <w:t xml:space="preserve">. </w:t>
      </w:r>
      <w:r w:rsidR="0037644C" w:rsidRPr="0037644C">
        <w:rPr>
          <w:sz w:val="20"/>
          <w:szCs w:val="20"/>
          <w:shd w:val="clear" w:color="auto" w:fill="FFFFFF"/>
          <w:lang w:val="en-US"/>
        </w:rPr>
        <w:t>“</w:t>
      </w:r>
      <w:r w:rsidRPr="00D62B9D">
        <w:rPr>
          <w:sz w:val="20"/>
          <w:szCs w:val="20"/>
          <w:shd w:val="clear" w:color="auto" w:fill="FFFFFF"/>
          <w:lang w:val="en-US"/>
        </w:rPr>
        <w:t>Design Strategies to Increase Building Flexibility</w:t>
      </w:r>
      <w:r w:rsidR="0037644C" w:rsidRPr="0037644C">
        <w:rPr>
          <w:sz w:val="20"/>
          <w:szCs w:val="20"/>
          <w:shd w:val="clear" w:color="auto" w:fill="FFFFFF"/>
          <w:lang w:val="en-US"/>
        </w:rPr>
        <w:t>”</w:t>
      </w:r>
      <w:r w:rsidRPr="00D62B9D">
        <w:rPr>
          <w:sz w:val="20"/>
          <w:szCs w:val="20"/>
          <w:shd w:val="clear" w:color="auto" w:fill="FFFFFF"/>
          <w:lang w:val="en-US"/>
        </w:rPr>
        <w:t xml:space="preserve">. </w:t>
      </w:r>
      <w:r w:rsidRPr="00D62B9D">
        <w:rPr>
          <w:i/>
          <w:iCs/>
          <w:sz w:val="20"/>
          <w:szCs w:val="20"/>
          <w:shd w:val="clear" w:color="auto" w:fill="FFFFFF"/>
          <w:lang w:val="en-US"/>
        </w:rPr>
        <w:t>Building Research and Information</w:t>
      </w:r>
      <w:r w:rsidR="0037644C" w:rsidRPr="0037644C">
        <w:rPr>
          <w:rStyle w:val="apple-converted-space"/>
          <w:sz w:val="20"/>
          <w:szCs w:val="20"/>
          <w:shd w:val="clear" w:color="auto" w:fill="FFFFFF"/>
          <w:lang w:val="en-US"/>
        </w:rPr>
        <w:t xml:space="preserve">, Vol. </w:t>
      </w:r>
      <w:r w:rsidRPr="00D62B9D">
        <w:rPr>
          <w:iCs/>
          <w:sz w:val="20"/>
          <w:szCs w:val="20"/>
          <w:shd w:val="clear" w:color="auto" w:fill="FFFFFF"/>
          <w:lang w:val="en-US"/>
        </w:rPr>
        <w:t>29</w:t>
      </w:r>
      <w:r w:rsidR="0037644C" w:rsidRPr="0037644C">
        <w:rPr>
          <w:sz w:val="20"/>
          <w:szCs w:val="20"/>
          <w:shd w:val="clear" w:color="auto" w:fill="FFFFFF"/>
          <w:lang w:val="en-US"/>
        </w:rPr>
        <w:t>, pp.</w:t>
      </w:r>
      <w:r w:rsidRPr="00D62B9D">
        <w:rPr>
          <w:sz w:val="20"/>
          <w:szCs w:val="20"/>
          <w:shd w:val="clear" w:color="auto" w:fill="FFFFFF"/>
          <w:lang w:val="en-US"/>
        </w:rPr>
        <w:t xml:space="preserve"> 208</w:t>
      </w:r>
      <w:r w:rsidRPr="00D62B9D">
        <w:rPr>
          <w:sz w:val="20"/>
          <w:szCs w:val="20"/>
          <w:lang w:val="en-US"/>
        </w:rPr>
        <w:t>–</w:t>
      </w:r>
      <w:r w:rsidRPr="00D62B9D">
        <w:rPr>
          <w:sz w:val="20"/>
          <w:szCs w:val="20"/>
          <w:shd w:val="clear" w:color="auto" w:fill="FFFFFF"/>
          <w:lang w:val="en-US"/>
        </w:rPr>
        <w:t>217.</w:t>
      </w:r>
    </w:p>
    <w:p w14:paraId="3C777998" w14:textId="501151B9" w:rsidR="00B14BBF" w:rsidRPr="0037644C" w:rsidRDefault="00B14BBF" w:rsidP="001302AB">
      <w:pPr>
        <w:tabs>
          <w:tab w:val="left" w:pos="0"/>
          <w:tab w:val="left" w:pos="709"/>
        </w:tabs>
        <w:jc w:val="both"/>
        <w:rPr>
          <w:sz w:val="20"/>
          <w:szCs w:val="20"/>
          <w:shd w:val="clear" w:color="auto" w:fill="FFFFFF"/>
          <w:lang w:val="en-US"/>
        </w:rPr>
      </w:pPr>
      <w:r w:rsidRPr="00D62B9D">
        <w:rPr>
          <w:sz w:val="20"/>
          <w:szCs w:val="20"/>
          <w:shd w:val="clear" w:color="auto" w:fill="FFFFFF"/>
          <w:lang w:val="en-US"/>
        </w:rPr>
        <w:t>Tiao, G. and Goldberger</w:t>
      </w:r>
      <w:r w:rsidR="0037644C" w:rsidRPr="0037644C">
        <w:rPr>
          <w:sz w:val="20"/>
          <w:szCs w:val="20"/>
          <w:shd w:val="clear" w:color="auto" w:fill="FFFFFF"/>
          <w:lang w:val="en-US"/>
        </w:rPr>
        <w:t xml:space="preserve">, </w:t>
      </w:r>
      <w:r w:rsidR="0037644C" w:rsidRPr="00D62B9D">
        <w:rPr>
          <w:sz w:val="20"/>
          <w:szCs w:val="20"/>
          <w:shd w:val="clear" w:color="auto" w:fill="FFFFFF"/>
          <w:lang w:val="en-US"/>
        </w:rPr>
        <w:t>A.</w:t>
      </w:r>
      <w:r w:rsidRPr="00D62B9D">
        <w:rPr>
          <w:sz w:val="20"/>
          <w:szCs w:val="20"/>
          <w:shd w:val="clear" w:color="auto" w:fill="FFFFFF"/>
          <w:lang w:val="en-US"/>
        </w:rPr>
        <w:t xml:space="preserve"> </w:t>
      </w:r>
      <w:r w:rsidR="0037644C" w:rsidRPr="0037644C">
        <w:rPr>
          <w:sz w:val="20"/>
          <w:szCs w:val="20"/>
          <w:shd w:val="clear" w:color="auto" w:fill="FFFFFF"/>
          <w:lang w:val="en-US"/>
        </w:rPr>
        <w:t>(</w:t>
      </w:r>
      <w:r w:rsidRPr="00D62B9D">
        <w:rPr>
          <w:sz w:val="20"/>
          <w:szCs w:val="20"/>
          <w:shd w:val="clear" w:color="auto" w:fill="FFFFFF"/>
          <w:lang w:val="en-US"/>
        </w:rPr>
        <w:t>1962</w:t>
      </w:r>
      <w:r w:rsidR="0037644C" w:rsidRPr="0037644C">
        <w:rPr>
          <w:sz w:val="20"/>
          <w:szCs w:val="20"/>
          <w:shd w:val="clear" w:color="auto" w:fill="FFFFFF"/>
          <w:lang w:val="en-US"/>
        </w:rPr>
        <w:t>)</w:t>
      </w:r>
      <w:r w:rsidRPr="00D62B9D">
        <w:rPr>
          <w:sz w:val="20"/>
          <w:szCs w:val="20"/>
          <w:shd w:val="clear" w:color="auto" w:fill="FFFFFF"/>
          <w:lang w:val="en-US"/>
        </w:rPr>
        <w:t xml:space="preserve">. </w:t>
      </w:r>
      <w:r w:rsidR="0037644C" w:rsidRPr="0037644C">
        <w:rPr>
          <w:sz w:val="20"/>
          <w:szCs w:val="20"/>
          <w:shd w:val="clear" w:color="auto" w:fill="FFFFFF"/>
          <w:lang w:val="en-US"/>
        </w:rPr>
        <w:t>“</w:t>
      </w:r>
      <w:r w:rsidRPr="00D62B9D">
        <w:rPr>
          <w:sz w:val="20"/>
          <w:szCs w:val="20"/>
          <w:shd w:val="clear" w:color="auto" w:fill="FFFFFF"/>
          <w:lang w:val="en-US"/>
        </w:rPr>
        <w:t>Testing Equality of Individual Regression Coefficients</w:t>
      </w:r>
      <w:r w:rsidR="0037644C" w:rsidRPr="0037644C">
        <w:rPr>
          <w:sz w:val="20"/>
          <w:szCs w:val="20"/>
          <w:shd w:val="clear" w:color="auto" w:fill="FFFFFF"/>
          <w:lang w:val="en-US"/>
        </w:rPr>
        <w:t>”,</w:t>
      </w:r>
      <w:r w:rsidRPr="00D62B9D">
        <w:rPr>
          <w:rStyle w:val="apple-converted-space"/>
          <w:sz w:val="20"/>
          <w:szCs w:val="20"/>
          <w:shd w:val="clear" w:color="auto" w:fill="FFFFFF"/>
          <w:lang w:val="en-US"/>
        </w:rPr>
        <w:t> </w:t>
      </w:r>
      <w:r w:rsidRPr="00D62B9D">
        <w:rPr>
          <w:iCs/>
          <w:sz w:val="20"/>
          <w:szCs w:val="20"/>
          <w:shd w:val="clear" w:color="auto" w:fill="FFFFFF"/>
          <w:lang w:val="en-US"/>
        </w:rPr>
        <w:t>Working Paper</w:t>
      </w:r>
      <w:r w:rsidR="0037644C" w:rsidRPr="0037644C">
        <w:rPr>
          <w:sz w:val="20"/>
          <w:szCs w:val="20"/>
          <w:shd w:val="clear" w:color="auto" w:fill="FFFFFF"/>
          <w:lang w:val="en-US"/>
        </w:rPr>
        <w:t>,</w:t>
      </w:r>
      <w:r w:rsidRPr="00D62B9D">
        <w:rPr>
          <w:rStyle w:val="apple-converted-space"/>
          <w:sz w:val="20"/>
          <w:szCs w:val="20"/>
          <w:shd w:val="clear" w:color="auto" w:fill="FFFFFF"/>
          <w:lang w:val="en-US"/>
        </w:rPr>
        <w:t> </w:t>
      </w:r>
      <w:r w:rsidRPr="00D62B9D">
        <w:rPr>
          <w:sz w:val="20"/>
          <w:szCs w:val="20"/>
          <w:shd w:val="clear" w:color="auto" w:fill="FFFFFF"/>
          <w:lang w:val="en-US"/>
        </w:rPr>
        <w:t xml:space="preserve">University of Wisconsin – Madison, Social Services Research Institute. </w:t>
      </w:r>
    </w:p>
    <w:p w14:paraId="4C564F58" w14:textId="3BA18FC0" w:rsidR="00517898" w:rsidRPr="0037644C" w:rsidRDefault="00A91B8F" w:rsidP="001302AB">
      <w:pPr>
        <w:tabs>
          <w:tab w:val="left" w:pos="709"/>
        </w:tabs>
        <w:jc w:val="both"/>
        <w:rPr>
          <w:rStyle w:val="hlfld-contribauthor"/>
          <w:sz w:val="20"/>
          <w:szCs w:val="20"/>
          <w:shd w:val="clear" w:color="auto" w:fill="FFFFFF"/>
          <w:lang w:val="en-US"/>
        </w:rPr>
      </w:pPr>
      <w:r w:rsidRPr="0037644C">
        <w:rPr>
          <w:sz w:val="20"/>
          <w:szCs w:val="20"/>
          <w:shd w:val="clear" w:color="auto" w:fill="FFFFFF"/>
          <w:lang w:val="en-US"/>
        </w:rPr>
        <w:t>Wen, H., Jin, Y.</w:t>
      </w:r>
      <w:r w:rsidR="0037644C" w:rsidRPr="0037644C">
        <w:rPr>
          <w:sz w:val="20"/>
          <w:szCs w:val="20"/>
          <w:shd w:val="clear" w:color="auto" w:fill="FFFFFF"/>
          <w:lang w:val="en-US"/>
        </w:rPr>
        <w:t xml:space="preserve"> and</w:t>
      </w:r>
      <w:r w:rsidRPr="0037644C">
        <w:rPr>
          <w:sz w:val="20"/>
          <w:szCs w:val="20"/>
          <w:shd w:val="clear" w:color="auto" w:fill="FFFFFF"/>
          <w:lang w:val="en-US"/>
        </w:rPr>
        <w:t xml:space="preserve"> Zhang, L. </w:t>
      </w:r>
      <w:r w:rsidR="0037644C" w:rsidRPr="0037644C">
        <w:rPr>
          <w:sz w:val="20"/>
          <w:szCs w:val="20"/>
          <w:shd w:val="clear" w:color="auto" w:fill="FFFFFF"/>
          <w:lang w:val="en-US"/>
        </w:rPr>
        <w:t>(</w:t>
      </w:r>
      <w:r w:rsidRPr="0037644C">
        <w:rPr>
          <w:sz w:val="20"/>
          <w:szCs w:val="20"/>
          <w:shd w:val="clear" w:color="auto" w:fill="FFFFFF"/>
          <w:lang w:val="en-US"/>
        </w:rPr>
        <w:t>2017</w:t>
      </w:r>
      <w:r w:rsidR="0037644C" w:rsidRPr="0037644C">
        <w:rPr>
          <w:sz w:val="20"/>
          <w:szCs w:val="20"/>
          <w:shd w:val="clear" w:color="auto" w:fill="FFFFFF"/>
          <w:lang w:val="en-US"/>
        </w:rPr>
        <w:t>)</w:t>
      </w:r>
      <w:r w:rsidRPr="0037644C">
        <w:rPr>
          <w:sz w:val="20"/>
          <w:szCs w:val="20"/>
          <w:shd w:val="clear" w:color="auto" w:fill="FFFFFF"/>
          <w:lang w:val="en-US"/>
        </w:rPr>
        <w:t xml:space="preserve">. </w:t>
      </w:r>
      <w:r w:rsidR="0037644C" w:rsidRPr="0037644C">
        <w:rPr>
          <w:sz w:val="20"/>
          <w:szCs w:val="20"/>
          <w:shd w:val="clear" w:color="auto" w:fill="FFFFFF"/>
          <w:lang w:val="en-US"/>
        </w:rPr>
        <w:t>“</w:t>
      </w:r>
      <w:r w:rsidRPr="0037644C">
        <w:rPr>
          <w:sz w:val="20"/>
          <w:szCs w:val="20"/>
          <w:shd w:val="clear" w:color="auto" w:fill="FFFFFF"/>
          <w:lang w:val="en-US"/>
        </w:rPr>
        <w:t xml:space="preserve">Spatial </w:t>
      </w:r>
      <w:r w:rsidR="0037644C" w:rsidRPr="0037644C">
        <w:rPr>
          <w:sz w:val="20"/>
          <w:szCs w:val="20"/>
          <w:shd w:val="clear" w:color="auto" w:fill="FFFFFF"/>
          <w:lang w:val="en-US"/>
        </w:rPr>
        <w:t>H</w:t>
      </w:r>
      <w:r w:rsidRPr="0037644C">
        <w:rPr>
          <w:sz w:val="20"/>
          <w:szCs w:val="20"/>
          <w:shd w:val="clear" w:color="auto" w:fill="FFFFFF"/>
          <w:lang w:val="en-US"/>
        </w:rPr>
        <w:t xml:space="preserve">eterogeneity in </w:t>
      </w:r>
      <w:r w:rsidR="0037644C" w:rsidRPr="0037644C">
        <w:rPr>
          <w:sz w:val="20"/>
          <w:szCs w:val="20"/>
          <w:shd w:val="clear" w:color="auto" w:fill="FFFFFF"/>
          <w:lang w:val="en-US"/>
        </w:rPr>
        <w:t>I</w:t>
      </w:r>
      <w:r w:rsidRPr="0037644C">
        <w:rPr>
          <w:sz w:val="20"/>
          <w:szCs w:val="20"/>
          <w:shd w:val="clear" w:color="auto" w:fill="FFFFFF"/>
          <w:lang w:val="en-US"/>
        </w:rPr>
        <w:t xml:space="preserve">mplicit </w:t>
      </w:r>
      <w:r w:rsidR="0037644C" w:rsidRPr="0037644C">
        <w:rPr>
          <w:sz w:val="20"/>
          <w:szCs w:val="20"/>
          <w:shd w:val="clear" w:color="auto" w:fill="FFFFFF"/>
          <w:lang w:val="en-US"/>
        </w:rPr>
        <w:t>H</w:t>
      </w:r>
      <w:r w:rsidRPr="0037644C">
        <w:rPr>
          <w:sz w:val="20"/>
          <w:szCs w:val="20"/>
          <w:shd w:val="clear" w:color="auto" w:fill="FFFFFF"/>
          <w:lang w:val="en-US"/>
        </w:rPr>
        <w:t xml:space="preserve">ousing </w:t>
      </w:r>
      <w:r w:rsidR="0037644C" w:rsidRPr="0037644C">
        <w:rPr>
          <w:sz w:val="20"/>
          <w:szCs w:val="20"/>
          <w:shd w:val="clear" w:color="auto" w:fill="FFFFFF"/>
          <w:lang w:val="en-US"/>
        </w:rPr>
        <w:t>P</w:t>
      </w:r>
      <w:r w:rsidRPr="0037644C">
        <w:rPr>
          <w:sz w:val="20"/>
          <w:szCs w:val="20"/>
          <w:shd w:val="clear" w:color="auto" w:fill="FFFFFF"/>
          <w:lang w:val="en-US"/>
        </w:rPr>
        <w:t xml:space="preserve">rices: </w:t>
      </w:r>
      <w:r w:rsidR="0037644C" w:rsidRPr="0037644C">
        <w:rPr>
          <w:sz w:val="20"/>
          <w:szCs w:val="20"/>
          <w:shd w:val="clear" w:color="auto" w:fill="FFFFFF"/>
          <w:lang w:val="en-US"/>
        </w:rPr>
        <w:t>E</w:t>
      </w:r>
      <w:r w:rsidRPr="0037644C">
        <w:rPr>
          <w:sz w:val="20"/>
          <w:szCs w:val="20"/>
          <w:shd w:val="clear" w:color="auto" w:fill="FFFFFF"/>
          <w:lang w:val="en-US"/>
        </w:rPr>
        <w:t>vidence from Hangzhou, China</w:t>
      </w:r>
      <w:r w:rsidR="0037644C" w:rsidRPr="0037644C">
        <w:rPr>
          <w:sz w:val="20"/>
          <w:szCs w:val="20"/>
          <w:shd w:val="clear" w:color="auto" w:fill="FFFFFF"/>
          <w:lang w:val="en-US"/>
        </w:rPr>
        <w:tab/>
        <w:t>“</w:t>
      </w:r>
      <w:r w:rsidRPr="0037644C">
        <w:rPr>
          <w:sz w:val="20"/>
          <w:szCs w:val="20"/>
          <w:shd w:val="clear" w:color="auto" w:fill="FFFFFF"/>
          <w:lang w:val="en-US"/>
        </w:rPr>
        <w:t>.</w:t>
      </w:r>
      <w:r w:rsidRPr="0037644C">
        <w:rPr>
          <w:rStyle w:val="apple-converted-space"/>
          <w:sz w:val="20"/>
          <w:szCs w:val="20"/>
          <w:shd w:val="clear" w:color="auto" w:fill="FFFFFF"/>
          <w:lang w:val="en-US"/>
        </w:rPr>
        <w:t xml:space="preserve">  </w:t>
      </w:r>
      <w:r w:rsidRPr="0037644C">
        <w:rPr>
          <w:i/>
          <w:iCs/>
          <w:sz w:val="20"/>
          <w:szCs w:val="20"/>
          <w:shd w:val="clear" w:color="auto" w:fill="FFFFFF"/>
          <w:lang w:val="en-US"/>
        </w:rPr>
        <w:t>International Journal of Strategic Property Management</w:t>
      </w:r>
      <w:r w:rsidRPr="0037644C">
        <w:rPr>
          <w:sz w:val="20"/>
          <w:szCs w:val="20"/>
          <w:shd w:val="clear" w:color="auto" w:fill="FFFFFF"/>
          <w:lang w:val="en-US"/>
        </w:rPr>
        <w:t>,</w:t>
      </w:r>
      <w:r w:rsidRPr="0037644C">
        <w:rPr>
          <w:rStyle w:val="apple-converted-space"/>
          <w:sz w:val="20"/>
          <w:szCs w:val="20"/>
          <w:shd w:val="clear" w:color="auto" w:fill="FFFFFF"/>
          <w:lang w:val="en-US"/>
        </w:rPr>
        <w:t> </w:t>
      </w:r>
      <w:r w:rsidR="0037644C" w:rsidRPr="0037644C">
        <w:rPr>
          <w:rStyle w:val="apple-converted-space"/>
          <w:sz w:val="20"/>
          <w:szCs w:val="20"/>
          <w:shd w:val="clear" w:color="auto" w:fill="FFFFFF"/>
          <w:lang w:val="en-US"/>
        </w:rPr>
        <w:t xml:space="preserve">Vol. </w:t>
      </w:r>
      <w:r w:rsidRPr="0037644C">
        <w:rPr>
          <w:iCs/>
          <w:sz w:val="20"/>
          <w:szCs w:val="20"/>
          <w:shd w:val="clear" w:color="auto" w:fill="FFFFFF"/>
          <w:lang w:val="en-US"/>
        </w:rPr>
        <w:t>21</w:t>
      </w:r>
      <w:r w:rsidRPr="0037644C">
        <w:rPr>
          <w:sz w:val="20"/>
          <w:szCs w:val="20"/>
          <w:shd w:val="clear" w:color="auto" w:fill="FFFFFF"/>
          <w:lang w:val="en-US"/>
        </w:rPr>
        <w:t xml:space="preserve">, </w:t>
      </w:r>
      <w:r w:rsidR="0037644C" w:rsidRPr="0037644C">
        <w:rPr>
          <w:sz w:val="20"/>
          <w:szCs w:val="20"/>
          <w:shd w:val="clear" w:color="auto" w:fill="FFFFFF"/>
          <w:lang w:val="en-US"/>
        </w:rPr>
        <w:t xml:space="preserve">pp. </w:t>
      </w:r>
      <w:r w:rsidRPr="0037644C">
        <w:rPr>
          <w:sz w:val="20"/>
          <w:szCs w:val="20"/>
          <w:shd w:val="clear" w:color="auto" w:fill="FFFFFF"/>
          <w:lang w:val="en-US"/>
        </w:rPr>
        <w:t>15-28.</w:t>
      </w:r>
    </w:p>
    <w:p w14:paraId="4D7EB114" w14:textId="5D317C3E" w:rsidR="00517898" w:rsidRPr="0037644C" w:rsidRDefault="00517898" w:rsidP="001302AB">
      <w:pPr>
        <w:tabs>
          <w:tab w:val="left" w:pos="709"/>
        </w:tabs>
        <w:jc w:val="both"/>
        <w:rPr>
          <w:rFonts w:eastAsiaTheme="minorHAnsi"/>
          <w:sz w:val="20"/>
          <w:szCs w:val="20"/>
          <w:shd w:val="clear" w:color="auto" w:fill="FFFFFF"/>
          <w:lang w:val="en-US" w:eastAsia="en-US"/>
        </w:rPr>
      </w:pPr>
      <w:r w:rsidRPr="0037644C">
        <w:rPr>
          <w:rStyle w:val="hlfld-contribauthor"/>
          <w:sz w:val="20"/>
          <w:szCs w:val="20"/>
          <w:lang w:val="en-US"/>
        </w:rPr>
        <w:t>Wheeler, </w:t>
      </w:r>
      <w:r w:rsidRPr="0037644C">
        <w:rPr>
          <w:rStyle w:val="nlmgiven-names"/>
          <w:sz w:val="20"/>
          <w:szCs w:val="20"/>
          <w:lang w:val="en-US"/>
        </w:rPr>
        <w:t xml:space="preserve">D. </w:t>
      </w:r>
      <w:r w:rsidR="0037644C" w:rsidRPr="0037644C">
        <w:rPr>
          <w:rStyle w:val="nlmgiven-names"/>
          <w:sz w:val="20"/>
          <w:szCs w:val="20"/>
          <w:lang w:val="en-US"/>
        </w:rPr>
        <w:t>(</w:t>
      </w:r>
      <w:r w:rsidRPr="0037644C">
        <w:rPr>
          <w:rStyle w:val="nlmyear"/>
          <w:sz w:val="20"/>
          <w:szCs w:val="20"/>
          <w:lang w:val="en-US"/>
        </w:rPr>
        <w:t>2014</w:t>
      </w:r>
      <w:r w:rsidR="0037644C" w:rsidRPr="0037644C">
        <w:rPr>
          <w:rStyle w:val="nlmyear"/>
          <w:sz w:val="20"/>
          <w:szCs w:val="20"/>
          <w:lang w:val="en-US"/>
        </w:rPr>
        <w:t>)</w:t>
      </w:r>
      <w:r w:rsidRPr="0037644C">
        <w:rPr>
          <w:sz w:val="20"/>
          <w:szCs w:val="20"/>
          <w:lang w:val="en-US"/>
        </w:rPr>
        <w:t>. </w:t>
      </w:r>
      <w:r w:rsidR="0037644C" w:rsidRPr="0037644C">
        <w:rPr>
          <w:sz w:val="20"/>
          <w:szCs w:val="20"/>
          <w:lang w:val="en-US"/>
        </w:rPr>
        <w:t>“</w:t>
      </w:r>
      <w:r w:rsidRPr="0037644C">
        <w:rPr>
          <w:rStyle w:val="nlmarticle-title"/>
          <w:sz w:val="20"/>
          <w:szCs w:val="20"/>
          <w:lang w:val="en-US"/>
        </w:rPr>
        <w:t xml:space="preserve">Geographically </w:t>
      </w:r>
      <w:r w:rsidR="0037644C" w:rsidRPr="0037644C">
        <w:rPr>
          <w:rStyle w:val="nlmarticle-title"/>
          <w:sz w:val="20"/>
          <w:szCs w:val="20"/>
          <w:lang w:val="en-US"/>
        </w:rPr>
        <w:t>W</w:t>
      </w:r>
      <w:r w:rsidRPr="0037644C">
        <w:rPr>
          <w:rStyle w:val="nlmarticle-title"/>
          <w:sz w:val="20"/>
          <w:szCs w:val="20"/>
          <w:lang w:val="en-US"/>
        </w:rPr>
        <w:t xml:space="preserve">eighted </w:t>
      </w:r>
      <w:r w:rsidR="0037644C" w:rsidRPr="0037644C">
        <w:rPr>
          <w:rStyle w:val="nlmarticle-title"/>
          <w:sz w:val="20"/>
          <w:szCs w:val="20"/>
          <w:lang w:val="en-US"/>
        </w:rPr>
        <w:t>R</w:t>
      </w:r>
      <w:r w:rsidRPr="0037644C">
        <w:rPr>
          <w:rStyle w:val="nlmarticle-title"/>
          <w:sz w:val="20"/>
          <w:szCs w:val="20"/>
          <w:lang w:val="en-US"/>
        </w:rPr>
        <w:t>egression</w:t>
      </w:r>
      <w:r w:rsidR="0037644C" w:rsidRPr="0037644C">
        <w:rPr>
          <w:rStyle w:val="nlmarticle-title"/>
          <w:sz w:val="20"/>
          <w:szCs w:val="20"/>
          <w:lang w:val="en-US"/>
        </w:rPr>
        <w:t>”</w:t>
      </w:r>
      <w:r w:rsidRPr="0037644C">
        <w:rPr>
          <w:sz w:val="20"/>
          <w:szCs w:val="20"/>
          <w:lang w:val="en-US"/>
        </w:rPr>
        <w:t>,</w:t>
      </w:r>
      <w:r w:rsidR="0037644C" w:rsidRPr="0037644C">
        <w:rPr>
          <w:rStyle w:val="hlfld-contribauthor"/>
          <w:sz w:val="20"/>
          <w:szCs w:val="20"/>
          <w:lang w:val="en-US"/>
        </w:rPr>
        <w:t> Fischer</w:t>
      </w:r>
      <w:r w:rsidR="0037644C" w:rsidRPr="0037644C">
        <w:rPr>
          <w:rStyle w:val="nlmgiven-names"/>
          <w:sz w:val="20"/>
          <w:szCs w:val="20"/>
          <w:lang w:val="en-US"/>
        </w:rPr>
        <w:t xml:space="preserve"> M. </w:t>
      </w:r>
      <w:r w:rsidR="0037644C" w:rsidRPr="0037644C">
        <w:rPr>
          <w:rStyle w:val="hlfld-contribauthor"/>
          <w:sz w:val="20"/>
          <w:szCs w:val="20"/>
          <w:lang w:val="en-US"/>
        </w:rPr>
        <w:t xml:space="preserve">and Nijkamp, </w:t>
      </w:r>
      <w:r w:rsidR="0037644C" w:rsidRPr="0037644C">
        <w:rPr>
          <w:rStyle w:val="nlmgiven-names"/>
          <w:sz w:val="20"/>
          <w:szCs w:val="20"/>
          <w:lang w:val="en-US"/>
        </w:rPr>
        <w:t>P.</w:t>
      </w:r>
      <w:r w:rsidR="0037644C" w:rsidRPr="0037644C">
        <w:rPr>
          <w:sz w:val="20"/>
          <w:szCs w:val="20"/>
          <w:lang w:val="en-US"/>
        </w:rPr>
        <w:t xml:space="preserve"> </w:t>
      </w:r>
      <w:r w:rsidRPr="0037644C">
        <w:rPr>
          <w:i/>
          <w:iCs/>
          <w:sz w:val="20"/>
          <w:szCs w:val="20"/>
          <w:lang w:val="en-US"/>
        </w:rPr>
        <w:t>Handbook of Regional Science</w:t>
      </w:r>
      <w:r w:rsidRPr="0037644C">
        <w:rPr>
          <w:sz w:val="20"/>
          <w:szCs w:val="20"/>
          <w:lang w:val="en-US"/>
        </w:rPr>
        <w:t>. </w:t>
      </w:r>
      <w:r w:rsidRPr="0037644C">
        <w:rPr>
          <w:rStyle w:val="nlmpublisher-name"/>
          <w:sz w:val="20"/>
          <w:szCs w:val="20"/>
          <w:lang w:val="en-US"/>
        </w:rPr>
        <w:t>Springer-Verlag</w:t>
      </w:r>
      <w:r w:rsidRPr="0037644C">
        <w:rPr>
          <w:sz w:val="20"/>
          <w:szCs w:val="20"/>
          <w:lang w:val="en-US"/>
        </w:rPr>
        <w:t> </w:t>
      </w:r>
      <w:r w:rsidRPr="0037644C">
        <w:rPr>
          <w:rStyle w:val="nlmpublisher-loc"/>
          <w:sz w:val="20"/>
          <w:szCs w:val="20"/>
          <w:lang w:val="en-US"/>
        </w:rPr>
        <w:t>Berlin</w:t>
      </w:r>
      <w:r w:rsidR="0037644C" w:rsidRPr="0037644C">
        <w:rPr>
          <w:rStyle w:val="nlmpublisher-loc"/>
          <w:sz w:val="20"/>
          <w:szCs w:val="20"/>
          <w:lang w:val="en-US"/>
        </w:rPr>
        <w:t>,</w:t>
      </w:r>
      <w:r w:rsidRPr="0037644C">
        <w:rPr>
          <w:rStyle w:val="nlmpublisher-loc"/>
          <w:sz w:val="20"/>
          <w:szCs w:val="20"/>
          <w:lang w:val="en-US"/>
        </w:rPr>
        <w:t xml:space="preserve"> Heidelberg</w:t>
      </w:r>
      <w:r w:rsidR="0037644C" w:rsidRPr="0037644C">
        <w:rPr>
          <w:rStyle w:val="nlmpublisher-loc"/>
          <w:sz w:val="20"/>
          <w:szCs w:val="20"/>
          <w:lang w:val="en-US"/>
        </w:rPr>
        <w:t xml:space="preserve"> – Germany</w:t>
      </w:r>
      <w:r w:rsidRPr="0037644C">
        <w:rPr>
          <w:sz w:val="20"/>
          <w:szCs w:val="20"/>
          <w:lang w:val="en-US"/>
        </w:rPr>
        <w:t> </w:t>
      </w:r>
      <w:r w:rsidRPr="0037644C">
        <w:rPr>
          <w:rStyle w:val="nlmfpage"/>
          <w:sz w:val="20"/>
          <w:szCs w:val="20"/>
          <w:lang w:val="en-US"/>
        </w:rPr>
        <w:t>1435</w:t>
      </w:r>
      <w:r w:rsidRPr="0037644C">
        <w:rPr>
          <w:sz w:val="20"/>
          <w:szCs w:val="20"/>
          <w:lang w:val="en-US"/>
        </w:rPr>
        <w:t>–</w:t>
      </w:r>
      <w:r w:rsidRPr="0037644C">
        <w:rPr>
          <w:rStyle w:val="nlmlpage"/>
          <w:sz w:val="20"/>
          <w:szCs w:val="20"/>
          <w:lang w:val="en-US"/>
        </w:rPr>
        <w:t>1459</w:t>
      </w:r>
      <w:r w:rsidRPr="0037644C">
        <w:rPr>
          <w:sz w:val="20"/>
          <w:szCs w:val="20"/>
          <w:lang w:val="en-US"/>
        </w:rPr>
        <w:t>.</w:t>
      </w:r>
      <w:r w:rsidR="0037644C" w:rsidRPr="0037644C">
        <w:rPr>
          <w:rFonts w:eastAsiaTheme="minorHAnsi"/>
          <w:sz w:val="20"/>
          <w:szCs w:val="20"/>
          <w:shd w:val="clear" w:color="auto" w:fill="FFFFFF"/>
          <w:lang w:val="en-US" w:eastAsia="en-US"/>
        </w:rPr>
        <w:t xml:space="preserve"> </w:t>
      </w:r>
    </w:p>
    <w:p w14:paraId="4E809190" w14:textId="5C054159" w:rsidR="00B14BBF" w:rsidRPr="0037644C" w:rsidRDefault="00B14BBF" w:rsidP="001302AB">
      <w:pPr>
        <w:tabs>
          <w:tab w:val="left" w:pos="0"/>
          <w:tab w:val="left" w:pos="709"/>
        </w:tabs>
        <w:jc w:val="both"/>
        <w:rPr>
          <w:sz w:val="20"/>
          <w:szCs w:val="20"/>
          <w:shd w:val="clear" w:color="auto" w:fill="FFFFFF"/>
          <w:lang w:val="en-US"/>
        </w:rPr>
      </w:pPr>
      <w:r w:rsidRPr="00D62B9D">
        <w:rPr>
          <w:sz w:val="20"/>
          <w:szCs w:val="20"/>
          <w:shd w:val="clear" w:color="auto" w:fill="FFFFFF"/>
          <w:lang w:val="en-US"/>
        </w:rPr>
        <w:t>White, M. and Ke</w:t>
      </w:r>
      <w:r w:rsidR="0037644C" w:rsidRPr="0037644C">
        <w:rPr>
          <w:sz w:val="20"/>
          <w:szCs w:val="20"/>
          <w:shd w:val="clear" w:color="auto" w:fill="FFFFFF"/>
          <w:lang w:val="en-US"/>
        </w:rPr>
        <w:t xml:space="preserve">, </w:t>
      </w:r>
      <w:r w:rsidR="0037644C" w:rsidRPr="00D62B9D">
        <w:rPr>
          <w:sz w:val="20"/>
          <w:szCs w:val="20"/>
          <w:shd w:val="clear" w:color="auto" w:fill="FFFFFF"/>
          <w:lang w:val="en-US"/>
        </w:rPr>
        <w:t>Q.</w:t>
      </w:r>
      <w:r w:rsidRPr="00D62B9D">
        <w:rPr>
          <w:sz w:val="20"/>
          <w:szCs w:val="20"/>
          <w:shd w:val="clear" w:color="auto" w:fill="FFFFFF"/>
          <w:lang w:val="en-US"/>
        </w:rPr>
        <w:t xml:space="preserve"> </w:t>
      </w:r>
      <w:r w:rsidR="0037644C" w:rsidRPr="0037644C">
        <w:rPr>
          <w:sz w:val="20"/>
          <w:szCs w:val="20"/>
          <w:shd w:val="clear" w:color="auto" w:fill="FFFFFF"/>
          <w:lang w:val="en-US"/>
        </w:rPr>
        <w:t>(</w:t>
      </w:r>
      <w:r w:rsidRPr="00D62B9D">
        <w:rPr>
          <w:sz w:val="20"/>
          <w:szCs w:val="20"/>
          <w:shd w:val="clear" w:color="auto" w:fill="FFFFFF"/>
          <w:lang w:val="en-US"/>
        </w:rPr>
        <w:t>2014</w:t>
      </w:r>
      <w:r w:rsidR="0037644C" w:rsidRPr="0037644C">
        <w:rPr>
          <w:sz w:val="20"/>
          <w:szCs w:val="20"/>
          <w:shd w:val="clear" w:color="auto" w:fill="FFFFFF"/>
          <w:lang w:val="en-US"/>
        </w:rPr>
        <w:t>)</w:t>
      </w:r>
      <w:r w:rsidRPr="00D62B9D">
        <w:rPr>
          <w:sz w:val="20"/>
          <w:szCs w:val="20"/>
          <w:shd w:val="clear" w:color="auto" w:fill="FFFFFF"/>
          <w:lang w:val="en-US"/>
        </w:rPr>
        <w:t xml:space="preserve">. </w:t>
      </w:r>
      <w:r w:rsidR="0037644C" w:rsidRPr="0037644C">
        <w:rPr>
          <w:sz w:val="20"/>
          <w:szCs w:val="20"/>
          <w:shd w:val="clear" w:color="auto" w:fill="FFFFFF"/>
          <w:lang w:val="en-US"/>
        </w:rPr>
        <w:t>“</w:t>
      </w:r>
      <w:r w:rsidRPr="00A66843">
        <w:rPr>
          <w:sz w:val="20"/>
          <w:szCs w:val="20"/>
          <w:shd w:val="clear" w:color="auto" w:fill="FFFFFF"/>
          <w:lang w:val="en-US"/>
        </w:rPr>
        <w:t>Investigating the Dynamics of, and Interactions Between, Shanghai Office Submarkets.</w:t>
      </w:r>
      <w:r w:rsidRPr="00A66843">
        <w:rPr>
          <w:rStyle w:val="apple-converted-space"/>
          <w:sz w:val="20"/>
          <w:szCs w:val="20"/>
          <w:shd w:val="clear" w:color="auto" w:fill="FFFFFF"/>
          <w:lang w:val="en-US"/>
        </w:rPr>
        <w:t> </w:t>
      </w:r>
      <w:r w:rsidRPr="0037644C">
        <w:rPr>
          <w:i/>
          <w:iCs/>
          <w:sz w:val="20"/>
          <w:szCs w:val="20"/>
          <w:shd w:val="clear" w:color="auto" w:fill="FFFFFF"/>
          <w:lang w:val="en-US"/>
        </w:rPr>
        <w:t>Journal of Property Research</w:t>
      </w:r>
      <w:r w:rsidR="0037644C" w:rsidRPr="0037644C">
        <w:rPr>
          <w:rStyle w:val="apple-converted-space"/>
          <w:i/>
          <w:sz w:val="20"/>
          <w:szCs w:val="20"/>
          <w:shd w:val="clear" w:color="auto" w:fill="FFFFFF"/>
          <w:lang w:val="en-US"/>
        </w:rPr>
        <w:t xml:space="preserve">, Vol. </w:t>
      </w:r>
      <w:r w:rsidRPr="0037644C">
        <w:rPr>
          <w:iCs/>
          <w:sz w:val="20"/>
          <w:szCs w:val="20"/>
          <w:shd w:val="clear" w:color="auto" w:fill="FFFFFF"/>
          <w:lang w:val="en-US"/>
        </w:rPr>
        <w:t>31</w:t>
      </w:r>
      <w:r w:rsidR="0037644C" w:rsidRPr="0037644C">
        <w:rPr>
          <w:iCs/>
          <w:sz w:val="20"/>
          <w:szCs w:val="20"/>
          <w:shd w:val="clear" w:color="auto" w:fill="FFFFFF"/>
          <w:lang w:val="en-US"/>
        </w:rPr>
        <w:t>, pp.</w:t>
      </w:r>
      <w:r w:rsidRPr="0037644C">
        <w:rPr>
          <w:sz w:val="20"/>
          <w:szCs w:val="20"/>
          <w:shd w:val="clear" w:color="auto" w:fill="FFFFFF"/>
          <w:lang w:val="en-US"/>
        </w:rPr>
        <w:t xml:space="preserve"> 26</w:t>
      </w:r>
      <w:r w:rsidRPr="0037644C">
        <w:rPr>
          <w:sz w:val="20"/>
          <w:szCs w:val="20"/>
          <w:lang w:val="en-US"/>
        </w:rPr>
        <w:t>–</w:t>
      </w:r>
      <w:r w:rsidRPr="0037644C">
        <w:rPr>
          <w:sz w:val="20"/>
          <w:szCs w:val="20"/>
          <w:shd w:val="clear" w:color="auto" w:fill="FFFFFF"/>
          <w:lang w:val="en-US"/>
        </w:rPr>
        <w:t>44.</w:t>
      </w:r>
    </w:p>
    <w:p w14:paraId="3E434A35" w14:textId="1171217B" w:rsidR="00B14BBF" w:rsidRPr="00A66843" w:rsidRDefault="00B14BBF" w:rsidP="00A66843">
      <w:pPr>
        <w:tabs>
          <w:tab w:val="left" w:pos="0"/>
          <w:tab w:val="left" w:pos="709"/>
        </w:tabs>
        <w:jc w:val="both"/>
        <w:rPr>
          <w:sz w:val="20"/>
          <w:szCs w:val="20"/>
          <w:shd w:val="clear" w:color="auto" w:fill="FFFFFF"/>
          <w:lang w:val="en-US"/>
        </w:rPr>
      </w:pPr>
      <w:r w:rsidRPr="00A66843">
        <w:rPr>
          <w:sz w:val="20"/>
          <w:szCs w:val="20"/>
          <w:shd w:val="clear" w:color="auto" w:fill="FFFFFF"/>
          <w:lang w:val="en-US"/>
        </w:rPr>
        <w:t>Wolverton, M. Hardin III</w:t>
      </w:r>
      <w:r w:rsidR="0037644C" w:rsidRPr="0037644C">
        <w:rPr>
          <w:sz w:val="20"/>
          <w:szCs w:val="20"/>
          <w:shd w:val="clear" w:color="auto" w:fill="FFFFFF"/>
          <w:lang w:val="en-US"/>
        </w:rPr>
        <w:t xml:space="preserve">, </w:t>
      </w:r>
      <w:r w:rsidR="0037644C" w:rsidRPr="00D62B9D">
        <w:rPr>
          <w:sz w:val="20"/>
          <w:szCs w:val="20"/>
          <w:shd w:val="clear" w:color="auto" w:fill="FFFFFF"/>
          <w:lang w:val="en-US"/>
        </w:rPr>
        <w:t>W.</w:t>
      </w:r>
      <w:r w:rsidRPr="00D62B9D">
        <w:rPr>
          <w:sz w:val="20"/>
          <w:szCs w:val="20"/>
          <w:shd w:val="clear" w:color="auto" w:fill="FFFFFF"/>
          <w:lang w:val="en-US"/>
        </w:rPr>
        <w:t xml:space="preserve"> and Cheng</w:t>
      </w:r>
      <w:r w:rsidR="0037644C" w:rsidRPr="0037644C">
        <w:rPr>
          <w:sz w:val="20"/>
          <w:szCs w:val="20"/>
          <w:shd w:val="clear" w:color="auto" w:fill="FFFFFF"/>
          <w:lang w:val="en-US"/>
        </w:rPr>
        <w:t xml:space="preserve">, </w:t>
      </w:r>
      <w:r w:rsidR="0037644C" w:rsidRPr="00D62B9D">
        <w:rPr>
          <w:sz w:val="20"/>
          <w:szCs w:val="20"/>
          <w:shd w:val="clear" w:color="auto" w:fill="FFFFFF"/>
          <w:lang w:val="en-US"/>
        </w:rPr>
        <w:t>P.</w:t>
      </w:r>
      <w:r w:rsidRPr="00D62B9D">
        <w:rPr>
          <w:sz w:val="20"/>
          <w:szCs w:val="20"/>
          <w:shd w:val="clear" w:color="auto" w:fill="FFFFFF"/>
          <w:lang w:val="en-US"/>
        </w:rPr>
        <w:t xml:space="preserve"> </w:t>
      </w:r>
      <w:r w:rsidR="0037644C" w:rsidRPr="0037644C">
        <w:rPr>
          <w:sz w:val="20"/>
          <w:szCs w:val="20"/>
          <w:shd w:val="clear" w:color="auto" w:fill="FFFFFF"/>
          <w:lang w:val="en-US"/>
        </w:rPr>
        <w:t>(</w:t>
      </w:r>
      <w:r w:rsidRPr="00D62B9D">
        <w:rPr>
          <w:sz w:val="20"/>
          <w:szCs w:val="20"/>
          <w:shd w:val="clear" w:color="auto" w:fill="FFFFFF"/>
          <w:lang w:val="en-US"/>
        </w:rPr>
        <w:t>1999</w:t>
      </w:r>
      <w:r w:rsidR="0037644C" w:rsidRPr="0037644C">
        <w:rPr>
          <w:sz w:val="20"/>
          <w:szCs w:val="20"/>
          <w:shd w:val="clear" w:color="auto" w:fill="FFFFFF"/>
          <w:lang w:val="en-US"/>
        </w:rPr>
        <w:t>)</w:t>
      </w:r>
      <w:r w:rsidRPr="00D62B9D">
        <w:rPr>
          <w:sz w:val="20"/>
          <w:szCs w:val="20"/>
          <w:shd w:val="clear" w:color="auto" w:fill="FFFFFF"/>
          <w:lang w:val="en-US"/>
        </w:rPr>
        <w:t xml:space="preserve">. </w:t>
      </w:r>
      <w:r w:rsidR="0037644C" w:rsidRPr="0037644C">
        <w:rPr>
          <w:sz w:val="20"/>
          <w:szCs w:val="20"/>
          <w:shd w:val="clear" w:color="auto" w:fill="FFFFFF"/>
          <w:lang w:val="en-US"/>
        </w:rPr>
        <w:t>“</w:t>
      </w:r>
      <w:r w:rsidRPr="00D62B9D">
        <w:rPr>
          <w:sz w:val="20"/>
          <w:szCs w:val="20"/>
          <w:shd w:val="clear" w:color="auto" w:fill="FFFFFF"/>
          <w:lang w:val="en-US"/>
        </w:rPr>
        <w:t>Disaggregation of Local Apartment Markets by Unit Type</w:t>
      </w:r>
      <w:r w:rsidR="0037644C" w:rsidRPr="0037644C">
        <w:rPr>
          <w:sz w:val="20"/>
          <w:szCs w:val="20"/>
          <w:shd w:val="clear" w:color="auto" w:fill="FFFFFF"/>
          <w:lang w:val="en-US"/>
        </w:rPr>
        <w:t>”</w:t>
      </w:r>
      <w:r w:rsidRPr="00A66843">
        <w:rPr>
          <w:sz w:val="20"/>
          <w:szCs w:val="20"/>
          <w:shd w:val="clear" w:color="auto" w:fill="FFFFFF"/>
          <w:lang w:val="en-US"/>
        </w:rPr>
        <w:t>.</w:t>
      </w:r>
      <w:r w:rsidRPr="00A66843">
        <w:rPr>
          <w:rStyle w:val="apple-converted-space"/>
          <w:sz w:val="20"/>
          <w:szCs w:val="20"/>
          <w:shd w:val="clear" w:color="auto" w:fill="FFFFFF"/>
          <w:lang w:val="en-US"/>
        </w:rPr>
        <w:t> </w:t>
      </w:r>
      <w:r w:rsidRPr="0037644C">
        <w:rPr>
          <w:i/>
          <w:iCs/>
          <w:sz w:val="20"/>
          <w:szCs w:val="20"/>
          <w:shd w:val="clear" w:color="auto" w:fill="FFFFFF"/>
          <w:lang w:val="en-US"/>
        </w:rPr>
        <w:t>Journal of Real Estate Finance and Economics</w:t>
      </w:r>
      <w:r w:rsidR="0037644C" w:rsidRPr="0037644C">
        <w:rPr>
          <w:rStyle w:val="apple-converted-space"/>
          <w:sz w:val="20"/>
          <w:szCs w:val="20"/>
          <w:shd w:val="clear" w:color="auto" w:fill="FFFFFF"/>
          <w:lang w:val="en-US"/>
        </w:rPr>
        <w:t xml:space="preserve">, Vol. </w:t>
      </w:r>
      <w:r w:rsidRPr="0037644C">
        <w:rPr>
          <w:iCs/>
          <w:sz w:val="20"/>
          <w:szCs w:val="20"/>
          <w:shd w:val="clear" w:color="auto" w:fill="FFFFFF"/>
          <w:lang w:val="en-US"/>
        </w:rPr>
        <w:t>19</w:t>
      </w:r>
      <w:r w:rsidR="0037644C" w:rsidRPr="0037644C">
        <w:rPr>
          <w:sz w:val="20"/>
          <w:szCs w:val="20"/>
          <w:shd w:val="clear" w:color="auto" w:fill="FFFFFF"/>
          <w:lang w:val="en-US"/>
        </w:rPr>
        <w:t>, pp.</w:t>
      </w:r>
      <w:r w:rsidRPr="0037644C">
        <w:rPr>
          <w:sz w:val="20"/>
          <w:szCs w:val="20"/>
          <w:shd w:val="clear" w:color="auto" w:fill="FFFFFF"/>
          <w:lang w:val="en-US"/>
        </w:rPr>
        <w:t xml:space="preserve"> 243</w:t>
      </w:r>
      <w:r w:rsidRPr="0037644C">
        <w:rPr>
          <w:sz w:val="20"/>
          <w:szCs w:val="20"/>
          <w:lang w:val="en-US"/>
        </w:rPr>
        <w:t>–</w:t>
      </w:r>
      <w:r w:rsidRPr="0037644C">
        <w:rPr>
          <w:sz w:val="20"/>
          <w:szCs w:val="20"/>
          <w:shd w:val="clear" w:color="auto" w:fill="FFFFFF"/>
          <w:lang w:val="en-US"/>
        </w:rPr>
        <w:t>257.</w:t>
      </w:r>
    </w:p>
    <w:p w14:paraId="513042DB" w14:textId="5E209DD5" w:rsidR="00B14BBF" w:rsidRPr="00D62B9D" w:rsidRDefault="00B14BBF" w:rsidP="00B14BBF">
      <w:pPr>
        <w:pStyle w:val="ecxmsonormal"/>
        <w:shd w:val="clear" w:color="auto" w:fill="FFFFFF"/>
        <w:tabs>
          <w:tab w:val="left" w:pos="1701"/>
        </w:tabs>
        <w:spacing w:before="120" w:beforeAutospacing="0" w:after="120" w:afterAutospacing="0" w:line="360" w:lineRule="auto"/>
        <w:jc w:val="both"/>
        <w:rPr>
          <w:noProof w:val="0"/>
        </w:rPr>
      </w:pPr>
    </w:p>
    <w:p w14:paraId="5129BB22" w14:textId="4565F614" w:rsidR="00B14BBF" w:rsidRDefault="00B14BBF" w:rsidP="007C7104">
      <w:pPr>
        <w:tabs>
          <w:tab w:val="left" w:pos="709"/>
          <w:tab w:val="left" w:pos="2187"/>
        </w:tabs>
        <w:spacing w:line="360" w:lineRule="auto"/>
        <w:jc w:val="both"/>
        <w:rPr>
          <w:lang w:val="en-US"/>
        </w:rPr>
      </w:pPr>
    </w:p>
    <w:p w14:paraId="755C9553" w14:textId="77777777" w:rsidR="00E568BC" w:rsidRDefault="00E568BC">
      <w:pPr>
        <w:rPr>
          <w:lang w:val="en-US"/>
        </w:rPr>
      </w:pPr>
    </w:p>
    <w:p w14:paraId="7BD9799A" w14:textId="39D534D1" w:rsidR="00D07FEB" w:rsidRDefault="00D07FEB">
      <w:pPr>
        <w:rPr>
          <w:lang w:val="en-US"/>
        </w:rPr>
      </w:pPr>
    </w:p>
    <w:p w14:paraId="43580008" w14:textId="5BF997CE" w:rsidR="009B09FF" w:rsidRDefault="009B09FF">
      <w:pPr>
        <w:rPr>
          <w:lang w:val="en-US"/>
        </w:rPr>
      </w:pPr>
    </w:p>
    <w:p w14:paraId="1141A0F1" w14:textId="38362101" w:rsidR="009B09FF" w:rsidRDefault="009B09FF">
      <w:pPr>
        <w:rPr>
          <w:lang w:val="en-US"/>
        </w:rPr>
      </w:pPr>
    </w:p>
    <w:p w14:paraId="0F9CF21E" w14:textId="130118B5" w:rsidR="001302AB" w:rsidRDefault="001302AB">
      <w:pPr>
        <w:rPr>
          <w:lang w:val="en-US"/>
        </w:rPr>
      </w:pPr>
    </w:p>
    <w:p w14:paraId="2C1D86E3" w14:textId="03CC6F9C" w:rsidR="001302AB" w:rsidRDefault="001302AB">
      <w:pPr>
        <w:rPr>
          <w:lang w:val="en-US"/>
        </w:rPr>
      </w:pPr>
    </w:p>
    <w:p w14:paraId="54E26F8A" w14:textId="0DDDDFFF" w:rsidR="001302AB" w:rsidRDefault="001302AB">
      <w:pPr>
        <w:rPr>
          <w:lang w:val="en-US"/>
        </w:rPr>
      </w:pPr>
    </w:p>
    <w:p w14:paraId="13E6EB78" w14:textId="1CE4060E" w:rsidR="001302AB" w:rsidRDefault="001302AB">
      <w:pPr>
        <w:rPr>
          <w:lang w:val="en-US"/>
        </w:rPr>
      </w:pPr>
    </w:p>
    <w:p w14:paraId="72C9080C" w14:textId="2546A0B5" w:rsidR="001302AB" w:rsidRDefault="001302AB">
      <w:pPr>
        <w:rPr>
          <w:lang w:val="en-US"/>
        </w:rPr>
      </w:pPr>
    </w:p>
    <w:p w14:paraId="21900C68" w14:textId="2E38C4A7" w:rsidR="001302AB" w:rsidRDefault="001302AB">
      <w:pPr>
        <w:rPr>
          <w:lang w:val="en-US"/>
        </w:rPr>
      </w:pPr>
    </w:p>
    <w:p w14:paraId="52DD1076" w14:textId="05CD57E3" w:rsidR="001302AB" w:rsidRDefault="001302AB">
      <w:pPr>
        <w:rPr>
          <w:lang w:val="en-US"/>
        </w:rPr>
      </w:pPr>
    </w:p>
    <w:p w14:paraId="31B14AD9" w14:textId="79914730" w:rsidR="001302AB" w:rsidRDefault="001302AB">
      <w:pPr>
        <w:rPr>
          <w:lang w:val="en-US"/>
        </w:rPr>
      </w:pPr>
    </w:p>
    <w:p w14:paraId="5564ECE7" w14:textId="1BE14C7C" w:rsidR="001302AB" w:rsidRDefault="001302AB">
      <w:pPr>
        <w:rPr>
          <w:lang w:val="en-US"/>
        </w:rPr>
      </w:pPr>
    </w:p>
    <w:p w14:paraId="2D400079" w14:textId="0B5EEA1E" w:rsidR="001302AB" w:rsidRDefault="001302AB">
      <w:pPr>
        <w:rPr>
          <w:lang w:val="en-US"/>
        </w:rPr>
      </w:pPr>
    </w:p>
    <w:p w14:paraId="5348314D" w14:textId="13983DDA" w:rsidR="001302AB" w:rsidRDefault="001302AB">
      <w:pPr>
        <w:rPr>
          <w:lang w:val="en-US"/>
        </w:rPr>
      </w:pPr>
    </w:p>
    <w:p w14:paraId="528996BB" w14:textId="169FE01A" w:rsidR="001302AB" w:rsidRDefault="001302AB">
      <w:pPr>
        <w:rPr>
          <w:lang w:val="en-US"/>
        </w:rPr>
      </w:pPr>
    </w:p>
    <w:p w14:paraId="0E651446" w14:textId="56C77834" w:rsidR="006E454E" w:rsidRDefault="006E454E">
      <w:pPr>
        <w:rPr>
          <w:lang w:val="en-US"/>
        </w:rPr>
      </w:pPr>
    </w:p>
    <w:p w14:paraId="3D5B3443" w14:textId="77777777" w:rsidR="006E454E" w:rsidRDefault="006E454E">
      <w:pPr>
        <w:rPr>
          <w:lang w:val="en-US"/>
        </w:rPr>
      </w:pPr>
    </w:p>
    <w:p w14:paraId="1A1A6F5B" w14:textId="032EB9DF" w:rsidR="009B09FF" w:rsidRDefault="009B09FF">
      <w:pPr>
        <w:rPr>
          <w:lang w:val="en-US"/>
        </w:rPr>
      </w:pPr>
    </w:p>
    <w:p w14:paraId="62666924" w14:textId="77777777" w:rsidR="00B064C6" w:rsidRPr="006C2E6C" w:rsidRDefault="00B064C6" w:rsidP="00B064C6">
      <w:pPr>
        <w:tabs>
          <w:tab w:val="left" w:pos="1701"/>
        </w:tabs>
        <w:spacing w:before="120" w:after="120" w:line="360" w:lineRule="auto"/>
        <w:rPr>
          <w:b/>
          <w:sz w:val="20"/>
          <w:szCs w:val="20"/>
          <w:lang w:val="en-US"/>
        </w:rPr>
      </w:pPr>
      <w:r w:rsidRPr="007765AC">
        <w:rPr>
          <w:b/>
          <w:sz w:val="20"/>
          <w:szCs w:val="20"/>
          <w:lang w:val="en-US"/>
        </w:rPr>
        <w:t>Table 1:</w:t>
      </w:r>
      <w:r w:rsidRPr="006C2E6C">
        <w:rPr>
          <w:b/>
          <w:sz w:val="20"/>
          <w:szCs w:val="20"/>
          <w:lang w:val="en-US"/>
        </w:rPr>
        <w:t xml:space="preserve"> Definition of </w:t>
      </w:r>
      <w:r w:rsidRPr="00BD7A1A">
        <w:rPr>
          <w:b/>
          <w:sz w:val="20"/>
          <w:szCs w:val="20"/>
          <w:lang w:val="en-US"/>
        </w:rPr>
        <w:t>Variables and Examples of Studies that Adopt Similar Measures</w:t>
      </w:r>
    </w:p>
    <w:tbl>
      <w:tblPr>
        <w:tblStyle w:val="TableGrid"/>
        <w:tblW w:w="0" w:type="auto"/>
        <w:tblInd w:w="108" w:type="dxa"/>
        <w:tblBorders>
          <w:left w:val="none" w:sz="0" w:space="0" w:color="auto"/>
          <w:right w:val="none" w:sz="0" w:space="0" w:color="auto"/>
          <w:insideV w:val="none" w:sz="0" w:space="0" w:color="auto"/>
        </w:tblBorders>
        <w:tblLook w:val="04A0" w:firstRow="1" w:lastRow="0" w:firstColumn="1" w:lastColumn="0" w:noHBand="0" w:noVBand="1"/>
      </w:tblPr>
      <w:tblGrid>
        <w:gridCol w:w="1260"/>
        <w:gridCol w:w="5213"/>
        <w:gridCol w:w="1923"/>
      </w:tblGrid>
      <w:tr w:rsidR="00B064C6" w:rsidRPr="009A7F8A" w14:paraId="3DE65021" w14:textId="77777777" w:rsidTr="00416056">
        <w:trPr>
          <w:trHeight w:val="520"/>
        </w:trPr>
        <w:tc>
          <w:tcPr>
            <w:tcW w:w="1260" w:type="dxa"/>
            <w:vAlign w:val="center"/>
          </w:tcPr>
          <w:p w14:paraId="0DDC6D23" w14:textId="77777777" w:rsidR="00B064C6" w:rsidRPr="008D4AB8" w:rsidRDefault="00B064C6" w:rsidP="006631AF">
            <w:pPr>
              <w:tabs>
                <w:tab w:val="left" w:pos="1701"/>
              </w:tabs>
              <w:jc w:val="center"/>
              <w:rPr>
                <w:sz w:val="20"/>
                <w:szCs w:val="20"/>
                <w:lang w:val="en-US"/>
              </w:rPr>
            </w:pPr>
            <w:r>
              <w:rPr>
                <w:sz w:val="20"/>
                <w:szCs w:val="20"/>
                <w:lang w:val="en-US"/>
              </w:rPr>
              <w:t>Variable</w:t>
            </w:r>
          </w:p>
        </w:tc>
        <w:tc>
          <w:tcPr>
            <w:tcW w:w="5213" w:type="dxa"/>
            <w:vAlign w:val="center"/>
          </w:tcPr>
          <w:p w14:paraId="5C539022" w14:textId="77777777" w:rsidR="00B064C6" w:rsidRPr="008D4AB8" w:rsidRDefault="00B064C6" w:rsidP="006631AF">
            <w:pPr>
              <w:tabs>
                <w:tab w:val="left" w:pos="1701"/>
              </w:tabs>
              <w:jc w:val="center"/>
              <w:rPr>
                <w:sz w:val="20"/>
                <w:szCs w:val="20"/>
                <w:lang w:val="en-US"/>
              </w:rPr>
            </w:pPr>
            <w:r>
              <w:rPr>
                <w:sz w:val="20"/>
                <w:szCs w:val="20"/>
                <w:lang w:val="en-US"/>
              </w:rPr>
              <w:t>Definition</w:t>
            </w:r>
          </w:p>
        </w:tc>
        <w:tc>
          <w:tcPr>
            <w:tcW w:w="1923" w:type="dxa"/>
            <w:vAlign w:val="center"/>
          </w:tcPr>
          <w:p w14:paraId="0CCD5FF1" w14:textId="77777777" w:rsidR="00B064C6" w:rsidRPr="008D4AB8" w:rsidRDefault="00B064C6" w:rsidP="006631AF">
            <w:pPr>
              <w:tabs>
                <w:tab w:val="left" w:pos="1701"/>
              </w:tabs>
              <w:jc w:val="center"/>
              <w:rPr>
                <w:sz w:val="20"/>
                <w:szCs w:val="20"/>
                <w:lang w:val="en-US"/>
              </w:rPr>
            </w:pPr>
            <w:r>
              <w:rPr>
                <w:sz w:val="20"/>
                <w:szCs w:val="20"/>
                <w:lang w:val="en-US"/>
              </w:rPr>
              <w:t>Authors</w:t>
            </w:r>
          </w:p>
        </w:tc>
      </w:tr>
      <w:tr w:rsidR="00B064C6" w:rsidRPr="00A36E21" w14:paraId="28E1FA3A" w14:textId="77777777" w:rsidTr="00416056">
        <w:trPr>
          <w:trHeight w:val="1212"/>
        </w:trPr>
        <w:tc>
          <w:tcPr>
            <w:tcW w:w="1260" w:type="dxa"/>
            <w:tcBorders>
              <w:bottom w:val="single" w:sz="4" w:space="0" w:color="FFFFFF" w:themeColor="background1"/>
            </w:tcBorders>
            <w:vAlign w:val="center"/>
          </w:tcPr>
          <w:p w14:paraId="479CE8F1" w14:textId="77777777" w:rsidR="00B064C6" w:rsidRPr="008D4AB8" w:rsidRDefault="00B064C6" w:rsidP="006631AF">
            <w:pPr>
              <w:tabs>
                <w:tab w:val="left" w:pos="1701"/>
              </w:tabs>
              <w:jc w:val="both"/>
              <w:rPr>
                <w:sz w:val="20"/>
                <w:szCs w:val="20"/>
                <w:lang w:val="en-US"/>
              </w:rPr>
            </w:pPr>
            <w:r w:rsidRPr="008D4AB8">
              <w:rPr>
                <w:sz w:val="20"/>
                <w:szCs w:val="20"/>
                <w:lang w:val="en-US"/>
              </w:rPr>
              <w:t>Rent</w:t>
            </w:r>
          </w:p>
        </w:tc>
        <w:tc>
          <w:tcPr>
            <w:tcW w:w="5213" w:type="dxa"/>
            <w:tcBorders>
              <w:bottom w:val="single" w:sz="4" w:space="0" w:color="FFFFFF" w:themeColor="background1"/>
            </w:tcBorders>
            <w:vAlign w:val="center"/>
          </w:tcPr>
          <w:p w14:paraId="69A12F0E" w14:textId="77777777" w:rsidR="00B064C6" w:rsidRPr="008D4AB8" w:rsidRDefault="00B064C6" w:rsidP="006631AF">
            <w:pPr>
              <w:tabs>
                <w:tab w:val="left" w:pos="1701"/>
              </w:tabs>
              <w:jc w:val="both"/>
              <w:rPr>
                <w:sz w:val="20"/>
                <w:szCs w:val="20"/>
                <w:lang w:val="en-US"/>
              </w:rPr>
            </w:pPr>
            <w:r w:rsidRPr="008D4AB8">
              <w:rPr>
                <w:sz w:val="20"/>
                <w:szCs w:val="20"/>
                <w:lang w:val="en-US"/>
              </w:rPr>
              <w:t>the natural logarithm of nominal asking rent per square meter denominated in Brazilian Real (BRL)</w:t>
            </w:r>
          </w:p>
        </w:tc>
        <w:tc>
          <w:tcPr>
            <w:tcW w:w="1923" w:type="dxa"/>
            <w:tcBorders>
              <w:bottom w:val="single" w:sz="4" w:space="0" w:color="FFFFFF" w:themeColor="background1"/>
            </w:tcBorders>
            <w:vAlign w:val="center"/>
          </w:tcPr>
          <w:p w14:paraId="67970D31" w14:textId="3ACC74F8" w:rsidR="00B064C6" w:rsidRPr="008D4AB8" w:rsidRDefault="00B064C6" w:rsidP="006631AF">
            <w:pPr>
              <w:tabs>
                <w:tab w:val="left" w:pos="1701"/>
              </w:tabs>
              <w:jc w:val="both"/>
              <w:rPr>
                <w:sz w:val="20"/>
                <w:szCs w:val="20"/>
                <w:lang w:val="en-US"/>
              </w:rPr>
            </w:pPr>
            <w:r w:rsidRPr="008D4AB8">
              <w:rPr>
                <w:sz w:val="20"/>
                <w:szCs w:val="20"/>
                <w:lang w:val="en-US"/>
              </w:rPr>
              <w:t xml:space="preserve">Bollinger </w:t>
            </w:r>
            <w:r w:rsidRPr="008D4AB8">
              <w:rPr>
                <w:i/>
                <w:sz w:val="20"/>
                <w:szCs w:val="20"/>
                <w:lang w:val="en-US"/>
              </w:rPr>
              <w:t>et al.</w:t>
            </w:r>
            <w:r w:rsidRPr="008D4AB8">
              <w:rPr>
                <w:sz w:val="20"/>
                <w:szCs w:val="20"/>
                <w:lang w:val="en-US"/>
              </w:rPr>
              <w:t xml:space="preserve"> (1998)</w:t>
            </w:r>
            <w:r w:rsidR="00416056">
              <w:rPr>
                <w:sz w:val="20"/>
                <w:szCs w:val="20"/>
                <w:lang w:val="en-US"/>
              </w:rPr>
              <w:t xml:space="preserve"> </w:t>
            </w:r>
            <w:r w:rsidR="00416056" w:rsidRPr="008D4AB8">
              <w:rPr>
                <w:sz w:val="20"/>
                <w:szCs w:val="20"/>
                <w:lang w:val="en-US"/>
              </w:rPr>
              <w:t>and Clapp</w:t>
            </w:r>
            <w:r w:rsidR="00416056">
              <w:rPr>
                <w:sz w:val="20"/>
                <w:szCs w:val="20"/>
                <w:lang w:val="en-US"/>
              </w:rPr>
              <w:t xml:space="preserve"> </w:t>
            </w:r>
            <w:r w:rsidR="00416056" w:rsidRPr="008D4AB8">
              <w:rPr>
                <w:i/>
                <w:sz w:val="20"/>
                <w:szCs w:val="20"/>
                <w:lang w:val="en-US"/>
              </w:rPr>
              <w:t>et al.</w:t>
            </w:r>
            <w:r w:rsidR="00416056" w:rsidRPr="008D4AB8">
              <w:rPr>
                <w:sz w:val="20"/>
                <w:szCs w:val="20"/>
                <w:lang w:val="en-US"/>
              </w:rPr>
              <w:t xml:space="preserve"> (19</w:t>
            </w:r>
            <w:r w:rsidR="00416056">
              <w:rPr>
                <w:sz w:val="20"/>
                <w:szCs w:val="20"/>
                <w:lang w:val="en-US"/>
              </w:rPr>
              <w:t>92</w:t>
            </w:r>
            <w:r w:rsidR="00416056" w:rsidRPr="008D4AB8">
              <w:rPr>
                <w:sz w:val="20"/>
                <w:szCs w:val="20"/>
                <w:lang w:val="en-US"/>
              </w:rPr>
              <w:t>)</w:t>
            </w:r>
          </w:p>
        </w:tc>
      </w:tr>
      <w:tr w:rsidR="00B064C6" w:rsidRPr="00FC436B" w14:paraId="4F5BE5B5" w14:textId="77777777" w:rsidTr="00416056">
        <w:trPr>
          <w:trHeight w:val="2121"/>
        </w:trPr>
        <w:tc>
          <w:tcPr>
            <w:tcW w:w="1260" w:type="dxa"/>
            <w:tcBorders>
              <w:top w:val="single" w:sz="4" w:space="0" w:color="FFFFFF" w:themeColor="background1"/>
              <w:bottom w:val="single" w:sz="4" w:space="0" w:color="FFFFFF" w:themeColor="background1"/>
            </w:tcBorders>
            <w:vAlign w:val="center"/>
          </w:tcPr>
          <w:p w14:paraId="00494C5B" w14:textId="77777777" w:rsidR="00B064C6" w:rsidRPr="008D4AB8" w:rsidRDefault="00B064C6" w:rsidP="006631AF">
            <w:pPr>
              <w:tabs>
                <w:tab w:val="left" w:pos="1701"/>
              </w:tabs>
              <w:jc w:val="both"/>
              <w:rPr>
                <w:sz w:val="20"/>
                <w:szCs w:val="20"/>
                <w:lang w:val="en-US"/>
              </w:rPr>
            </w:pPr>
            <w:r w:rsidRPr="008D4AB8">
              <w:rPr>
                <w:sz w:val="20"/>
                <w:szCs w:val="20"/>
                <w:lang w:val="en-US"/>
              </w:rPr>
              <w:t>Corporate</w:t>
            </w:r>
          </w:p>
        </w:tc>
        <w:tc>
          <w:tcPr>
            <w:tcW w:w="5213" w:type="dxa"/>
            <w:tcBorders>
              <w:top w:val="single" w:sz="4" w:space="0" w:color="FFFFFF" w:themeColor="background1"/>
              <w:bottom w:val="single" w:sz="4" w:space="0" w:color="FFFFFF" w:themeColor="background1"/>
            </w:tcBorders>
            <w:vAlign w:val="center"/>
          </w:tcPr>
          <w:p w14:paraId="1702E4E6" w14:textId="195DFDB2" w:rsidR="00B064C6" w:rsidRPr="008D4AB8" w:rsidRDefault="00B064C6" w:rsidP="006631AF">
            <w:pPr>
              <w:tabs>
                <w:tab w:val="left" w:pos="1701"/>
              </w:tabs>
              <w:jc w:val="both"/>
              <w:rPr>
                <w:sz w:val="20"/>
                <w:szCs w:val="20"/>
                <w:lang w:val="en-US"/>
              </w:rPr>
            </w:pPr>
            <w:r w:rsidRPr="008D4AB8">
              <w:rPr>
                <w:sz w:val="20"/>
                <w:szCs w:val="20"/>
                <w:lang w:val="en-US"/>
              </w:rPr>
              <w:t>Buildings defines these niches based on the average size of leasable units inside a given property and sets a cut-off threshold of 100 sqm</w:t>
            </w:r>
            <w:r w:rsidR="007A7E92">
              <w:rPr>
                <w:sz w:val="20"/>
                <w:szCs w:val="20"/>
                <w:lang w:val="en-US"/>
              </w:rPr>
              <w:t xml:space="preserve"> </w:t>
            </w:r>
            <w:r w:rsidR="007A7E92" w:rsidRPr="007A7E92">
              <w:rPr>
                <w:color w:val="FF0000"/>
                <w:sz w:val="20"/>
                <w:szCs w:val="20"/>
                <w:lang w:val="en-US"/>
              </w:rPr>
              <w:t>(1</w:t>
            </w:r>
            <w:r w:rsidR="007D6B53">
              <w:rPr>
                <w:color w:val="FF0000"/>
                <w:sz w:val="20"/>
                <w:szCs w:val="20"/>
                <w:lang w:val="en-US"/>
              </w:rPr>
              <w:t>,</w:t>
            </w:r>
            <w:r w:rsidR="007A7E92" w:rsidRPr="007A7E92">
              <w:rPr>
                <w:color w:val="FF0000"/>
                <w:sz w:val="20"/>
                <w:szCs w:val="20"/>
                <w:lang w:val="en-US"/>
              </w:rPr>
              <w:t>076sqft)</w:t>
            </w:r>
            <w:r w:rsidRPr="008D4AB8">
              <w:rPr>
                <w:sz w:val="20"/>
                <w:szCs w:val="20"/>
                <w:lang w:val="en-US"/>
              </w:rPr>
              <w:t xml:space="preserve">. Properties above this number are considered </w:t>
            </w:r>
            <w:r w:rsidRPr="008D4AB8">
              <w:rPr>
                <w:i/>
                <w:sz w:val="20"/>
                <w:szCs w:val="20"/>
                <w:lang w:val="en-US"/>
              </w:rPr>
              <w:t>large</w:t>
            </w:r>
            <w:r w:rsidRPr="008D4AB8">
              <w:rPr>
                <w:sz w:val="20"/>
                <w:szCs w:val="20"/>
                <w:lang w:val="en-US"/>
              </w:rPr>
              <w:t xml:space="preserve"> and the remainder </w:t>
            </w:r>
            <w:r w:rsidRPr="008D4AB8">
              <w:rPr>
                <w:i/>
                <w:sz w:val="20"/>
                <w:szCs w:val="20"/>
                <w:lang w:val="en-US"/>
              </w:rPr>
              <w:t>small</w:t>
            </w:r>
            <w:r w:rsidRPr="008D4AB8">
              <w:rPr>
                <w:sz w:val="20"/>
                <w:szCs w:val="20"/>
                <w:lang w:val="en-US"/>
              </w:rPr>
              <w:t>. This variable is set to one when an asset belongs to the first group at a given period and zero otherwise. The data provider, as is custom in the market (</w:t>
            </w:r>
            <w:r w:rsidRPr="008D4AB8">
              <w:rPr>
                <w:rStyle w:val="apple-converted-space"/>
                <w:sz w:val="20"/>
                <w:szCs w:val="20"/>
                <w:lang w:val="en-US"/>
              </w:rPr>
              <w:t>Credit Suisse, 2016; Colliers International, 2014)</w:t>
            </w:r>
            <w:r w:rsidRPr="008D4AB8">
              <w:rPr>
                <w:sz w:val="20"/>
                <w:szCs w:val="20"/>
                <w:lang w:val="en-US"/>
              </w:rPr>
              <w:t xml:space="preserve">, uses this variable to identify properties more likely to house large corporate tenants. </w:t>
            </w:r>
          </w:p>
        </w:tc>
        <w:tc>
          <w:tcPr>
            <w:tcW w:w="1923" w:type="dxa"/>
            <w:tcBorders>
              <w:top w:val="single" w:sz="4" w:space="0" w:color="FFFFFF" w:themeColor="background1"/>
              <w:bottom w:val="single" w:sz="4" w:space="0" w:color="FFFFFF" w:themeColor="background1"/>
            </w:tcBorders>
            <w:vAlign w:val="center"/>
          </w:tcPr>
          <w:p w14:paraId="65141AFA" w14:textId="77777777" w:rsidR="00B064C6" w:rsidRPr="008D4AB8" w:rsidRDefault="00B064C6" w:rsidP="006631AF">
            <w:pPr>
              <w:tabs>
                <w:tab w:val="left" w:pos="1701"/>
              </w:tabs>
              <w:jc w:val="both"/>
              <w:rPr>
                <w:sz w:val="20"/>
                <w:szCs w:val="20"/>
                <w:lang w:val="en-US"/>
              </w:rPr>
            </w:pPr>
            <w:r w:rsidRPr="008D4AB8">
              <w:rPr>
                <w:rStyle w:val="apple-converted-space"/>
                <w:sz w:val="20"/>
                <w:szCs w:val="20"/>
                <w:lang w:val="en-US"/>
              </w:rPr>
              <w:t>Credit Suisse (2016) and Colliers International (2014)</w:t>
            </w:r>
          </w:p>
        </w:tc>
      </w:tr>
      <w:tr w:rsidR="00B064C6" w:rsidRPr="006771D5" w14:paraId="5464D091" w14:textId="77777777" w:rsidTr="00416056">
        <w:trPr>
          <w:trHeight w:val="3023"/>
        </w:trPr>
        <w:tc>
          <w:tcPr>
            <w:tcW w:w="1260" w:type="dxa"/>
            <w:tcBorders>
              <w:top w:val="single" w:sz="4" w:space="0" w:color="FFFFFF" w:themeColor="background1"/>
              <w:bottom w:val="single" w:sz="4" w:space="0" w:color="FFFFFF" w:themeColor="background1"/>
            </w:tcBorders>
            <w:vAlign w:val="center"/>
          </w:tcPr>
          <w:p w14:paraId="13882A99" w14:textId="77777777" w:rsidR="00B064C6" w:rsidRPr="008D4AB8" w:rsidRDefault="00B064C6" w:rsidP="006631AF">
            <w:pPr>
              <w:tabs>
                <w:tab w:val="left" w:pos="1701"/>
              </w:tabs>
              <w:jc w:val="both"/>
              <w:rPr>
                <w:sz w:val="20"/>
                <w:szCs w:val="20"/>
                <w:lang w:val="en-US"/>
              </w:rPr>
            </w:pPr>
            <w:r w:rsidRPr="008D4AB8">
              <w:rPr>
                <w:sz w:val="20"/>
                <w:szCs w:val="20"/>
                <w:lang w:val="en-US"/>
              </w:rPr>
              <w:t>Rating</w:t>
            </w:r>
          </w:p>
        </w:tc>
        <w:tc>
          <w:tcPr>
            <w:tcW w:w="5213" w:type="dxa"/>
            <w:tcBorders>
              <w:top w:val="single" w:sz="4" w:space="0" w:color="FFFFFF" w:themeColor="background1"/>
              <w:bottom w:val="single" w:sz="4" w:space="0" w:color="FFFFFF" w:themeColor="background1"/>
            </w:tcBorders>
            <w:vAlign w:val="center"/>
          </w:tcPr>
          <w:p w14:paraId="69D6DAE3" w14:textId="77777777" w:rsidR="00B064C6" w:rsidRPr="008D4AB8" w:rsidRDefault="00B064C6" w:rsidP="006631AF">
            <w:pPr>
              <w:tabs>
                <w:tab w:val="left" w:pos="1701"/>
              </w:tabs>
              <w:jc w:val="both"/>
              <w:rPr>
                <w:sz w:val="20"/>
                <w:szCs w:val="20"/>
                <w:lang w:val="en-US"/>
              </w:rPr>
            </w:pPr>
            <w:r w:rsidRPr="008D4AB8">
              <w:rPr>
                <w:sz w:val="20"/>
                <w:szCs w:val="20"/>
                <w:lang w:val="en-US"/>
              </w:rPr>
              <w:t xml:space="preserve">a property classification system developed by Buildings (standard categories AAA, AA, A, BB, B and C). The data provider classifies </w:t>
            </w:r>
            <w:r w:rsidRPr="008D4AB8">
              <w:rPr>
                <w:i/>
                <w:sz w:val="20"/>
                <w:szCs w:val="20"/>
                <w:lang w:val="en-US"/>
              </w:rPr>
              <w:t>Rating</w:t>
            </w:r>
            <w:r w:rsidRPr="008D4AB8">
              <w:rPr>
                <w:sz w:val="20"/>
                <w:szCs w:val="20"/>
                <w:lang w:val="en-US"/>
              </w:rPr>
              <w:t xml:space="preserve"> based on objective (i.e. gross leasable area, floor area and age) and subjective (i.e. current occupation, corporate image and quality of technical specifications) characteristics of each asset. We converted this variable into a dummy to capture each building class (standard categories AAA, AA, A, BB, B and C). This variable is set to one when an asset belongs to a certain class at a given period and zero otherwise. All C class buildings were set to zero to avoid perfect collinearity. Thus, all other classes are measured as premiums relative to this class. </w:t>
            </w:r>
          </w:p>
        </w:tc>
        <w:tc>
          <w:tcPr>
            <w:tcW w:w="1923" w:type="dxa"/>
            <w:tcBorders>
              <w:top w:val="single" w:sz="4" w:space="0" w:color="FFFFFF" w:themeColor="background1"/>
              <w:bottom w:val="single" w:sz="4" w:space="0" w:color="FFFFFF" w:themeColor="background1"/>
            </w:tcBorders>
            <w:vAlign w:val="center"/>
          </w:tcPr>
          <w:p w14:paraId="72983637" w14:textId="77777777" w:rsidR="00B064C6" w:rsidRPr="008D4AB8" w:rsidRDefault="00B064C6" w:rsidP="006631AF">
            <w:pPr>
              <w:tabs>
                <w:tab w:val="left" w:pos="1701"/>
              </w:tabs>
              <w:jc w:val="both"/>
              <w:rPr>
                <w:sz w:val="20"/>
                <w:szCs w:val="20"/>
                <w:lang w:val="en-US"/>
              </w:rPr>
            </w:pPr>
            <w:r w:rsidRPr="008D4AB8">
              <w:rPr>
                <w:sz w:val="20"/>
                <w:szCs w:val="20"/>
                <w:lang w:val="en-US"/>
              </w:rPr>
              <w:t xml:space="preserve">Eichholtz </w:t>
            </w:r>
            <w:r w:rsidRPr="008D4AB8">
              <w:rPr>
                <w:i/>
                <w:sz w:val="20"/>
                <w:szCs w:val="20"/>
                <w:lang w:val="en-US"/>
              </w:rPr>
              <w:t>et al.</w:t>
            </w:r>
            <w:r w:rsidRPr="008D4AB8">
              <w:rPr>
                <w:sz w:val="20"/>
                <w:szCs w:val="20"/>
                <w:lang w:val="en-US"/>
              </w:rPr>
              <w:t xml:space="preserve"> (2010), Fuerst </w:t>
            </w:r>
            <w:r>
              <w:rPr>
                <w:sz w:val="20"/>
                <w:szCs w:val="20"/>
                <w:lang w:val="en-US"/>
              </w:rPr>
              <w:t>and</w:t>
            </w:r>
            <w:r w:rsidRPr="008D4AB8">
              <w:rPr>
                <w:sz w:val="20"/>
                <w:szCs w:val="20"/>
                <w:lang w:val="en-US"/>
              </w:rPr>
              <w:t xml:space="preserve"> McAllister (2011) and Reichardt </w:t>
            </w:r>
            <w:r w:rsidRPr="008D4AB8">
              <w:rPr>
                <w:i/>
                <w:sz w:val="20"/>
                <w:szCs w:val="20"/>
                <w:lang w:val="en-US"/>
              </w:rPr>
              <w:t>et al.</w:t>
            </w:r>
            <w:r w:rsidRPr="008D4AB8">
              <w:rPr>
                <w:sz w:val="20"/>
                <w:szCs w:val="20"/>
                <w:lang w:val="en-US"/>
              </w:rPr>
              <w:t xml:space="preserve"> (2012)</w:t>
            </w:r>
          </w:p>
        </w:tc>
      </w:tr>
      <w:tr w:rsidR="00416056" w:rsidRPr="00A36E21" w14:paraId="1D4093F4" w14:textId="77777777" w:rsidTr="00416056">
        <w:trPr>
          <w:trHeight w:val="2117"/>
        </w:trPr>
        <w:tc>
          <w:tcPr>
            <w:tcW w:w="1260" w:type="dxa"/>
            <w:tcBorders>
              <w:top w:val="single" w:sz="4" w:space="0" w:color="FFFFFF" w:themeColor="background1"/>
              <w:bottom w:val="single" w:sz="4" w:space="0" w:color="FFFFFF" w:themeColor="background1"/>
            </w:tcBorders>
            <w:vAlign w:val="center"/>
          </w:tcPr>
          <w:p w14:paraId="3AA23CCB" w14:textId="77777777" w:rsidR="00416056" w:rsidRPr="008D4AB8" w:rsidRDefault="00416056" w:rsidP="00416056">
            <w:pPr>
              <w:tabs>
                <w:tab w:val="left" w:pos="1701"/>
              </w:tabs>
              <w:jc w:val="both"/>
              <w:rPr>
                <w:sz w:val="20"/>
                <w:szCs w:val="20"/>
                <w:lang w:val="en-US"/>
              </w:rPr>
            </w:pPr>
            <w:r w:rsidRPr="008D4AB8">
              <w:rPr>
                <w:sz w:val="20"/>
                <w:szCs w:val="20"/>
                <w:lang w:val="en-US"/>
              </w:rPr>
              <w:t>Age</w:t>
            </w:r>
          </w:p>
        </w:tc>
        <w:tc>
          <w:tcPr>
            <w:tcW w:w="5213" w:type="dxa"/>
            <w:tcBorders>
              <w:top w:val="single" w:sz="4" w:space="0" w:color="FFFFFF" w:themeColor="background1"/>
              <w:bottom w:val="single" w:sz="4" w:space="0" w:color="FFFFFF" w:themeColor="background1"/>
            </w:tcBorders>
            <w:vAlign w:val="center"/>
          </w:tcPr>
          <w:p w14:paraId="7D0303B8" w14:textId="77777777" w:rsidR="00416056" w:rsidRPr="008D4AB8" w:rsidRDefault="00416056" w:rsidP="00416056">
            <w:pPr>
              <w:tabs>
                <w:tab w:val="left" w:pos="1701"/>
              </w:tabs>
              <w:jc w:val="both"/>
              <w:rPr>
                <w:sz w:val="20"/>
                <w:szCs w:val="20"/>
                <w:lang w:val="en-US"/>
              </w:rPr>
            </w:pPr>
            <w:r w:rsidRPr="008D4AB8">
              <w:rPr>
                <w:sz w:val="20"/>
                <w:szCs w:val="20"/>
                <w:lang w:val="en-US"/>
              </w:rPr>
              <w:t xml:space="preserve">measured from the year of construction or the year of a major refurbishment, whichever occurred more recently. Observations for building age were segmented into thresholds to allow for potentially time-varying age effects. If a building belongs to a certain age group, this variable takes the value of one and zero otherwise. All properties that are less than 5 years old were set to zero to avoid perfect collinearity. Hence parameters for all age thresholds represent discounts relative to new assets.  </w:t>
            </w:r>
          </w:p>
        </w:tc>
        <w:tc>
          <w:tcPr>
            <w:tcW w:w="1923" w:type="dxa"/>
            <w:tcBorders>
              <w:top w:val="single" w:sz="4" w:space="0" w:color="FFFFFF" w:themeColor="background1"/>
              <w:bottom w:val="single" w:sz="4" w:space="0" w:color="FFFFFF" w:themeColor="background1"/>
            </w:tcBorders>
            <w:vAlign w:val="center"/>
          </w:tcPr>
          <w:p w14:paraId="77B2B116" w14:textId="0FD89D46" w:rsidR="00416056" w:rsidRPr="008D4AB8" w:rsidRDefault="00416056" w:rsidP="00416056">
            <w:pPr>
              <w:tabs>
                <w:tab w:val="left" w:pos="1701"/>
              </w:tabs>
              <w:jc w:val="both"/>
              <w:rPr>
                <w:sz w:val="20"/>
                <w:szCs w:val="20"/>
                <w:lang w:val="en-US"/>
              </w:rPr>
            </w:pPr>
            <w:r w:rsidRPr="008D4AB8">
              <w:rPr>
                <w:sz w:val="20"/>
                <w:szCs w:val="20"/>
                <w:lang w:val="en-US"/>
              </w:rPr>
              <w:t xml:space="preserve">Bollinger </w:t>
            </w:r>
            <w:r w:rsidRPr="008D4AB8">
              <w:rPr>
                <w:i/>
                <w:sz w:val="20"/>
                <w:szCs w:val="20"/>
                <w:lang w:val="en-US"/>
              </w:rPr>
              <w:t>et al.</w:t>
            </w:r>
            <w:r w:rsidRPr="008D4AB8">
              <w:rPr>
                <w:sz w:val="20"/>
                <w:szCs w:val="20"/>
                <w:lang w:val="en-US"/>
              </w:rPr>
              <w:t xml:space="preserve"> (1998)</w:t>
            </w:r>
            <w:r>
              <w:rPr>
                <w:sz w:val="20"/>
                <w:szCs w:val="20"/>
                <w:lang w:val="en-US"/>
              </w:rPr>
              <w:t xml:space="preserve"> </w:t>
            </w:r>
            <w:r w:rsidRPr="008D4AB8">
              <w:rPr>
                <w:sz w:val="20"/>
                <w:szCs w:val="20"/>
                <w:lang w:val="en-US"/>
              </w:rPr>
              <w:t>and Clapp</w:t>
            </w:r>
            <w:r>
              <w:rPr>
                <w:sz w:val="20"/>
                <w:szCs w:val="20"/>
                <w:lang w:val="en-US"/>
              </w:rPr>
              <w:t xml:space="preserve"> </w:t>
            </w:r>
            <w:r w:rsidRPr="008D4AB8">
              <w:rPr>
                <w:i/>
                <w:sz w:val="20"/>
                <w:szCs w:val="20"/>
                <w:lang w:val="en-US"/>
              </w:rPr>
              <w:t>et al.</w:t>
            </w:r>
            <w:r w:rsidRPr="008D4AB8">
              <w:rPr>
                <w:sz w:val="20"/>
                <w:szCs w:val="20"/>
                <w:lang w:val="en-US"/>
              </w:rPr>
              <w:t xml:space="preserve"> (19</w:t>
            </w:r>
            <w:r>
              <w:rPr>
                <w:sz w:val="20"/>
                <w:szCs w:val="20"/>
                <w:lang w:val="en-US"/>
              </w:rPr>
              <w:t>92</w:t>
            </w:r>
            <w:r w:rsidRPr="008D4AB8">
              <w:rPr>
                <w:sz w:val="20"/>
                <w:szCs w:val="20"/>
                <w:lang w:val="en-US"/>
              </w:rPr>
              <w:t>)</w:t>
            </w:r>
          </w:p>
        </w:tc>
      </w:tr>
      <w:tr w:rsidR="00416056" w:rsidRPr="00A36E21" w14:paraId="2245EAE5" w14:textId="77777777" w:rsidTr="00416056">
        <w:trPr>
          <w:trHeight w:val="1269"/>
        </w:trPr>
        <w:tc>
          <w:tcPr>
            <w:tcW w:w="1260" w:type="dxa"/>
            <w:tcBorders>
              <w:top w:val="single" w:sz="4" w:space="0" w:color="FFFFFF" w:themeColor="background1"/>
              <w:bottom w:val="single" w:sz="4" w:space="0" w:color="FFFFFF" w:themeColor="background1"/>
            </w:tcBorders>
            <w:vAlign w:val="center"/>
          </w:tcPr>
          <w:p w14:paraId="5178ADF7" w14:textId="77777777" w:rsidR="00416056" w:rsidRPr="008D4AB8" w:rsidRDefault="00416056" w:rsidP="00416056">
            <w:pPr>
              <w:tabs>
                <w:tab w:val="left" w:pos="1701"/>
              </w:tabs>
              <w:jc w:val="both"/>
              <w:rPr>
                <w:sz w:val="20"/>
                <w:szCs w:val="20"/>
                <w:lang w:val="en-US"/>
              </w:rPr>
            </w:pPr>
            <w:r w:rsidRPr="008D4AB8">
              <w:rPr>
                <w:sz w:val="20"/>
                <w:szCs w:val="20"/>
                <w:lang w:val="en-US"/>
              </w:rPr>
              <w:t>Size</w:t>
            </w:r>
          </w:p>
        </w:tc>
        <w:tc>
          <w:tcPr>
            <w:tcW w:w="5213" w:type="dxa"/>
            <w:tcBorders>
              <w:top w:val="single" w:sz="4" w:space="0" w:color="FFFFFF" w:themeColor="background1"/>
              <w:bottom w:val="single" w:sz="4" w:space="0" w:color="FFFFFF" w:themeColor="background1"/>
            </w:tcBorders>
            <w:vAlign w:val="center"/>
          </w:tcPr>
          <w:p w14:paraId="1DB6AAA9" w14:textId="77777777" w:rsidR="00416056" w:rsidRPr="008D4AB8" w:rsidRDefault="00416056" w:rsidP="00416056">
            <w:pPr>
              <w:tabs>
                <w:tab w:val="left" w:pos="1701"/>
              </w:tabs>
              <w:jc w:val="both"/>
              <w:rPr>
                <w:sz w:val="20"/>
                <w:szCs w:val="20"/>
                <w:lang w:val="en-US"/>
              </w:rPr>
            </w:pPr>
            <w:r w:rsidRPr="008D4AB8">
              <w:rPr>
                <w:sz w:val="20"/>
                <w:szCs w:val="20"/>
                <w:lang w:val="en-US"/>
              </w:rPr>
              <w:t>the natural logarithm of the gross leasable area measured in squared meters</w:t>
            </w:r>
          </w:p>
        </w:tc>
        <w:tc>
          <w:tcPr>
            <w:tcW w:w="1923" w:type="dxa"/>
            <w:tcBorders>
              <w:top w:val="single" w:sz="4" w:space="0" w:color="FFFFFF" w:themeColor="background1"/>
              <w:bottom w:val="single" w:sz="4" w:space="0" w:color="FFFFFF" w:themeColor="background1"/>
            </w:tcBorders>
            <w:vAlign w:val="center"/>
          </w:tcPr>
          <w:p w14:paraId="03BDC547" w14:textId="01BDCD7B" w:rsidR="00416056" w:rsidRPr="008D4AB8" w:rsidRDefault="00416056" w:rsidP="00416056">
            <w:pPr>
              <w:tabs>
                <w:tab w:val="left" w:pos="1701"/>
              </w:tabs>
              <w:jc w:val="both"/>
              <w:rPr>
                <w:sz w:val="20"/>
                <w:szCs w:val="20"/>
                <w:lang w:val="en-US"/>
              </w:rPr>
            </w:pPr>
            <w:r w:rsidRPr="008D4AB8">
              <w:rPr>
                <w:sz w:val="20"/>
                <w:szCs w:val="20"/>
                <w:lang w:val="en-US"/>
              </w:rPr>
              <w:t xml:space="preserve">Bollinger </w:t>
            </w:r>
            <w:r w:rsidRPr="008D4AB8">
              <w:rPr>
                <w:i/>
                <w:sz w:val="20"/>
                <w:szCs w:val="20"/>
                <w:lang w:val="en-US"/>
              </w:rPr>
              <w:t>et al.</w:t>
            </w:r>
            <w:r w:rsidRPr="008D4AB8">
              <w:rPr>
                <w:sz w:val="20"/>
                <w:szCs w:val="20"/>
                <w:lang w:val="en-US"/>
              </w:rPr>
              <w:t xml:space="preserve"> (1998)</w:t>
            </w:r>
            <w:r>
              <w:rPr>
                <w:sz w:val="20"/>
                <w:szCs w:val="20"/>
                <w:lang w:val="en-US"/>
              </w:rPr>
              <w:t xml:space="preserve"> </w:t>
            </w:r>
            <w:r w:rsidRPr="008D4AB8">
              <w:rPr>
                <w:sz w:val="20"/>
                <w:szCs w:val="20"/>
                <w:lang w:val="en-US"/>
              </w:rPr>
              <w:t>and Clapp</w:t>
            </w:r>
            <w:r>
              <w:rPr>
                <w:sz w:val="20"/>
                <w:szCs w:val="20"/>
                <w:lang w:val="en-US"/>
              </w:rPr>
              <w:t xml:space="preserve"> </w:t>
            </w:r>
            <w:r w:rsidRPr="008D4AB8">
              <w:rPr>
                <w:i/>
                <w:sz w:val="20"/>
                <w:szCs w:val="20"/>
                <w:lang w:val="en-US"/>
              </w:rPr>
              <w:t>et al.</w:t>
            </w:r>
            <w:r w:rsidRPr="008D4AB8">
              <w:rPr>
                <w:sz w:val="20"/>
                <w:szCs w:val="20"/>
                <w:lang w:val="en-US"/>
              </w:rPr>
              <w:t xml:space="preserve"> (19</w:t>
            </w:r>
            <w:r>
              <w:rPr>
                <w:sz w:val="20"/>
                <w:szCs w:val="20"/>
                <w:lang w:val="en-US"/>
              </w:rPr>
              <w:t>92</w:t>
            </w:r>
            <w:r w:rsidRPr="008D4AB8">
              <w:rPr>
                <w:sz w:val="20"/>
                <w:szCs w:val="20"/>
                <w:lang w:val="en-US"/>
              </w:rPr>
              <w:t>)</w:t>
            </w:r>
          </w:p>
        </w:tc>
      </w:tr>
      <w:tr w:rsidR="00416056" w:rsidRPr="006771D5" w14:paraId="46F823F2" w14:textId="77777777" w:rsidTr="00416056">
        <w:trPr>
          <w:trHeight w:val="1119"/>
        </w:trPr>
        <w:tc>
          <w:tcPr>
            <w:tcW w:w="1260" w:type="dxa"/>
            <w:tcBorders>
              <w:top w:val="single" w:sz="4" w:space="0" w:color="FFFFFF" w:themeColor="background1"/>
              <w:bottom w:val="single" w:sz="4" w:space="0" w:color="FFFFFF"/>
            </w:tcBorders>
            <w:vAlign w:val="center"/>
          </w:tcPr>
          <w:p w14:paraId="6F510C36" w14:textId="77777777" w:rsidR="00416056" w:rsidRPr="008D4AB8" w:rsidRDefault="00416056" w:rsidP="00416056">
            <w:pPr>
              <w:tabs>
                <w:tab w:val="left" w:pos="1701"/>
              </w:tabs>
              <w:jc w:val="both"/>
              <w:rPr>
                <w:sz w:val="20"/>
                <w:szCs w:val="20"/>
                <w:lang w:val="en-US"/>
              </w:rPr>
            </w:pPr>
            <w:r w:rsidRPr="008D4AB8">
              <w:rPr>
                <w:sz w:val="20"/>
                <w:szCs w:val="20"/>
                <w:lang w:val="en-US"/>
              </w:rPr>
              <w:t>Vacancy Rate</w:t>
            </w:r>
          </w:p>
        </w:tc>
        <w:tc>
          <w:tcPr>
            <w:tcW w:w="5213" w:type="dxa"/>
            <w:tcBorders>
              <w:top w:val="single" w:sz="4" w:space="0" w:color="FFFFFF" w:themeColor="background1"/>
              <w:bottom w:val="single" w:sz="4" w:space="0" w:color="FFFFFF"/>
            </w:tcBorders>
            <w:vAlign w:val="center"/>
          </w:tcPr>
          <w:p w14:paraId="134E563A" w14:textId="77777777" w:rsidR="00416056" w:rsidRPr="008D4AB8" w:rsidRDefault="00416056" w:rsidP="00416056">
            <w:pPr>
              <w:tabs>
                <w:tab w:val="left" w:pos="1701"/>
              </w:tabs>
              <w:jc w:val="both"/>
              <w:rPr>
                <w:sz w:val="20"/>
                <w:szCs w:val="20"/>
                <w:lang w:val="en-US"/>
              </w:rPr>
            </w:pPr>
            <w:r w:rsidRPr="008D4AB8">
              <w:rPr>
                <w:sz w:val="20"/>
                <w:szCs w:val="20"/>
                <w:lang w:val="en-US"/>
              </w:rPr>
              <w:t xml:space="preserve">the percentage of vacancy relative to the gross leasable area </w:t>
            </w:r>
          </w:p>
        </w:tc>
        <w:tc>
          <w:tcPr>
            <w:tcW w:w="1923" w:type="dxa"/>
            <w:tcBorders>
              <w:top w:val="single" w:sz="4" w:space="0" w:color="FFFFFF" w:themeColor="background1"/>
              <w:bottom w:val="single" w:sz="4" w:space="0" w:color="FFFFFF"/>
            </w:tcBorders>
            <w:vAlign w:val="center"/>
          </w:tcPr>
          <w:p w14:paraId="3F4EA40C" w14:textId="77777777" w:rsidR="00416056" w:rsidRPr="008D4AB8" w:rsidRDefault="00416056" w:rsidP="00416056">
            <w:pPr>
              <w:tabs>
                <w:tab w:val="left" w:pos="1701"/>
              </w:tabs>
              <w:jc w:val="both"/>
              <w:rPr>
                <w:sz w:val="20"/>
                <w:szCs w:val="20"/>
                <w:lang w:val="en-US"/>
              </w:rPr>
            </w:pPr>
            <w:r w:rsidRPr="008D4AB8">
              <w:rPr>
                <w:sz w:val="20"/>
                <w:szCs w:val="20"/>
                <w:lang w:val="en-US"/>
              </w:rPr>
              <w:t xml:space="preserve">Eichholtz </w:t>
            </w:r>
            <w:r w:rsidRPr="008D4AB8">
              <w:rPr>
                <w:i/>
                <w:sz w:val="20"/>
                <w:szCs w:val="20"/>
                <w:lang w:val="en-US"/>
              </w:rPr>
              <w:t>et al.</w:t>
            </w:r>
            <w:r w:rsidRPr="008D4AB8">
              <w:rPr>
                <w:sz w:val="20"/>
                <w:szCs w:val="20"/>
                <w:lang w:val="en-US"/>
              </w:rPr>
              <w:t xml:space="preserve"> (2010), Fuerst </w:t>
            </w:r>
            <w:r>
              <w:rPr>
                <w:sz w:val="20"/>
                <w:szCs w:val="20"/>
                <w:lang w:val="en-US"/>
              </w:rPr>
              <w:t>and</w:t>
            </w:r>
            <w:r w:rsidRPr="008D4AB8">
              <w:rPr>
                <w:sz w:val="20"/>
                <w:szCs w:val="20"/>
                <w:lang w:val="en-US"/>
              </w:rPr>
              <w:t xml:space="preserve"> McAllister (2011) and Reichardt </w:t>
            </w:r>
            <w:r w:rsidRPr="008D4AB8">
              <w:rPr>
                <w:i/>
                <w:sz w:val="20"/>
                <w:szCs w:val="20"/>
                <w:lang w:val="en-US"/>
              </w:rPr>
              <w:t>et al.</w:t>
            </w:r>
            <w:r w:rsidRPr="008D4AB8">
              <w:rPr>
                <w:sz w:val="20"/>
                <w:szCs w:val="20"/>
                <w:lang w:val="en-US"/>
              </w:rPr>
              <w:t xml:space="preserve"> (2012)</w:t>
            </w:r>
          </w:p>
        </w:tc>
      </w:tr>
      <w:tr w:rsidR="00416056" w:rsidRPr="00FC436B" w14:paraId="67AC7ABE" w14:textId="77777777" w:rsidTr="00416056">
        <w:trPr>
          <w:trHeight w:val="1686"/>
        </w:trPr>
        <w:tc>
          <w:tcPr>
            <w:tcW w:w="1260" w:type="dxa"/>
            <w:tcBorders>
              <w:top w:val="single" w:sz="4" w:space="0" w:color="FFFFFF"/>
            </w:tcBorders>
            <w:vAlign w:val="center"/>
          </w:tcPr>
          <w:p w14:paraId="3887CE9C" w14:textId="77777777" w:rsidR="00416056" w:rsidRPr="008D4AB8" w:rsidRDefault="00416056" w:rsidP="00416056">
            <w:pPr>
              <w:tabs>
                <w:tab w:val="left" w:pos="1701"/>
              </w:tabs>
              <w:jc w:val="both"/>
              <w:rPr>
                <w:sz w:val="20"/>
                <w:szCs w:val="20"/>
                <w:lang w:val="en-US"/>
              </w:rPr>
            </w:pPr>
            <w:r w:rsidRPr="008D4AB8">
              <w:rPr>
                <w:sz w:val="20"/>
                <w:szCs w:val="20"/>
                <w:lang w:val="en-US"/>
              </w:rPr>
              <w:t>Submarket</w:t>
            </w:r>
          </w:p>
        </w:tc>
        <w:tc>
          <w:tcPr>
            <w:tcW w:w="5213" w:type="dxa"/>
            <w:tcBorders>
              <w:top w:val="single" w:sz="4" w:space="0" w:color="FFFFFF"/>
            </w:tcBorders>
            <w:vAlign w:val="center"/>
          </w:tcPr>
          <w:p w14:paraId="4D0E0C64" w14:textId="77777777" w:rsidR="00416056" w:rsidRPr="008D4AB8" w:rsidRDefault="00416056" w:rsidP="00416056">
            <w:pPr>
              <w:tabs>
                <w:tab w:val="left" w:pos="1701"/>
              </w:tabs>
              <w:jc w:val="both"/>
              <w:rPr>
                <w:color w:val="000000" w:themeColor="text1"/>
                <w:sz w:val="20"/>
                <w:szCs w:val="20"/>
              </w:rPr>
            </w:pPr>
            <w:r w:rsidRPr="008D4AB8">
              <w:rPr>
                <w:color w:val="000000" w:themeColor="text1"/>
                <w:sz w:val="20"/>
                <w:szCs w:val="20"/>
                <w:lang w:val="en-US"/>
              </w:rPr>
              <w:t xml:space="preserve">a dummy variable characterizing broker-defined submarkets as defined by Buildings. </w:t>
            </w:r>
            <w:r w:rsidRPr="008D4AB8">
              <w:rPr>
                <w:color w:val="000000" w:themeColor="text1"/>
                <w:sz w:val="20"/>
                <w:szCs w:val="20"/>
              </w:rPr>
              <w:t xml:space="preserve">The regions included as controls are </w:t>
            </w:r>
            <w:r w:rsidRPr="008D4AB8">
              <w:rPr>
                <w:sz w:val="20"/>
                <w:szCs w:val="20"/>
              </w:rPr>
              <w:t>Barra Funda, Berrini, Centro, Chacara Santo Antonio, Faria Lima/Itaim Bibi, Marginal Pinheiros, Moema/Vila Mariana, Morumbi/Jardim São Luiz, Paulista, Pinheiros/Perdizes, Santo Amaro, Saude/Jabaquara, Vila Olimpia and other.</w:t>
            </w:r>
          </w:p>
        </w:tc>
        <w:tc>
          <w:tcPr>
            <w:tcW w:w="1923" w:type="dxa"/>
            <w:tcBorders>
              <w:top w:val="single" w:sz="4" w:space="0" w:color="FFFFFF"/>
            </w:tcBorders>
            <w:vAlign w:val="center"/>
          </w:tcPr>
          <w:p w14:paraId="2EFE2A60" w14:textId="77777777" w:rsidR="00416056" w:rsidRPr="008D4AB8" w:rsidRDefault="00416056" w:rsidP="00416056">
            <w:pPr>
              <w:tabs>
                <w:tab w:val="left" w:pos="1701"/>
              </w:tabs>
              <w:jc w:val="both"/>
              <w:rPr>
                <w:sz w:val="20"/>
                <w:szCs w:val="20"/>
                <w:lang w:val="en-US"/>
              </w:rPr>
            </w:pPr>
            <w:r w:rsidRPr="008D4AB8">
              <w:rPr>
                <w:sz w:val="20"/>
                <w:szCs w:val="20"/>
                <w:lang w:val="en-US"/>
              </w:rPr>
              <w:t xml:space="preserve">Chen </w:t>
            </w:r>
            <w:r w:rsidRPr="008D4AB8">
              <w:rPr>
                <w:i/>
                <w:sz w:val="20"/>
                <w:szCs w:val="20"/>
                <w:lang w:val="en-US"/>
              </w:rPr>
              <w:t>et al.</w:t>
            </w:r>
            <w:r w:rsidRPr="008D4AB8">
              <w:rPr>
                <w:sz w:val="20"/>
                <w:szCs w:val="20"/>
                <w:lang w:val="en-US"/>
              </w:rPr>
              <w:t xml:space="preserve"> (2009), Bourassa </w:t>
            </w:r>
            <w:r w:rsidRPr="008D4AB8">
              <w:rPr>
                <w:i/>
                <w:sz w:val="20"/>
                <w:szCs w:val="20"/>
                <w:lang w:val="en-US"/>
              </w:rPr>
              <w:t>et al.</w:t>
            </w:r>
            <w:r w:rsidRPr="008D4AB8">
              <w:rPr>
                <w:sz w:val="20"/>
                <w:szCs w:val="20"/>
                <w:lang w:val="en-US"/>
              </w:rPr>
              <w:t xml:space="preserve"> (2003), Dunse </w:t>
            </w:r>
            <w:r>
              <w:rPr>
                <w:sz w:val="20"/>
                <w:szCs w:val="20"/>
                <w:lang w:val="en-US"/>
              </w:rPr>
              <w:t>and</w:t>
            </w:r>
            <w:r w:rsidRPr="008D4AB8">
              <w:rPr>
                <w:sz w:val="20"/>
                <w:szCs w:val="20"/>
                <w:lang w:val="en-US"/>
              </w:rPr>
              <w:t xml:space="preserve"> Jones (2002) and Dunse </w:t>
            </w:r>
            <w:r w:rsidRPr="008D4AB8">
              <w:rPr>
                <w:i/>
                <w:sz w:val="20"/>
                <w:szCs w:val="20"/>
                <w:lang w:val="en-US"/>
              </w:rPr>
              <w:t>et al.,</w:t>
            </w:r>
            <w:r w:rsidRPr="008D4AB8">
              <w:rPr>
                <w:sz w:val="20"/>
                <w:szCs w:val="20"/>
                <w:lang w:val="en-US"/>
              </w:rPr>
              <w:t xml:space="preserve"> (2002)</w:t>
            </w:r>
          </w:p>
        </w:tc>
      </w:tr>
    </w:tbl>
    <w:p w14:paraId="27BD8D0E" w14:textId="746ECC15" w:rsidR="006E454E" w:rsidRDefault="006E454E" w:rsidP="00B064C6">
      <w:pPr>
        <w:spacing w:before="120" w:after="120" w:line="360" w:lineRule="auto"/>
        <w:rPr>
          <w:sz w:val="20"/>
          <w:szCs w:val="20"/>
          <w:lang w:val="en-US"/>
        </w:rPr>
      </w:pPr>
    </w:p>
    <w:p w14:paraId="59982548" w14:textId="3CDB2B79" w:rsidR="00FC436B" w:rsidRDefault="00FC436B" w:rsidP="00B064C6">
      <w:pPr>
        <w:spacing w:before="120" w:after="120" w:line="360" w:lineRule="auto"/>
        <w:rPr>
          <w:sz w:val="20"/>
          <w:szCs w:val="20"/>
          <w:lang w:val="en-US"/>
        </w:rPr>
      </w:pPr>
    </w:p>
    <w:p w14:paraId="3F1FA583" w14:textId="3C1D634A" w:rsidR="00FC436B" w:rsidRDefault="00FC436B" w:rsidP="00B064C6">
      <w:pPr>
        <w:spacing w:before="120" w:after="120" w:line="360" w:lineRule="auto"/>
        <w:rPr>
          <w:sz w:val="20"/>
          <w:szCs w:val="20"/>
          <w:lang w:val="en-US"/>
        </w:rPr>
      </w:pPr>
    </w:p>
    <w:p w14:paraId="4E76D969" w14:textId="407F6E95" w:rsidR="00FC436B" w:rsidRDefault="00FC436B" w:rsidP="00B064C6">
      <w:pPr>
        <w:spacing w:before="120" w:after="120" w:line="360" w:lineRule="auto"/>
        <w:rPr>
          <w:sz w:val="20"/>
          <w:szCs w:val="20"/>
          <w:lang w:val="en-US"/>
        </w:rPr>
      </w:pPr>
    </w:p>
    <w:p w14:paraId="73C21102" w14:textId="7713737B" w:rsidR="00FC436B" w:rsidRDefault="00FC436B" w:rsidP="00B064C6">
      <w:pPr>
        <w:spacing w:before="120" w:after="120" w:line="360" w:lineRule="auto"/>
        <w:rPr>
          <w:sz w:val="20"/>
          <w:szCs w:val="20"/>
          <w:lang w:val="en-US"/>
        </w:rPr>
      </w:pPr>
    </w:p>
    <w:p w14:paraId="40423C54" w14:textId="48114C17" w:rsidR="00FC436B" w:rsidRDefault="00FC436B" w:rsidP="00B064C6">
      <w:pPr>
        <w:spacing w:before="120" w:after="120" w:line="360" w:lineRule="auto"/>
        <w:rPr>
          <w:sz w:val="20"/>
          <w:szCs w:val="20"/>
          <w:lang w:val="en-US"/>
        </w:rPr>
      </w:pPr>
    </w:p>
    <w:p w14:paraId="5AA0E592" w14:textId="6993FC5C" w:rsidR="00FC436B" w:rsidRDefault="00FC436B" w:rsidP="00B064C6">
      <w:pPr>
        <w:spacing w:before="120" w:after="120" w:line="360" w:lineRule="auto"/>
        <w:rPr>
          <w:sz w:val="20"/>
          <w:szCs w:val="20"/>
          <w:lang w:val="en-US"/>
        </w:rPr>
      </w:pPr>
    </w:p>
    <w:p w14:paraId="6D454BF5" w14:textId="167FDD7C" w:rsidR="00FC436B" w:rsidRDefault="00FC436B" w:rsidP="00B064C6">
      <w:pPr>
        <w:spacing w:before="120" w:after="120" w:line="360" w:lineRule="auto"/>
        <w:rPr>
          <w:sz w:val="20"/>
          <w:szCs w:val="20"/>
          <w:lang w:val="en-US"/>
        </w:rPr>
      </w:pPr>
    </w:p>
    <w:p w14:paraId="42608BAE" w14:textId="0CDB5D71" w:rsidR="00FC436B" w:rsidRDefault="00FC436B" w:rsidP="00B064C6">
      <w:pPr>
        <w:spacing w:before="120" w:after="120" w:line="360" w:lineRule="auto"/>
        <w:rPr>
          <w:sz w:val="20"/>
          <w:szCs w:val="20"/>
          <w:lang w:val="en-US"/>
        </w:rPr>
      </w:pPr>
    </w:p>
    <w:p w14:paraId="569C799D" w14:textId="4BF25367" w:rsidR="00FC436B" w:rsidRDefault="00FC436B" w:rsidP="00B064C6">
      <w:pPr>
        <w:spacing w:before="120" w:after="120" w:line="360" w:lineRule="auto"/>
        <w:rPr>
          <w:sz w:val="20"/>
          <w:szCs w:val="20"/>
          <w:lang w:val="en-US"/>
        </w:rPr>
      </w:pPr>
    </w:p>
    <w:p w14:paraId="72FDC765" w14:textId="59DE216A" w:rsidR="00FC436B" w:rsidRPr="00FC436B" w:rsidRDefault="00FC436B" w:rsidP="00FC436B">
      <w:pPr>
        <w:spacing w:before="120" w:after="120" w:line="360" w:lineRule="auto"/>
        <w:rPr>
          <w:b/>
          <w:color w:val="FF0000"/>
          <w:sz w:val="20"/>
          <w:szCs w:val="20"/>
          <w:lang w:val="en-US"/>
        </w:rPr>
      </w:pPr>
      <w:r w:rsidRPr="00FC436B">
        <w:rPr>
          <w:b/>
          <w:color w:val="FF0000"/>
          <w:sz w:val="20"/>
          <w:szCs w:val="20"/>
          <w:lang w:val="en-US"/>
        </w:rPr>
        <w:t>Figure 1: Locational Submarkets in Sao Paulo Metropolitan Area</w:t>
      </w:r>
    </w:p>
    <w:p w14:paraId="6B76E941" w14:textId="549C200D" w:rsidR="00FC436B" w:rsidRDefault="00FC436B" w:rsidP="00B064C6">
      <w:pPr>
        <w:spacing w:before="120" w:after="120" w:line="360" w:lineRule="auto"/>
        <w:rPr>
          <w:sz w:val="20"/>
          <w:szCs w:val="20"/>
          <w:lang w:val="en-US"/>
        </w:rPr>
      </w:pPr>
      <w:r w:rsidRPr="00947A2A">
        <w:rPr>
          <w:noProof/>
          <w:sz w:val="28"/>
          <w:szCs w:val="28"/>
          <w:lang w:val="en-GB" w:eastAsia="en-GB"/>
        </w:rPr>
        <w:drawing>
          <wp:inline distT="0" distB="0" distL="0" distR="0" wp14:anchorId="6201EB79" wp14:editId="540EBE01">
            <wp:extent cx="5400040" cy="3227477"/>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00040" cy="3227477"/>
                    </a:xfrm>
                    <a:prstGeom prst="rect">
                      <a:avLst/>
                    </a:prstGeom>
                    <a:noFill/>
                    <a:ln>
                      <a:noFill/>
                    </a:ln>
                  </pic:spPr>
                </pic:pic>
              </a:graphicData>
            </a:graphic>
          </wp:inline>
        </w:drawing>
      </w:r>
    </w:p>
    <w:p w14:paraId="06C6C625" w14:textId="77777777" w:rsidR="00FC436B" w:rsidRPr="00FC436B" w:rsidRDefault="00FC436B" w:rsidP="00FC436B">
      <w:pPr>
        <w:autoSpaceDE w:val="0"/>
        <w:autoSpaceDN w:val="0"/>
        <w:adjustRightInd w:val="0"/>
        <w:spacing w:line="360" w:lineRule="auto"/>
        <w:jc w:val="both"/>
        <w:rPr>
          <w:color w:val="FF0000"/>
          <w:sz w:val="20"/>
          <w:szCs w:val="20"/>
          <w:lang w:val="en-US"/>
        </w:rPr>
      </w:pPr>
      <w:r w:rsidRPr="00FC436B">
        <w:rPr>
          <w:color w:val="FF0000"/>
          <w:sz w:val="20"/>
          <w:szCs w:val="20"/>
          <w:lang w:val="en-US"/>
        </w:rPr>
        <w:t>Source(s): Buildings</w:t>
      </w:r>
    </w:p>
    <w:p w14:paraId="04867DF3" w14:textId="77777777" w:rsidR="00FC436B" w:rsidRDefault="00FC436B" w:rsidP="00B064C6">
      <w:pPr>
        <w:spacing w:before="120" w:after="120" w:line="360" w:lineRule="auto"/>
        <w:rPr>
          <w:sz w:val="20"/>
          <w:szCs w:val="20"/>
          <w:lang w:val="en-US"/>
        </w:rPr>
      </w:pPr>
    </w:p>
    <w:p w14:paraId="5EC6395A" w14:textId="6EF0D237" w:rsidR="00B064C6" w:rsidRPr="00704916" w:rsidRDefault="00B064C6" w:rsidP="00B064C6">
      <w:pPr>
        <w:spacing w:before="120" w:after="120" w:line="360" w:lineRule="auto"/>
        <w:rPr>
          <w:b/>
          <w:sz w:val="20"/>
          <w:szCs w:val="20"/>
          <w:lang w:val="en-US"/>
        </w:rPr>
      </w:pPr>
      <w:r w:rsidRPr="007765AC">
        <w:rPr>
          <w:b/>
          <w:sz w:val="20"/>
          <w:szCs w:val="20"/>
          <w:lang w:val="en-US"/>
        </w:rPr>
        <w:t>Table 2: Details</w:t>
      </w:r>
      <w:r w:rsidRPr="00CC23BF">
        <w:rPr>
          <w:b/>
          <w:sz w:val="20"/>
          <w:szCs w:val="20"/>
          <w:lang w:val="en-US"/>
        </w:rPr>
        <w:t xml:space="preserve"> of the Property </w:t>
      </w:r>
      <w:r>
        <w:rPr>
          <w:b/>
          <w:sz w:val="20"/>
          <w:szCs w:val="20"/>
          <w:lang w:val="en-US"/>
        </w:rPr>
        <w:t>Rating Classification System</w:t>
      </w:r>
    </w:p>
    <w:tbl>
      <w:tblPr>
        <w:tblW w:w="8729" w:type="dxa"/>
        <w:jc w:val="center"/>
        <w:tblBorders>
          <w:top w:val="single" w:sz="4" w:space="0" w:color="auto"/>
          <w:bottom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080"/>
        <w:gridCol w:w="1560"/>
        <w:gridCol w:w="1014"/>
        <w:gridCol w:w="1015"/>
        <w:gridCol w:w="1015"/>
        <w:gridCol w:w="1015"/>
        <w:gridCol w:w="1015"/>
        <w:gridCol w:w="1015"/>
      </w:tblGrid>
      <w:tr w:rsidR="00B064C6" w:rsidRPr="00CC23BF" w14:paraId="12FF1247" w14:textId="77777777" w:rsidTr="006631AF">
        <w:trPr>
          <w:trHeight w:val="436"/>
          <w:jc w:val="center"/>
        </w:trPr>
        <w:tc>
          <w:tcPr>
            <w:tcW w:w="2640" w:type="dxa"/>
            <w:gridSpan w:val="2"/>
            <w:tcBorders>
              <w:right w:val="single" w:sz="4" w:space="0" w:color="FFFFFF"/>
            </w:tcBorders>
            <w:shd w:val="clear" w:color="auto" w:fill="auto"/>
            <w:noWrap/>
            <w:vAlign w:val="center"/>
            <w:hideMark/>
          </w:tcPr>
          <w:p w14:paraId="7593126D" w14:textId="77777777" w:rsidR="00B064C6" w:rsidRPr="00C63C9D" w:rsidRDefault="00B064C6" w:rsidP="006631AF">
            <w:pPr>
              <w:rPr>
                <w:rFonts w:eastAsia="Times New Roman"/>
                <w:bCs/>
                <w:color w:val="000000"/>
                <w:sz w:val="20"/>
                <w:szCs w:val="20"/>
                <w:lang w:val="en-US" w:eastAsia="pt-BR"/>
              </w:rPr>
            </w:pPr>
            <w:r w:rsidRPr="00C63C9D">
              <w:rPr>
                <w:rFonts w:eastAsia="Times New Roman"/>
                <w:bCs/>
                <w:color w:val="000000"/>
                <w:sz w:val="20"/>
                <w:szCs w:val="20"/>
                <w:lang w:val="en-US" w:eastAsia="pt-BR"/>
              </w:rPr>
              <w:t>Macro Classification</w:t>
            </w:r>
          </w:p>
        </w:tc>
        <w:tc>
          <w:tcPr>
            <w:tcW w:w="2029" w:type="dxa"/>
            <w:gridSpan w:val="2"/>
            <w:tcBorders>
              <w:left w:val="single" w:sz="4" w:space="0" w:color="FFFFFF"/>
              <w:right w:val="single" w:sz="4" w:space="0" w:color="FFFFFF"/>
            </w:tcBorders>
            <w:shd w:val="clear" w:color="auto" w:fill="auto"/>
            <w:noWrap/>
            <w:vAlign w:val="center"/>
            <w:hideMark/>
          </w:tcPr>
          <w:p w14:paraId="2636CC8C"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A</w:t>
            </w:r>
          </w:p>
        </w:tc>
        <w:tc>
          <w:tcPr>
            <w:tcW w:w="2030" w:type="dxa"/>
            <w:gridSpan w:val="2"/>
            <w:tcBorders>
              <w:left w:val="single" w:sz="4" w:space="0" w:color="FFFFFF"/>
              <w:right w:val="single" w:sz="4" w:space="0" w:color="FFFFFF"/>
            </w:tcBorders>
            <w:shd w:val="clear" w:color="auto" w:fill="auto"/>
            <w:vAlign w:val="center"/>
          </w:tcPr>
          <w:p w14:paraId="1F51CE89"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B</w:t>
            </w:r>
          </w:p>
        </w:tc>
        <w:tc>
          <w:tcPr>
            <w:tcW w:w="2030" w:type="dxa"/>
            <w:gridSpan w:val="2"/>
            <w:tcBorders>
              <w:left w:val="single" w:sz="4" w:space="0" w:color="FFFFFF"/>
            </w:tcBorders>
            <w:shd w:val="clear" w:color="auto" w:fill="auto"/>
            <w:vAlign w:val="center"/>
          </w:tcPr>
          <w:p w14:paraId="206D0FAD"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C</w:t>
            </w:r>
          </w:p>
        </w:tc>
      </w:tr>
      <w:tr w:rsidR="00B064C6" w:rsidRPr="00CC23BF" w14:paraId="088A6275" w14:textId="77777777" w:rsidTr="006631AF">
        <w:trPr>
          <w:trHeight w:val="414"/>
          <w:jc w:val="center"/>
        </w:trPr>
        <w:tc>
          <w:tcPr>
            <w:tcW w:w="2640" w:type="dxa"/>
            <w:gridSpan w:val="2"/>
            <w:tcBorders>
              <w:right w:val="single" w:sz="4" w:space="0" w:color="FFFFFF"/>
            </w:tcBorders>
            <w:shd w:val="clear" w:color="auto" w:fill="auto"/>
            <w:noWrap/>
            <w:vAlign w:val="center"/>
            <w:hideMark/>
          </w:tcPr>
          <w:p w14:paraId="5E6CEAA2" w14:textId="77777777" w:rsidR="00B064C6" w:rsidRPr="00C63C9D" w:rsidRDefault="00B064C6" w:rsidP="006631AF">
            <w:pPr>
              <w:rPr>
                <w:rFonts w:eastAsia="Times New Roman"/>
                <w:bCs/>
                <w:color w:val="000000"/>
                <w:sz w:val="20"/>
                <w:szCs w:val="20"/>
                <w:lang w:val="en-US" w:eastAsia="pt-BR"/>
              </w:rPr>
            </w:pPr>
            <w:r w:rsidRPr="00C63C9D">
              <w:rPr>
                <w:rFonts w:eastAsia="Times New Roman"/>
                <w:bCs/>
                <w:color w:val="000000"/>
                <w:sz w:val="20"/>
                <w:szCs w:val="20"/>
                <w:lang w:val="en-US" w:eastAsia="pt-BR"/>
              </w:rPr>
              <w:t>Micro Classification</w:t>
            </w:r>
          </w:p>
        </w:tc>
        <w:tc>
          <w:tcPr>
            <w:tcW w:w="1014" w:type="dxa"/>
            <w:tcBorders>
              <w:left w:val="single" w:sz="4" w:space="0" w:color="FFFFFF"/>
              <w:right w:val="single" w:sz="4" w:space="0" w:color="FFFFFF"/>
            </w:tcBorders>
            <w:shd w:val="clear" w:color="auto" w:fill="auto"/>
            <w:noWrap/>
            <w:vAlign w:val="center"/>
            <w:hideMark/>
          </w:tcPr>
          <w:p w14:paraId="13723593" w14:textId="77777777" w:rsidR="00B064C6" w:rsidRPr="00C63C9D" w:rsidRDefault="00B064C6" w:rsidP="006631AF">
            <w:pPr>
              <w:jc w:val="center"/>
              <w:rPr>
                <w:rFonts w:eastAsia="Times New Roman"/>
                <w:bCs/>
                <w:color w:val="000000"/>
                <w:sz w:val="20"/>
                <w:szCs w:val="20"/>
                <w:lang w:val="en-US" w:eastAsia="pt-BR"/>
              </w:rPr>
            </w:pPr>
            <w:r w:rsidRPr="00C63C9D">
              <w:rPr>
                <w:rFonts w:eastAsia="Times New Roman"/>
                <w:bCs/>
                <w:color w:val="000000"/>
                <w:sz w:val="20"/>
                <w:szCs w:val="20"/>
                <w:lang w:val="en-US" w:eastAsia="pt-BR"/>
              </w:rPr>
              <w:t>AAA</w:t>
            </w:r>
          </w:p>
        </w:tc>
        <w:tc>
          <w:tcPr>
            <w:tcW w:w="1015" w:type="dxa"/>
            <w:tcBorders>
              <w:left w:val="single" w:sz="4" w:space="0" w:color="FFFFFF"/>
              <w:right w:val="single" w:sz="4" w:space="0" w:color="FFFFFF"/>
            </w:tcBorders>
            <w:shd w:val="clear" w:color="auto" w:fill="auto"/>
            <w:noWrap/>
            <w:vAlign w:val="center"/>
            <w:hideMark/>
          </w:tcPr>
          <w:p w14:paraId="1F7E1163" w14:textId="77777777" w:rsidR="00B064C6" w:rsidRPr="00C63C9D" w:rsidRDefault="00B064C6" w:rsidP="006631AF">
            <w:pPr>
              <w:jc w:val="center"/>
              <w:rPr>
                <w:rFonts w:eastAsia="Times New Roman"/>
                <w:bCs/>
                <w:color w:val="000000"/>
                <w:sz w:val="20"/>
                <w:szCs w:val="20"/>
                <w:lang w:val="en-US" w:eastAsia="pt-BR"/>
              </w:rPr>
            </w:pPr>
            <w:r w:rsidRPr="00C63C9D">
              <w:rPr>
                <w:rFonts w:eastAsia="Times New Roman"/>
                <w:bCs/>
                <w:color w:val="000000"/>
                <w:sz w:val="20"/>
                <w:szCs w:val="20"/>
                <w:lang w:val="en-US" w:eastAsia="pt-BR"/>
              </w:rPr>
              <w:t>AA</w:t>
            </w:r>
          </w:p>
        </w:tc>
        <w:tc>
          <w:tcPr>
            <w:tcW w:w="1015" w:type="dxa"/>
            <w:tcBorders>
              <w:left w:val="single" w:sz="4" w:space="0" w:color="FFFFFF"/>
              <w:right w:val="single" w:sz="4" w:space="0" w:color="FFFFFF"/>
            </w:tcBorders>
            <w:shd w:val="clear" w:color="auto" w:fill="auto"/>
            <w:noWrap/>
            <w:vAlign w:val="center"/>
            <w:hideMark/>
          </w:tcPr>
          <w:p w14:paraId="426DB34B" w14:textId="77777777" w:rsidR="00B064C6" w:rsidRPr="00C63C9D" w:rsidRDefault="00B064C6" w:rsidP="006631AF">
            <w:pPr>
              <w:jc w:val="center"/>
              <w:rPr>
                <w:rFonts w:eastAsia="Times New Roman"/>
                <w:bCs/>
                <w:color w:val="000000"/>
                <w:sz w:val="20"/>
                <w:szCs w:val="20"/>
                <w:lang w:val="en-US" w:eastAsia="pt-BR"/>
              </w:rPr>
            </w:pPr>
            <w:r w:rsidRPr="00C63C9D">
              <w:rPr>
                <w:rFonts w:eastAsia="Times New Roman"/>
                <w:bCs/>
                <w:color w:val="000000"/>
                <w:sz w:val="20"/>
                <w:szCs w:val="20"/>
                <w:lang w:val="en-US" w:eastAsia="pt-BR"/>
              </w:rPr>
              <w:t>A</w:t>
            </w:r>
          </w:p>
        </w:tc>
        <w:tc>
          <w:tcPr>
            <w:tcW w:w="1015" w:type="dxa"/>
            <w:tcBorders>
              <w:left w:val="single" w:sz="4" w:space="0" w:color="FFFFFF"/>
              <w:right w:val="single" w:sz="4" w:space="0" w:color="FFFFFF"/>
            </w:tcBorders>
            <w:shd w:val="clear" w:color="auto" w:fill="auto"/>
            <w:noWrap/>
            <w:vAlign w:val="center"/>
            <w:hideMark/>
          </w:tcPr>
          <w:p w14:paraId="05842428" w14:textId="77777777" w:rsidR="00B064C6" w:rsidRPr="00C63C9D" w:rsidRDefault="00B064C6" w:rsidP="006631AF">
            <w:pPr>
              <w:jc w:val="center"/>
              <w:rPr>
                <w:rFonts w:eastAsia="Times New Roman"/>
                <w:bCs/>
                <w:color w:val="000000"/>
                <w:sz w:val="20"/>
                <w:szCs w:val="20"/>
                <w:lang w:val="en-US" w:eastAsia="pt-BR"/>
              </w:rPr>
            </w:pPr>
            <w:r w:rsidRPr="00C63C9D">
              <w:rPr>
                <w:rFonts w:eastAsia="Times New Roman"/>
                <w:bCs/>
                <w:color w:val="000000"/>
                <w:sz w:val="20"/>
                <w:szCs w:val="20"/>
                <w:lang w:val="en-US" w:eastAsia="pt-BR"/>
              </w:rPr>
              <w:t>BB</w:t>
            </w:r>
          </w:p>
        </w:tc>
        <w:tc>
          <w:tcPr>
            <w:tcW w:w="1015" w:type="dxa"/>
            <w:tcBorders>
              <w:left w:val="single" w:sz="4" w:space="0" w:color="FFFFFF"/>
              <w:right w:val="single" w:sz="4" w:space="0" w:color="FFFFFF"/>
            </w:tcBorders>
            <w:shd w:val="clear" w:color="auto" w:fill="auto"/>
            <w:noWrap/>
            <w:vAlign w:val="center"/>
            <w:hideMark/>
          </w:tcPr>
          <w:p w14:paraId="396BD930" w14:textId="77777777" w:rsidR="00B064C6" w:rsidRPr="00C63C9D" w:rsidRDefault="00B064C6" w:rsidP="006631AF">
            <w:pPr>
              <w:jc w:val="center"/>
              <w:rPr>
                <w:rFonts w:eastAsia="Times New Roman"/>
                <w:bCs/>
                <w:color w:val="000000"/>
                <w:sz w:val="20"/>
                <w:szCs w:val="20"/>
                <w:lang w:val="en-US" w:eastAsia="pt-BR"/>
              </w:rPr>
            </w:pPr>
            <w:r w:rsidRPr="00C63C9D">
              <w:rPr>
                <w:rFonts w:eastAsia="Times New Roman"/>
                <w:bCs/>
                <w:color w:val="000000"/>
                <w:sz w:val="20"/>
                <w:szCs w:val="20"/>
                <w:lang w:val="en-US" w:eastAsia="pt-BR"/>
              </w:rPr>
              <w:t>B</w:t>
            </w:r>
          </w:p>
        </w:tc>
        <w:tc>
          <w:tcPr>
            <w:tcW w:w="1015" w:type="dxa"/>
            <w:tcBorders>
              <w:left w:val="single" w:sz="4" w:space="0" w:color="FFFFFF"/>
            </w:tcBorders>
            <w:shd w:val="clear" w:color="auto" w:fill="auto"/>
            <w:noWrap/>
            <w:vAlign w:val="center"/>
            <w:hideMark/>
          </w:tcPr>
          <w:p w14:paraId="7977EB4A" w14:textId="77777777" w:rsidR="00B064C6" w:rsidRPr="00C63C9D" w:rsidRDefault="00B064C6" w:rsidP="006631AF">
            <w:pPr>
              <w:jc w:val="center"/>
              <w:rPr>
                <w:rFonts w:eastAsia="Times New Roman"/>
                <w:bCs/>
                <w:color w:val="000000"/>
                <w:sz w:val="20"/>
                <w:szCs w:val="20"/>
                <w:lang w:val="en-US" w:eastAsia="pt-BR"/>
              </w:rPr>
            </w:pPr>
            <w:r w:rsidRPr="00C63C9D">
              <w:rPr>
                <w:rFonts w:eastAsia="Times New Roman"/>
                <w:bCs/>
                <w:color w:val="000000"/>
                <w:sz w:val="20"/>
                <w:szCs w:val="20"/>
                <w:lang w:val="en-US" w:eastAsia="pt-BR"/>
              </w:rPr>
              <w:t>C</w:t>
            </w:r>
          </w:p>
        </w:tc>
      </w:tr>
      <w:tr w:rsidR="00B064C6" w:rsidRPr="00CC23BF" w14:paraId="4718F191" w14:textId="77777777" w:rsidTr="006631AF">
        <w:trPr>
          <w:trHeight w:val="359"/>
          <w:jc w:val="center"/>
        </w:trPr>
        <w:tc>
          <w:tcPr>
            <w:tcW w:w="1080" w:type="dxa"/>
            <w:vMerge w:val="restart"/>
            <w:tcBorders>
              <w:right w:val="single" w:sz="4" w:space="0" w:color="FFFFFF"/>
            </w:tcBorders>
            <w:shd w:val="clear" w:color="auto" w:fill="auto"/>
            <w:vAlign w:val="center"/>
            <w:hideMark/>
          </w:tcPr>
          <w:p w14:paraId="3FEFDD9F" w14:textId="77777777" w:rsidR="00B064C6" w:rsidRPr="00C63C9D" w:rsidRDefault="00B064C6" w:rsidP="006631AF">
            <w:pPr>
              <w:jc w:val="center"/>
              <w:rPr>
                <w:rFonts w:eastAsia="Times New Roman"/>
                <w:bCs/>
                <w:color w:val="000000"/>
                <w:sz w:val="20"/>
                <w:szCs w:val="20"/>
                <w:lang w:val="en-US" w:eastAsia="pt-BR"/>
              </w:rPr>
            </w:pPr>
            <w:r w:rsidRPr="00C63C9D">
              <w:rPr>
                <w:rFonts w:eastAsia="Times New Roman"/>
                <w:bCs/>
                <w:color w:val="000000"/>
                <w:sz w:val="20"/>
                <w:szCs w:val="20"/>
                <w:lang w:val="en-US" w:eastAsia="pt-BR"/>
              </w:rPr>
              <w:t>Objective Criteria</w:t>
            </w:r>
          </w:p>
        </w:tc>
        <w:tc>
          <w:tcPr>
            <w:tcW w:w="1560" w:type="dxa"/>
            <w:tcBorders>
              <w:left w:val="single" w:sz="4" w:space="0" w:color="FFFFFF"/>
              <w:bottom w:val="single" w:sz="4" w:space="0" w:color="FFFFFF"/>
              <w:right w:val="single" w:sz="4" w:space="0" w:color="FFFFFF"/>
            </w:tcBorders>
            <w:shd w:val="clear" w:color="auto" w:fill="auto"/>
            <w:noWrap/>
            <w:vAlign w:val="center"/>
            <w:hideMark/>
          </w:tcPr>
          <w:p w14:paraId="701602A9"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Floor Plate Area (sqm)</w:t>
            </w:r>
          </w:p>
        </w:tc>
        <w:tc>
          <w:tcPr>
            <w:tcW w:w="1014" w:type="dxa"/>
            <w:tcBorders>
              <w:left w:val="single" w:sz="4" w:space="0" w:color="FFFFFF"/>
              <w:bottom w:val="single" w:sz="4" w:space="0" w:color="FFFFFF"/>
              <w:right w:val="single" w:sz="4" w:space="0" w:color="FFFFFF"/>
            </w:tcBorders>
            <w:shd w:val="clear" w:color="auto" w:fill="auto"/>
            <w:noWrap/>
            <w:vAlign w:val="center"/>
            <w:hideMark/>
          </w:tcPr>
          <w:p w14:paraId="17710ECC"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&gt;=1500</w:t>
            </w:r>
          </w:p>
        </w:tc>
        <w:tc>
          <w:tcPr>
            <w:tcW w:w="1015" w:type="dxa"/>
            <w:tcBorders>
              <w:left w:val="single" w:sz="4" w:space="0" w:color="FFFFFF"/>
              <w:bottom w:val="single" w:sz="4" w:space="0" w:color="FFFFFF"/>
              <w:right w:val="single" w:sz="4" w:space="0" w:color="FFFFFF"/>
            </w:tcBorders>
            <w:shd w:val="clear" w:color="auto" w:fill="auto"/>
            <w:noWrap/>
            <w:vAlign w:val="center"/>
            <w:hideMark/>
          </w:tcPr>
          <w:p w14:paraId="67517642"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&gt;=1000</w:t>
            </w:r>
          </w:p>
        </w:tc>
        <w:tc>
          <w:tcPr>
            <w:tcW w:w="1015" w:type="dxa"/>
            <w:tcBorders>
              <w:left w:val="single" w:sz="4" w:space="0" w:color="FFFFFF"/>
              <w:bottom w:val="single" w:sz="4" w:space="0" w:color="FFFFFF"/>
              <w:right w:val="single" w:sz="4" w:space="0" w:color="FFFFFF"/>
            </w:tcBorders>
            <w:shd w:val="clear" w:color="auto" w:fill="auto"/>
            <w:noWrap/>
            <w:vAlign w:val="center"/>
            <w:hideMark/>
          </w:tcPr>
          <w:p w14:paraId="3B32AD20"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&gt;=500</w:t>
            </w:r>
          </w:p>
        </w:tc>
        <w:tc>
          <w:tcPr>
            <w:tcW w:w="1015" w:type="dxa"/>
            <w:tcBorders>
              <w:left w:val="single" w:sz="4" w:space="0" w:color="FFFFFF"/>
              <w:bottom w:val="single" w:sz="4" w:space="0" w:color="FFFFFF"/>
              <w:right w:val="single" w:sz="4" w:space="0" w:color="FFFFFF"/>
            </w:tcBorders>
            <w:shd w:val="clear" w:color="auto" w:fill="auto"/>
            <w:noWrap/>
            <w:vAlign w:val="center"/>
            <w:hideMark/>
          </w:tcPr>
          <w:p w14:paraId="222874BA"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&gt;=500</w:t>
            </w:r>
          </w:p>
        </w:tc>
        <w:tc>
          <w:tcPr>
            <w:tcW w:w="1015" w:type="dxa"/>
            <w:tcBorders>
              <w:left w:val="single" w:sz="4" w:space="0" w:color="FFFFFF"/>
              <w:bottom w:val="single" w:sz="4" w:space="0" w:color="FFFFFF"/>
              <w:right w:val="single" w:sz="4" w:space="0" w:color="FFFFFF"/>
            </w:tcBorders>
            <w:shd w:val="clear" w:color="auto" w:fill="auto"/>
            <w:noWrap/>
            <w:vAlign w:val="center"/>
            <w:hideMark/>
          </w:tcPr>
          <w:p w14:paraId="0512BDB8"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&gt;=250</w:t>
            </w:r>
          </w:p>
        </w:tc>
        <w:tc>
          <w:tcPr>
            <w:tcW w:w="1015" w:type="dxa"/>
            <w:tcBorders>
              <w:left w:val="single" w:sz="4" w:space="0" w:color="FFFFFF"/>
              <w:bottom w:val="single" w:sz="4" w:space="0" w:color="FFFFFF"/>
            </w:tcBorders>
            <w:shd w:val="clear" w:color="auto" w:fill="auto"/>
            <w:noWrap/>
            <w:vAlign w:val="center"/>
            <w:hideMark/>
          </w:tcPr>
          <w:p w14:paraId="3B04ED86"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N/A</w:t>
            </w:r>
          </w:p>
        </w:tc>
      </w:tr>
      <w:tr w:rsidR="00B064C6" w:rsidRPr="00CC23BF" w14:paraId="57F88001" w14:textId="77777777" w:rsidTr="006631AF">
        <w:trPr>
          <w:trHeight w:val="459"/>
          <w:jc w:val="center"/>
        </w:trPr>
        <w:tc>
          <w:tcPr>
            <w:tcW w:w="1080" w:type="dxa"/>
            <w:vMerge/>
            <w:tcBorders>
              <w:right w:val="single" w:sz="4" w:space="0" w:color="FFFFFF"/>
            </w:tcBorders>
            <w:vAlign w:val="center"/>
            <w:hideMark/>
          </w:tcPr>
          <w:p w14:paraId="22F810E2" w14:textId="77777777" w:rsidR="00B064C6" w:rsidRPr="00C63C9D" w:rsidRDefault="00B064C6" w:rsidP="006631AF">
            <w:pPr>
              <w:jc w:val="center"/>
              <w:rPr>
                <w:rFonts w:eastAsia="Times New Roman"/>
                <w:bCs/>
                <w:color w:val="000000"/>
                <w:sz w:val="20"/>
                <w:szCs w:val="20"/>
                <w:lang w:val="en-US" w:eastAsia="pt-BR"/>
              </w:rPr>
            </w:pPr>
          </w:p>
        </w:tc>
        <w:tc>
          <w:tcPr>
            <w:tcW w:w="1560"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21AC7356"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w:t>
            </w:r>
            <w:r>
              <w:rPr>
                <w:rFonts w:eastAsia="Times New Roman"/>
                <w:color w:val="000000"/>
                <w:sz w:val="20"/>
                <w:szCs w:val="20"/>
                <w:lang w:val="en-US" w:eastAsia="pt-BR"/>
              </w:rPr>
              <w:t>LA</w:t>
            </w:r>
            <w:r w:rsidRPr="00C63C9D">
              <w:rPr>
                <w:rFonts w:eastAsia="Times New Roman"/>
                <w:color w:val="000000"/>
                <w:sz w:val="20"/>
                <w:szCs w:val="20"/>
                <w:lang w:val="en-US" w:eastAsia="pt-BR"/>
              </w:rPr>
              <w:t xml:space="preserve"> (sqm)</w:t>
            </w:r>
          </w:p>
        </w:tc>
        <w:tc>
          <w:tcPr>
            <w:tcW w:w="1014"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6FD17DC9"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&gt;= 20,000</w:t>
            </w:r>
          </w:p>
        </w:tc>
        <w:tc>
          <w:tcPr>
            <w:tcW w:w="1015"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52D3762A"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&gt;= 10,000</w:t>
            </w:r>
          </w:p>
        </w:tc>
        <w:tc>
          <w:tcPr>
            <w:tcW w:w="1015"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156903B3"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&gt;=5,000</w:t>
            </w:r>
          </w:p>
        </w:tc>
        <w:tc>
          <w:tcPr>
            <w:tcW w:w="1015"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78BFA6B7"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&gt;=5,000</w:t>
            </w:r>
          </w:p>
        </w:tc>
        <w:tc>
          <w:tcPr>
            <w:tcW w:w="1015"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6B6BBFA0"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&gt;=2,500</w:t>
            </w:r>
          </w:p>
        </w:tc>
        <w:tc>
          <w:tcPr>
            <w:tcW w:w="1015" w:type="dxa"/>
            <w:tcBorders>
              <w:top w:val="single" w:sz="4" w:space="0" w:color="FFFFFF"/>
              <w:left w:val="single" w:sz="4" w:space="0" w:color="FFFFFF"/>
              <w:bottom w:val="single" w:sz="4" w:space="0" w:color="FFFFFF"/>
            </w:tcBorders>
            <w:shd w:val="clear" w:color="auto" w:fill="auto"/>
            <w:noWrap/>
            <w:vAlign w:val="center"/>
            <w:hideMark/>
          </w:tcPr>
          <w:p w14:paraId="1FA354CA"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N/A</w:t>
            </w:r>
          </w:p>
        </w:tc>
      </w:tr>
      <w:tr w:rsidR="00B064C6" w:rsidRPr="00CC23BF" w14:paraId="0B8F902A" w14:textId="77777777" w:rsidTr="006631AF">
        <w:trPr>
          <w:trHeight w:val="564"/>
          <w:jc w:val="center"/>
        </w:trPr>
        <w:tc>
          <w:tcPr>
            <w:tcW w:w="1080" w:type="dxa"/>
            <w:vMerge/>
            <w:tcBorders>
              <w:right w:val="single" w:sz="4" w:space="0" w:color="FFFFFF"/>
            </w:tcBorders>
            <w:vAlign w:val="center"/>
            <w:hideMark/>
          </w:tcPr>
          <w:p w14:paraId="73539029" w14:textId="77777777" w:rsidR="00B064C6" w:rsidRPr="00C63C9D" w:rsidRDefault="00B064C6" w:rsidP="006631AF">
            <w:pPr>
              <w:jc w:val="center"/>
              <w:rPr>
                <w:rFonts w:eastAsia="Times New Roman"/>
                <w:bCs/>
                <w:color w:val="000000"/>
                <w:sz w:val="20"/>
                <w:szCs w:val="20"/>
                <w:lang w:val="en-US" w:eastAsia="pt-BR"/>
              </w:rPr>
            </w:pPr>
          </w:p>
        </w:tc>
        <w:tc>
          <w:tcPr>
            <w:tcW w:w="1560" w:type="dxa"/>
            <w:tcBorders>
              <w:top w:val="single" w:sz="4" w:space="0" w:color="FFFFFF"/>
              <w:left w:val="single" w:sz="4" w:space="0" w:color="FFFFFF"/>
              <w:right w:val="single" w:sz="4" w:space="0" w:color="FFFFFF"/>
            </w:tcBorders>
            <w:shd w:val="clear" w:color="auto" w:fill="auto"/>
            <w:noWrap/>
            <w:vAlign w:val="center"/>
            <w:hideMark/>
          </w:tcPr>
          <w:p w14:paraId="67CE6104"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Age (Deliver/Retrofit)</w:t>
            </w:r>
          </w:p>
        </w:tc>
        <w:tc>
          <w:tcPr>
            <w:tcW w:w="2029" w:type="dxa"/>
            <w:gridSpan w:val="2"/>
            <w:tcBorders>
              <w:top w:val="single" w:sz="4" w:space="0" w:color="FFFFFF"/>
              <w:left w:val="single" w:sz="4" w:space="0" w:color="FFFFFF"/>
              <w:right w:val="single" w:sz="4" w:space="0" w:color="FFFFFF"/>
            </w:tcBorders>
            <w:shd w:val="clear" w:color="auto" w:fill="auto"/>
            <w:noWrap/>
            <w:vAlign w:val="center"/>
            <w:hideMark/>
          </w:tcPr>
          <w:p w14:paraId="736CB47C"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&lt;=20 Years</w:t>
            </w:r>
          </w:p>
        </w:tc>
        <w:tc>
          <w:tcPr>
            <w:tcW w:w="2030" w:type="dxa"/>
            <w:gridSpan w:val="2"/>
            <w:tcBorders>
              <w:top w:val="single" w:sz="4" w:space="0" w:color="FFFFFF"/>
              <w:left w:val="single" w:sz="4" w:space="0" w:color="FFFFFF"/>
              <w:right w:val="single" w:sz="4" w:space="0" w:color="FFFFFF"/>
            </w:tcBorders>
            <w:shd w:val="clear" w:color="auto" w:fill="auto"/>
            <w:noWrap/>
            <w:vAlign w:val="center"/>
            <w:hideMark/>
          </w:tcPr>
          <w:p w14:paraId="2C54F7AD"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&lt;=40 Years</w:t>
            </w:r>
          </w:p>
        </w:tc>
        <w:tc>
          <w:tcPr>
            <w:tcW w:w="2030" w:type="dxa"/>
            <w:gridSpan w:val="2"/>
            <w:tcBorders>
              <w:top w:val="single" w:sz="4" w:space="0" w:color="FFFFFF"/>
              <w:left w:val="single" w:sz="4" w:space="0" w:color="FFFFFF"/>
            </w:tcBorders>
            <w:shd w:val="clear" w:color="auto" w:fill="auto"/>
            <w:noWrap/>
            <w:vAlign w:val="center"/>
            <w:hideMark/>
          </w:tcPr>
          <w:p w14:paraId="52AE80C9"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N/A</w:t>
            </w:r>
          </w:p>
        </w:tc>
      </w:tr>
      <w:tr w:rsidR="00B064C6" w:rsidRPr="00CC23BF" w14:paraId="4D7DA94C" w14:textId="77777777" w:rsidTr="006631AF">
        <w:trPr>
          <w:trHeight w:val="402"/>
          <w:jc w:val="center"/>
        </w:trPr>
        <w:tc>
          <w:tcPr>
            <w:tcW w:w="1080" w:type="dxa"/>
            <w:vMerge w:val="restart"/>
            <w:tcBorders>
              <w:right w:val="single" w:sz="4" w:space="0" w:color="FFFFFF"/>
            </w:tcBorders>
            <w:shd w:val="clear" w:color="auto" w:fill="auto"/>
            <w:vAlign w:val="center"/>
            <w:hideMark/>
          </w:tcPr>
          <w:p w14:paraId="1D9A5960" w14:textId="77777777" w:rsidR="00B064C6" w:rsidRPr="00C63C9D" w:rsidRDefault="00B064C6" w:rsidP="006631AF">
            <w:pPr>
              <w:jc w:val="center"/>
              <w:rPr>
                <w:rFonts w:eastAsia="Times New Roman"/>
                <w:bCs/>
                <w:color w:val="000000"/>
                <w:sz w:val="20"/>
                <w:szCs w:val="20"/>
                <w:lang w:val="en-US" w:eastAsia="pt-BR"/>
              </w:rPr>
            </w:pPr>
            <w:r w:rsidRPr="00C63C9D">
              <w:rPr>
                <w:rFonts w:eastAsia="Times New Roman"/>
                <w:bCs/>
                <w:color w:val="000000"/>
                <w:sz w:val="20"/>
                <w:szCs w:val="20"/>
                <w:lang w:val="en-US" w:eastAsia="pt-BR"/>
              </w:rPr>
              <w:t>Subjective Criteria (Grades)</w:t>
            </w:r>
          </w:p>
        </w:tc>
        <w:tc>
          <w:tcPr>
            <w:tcW w:w="1560" w:type="dxa"/>
            <w:tcBorders>
              <w:left w:val="single" w:sz="4" w:space="0" w:color="FFFFFF"/>
              <w:bottom w:val="single" w:sz="4" w:space="0" w:color="FFFFFF"/>
              <w:right w:val="single" w:sz="4" w:space="0" w:color="FFFFFF"/>
            </w:tcBorders>
            <w:shd w:val="clear" w:color="auto" w:fill="auto"/>
            <w:noWrap/>
            <w:vAlign w:val="center"/>
            <w:hideMark/>
          </w:tcPr>
          <w:p w14:paraId="4563819B"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Sum of Grades</w:t>
            </w:r>
          </w:p>
        </w:tc>
        <w:tc>
          <w:tcPr>
            <w:tcW w:w="1014" w:type="dxa"/>
            <w:tcBorders>
              <w:left w:val="single" w:sz="4" w:space="0" w:color="FFFFFF"/>
              <w:bottom w:val="single" w:sz="4" w:space="0" w:color="FFFFFF"/>
              <w:right w:val="single" w:sz="4" w:space="0" w:color="FFFFFF"/>
            </w:tcBorders>
            <w:shd w:val="clear" w:color="auto" w:fill="auto"/>
            <w:noWrap/>
            <w:vAlign w:val="center"/>
            <w:hideMark/>
          </w:tcPr>
          <w:p w14:paraId="156FE6F6"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&gt;=13</w:t>
            </w:r>
          </w:p>
        </w:tc>
        <w:tc>
          <w:tcPr>
            <w:tcW w:w="1015" w:type="dxa"/>
            <w:tcBorders>
              <w:left w:val="single" w:sz="4" w:space="0" w:color="FFFFFF"/>
              <w:bottom w:val="single" w:sz="4" w:space="0" w:color="FFFFFF"/>
              <w:right w:val="single" w:sz="4" w:space="0" w:color="FFFFFF"/>
            </w:tcBorders>
            <w:shd w:val="clear" w:color="auto" w:fill="auto"/>
            <w:noWrap/>
            <w:vAlign w:val="center"/>
            <w:hideMark/>
          </w:tcPr>
          <w:p w14:paraId="00FC2212"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&gt;=11</w:t>
            </w:r>
          </w:p>
        </w:tc>
        <w:tc>
          <w:tcPr>
            <w:tcW w:w="1015" w:type="dxa"/>
            <w:tcBorders>
              <w:left w:val="single" w:sz="4" w:space="0" w:color="FFFFFF"/>
              <w:bottom w:val="single" w:sz="4" w:space="0" w:color="FFFFFF"/>
              <w:right w:val="single" w:sz="4" w:space="0" w:color="FFFFFF"/>
            </w:tcBorders>
            <w:shd w:val="clear" w:color="auto" w:fill="auto"/>
            <w:noWrap/>
            <w:vAlign w:val="center"/>
            <w:hideMark/>
          </w:tcPr>
          <w:p w14:paraId="63B3B094"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&gt;=8</w:t>
            </w:r>
          </w:p>
        </w:tc>
        <w:tc>
          <w:tcPr>
            <w:tcW w:w="1015" w:type="dxa"/>
            <w:tcBorders>
              <w:left w:val="single" w:sz="4" w:space="0" w:color="FFFFFF"/>
              <w:bottom w:val="single" w:sz="4" w:space="0" w:color="FFFFFF"/>
              <w:right w:val="single" w:sz="4" w:space="0" w:color="FFFFFF"/>
            </w:tcBorders>
            <w:shd w:val="clear" w:color="auto" w:fill="auto"/>
            <w:noWrap/>
            <w:vAlign w:val="center"/>
            <w:hideMark/>
          </w:tcPr>
          <w:p w14:paraId="7F8A05C4"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&gt;=5</w:t>
            </w:r>
          </w:p>
        </w:tc>
        <w:tc>
          <w:tcPr>
            <w:tcW w:w="1015" w:type="dxa"/>
            <w:tcBorders>
              <w:left w:val="single" w:sz="4" w:space="0" w:color="FFFFFF"/>
              <w:bottom w:val="single" w:sz="4" w:space="0" w:color="FFFFFF"/>
              <w:right w:val="single" w:sz="4" w:space="0" w:color="FFFFFF"/>
            </w:tcBorders>
            <w:shd w:val="clear" w:color="auto" w:fill="auto"/>
            <w:noWrap/>
            <w:vAlign w:val="center"/>
            <w:hideMark/>
          </w:tcPr>
          <w:p w14:paraId="6D0C1A00"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&gt;=5</w:t>
            </w:r>
          </w:p>
        </w:tc>
        <w:tc>
          <w:tcPr>
            <w:tcW w:w="1015" w:type="dxa"/>
            <w:tcBorders>
              <w:left w:val="single" w:sz="4" w:space="0" w:color="FFFFFF"/>
              <w:bottom w:val="single" w:sz="4" w:space="0" w:color="FFFFFF"/>
            </w:tcBorders>
            <w:shd w:val="clear" w:color="auto" w:fill="auto"/>
            <w:noWrap/>
            <w:vAlign w:val="center"/>
            <w:hideMark/>
          </w:tcPr>
          <w:p w14:paraId="044E5E20"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&gt;=3</w:t>
            </w:r>
          </w:p>
        </w:tc>
      </w:tr>
      <w:tr w:rsidR="00B064C6" w:rsidRPr="00CC23BF" w14:paraId="2C321CFF" w14:textId="77777777" w:rsidTr="006631AF">
        <w:trPr>
          <w:trHeight w:val="563"/>
          <w:jc w:val="center"/>
        </w:trPr>
        <w:tc>
          <w:tcPr>
            <w:tcW w:w="1080" w:type="dxa"/>
            <w:vMerge/>
            <w:tcBorders>
              <w:right w:val="single" w:sz="4" w:space="0" w:color="FFFFFF"/>
            </w:tcBorders>
            <w:vAlign w:val="center"/>
            <w:hideMark/>
          </w:tcPr>
          <w:p w14:paraId="68D4A0DF" w14:textId="77777777" w:rsidR="00B064C6" w:rsidRPr="00C63C9D" w:rsidRDefault="00B064C6" w:rsidP="006631AF">
            <w:pPr>
              <w:jc w:val="center"/>
              <w:rPr>
                <w:rFonts w:eastAsia="Times New Roman"/>
                <w:bCs/>
                <w:color w:val="000000"/>
                <w:sz w:val="20"/>
                <w:szCs w:val="20"/>
                <w:lang w:val="en-US" w:eastAsia="pt-BR"/>
              </w:rPr>
            </w:pPr>
          </w:p>
        </w:tc>
        <w:tc>
          <w:tcPr>
            <w:tcW w:w="1560"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402C8A2A"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Technical Specifications</w:t>
            </w:r>
          </w:p>
        </w:tc>
        <w:tc>
          <w:tcPr>
            <w:tcW w:w="1014"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07BD5077"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c>
          <w:tcPr>
            <w:tcW w:w="1015"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04C4AB98"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c>
          <w:tcPr>
            <w:tcW w:w="1015"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07F788D7"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c>
          <w:tcPr>
            <w:tcW w:w="1015"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3E49506F"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c>
          <w:tcPr>
            <w:tcW w:w="1015"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1D9F923C"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c>
          <w:tcPr>
            <w:tcW w:w="1015" w:type="dxa"/>
            <w:tcBorders>
              <w:top w:val="single" w:sz="4" w:space="0" w:color="FFFFFF"/>
              <w:left w:val="single" w:sz="4" w:space="0" w:color="FFFFFF"/>
              <w:bottom w:val="single" w:sz="4" w:space="0" w:color="FFFFFF"/>
            </w:tcBorders>
            <w:shd w:val="clear" w:color="auto" w:fill="auto"/>
            <w:noWrap/>
            <w:vAlign w:val="center"/>
            <w:hideMark/>
          </w:tcPr>
          <w:p w14:paraId="0DB9CE75"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r>
      <w:tr w:rsidR="00B064C6" w:rsidRPr="00CC23BF" w14:paraId="3CC9DE53" w14:textId="77777777" w:rsidTr="006631AF">
        <w:trPr>
          <w:trHeight w:val="429"/>
          <w:jc w:val="center"/>
        </w:trPr>
        <w:tc>
          <w:tcPr>
            <w:tcW w:w="1080" w:type="dxa"/>
            <w:vMerge/>
            <w:tcBorders>
              <w:right w:val="single" w:sz="4" w:space="0" w:color="FFFFFF"/>
            </w:tcBorders>
            <w:vAlign w:val="center"/>
            <w:hideMark/>
          </w:tcPr>
          <w:p w14:paraId="198F28D9" w14:textId="77777777" w:rsidR="00B064C6" w:rsidRPr="00C63C9D" w:rsidRDefault="00B064C6" w:rsidP="006631AF">
            <w:pPr>
              <w:jc w:val="center"/>
              <w:rPr>
                <w:rFonts w:eastAsia="Times New Roman"/>
                <w:bCs/>
                <w:color w:val="000000"/>
                <w:sz w:val="20"/>
                <w:szCs w:val="20"/>
                <w:lang w:val="en-US" w:eastAsia="pt-BR"/>
              </w:rPr>
            </w:pPr>
          </w:p>
        </w:tc>
        <w:tc>
          <w:tcPr>
            <w:tcW w:w="1560"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241EC7E1"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Corporate Image</w:t>
            </w:r>
          </w:p>
        </w:tc>
        <w:tc>
          <w:tcPr>
            <w:tcW w:w="1014"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4BE6BB4F"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c>
          <w:tcPr>
            <w:tcW w:w="1015"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6DACA4DB"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c>
          <w:tcPr>
            <w:tcW w:w="1015"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133D59A0"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c>
          <w:tcPr>
            <w:tcW w:w="1015"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33A4108A"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c>
          <w:tcPr>
            <w:tcW w:w="1015" w:type="dxa"/>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14:paraId="381B4790"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c>
          <w:tcPr>
            <w:tcW w:w="1015" w:type="dxa"/>
            <w:tcBorders>
              <w:top w:val="single" w:sz="4" w:space="0" w:color="FFFFFF"/>
              <w:left w:val="single" w:sz="4" w:space="0" w:color="FFFFFF"/>
              <w:bottom w:val="single" w:sz="4" w:space="0" w:color="FFFFFF"/>
            </w:tcBorders>
            <w:shd w:val="clear" w:color="auto" w:fill="auto"/>
            <w:noWrap/>
            <w:vAlign w:val="center"/>
            <w:hideMark/>
          </w:tcPr>
          <w:p w14:paraId="09953974"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r>
      <w:tr w:rsidR="00B064C6" w:rsidRPr="00CC23BF" w14:paraId="6A4ED398" w14:textId="77777777" w:rsidTr="006631AF">
        <w:trPr>
          <w:trHeight w:val="550"/>
          <w:jc w:val="center"/>
        </w:trPr>
        <w:tc>
          <w:tcPr>
            <w:tcW w:w="1080" w:type="dxa"/>
            <w:vMerge/>
            <w:tcBorders>
              <w:right w:val="single" w:sz="4" w:space="0" w:color="FFFFFF"/>
            </w:tcBorders>
            <w:vAlign w:val="center"/>
            <w:hideMark/>
          </w:tcPr>
          <w:p w14:paraId="2762DF0F" w14:textId="77777777" w:rsidR="00B064C6" w:rsidRPr="00C63C9D" w:rsidRDefault="00B064C6" w:rsidP="006631AF">
            <w:pPr>
              <w:jc w:val="center"/>
              <w:rPr>
                <w:rFonts w:eastAsia="Times New Roman"/>
                <w:bCs/>
                <w:color w:val="000000"/>
                <w:sz w:val="20"/>
                <w:szCs w:val="20"/>
                <w:lang w:val="en-US" w:eastAsia="pt-BR"/>
              </w:rPr>
            </w:pPr>
          </w:p>
        </w:tc>
        <w:tc>
          <w:tcPr>
            <w:tcW w:w="1560" w:type="dxa"/>
            <w:tcBorders>
              <w:top w:val="single" w:sz="4" w:space="0" w:color="FFFFFF"/>
              <w:left w:val="single" w:sz="4" w:space="0" w:color="FFFFFF"/>
              <w:right w:val="single" w:sz="4" w:space="0" w:color="FFFFFF"/>
            </w:tcBorders>
            <w:shd w:val="clear" w:color="auto" w:fill="auto"/>
            <w:noWrap/>
            <w:vAlign w:val="center"/>
            <w:hideMark/>
          </w:tcPr>
          <w:p w14:paraId="1714122D"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Occupation Profile</w:t>
            </w:r>
          </w:p>
        </w:tc>
        <w:tc>
          <w:tcPr>
            <w:tcW w:w="1014" w:type="dxa"/>
            <w:tcBorders>
              <w:top w:val="single" w:sz="4" w:space="0" w:color="FFFFFF"/>
              <w:left w:val="single" w:sz="4" w:space="0" w:color="FFFFFF"/>
              <w:right w:val="single" w:sz="4" w:space="0" w:color="FFFFFF"/>
            </w:tcBorders>
            <w:shd w:val="clear" w:color="auto" w:fill="auto"/>
            <w:noWrap/>
            <w:vAlign w:val="center"/>
            <w:hideMark/>
          </w:tcPr>
          <w:p w14:paraId="780A0603"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c>
          <w:tcPr>
            <w:tcW w:w="1015" w:type="dxa"/>
            <w:tcBorders>
              <w:top w:val="single" w:sz="4" w:space="0" w:color="FFFFFF"/>
              <w:left w:val="single" w:sz="4" w:space="0" w:color="FFFFFF"/>
              <w:right w:val="single" w:sz="4" w:space="0" w:color="FFFFFF"/>
            </w:tcBorders>
            <w:shd w:val="clear" w:color="auto" w:fill="auto"/>
            <w:noWrap/>
            <w:vAlign w:val="center"/>
            <w:hideMark/>
          </w:tcPr>
          <w:p w14:paraId="33958DBD"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c>
          <w:tcPr>
            <w:tcW w:w="1015" w:type="dxa"/>
            <w:tcBorders>
              <w:top w:val="single" w:sz="4" w:space="0" w:color="FFFFFF"/>
              <w:left w:val="single" w:sz="4" w:space="0" w:color="FFFFFF"/>
              <w:right w:val="single" w:sz="4" w:space="0" w:color="FFFFFF"/>
            </w:tcBorders>
            <w:shd w:val="clear" w:color="auto" w:fill="auto"/>
            <w:noWrap/>
            <w:vAlign w:val="center"/>
            <w:hideMark/>
          </w:tcPr>
          <w:p w14:paraId="0B6B4DD3"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c>
          <w:tcPr>
            <w:tcW w:w="1015" w:type="dxa"/>
            <w:tcBorders>
              <w:top w:val="single" w:sz="4" w:space="0" w:color="FFFFFF"/>
              <w:left w:val="single" w:sz="4" w:space="0" w:color="FFFFFF"/>
              <w:right w:val="single" w:sz="4" w:space="0" w:color="FFFFFF"/>
            </w:tcBorders>
            <w:shd w:val="clear" w:color="auto" w:fill="auto"/>
            <w:noWrap/>
            <w:vAlign w:val="center"/>
            <w:hideMark/>
          </w:tcPr>
          <w:p w14:paraId="2E955A0A"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c>
          <w:tcPr>
            <w:tcW w:w="1015" w:type="dxa"/>
            <w:tcBorders>
              <w:top w:val="single" w:sz="4" w:space="0" w:color="FFFFFF"/>
              <w:left w:val="single" w:sz="4" w:space="0" w:color="FFFFFF"/>
              <w:right w:val="single" w:sz="4" w:space="0" w:color="FFFFFF"/>
            </w:tcBorders>
            <w:shd w:val="clear" w:color="auto" w:fill="auto"/>
            <w:noWrap/>
            <w:vAlign w:val="center"/>
            <w:hideMark/>
          </w:tcPr>
          <w:p w14:paraId="32AC08ED"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c>
          <w:tcPr>
            <w:tcW w:w="1015" w:type="dxa"/>
            <w:tcBorders>
              <w:top w:val="single" w:sz="4" w:space="0" w:color="FFFFFF"/>
              <w:left w:val="single" w:sz="4" w:space="0" w:color="FFFFFF"/>
            </w:tcBorders>
            <w:shd w:val="clear" w:color="auto" w:fill="auto"/>
            <w:noWrap/>
            <w:vAlign w:val="center"/>
            <w:hideMark/>
          </w:tcPr>
          <w:p w14:paraId="0CDF3708" w14:textId="77777777" w:rsidR="00B064C6" w:rsidRPr="00C63C9D" w:rsidRDefault="00B064C6" w:rsidP="006631AF">
            <w:pPr>
              <w:jc w:val="center"/>
              <w:rPr>
                <w:rFonts w:eastAsia="Times New Roman"/>
                <w:color w:val="000000"/>
                <w:sz w:val="20"/>
                <w:szCs w:val="20"/>
                <w:lang w:val="en-US" w:eastAsia="pt-BR"/>
              </w:rPr>
            </w:pPr>
            <w:r w:rsidRPr="00C63C9D">
              <w:rPr>
                <w:rFonts w:eastAsia="Times New Roman"/>
                <w:color w:val="000000"/>
                <w:sz w:val="20"/>
                <w:szCs w:val="20"/>
                <w:lang w:val="en-US" w:eastAsia="pt-BR"/>
              </w:rPr>
              <w:t>1 to 5</w:t>
            </w:r>
          </w:p>
        </w:tc>
      </w:tr>
    </w:tbl>
    <w:p w14:paraId="6D185611" w14:textId="7E8A6DD3" w:rsidR="00B064C6" w:rsidRDefault="00B064C6" w:rsidP="00B064C6">
      <w:pPr>
        <w:autoSpaceDE w:val="0"/>
        <w:autoSpaceDN w:val="0"/>
        <w:adjustRightInd w:val="0"/>
        <w:spacing w:line="360" w:lineRule="auto"/>
        <w:jc w:val="both"/>
        <w:rPr>
          <w:sz w:val="20"/>
          <w:szCs w:val="20"/>
          <w:lang w:val="en-US"/>
        </w:rPr>
      </w:pPr>
      <w:r w:rsidRPr="00CC23BF">
        <w:rPr>
          <w:sz w:val="20"/>
          <w:szCs w:val="20"/>
          <w:lang w:val="en-US"/>
        </w:rPr>
        <w:t>Source(s): Buildings</w:t>
      </w:r>
    </w:p>
    <w:p w14:paraId="1FA43010" w14:textId="450D8D15" w:rsidR="007D6B53" w:rsidRPr="007D6B53" w:rsidRDefault="007D6B53" w:rsidP="00B064C6">
      <w:pPr>
        <w:autoSpaceDE w:val="0"/>
        <w:autoSpaceDN w:val="0"/>
        <w:adjustRightInd w:val="0"/>
        <w:spacing w:line="360" w:lineRule="auto"/>
        <w:jc w:val="both"/>
        <w:rPr>
          <w:color w:val="FF0000"/>
          <w:sz w:val="20"/>
          <w:szCs w:val="20"/>
          <w:lang w:val="en-US"/>
        </w:rPr>
      </w:pPr>
      <w:r w:rsidRPr="007D6B53">
        <w:rPr>
          <w:color w:val="FF0000"/>
          <w:sz w:val="20"/>
          <w:szCs w:val="20"/>
          <w:lang w:val="en-US"/>
        </w:rPr>
        <w:t>Note(s): 1sqm = 10.76sqft</w:t>
      </w:r>
    </w:p>
    <w:p w14:paraId="59AAC0F0" w14:textId="77777777" w:rsidR="00B064C6" w:rsidRDefault="00B064C6">
      <w:pPr>
        <w:rPr>
          <w:lang w:val="en-US"/>
        </w:rPr>
      </w:pPr>
    </w:p>
    <w:p w14:paraId="06B88D49" w14:textId="77777777" w:rsidR="00B064C6" w:rsidRDefault="00B064C6" w:rsidP="00B064C6">
      <w:pPr>
        <w:tabs>
          <w:tab w:val="left" w:pos="709"/>
        </w:tabs>
        <w:spacing w:line="360" w:lineRule="auto"/>
        <w:jc w:val="both"/>
        <w:rPr>
          <w:lang w:val="en-US"/>
        </w:rPr>
      </w:pPr>
    </w:p>
    <w:p w14:paraId="7110D1AE" w14:textId="77777777" w:rsidR="005019C3" w:rsidRDefault="005019C3" w:rsidP="00B064C6">
      <w:pPr>
        <w:tabs>
          <w:tab w:val="left" w:pos="709"/>
        </w:tabs>
        <w:spacing w:line="360" w:lineRule="auto"/>
        <w:jc w:val="both"/>
        <w:rPr>
          <w:lang w:val="en-US"/>
        </w:rPr>
      </w:pPr>
    </w:p>
    <w:p w14:paraId="2D48E7D7" w14:textId="77777777" w:rsidR="005019C3" w:rsidRDefault="005019C3" w:rsidP="00B064C6">
      <w:pPr>
        <w:tabs>
          <w:tab w:val="left" w:pos="709"/>
        </w:tabs>
        <w:spacing w:line="360" w:lineRule="auto"/>
        <w:jc w:val="both"/>
        <w:rPr>
          <w:lang w:val="en-US"/>
        </w:rPr>
      </w:pPr>
    </w:p>
    <w:p w14:paraId="60F2DEAC" w14:textId="77777777" w:rsidR="005019C3" w:rsidRDefault="005019C3" w:rsidP="00B064C6">
      <w:pPr>
        <w:tabs>
          <w:tab w:val="left" w:pos="709"/>
        </w:tabs>
        <w:spacing w:line="360" w:lineRule="auto"/>
        <w:jc w:val="both"/>
        <w:rPr>
          <w:lang w:val="en-US"/>
        </w:rPr>
      </w:pPr>
    </w:p>
    <w:p w14:paraId="79E4D7F8" w14:textId="77777777" w:rsidR="00B064C6" w:rsidRPr="000F76CE" w:rsidRDefault="00B064C6" w:rsidP="00B064C6">
      <w:pPr>
        <w:tabs>
          <w:tab w:val="left" w:pos="709"/>
        </w:tabs>
        <w:spacing w:before="120" w:after="120" w:line="360" w:lineRule="auto"/>
        <w:jc w:val="both"/>
        <w:rPr>
          <w:b/>
          <w:sz w:val="20"/>
          <w:szCs w:val="20"/>
          <w:lang w:val="en-US"/>
        </w:rPr>
      </w:pPr>
      <w:r w:rsidRPr="007765AC">
        <w:rPr>
          <w:b/>
          <w:sz w:val="20"/>
          <w:szCs w:val="20"/>
          <w:lang w:val="en-US"/>
        </w:rPr>
        <w:t>Table 3: Descriptive</w:t>
      </w:r>
      <w:r>
        <w:rPr>
          <w:b/>
          <w:sz w:val="20"/>
          <w:szCs w:val="20"/>
          <w:lang w:val="en-US"/>
        </w:rPr>
        <w:t xml:space="preserve"> Statistics</w:t>
      </w:r>
    </w:p>
    <w:tbl>
      <w:tblPr>
        <w:tblW w:w="5000" w:type="pct"/>
        <w:tblCellMar>
          <w:left w:w="70" w:type="dxa"/>
          <w:right w:w="70" w:type="dxa"/>
        </w:tblCellMar>
        <w:tblLook w:val="04A0" w:firstRow="1" w:lastRow="0" w:firstColumn="1" w:lastColumn="0" w:noHBand="0" w:noVBand="1"/>
      </w:tblPr>
      <w:tblGrid>
        <w:gridCol w:w="1545"/>
        <w:gridCol w:w="857"/>
        <w:gridCol w:w="618"/>
        <w:gridCol w:w="882"/>
        <w:gridCol w:w="883"/>
        <w:gridCol w:w="1012"/>
        <w:gridCol w:w="940"/>
        <w:gridCol w:w="884"/>
        <w:gridCol w:w="883"/>
      </w:tblGrid>
      <w:tr w:rsidR="00B064C6" w:rsidRPr="00DE0337" w14:paraId="6CA14D1D" w14:textId="77777777" w:rsidTr="009B09FF">
        <w:trPr>
          <w:trHeight w:val="389"/>
        </w:trPr>
        <w:tc>
          <w:tcPr>
            <w:tcW w:w="915" w:type="pct"/>
            <w:vMerge w:val="restart"/>
            <w:tcBorders>
              <w:top w:val="single" w:sz="4" w:space="0" w:color="auto"/>
              <w:left w:val="nil"/>
              <w:bottom w:val="single" w:sz="4" w:space="0" w:color="000000"/>
              <w:right w:val="nil"/>
            </w:tcBorders>
            <w:shd w:val="clear" w:color="auto" w:fill="auto"/>
            <w:noWrap/>
            <w:vAlign w:val="center"/>
            <w:hideMark/>
          </w:tcPr>
          <w:p w14:paraId="5B3E4E49" w14:textId="77777777" w:rsidR="00B064C6" w:rsidRPr="00704916" w:rsidRDefault="00B064C6" w:rsidP="006631AF">
            <w:pPr>
              <w:rPr>
                <w:rFonts w:eastAsia="Times New Roman"/>
                <w:bCs/>
                <w:sz w:val="20"/>
                <w:szCs w:val="20"/>
                <w:lang w:val="en-US" w:eastAsia="pt-BR"/>
              </w:rPr>
            </w:pPr>
            <w:r w:rsidRPr="00704916">
              <w:rPr>
                <w:rFonts w:eastAsia="Times New Roman"/>
                <w:bCs/>
                <w:sz w:val="20"/>
                <w:szCs w:val="20"/>
                <w:lang w:val="en-US" w:eastAsia="pt-BR"/>
              </w:rPr>
              <w:t>Market Niche/</w:t>
            </w:r>
          </w:p>
          <w:p w14:paraId="004E36D7" w14:textId="77777777" w:rsidR="00B064C6" w:rsidRPr="00704916" w:rsidRDefault="00B064C6" w:rsidP="006631AF">
            <w:pPr>
              <w:rPr>
                <w:rFonts w:eastAsia="Times New Roman"/>
                <w:bCs/>
                <w:sz w:val="20"/>
                <w:szCs w:val="20"/>
                <w:lang w:val="en-US" w:eastAsia="pt-BR"/>
              </w:rPr>
            </w:pPr>
            <w:r w:rsidRPr="00704916">
              <w:rPr>
                <w:rFonts w:eastAsia="Times New Roman"/>
                <w:bCs/>
                <w:sz w:val="20"/>
                <w:szCs w:val="20"/>
                <w:lang w:val="en-US" w:eastAsia="pt-BR"/>
              </w:rPr>
              <w:t>Building Class</w:t>
            </w:r>
          </w:p>
        </w:tc>
        <w:tc>
          <w:tcPr>
            <w:tcW w:w="832" w:type="pct"/>
            <w:gridSpan w:val="2"/>
            <w:tcBorders>
              <w:top w:val="single" w:sz="4" w:space="0" w:color="auto"/>
              <w:left w:val="nil"/>
              <w:bottom w:val="nil"/>
              <w:right w:val="nil"/>
            </w:tcBorders>
            <w:shd w:val="clear" w:color="auto" w:fill="auto"/>
            <w:noWrap/>
            <w:vAlign w:val="bottom"/>
            <w:hideMark/>
          </w:tcPr>
          <w:p w14:paraId="539A944C" w14:textId="77777777" w:rsidR="00B064C6" w:rsidRPr="00704916" w:rsidRDefault="00B064C6" w:rsidP="006631AF">
            <w:pPr>
              <w:jc w:val="center"/>
              <w:rPr>
                <w:rFonts w:eastAsia="Times New Roman"/>
                <w:bCs/>
                <w:sz w:val="20"/>
                <w:szCs w:val="20"/>
                <w:lang w:val="en-US" w:eastAsia="pt-BR"/>
              </w:rPr>
            </w:pPr>
            <w:r w:rsidRPr="00704916">
              <w:rPr>
                <w:rFonts w:eastAsia="Times New Roman"/>
                <w:bCs/>
                <w:sz w:val="20"/>
                <w:szCs w:val="20"/>
                <w:lang w:val="en-US" w:eastAsia="pt-BR"/>
              </w:rPr>
              <w:t>Building Class</w:t>
            </w:r>
          </w:p>
        </w:tc>
        <w:tc>
          <w:tcPr>
            <w:tcW w:w="1059" w:type="pct"/>
            <w:gridSpan w:val="2"/>
            <w:tcBorders>
              <w:top w:val="single" w:sz="4" w:space="0" w:color="auto"/>
              <w:left w:val="nil"/>
              <w:bottom w:val="nil"/>
              <w:right w:val="nil"/>
            </w:tcBorders>
            <w:shd w:val="clear" w:color="auto" w:fill="auto"/>
            <w:noWrap/>
            <w:vAlign w:val="bottom"/>
            <w:hideMark/>
          </w:tcPr>
          <w:p w14:paraId="6C37F84E" w14:textId="77777777" w:rsidR="00B064C6" w:rsidRPr="00704916" w:rsidRDefault="00B064C6" w:rsidP="006631AF">
            <w:pPr>
              <w:jc w:val="center"/>
              <w:rPr>
                <w:rFonts w:eastAsia="Times New Roman"/>
                <w:bCs/>
                <w:sz w:val="20"/>
                <w:szCs w:val="20"/>
                <w:lang w:val="en-US" w:eastAsia="pt-BR"/>
              </w:rPr>
            </w:pPr>
            <w:r w:rsidRPr="00704916">
              <w:rPr>
                <w:rFonts w:eastAsia="Times New Roman"/>
                <w:bCs/>
                <w:sz w:val="20"/>
                <w:szCs w:val="20"/>
                <w:lang w:val="en-US" w:eastAsia="pt-BR"/>
              </w:rPr>
              <w:t>Rent (in BRL)</w:t>
            </w:r>
          </w:p>
        </w:tc>
        <w:tc>
          <w:tcPr>
            <w:tcW w:w="1134" w:type="pct"/>
            <w:gridSpan w:val="2"/>
            <w:tcBorders>
              <w:top w:val="single" w:sz="4" w:space="0" w:color="auto"/>
              <w:left w:val="nil"/>
              <w:bottom w:val="nil"/>
              <w:right w:val="nil"/>
            </w:tcBorders>
            <w:shd w:val="clear" w:color="auto" w:fill="auto"/>
            <w:noWrap/>
            <w:vAlign w:val="bottom"/>
            <w:hideMark/>
          </w:tcPr>
          <w:p w14:paraId="3A3DC89D" w14:textId="77777777" w:rsidR="00B064C6" w:rsidRPr="00704916" w:rsidRDefault="00B064C6" w:rsidP="006631AF">
            <w:pPr>
              <w:jc w:val="center"/>
              <w:rPr>
                <w:rFonts w:eastAsia="Times New Roman"/>
                <w:bCs/>
                <w:sz w:val="20"/>
                <w:szCs w:val="20"/>
                <w:lang w:val="en-US" w:eastAsia="pt-BR"/>
              </w:rPr>
            </w:pPr>
            <w:r w:rsidRPr="00704916">
              <w:rPr>
                <w:rFonts w:eastAsia="Times New Roman"/>
                <w:bCs/>
                <w:sz w:val="20"/>
                <w:szCs w:val="20"/>
                <w:lang w:val="en-US" w:eastAsia="pt-BR"/>
              </w:rPr>
              <w:t>Size (in sqm)</w:t>
            </w:r>
          </w:p>
        </w:tc>
        <w:tc>
          <w:tcPr>
            <w:tcW w:w="1059" w:type="pct"/>
            <w:gridSpan w:val="2"/>
            <w:tcBorders>
              <w:top w:val="single" w:sz="4" w:space="0" w:color="auto"/>
              <w:left w:val="nil"/>
              <w:bottom w:val="nil"/>
              <w:right w:val="nil"/>
            </w:tcBorders>
            <w:shd w:val="clear" w:color="auto" w:fill="auto"/>
            <w:noWrap/>
            <w:vAlign w:val="bottom"/>
            <w:hideMark/>
          </w:tcPr>
          <w:p w14:paraId="6F4607AC" w14:textId="77777777" w:rsidR="00B064C6" w:rsidRPr="00704916" w:rsidRDefault="00B064C6" w:rsidP="006631AF">
            <w:pPr>
              <w:jc w:val="center"/>
              <w:rPr>
                <w:rFonts w:eastAsia="Times New Roman"/>
                <w:bCs/>
                <w:sz w:val="20"/>
                <w:szCs w:val="20"/>
                <w:lang w:val="en-US" w:eastAsia="pt-BR"/>
              </w:rPr>
            </w:pPr>
            <w:r w:rsidRPr="00704916">
              <w:rPr>
                <w:rFonts w:eastAsia="Times New Roman"/>
                <w:bCs/>
                <w:sz w:val="20"/>
                <w:szCs w:val="20"/>
                <w:lang w:val="en-US" w:eastAsia="pt-BR"/>
              </w:rPr>
              <w:t>Age (in Years)</w:t>
            </w:r>
          </w:p>
        </w:tc>
      </w:tr>
      <w:tr w:rsidR="00B064C6" w:rsidRPr="00DE0337" w14:paraId="052B353A" w14:textId="77777777" w:rsidTr="009B09FF">
        <w:trPr>
          <w:trHeight w:val="409"/>
        </w:trPr>
        <w:tc>
          <w:tcPr>
            <w:tcW w:w="915" w:type="pct"/>
            <w:vMerge/>
            <w:tcBorders>
              <w:top w:val="single" w:sz="4" w:space="0" w:color="auto"/>
              <w:left w:val="nil"/>
              <w:bottom w:val="single" w:sz="4" w:space="0" w:color="000000"/>
              <w:right w:val="nil"/>
            </w:tcBorders>
            <w:vAlign w:val="center"/>
            <w:hideMark/>
          </w:tcPr>
          <w:p w14:paraId="031846A7" w14:textId="77777777" w:rsidR="00B064C6" w:rsidRPr="00704916" w:rsidRDefault="00B064C6" w:rsidP="006631AF">
            <w:pPr>
              <w:rPr>
                <w:rFonts w:eastAsia="Times New Roman"/>
                <w:bCs/>
                <w:sz w:val="20"/>
                <w:szCs w:val="20"/>
                <w:lang w:val="en-US" w:eastAsia="pt-BR"/>
              </w:rPr>
            </w:pPr>
          </w:p>
        </w:tc>
        <w:tc>
          <w:tcPr>
            <w:tcW w:w="454" w:type="pct"/>
            <w:tcBorders>
              <w:top w:val="single" w:sz="4" w:space="0" w:color="auto"/>
              <w:left w:val="nil"/>
              <w:bottom w:val="single" w:sz="4" w:space="0" w:color="auto"/>
              <w:right w:val="nil"/>
            </w:tcBorders>
            <w:shd w:val="clear" w:color="auto" w:fill="auto"/>
            <w:noWrap/>
            <w:vAlign w:val="bottom"/>
            <w:hideMark/>
          </w:tcPr>
          <w:p w14:paraId="555B248C" w14:textId="77777777" w:rsidR="00B064C6" w:rsidRPr="00704916" w:rsidRDefault="00B064C6" w:rsidP="006631AF">
            <w:pPr>
              <w:jc w:val="center"/>
              <w:rPr>
                <w:rFonts w:eastAsia="Times New Roman"/>
                <w:bCs/>
                <w:sz w:val="20"/>
                <w:szCs w:val="20"/>
                <w:lang w:val="en-US" w:eastAsia="pt-BR"/>
              </w:rPr>
            </w:pPr>
            <w:r w:rsidRPr="00704916">
              <w:rPr>
                <w:rFonts w:eastAsia="Times New Roman"/>
                <w:bCs/>
                <w:sz w:val="20"/>
                <w:szCs w:val="20"/>
                <w:lang w:val="en-US" w:eastAsia="pt-BR"/>
              </w:rPr>
              <w:t>No. Obs</w:t>
            </w:r>
            <w:r>
              <w:rPr>
                <w:rFonts w:eastAsia="Times New Roman"/>
                <w:bCs/>
                <w:sz w:val="20"/>
                <w:szCs w:val="20"/>
                <w:lang w:val="en-US" w:eastAsia="pt-BR"/>
              </w:rPr>
              <w:t>.</w:t>
            </w:r>
          </w:p>
        </w:tc>
        <w:tc>
          <w:tcPr>
            <w:tcW w:w="378" w:type="pct"/>
            <w:tcBorders>
              <w:top w:val="single" w:sz="4" w:space="0" w:color="auto"/>
              <w:left w:val="nil"/>
              <w:bottom w:val="single" w:sz="4" w:space="0" w:color="auto"/>
              <w:right w:val="nil"/>
            </w:tcBorders>
            <w:shd w:val="clear" w:color="auto" w:fill="auto"/>
            <w:noWrap/>
            <w:vAlign w:val="bottom"/>
            <w:hideMark/>
          </w:tcPr>
          <w:p w14:paraId="2495EB53" w14:textId="77777777" w:rsidR="00B064C6" w:rsidRPr="00704916" w:rsidRDefault="00B064C6" w:rsidP="006631AF">
            <w:pPr>
              <w:jc w:val="center"/>
              <w:rPr>
                <w:rFonts w:eastAsia="Times New Roman"/>
                <w:bCs/>
                <w:sz w:val="20"/>
                <w:szCs w:val="20"/>
                <w:lang w:val="en-US" w:eastAsia="pt-BR"/>
              </w:rPr>
            </w:pPr>
            <w:r w:rsidRPr="00704916">
              <w:rPr>
                <w:rFonts w:eastAsia="Times New Roman"/>
                <w:bCs/>
                <w:sz w:val="20"/>
                <w:szCs w:val="20"/>
                <w:lang w:val="en-US" w:eastAsia="pt-BR"/>
              </w:rPr>
              <w:t>%</w:t>
            </w:r>
          </w:p>
        </w:tc>
        <w:tc>
          <w:tcPr>
            <w:tcW w:w="529" w:type="pct"/>
            <w:tcBorders>
              <w:top w:val="single" w:sz="4" w:space="0" w:color="auto"/>
              <w:left w:val="nil"/>
              <w:bottom w:val="single" w:sz="4" w:space="0" w:color="auto"/>
              <w:right w:val="nil"/>
            </w:tcBorders>
            <w:shd w:val="clear" w:color="auto" w:fill="auto"/>
            <w:noWrap/>
            <w:vAlign w:val="bottom"/>
            <w:hideMark/>
          </w:tcPr>
          <w:p w14:paraId="26719F2D" w14:textId="77777777" w:rsidR="00B064C6" w:rsidRPr="00704916" w:rsidRDefault="00B064C6" w:rsidP="006631AF">
            <w:pPr>
              <w:jc w:val="center"/>
              <w:rPr>
                <w:rFonts w:eastAsia="Times New Roman"/>
                <w:bCs/>
                <w:sz w:val="20"/>
                <w:szCs w:val="20"/>
                <w:lang w:val="en-US" w:eastAsia="pt-BR"/>
              </w:rPr>
            </w:pPr>
            <w:r w:rsidRPr="00704916">
              <w:rPr>
                <w:rFonts w:eastAsia="Times New Roman"/>
                <w:bCs/>
                <w:sz w:val="20"/>
                <w:szCs w:val="20"/>
                <w:lang w:val="en-US" w:eastAsia="pt-BR"/>
              </w:rPr>
              <w:t>Mean</w:t>
            </w:r>
          </w:p>
        </w:tc>
        <w:tc>
          <w:tcPr>
            <w:tcW w:w="529" w:type="pct"/>
            <w:tcBorders>
              <w:top w:val="single" w:sz="4" w:space="0" w:color="auto"/>
              <w:left w:val="nil"/>
              <w:bottom w:val="single" w:sz="4" w:space="0" w:color="auto"/>
              <w:right w:val="nil"/>
            </w:tcBorders>
            <w:shd w:val="clear" w:color="auto" w:fill="auto"/>
            <w:noWrap/>
            <w:vAlign w:val="bottom"/>
            <w:hideMark/>
          </w:tcPr>
          <w:p w14:paraId="6FF45AE2" w14:textId="77777777" w:rsidR="00B064C6" w:rsidRPr="00704916" w:rsidRDefault="00B064C6" w:rsidP="006631AF">
            <w:pPr>
              <w:jc w:val="center"/>
              <w:rPr>
                <w:rFonts w:eastAsia="Times New Roman"/>
                <w:bCs/>
                <w:sz w:val="20"/>
                <w:szCs w:val="20"/>
                <w:lang w:val="en-US" w:eastAsia="pt-BR"/>
              </w:rPr>
            </w:pPr>
            <w:r w:rsidRPr="00704916">
              <w:rPr>
                <w:rFonts w:eastAsia="Times New Roman"/>
                <w:bCs/>
                <w:sz w:val="20"/>
                <w:szCs w:val="20"/>
                <w:lang w:val="en-US" w:eastAsia="pt-BR"/>
              </w:rPr>
              <w:t>Std. Dev</w:t>
            </w:r>
          </w:p>
        </w:tc>
        <w:tc>
          <w:tcPr>
            <w:tcW w:w="605" w:type="pct"/>
            <w:tcBorders>
              <w:top w:val="single" w:sz="4" w:space="0" w:color="auto"/>
              <w:left w:val="nil"/>
              <w:bottom w:val="single" w:sz="4" w:space="0" w:color="auto"/>
              <w:right w:val="nil"/>
            </w:tcBorders>
            <w:shd w:val="clear" w:color="auto" w:fill="auto"/>
            <w:noWrap/>
            <w:vAlign w:val="bottom"/>
            <w:hideMark/>
          </w:tcPr>
          <w:p w14:paraId="0C4F92A1" w14:textId="77777777" w:rsidR="00B064C6" w:rsidRPr="00704916" w:rsidRDefault="00B064C6" w:rsidP="006631AF">
            <w:pPr>
              <w:jc w:val="center"/>
              <w:rPr>
                <w:rFonts w:eastAsia="Times New Roman"/>
                <w:bCs/>
                <w:sz w:val="20"/>
                <w:szCs w:val="20"/>
                <w:lang w:val="en-US" w:eastAsia="pt-BR"/>
              </w:rPr>
            </w:pPr>
            <w:r w:rsidRPr="00704916">
              <w:rPr>
                <w:rFonts w:eastAsia="Times New Roman"/>
                <w:bCs/>
                <w:sz w:val="20"/>
                <w:szCs w:val="20"/>
                <w:lang w:val="en-US" w:eastAsia="pt-BR"/>
              </w:rPr>
              <w:t>Mean</w:t>
            </w:r>
          </w:p>
        </w:tc>
        <w:tc>
          <w:tcPr>
            <w:tcW w:w="529" w:type="pct"/>
            <w:tcBorders>
              <w:top w:val="single" w:sz="4" w:space="0" w:color="auto"/>
              <w:left w:val="nil"/>
              <w:bottom w:val="single" w:sz="4" w:space="0" w:color="auto"/>
              <w:right w:val="nil"/>
            </w:tcBorders>
            <w:shd w:val="clear" w:color="auto" w:fill="auto"/>
            <w:noWrap/>
            <w:vAlign w:val="bottom"/>
            <w:hideMark/>
          </w:tcPr>
          <w:p w14:paraId="63B8EE26" w14:textId="77777777" w:rsidR="00B064C6" w:rsidRPr="00704916" w:rsidRDefault="00B064C6" w:rsidP="006631AF">
            <w:pPr>
              <w:jc w:val="center"/>
              <w:rPr>
                <w:rFonts w:eastAsia="Times New Roman"/>
                <w:bCs/>
                <w:sz w:val="20"/>
                <w:szCs w:val="20"/>
                <w:lang w:val="en-US" w:eastAsia="pt-BR"/>
              </w:rPr>
            </w:pPr>
            <w:r w:rsidRPr="00704916">
              <w:rPr>
                <w:rFonts w:eastAsia="Times New Roman"/>
                <w:bCs/>
                <w:sz w:val="20"/>
                <w:szCs w:val="20"/>
                <w:lang w:val="en-US" w:eastAsia="pt-BR"/>
              </w:rPr>
              <w:t>Std. Dev</w:t>
            </w:r>
          </w:p>
        </w:tc>
        <w:tc>
          <w:tcPr>
            <w:tcW w:w="530" w:type="pct"/>
            <w:tcBorders>
              <w:top w:val="single" w:sz="4" w:space="0" w:color="auto"/>
              <w:left w:val="nil"/>
              <w:bottom w:val="single" w:sz="4" w:space="0" w:color="auto"/>
              <w:right w:val="nil"/>
            </w:tcBorders>
            <w:shd w:val="clear" w:color="auto" w:fill="auto"/>
            <w:noWrap/>
            <w:vAlign w:val="bottom"/>
            <w:hideMark/>
          </w:tcPr>
          <w:p w14:paraId="48950278" w14:textId="77777777" w:rsidR="00B064C6" w:rsidRPr="00704916" w:rsidRDefault="00B064C6" w:rsidP="006631AF">
            <w:pPr>
              <w:jc w:val="center"/>
              <w:rPr>
                <w:rFonts w:eastAsia="Times New Roman"/>
                <w:bCs/>
                <w:sz w:val="20"/>
                <w:szCs w:val="20"/>
                <w:lang w:val="en-US" w:eastAsia="pt-BR"/>
              </w:rPr>
            </w:pPr>
            <w:r w:rsidRPr="00704916">
              <w:rPr>
                <w:rFonts w:eastAsia="Times New Roman"/>
                <w:bCs/>
                <w:sz w:val="20"/>
                <w:szCs w:val="20"/>
                <w:lang w:val="en-US" w:eastAsia="pt-BR"/>
              </w:rPr>
              <w:t>Mean</w:t>
            </w:r>
          </w:p>
        </w:tc>
        <w:tc>
          <w:tcPr>
            <w:tcW w:w="529" w:type="pct"/>
            <w:tcBorders>
              <w:top w:val="single" w:sz="4" w:space="0" w:color="auto"/>
              <w:left w:val="nil"/>
              <w:bottom w:val="single" w:sz="4" w:space="0" w:color="auto"/>
              <w:right w:val="nil"/>
            </w:tcBorders>
            <w:shd w:val="clear" w:color="auto" w:fill="auto"/>
            <w:noWrap/>
            <w:vAlign w:val="bottom"/>
            <w:hideMark/>
          </w:tcPr>
          <w:p w14:paraId="178C8732" w14:textId="77777777" w:rsidR="00B064C6" w:rsidRPr="00704916" w:rsidRDefault="00B064C6" w:rsidP="006631AF">
            <w:pPr>
              <w:jc w:val="center"/>
              <w:rPr>
                <w:rFonts w:eastAsia="Times New Roman"/>
                <w:bCs/>
                <w:sz w:val="20"/>
                <w:szCs w:val="20"/>
                <w:lang w:val="en-US" w:eastAsia="pt-BR"/>
              </w:rPr>
            </w:pPr>
            <w:r w:rsidRPr="00704916">
              <w:rPr>
                <w:rFonts w:eastAsia="Times New Roman"/>
                <w:bCs/>
                <w:sz w:val="20"/>
                <w:szCs w:val="20"/>
                <w:lang w:val="en-US" w:eastAsia="pt-BR"/>
              </w:rPr>
              <w:t>Std. Dev</w:t>
            </w:r>
          </w:p>
        </w:tc>
      </w:tr>
      <w:tr w:rsidR="00B064C6" w:rsidRPr="00DE0337" w14:paraId="211441DE" w14:textId="77777777" w:rsidTr="009B09FF">
        <w:trPr>
          <w:trHeight w:val="414"/>
        </w:trPr>
        <w:tc>
          <w:tcPr>
            <w:tcW w:w="915" w:type="pct"/>
            <w:tcBorders>
              <w:top w:val="single" w:sz="4" w:space="0" w:color="auto"/>
              <w:left w:val="nil"/>
              <w:bottom w:val="single" w:sz="4" w:space="0" w:color="auto"/>
              <w:right w:val="nil"/>
            </w:tcBorders>
            <w:shd w:val="clear" w:color="auto" w:fill="auto"/>
            <w:noWrap/>
            <w:vAlign w:val="bottom"/>
            <w:hideMark/>
          </w:tcPr>
          <w:p w14:paraId="65A59E0D" w14:textId="77777777" w:rsidR="00B064C6" w:rsidRPr="00704916" w:rsidRDefault="00B064C6" w:rsidP="006631AF">
            <w:pPr>
              <w:rPr>
                <w:rFonts w:eastAsia="Times New Roman"/>
                <w:bCs/>
                <w:sz w:val="20"/>
                <w:szCs w:val="20"/>
                <w:lang w:val="en-US" w:eastAsia="pt-BR"/>
              </w:rPr>
            </w:pPr>
            <w:r w:rsidRPr="00704916">
              <w:rPr>
                <w:rFonts w:eastAsia="Times New Roman"/>
                <w:bCs/>
                <w:sz w:val="20"/>
                <w:szCs w:val="20"/>
                <w:lang w:val="en-US" w:eastAsia="pt-BR"/>
              </w:rPr>
              <w:t>Corporate</w:t>
            </w:r>
          </w:p>
        </w:tc>
        <w:tc>
          <w:tcPr>
            <w:tcW w:w="454" w:type="pct"/>
            <w:tcBorders>
              <w:top w:val="nil"/>
              <w:left w:val="nil"/>
              <w:bottom w:val="single" w:sz="4" w:space="0" w:color="auto"/>
              <w:right w:val="nil"/>
            </w:tcBorders>
            <w:shd w:val="clear" w:color="auto" w:fill="auto"/>
            <w:noWrap/>
            <w:vAlign w:val="bottom"/>
          </w:tcPr>
          <w:p w14:paraId="1DAD4A77"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8,141</w:t>
            </w:r>
          </w:p>
        </w:tc>
        <w:tc>
          <w:tcPr>
            <w:tcW w:w="378" w:type="pct"/>
            <w:tcBorders>
              <w:top w:val="nil"/>
              <w:left w:val="nil"/>
              <w:bottom w:val="single" w:sz="4" w:space="0" w:color="auto"/>
              <w:right w:val="nil"/>
            </w:tcBorders>
            <w:shd w:val="clear" w:color="auto" w:fill="auto"/>
            <w:noWrap/>
            <w:vAlign w:val="bottom"/>
          </w:tcPr>
          <w:p w14:paraId="1C0E86BB"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39.6</w:t>
            </w:r>
          </w:p>
        </w:tc>
        <w:tc>
          <w:tcPr>
            <w:tcW w:w="529" w:type="pct"/>
            <w:tcBorders>
              <w:top w:val="nil"/>
              <w:left w:val="nil"/>
              <w:bottom w:val="single" w:sz="4" w:space="0" w:color="auto"/>
              <w:right w:val="nil"/>
            </w:tcBorders>
            <w:shd w:val="clear" w:color="auto" w:fill="auto"/>
            <w:noWrap/>
            <w:vAlign w:val="bottom"/>
            <w:hideMark/>
          </w:tcPr>
          <w:p w14:paraId="7453830E"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53.34</w:t>
            </w:r>
          </w:p>
        </w:tc>
        <w:tc>
          <w:tcPr>
            <w:tcW w:w="529" w:type="pct"/>
            <w:tcBorders>
              <w:top w:val="nil"/>
              <w:left w:val="nil"/>
              <w:bottom w:val="single" w:sz="4" w:space="0" w:color="auto"/>
              <w:right w:val="nil"/>
            </w:tcBorders>
            <w:shd w:val="clear" w:color="auto" w:fill="auto"/>
            <w:noWrap/>
            <w:vAlign w:val="bottom"/>
            <w:hideMark/>
          </w:tcPr>
          <w:p w14:paraId="42D7A918"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36.71</w:t>
            </w:r>
          </w:p>
        </w:tc>
        <w:tc>
          <w:tcPr>
            <w:tcW w:w="605" w:type="pct"/>
            <w:tcBorders>
              <w:top w:val="nil"/>
              <w:left w:val="nil"/>
              <w:bottom w:val="single" w:sz="4" w:space="0" w:color="auto"/>
              <w:right w:val="nil"/>
            </w:tcBorders>
            <w:shd w:val="clear" w:color="auto" w:fill="auto"/>
            <w:noWrap/>
            <w:vAlign w:val="bottom"/>
          </w:tcPr>
          <w:p w14:paraId="667EE50B"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7,935.56</w:t>
            </w:r>
          </w:p>
        </w:tc>
        <w:tc>
          <w:tcPr>
            <w:tcW w:w="529" w:type="pct"/>
            <w:tcBorders>
              <w:top w:val="nil"/>
              <w:left w:val="nil"/>
              <w:bottom w:val="single" w:sz="4" w:space="0" w:color="auto"/>
              <w:right w:val="nil"/>
            </w:tcBorders>
            <w:shd w:val="clear" w:color="auto" w:fill="auto"/>
            <w:noWrap/>
            <w:vAlign w:val="bottom"/>
          </w:tcPr>
          <w:p w14:paraId="2D25C358"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7,985.78</w:t>
            </w:r>
          </w:p>
        </w:tc>
        <w:tc>
          <w:tcPr>
            <w:tcW w:w="530" w:type="pct"/>
            <w:tcBorders>
              <w:top w:val="nil"/>
              <w:left w:val="nil"/>
              <w:bottom w:val="single" w:sz="4" w:space="0" w:color="auto"/>
              <w:right w:val="nil"/>
            </w:tcBorders>
            <w:shd w:val="clear" w:color="auto" w:fill="auto"/>
            <w:noWrap/>
            <w:vAlign w:val="bottom"/>
          </w:tcPr>
          <w:p w14:paraId="1CC3D379"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22.66</w:t>
            </w:r>
          </w:p>
        </w:tc>
        <w:tc>
          <w:tcPr>
            <w:tcW w:w="529" w:type="pct"/>
            <w:tcBorders>
              <w:top w:val="nil"/>
              <w:left w:val="nil"/>
              <w:bottom w:val="single" w:sz="4" w:space="0" w:color="auto"/>
              <w:right w:val="nil"/>
            </w:tcBorders>
            <w:shd w:val="clear" w:color="auto" w:fill="auto"/>
            <w:noWrap/>
            <w:vAlign w:val="bottom"/>
          </w:tcPr>
          <w:p w14:paraId="1F948DE5"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17.84</w:t>
            </w:r>
          </w:p>
        </w:tc>
      </w:tr>
      <w:tr w:rsidR="00B064C6" w:rsidRPr="00DE0337" w14:paraId="12403F31" w14:textId="77777777" w:rsidTr="009B09FF">
        <w:trPr>
          <w:trHeight w:val="420"/>
        </w:trPr>
        <w:tc>
          <w:tcPr>
            <w:tcW w:w="915" w:type="pct"/>
            <w:tcBorders>
              <w:top w:val="nil"/>
              <w:left w:val="nil"/>
              <w:bottom w:val="nil"/>
              <w:right w:val="nil"/>
            </w:tcBorders>
            <w:shd w:val="clear" w:color="auto" w:fill="auto"/>
            <w:noWrap/>
            <w:vAlign w:val="bottom"/>
            <w:hideMark/>
          </w:tcPr>
          <w:p w14:paraId="212F938E" w14:textId="77777777" w:rsidR="00B064C6" w:rsidRPr="00704916" w:rsidRDefault="00B064C6" w:rsidP="006631AF">
            <w:pPr>
              <w:ind w:firstLineChars="100" w:firstLine="200"/>
              <w:rPr>
                <w:rFonts w:eastAsia="Times New Roman"/>
                <w:sz w:val="20"/>
                <w:szCs w:val="20"/>
                <w:lang w:val="en-US" w:eastAsia="pt-BR"/>
              </w:rPr>
            </w:pPr>
            <w:r w:rsidRPr="00704916">
              <w:rPr>
                <w:rFonts w:eastAsia="Times New Roman"/>
                <w:sz w:val="20"/>
                <w:szCs w:val="20"/>
                <w:lang w:val="en-US" w:eastAsia="pt-BR"/>
              </w:rPr>
              <w:t>AAA</w:t>
            </w:r>
          </w:p>
        </w:tc>
        <w:tc>
          <w:tcPr>
            <w:tcW w:w="454" w:type="pct"/>
            <w:tcBorders>
              <w:top w:val="nil"/>
              <w:left w:val="nil"/>
              <w:bottom w:val="nil"/>
              <w:right w:val="nil"/>
            </w:tcBorders>
            <w:shd w:val="clear" w:color="auto" w:fill="auto"/>
            <w:noWrap/>
            <w:vAlign w:val="bottom"/>
          </w:tcPr>
          <w:p w14:paraId="393C6103"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161</w:t>
            </w:r>
          </w:p>
        </w:tc>
        <w:tc>
          <w:tcPr>
            <w:tcW w:w="378" w:type="pct"/>
            <w:tcBorders>
              <w:top w:val="nil"/>
              <w:left w:val="nil"/>
              <w:bottom w:val="nil"/>
              <w:right w:val="nil"/>
            </w:tcBorders>
            <w:shd w:val="clear" w:color="auto" w:fill="auto"/>
            <w:noWrap/>
            <w:vAlign w:val="bottom"/>
          </w:tcPr>
          <w:p w14:paraId="5C62934B"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0.8</w:t>
            </w:r>
          </w:p>
        </w:tc>
        <w:tc>
          <w:tcPr>
            <w:tcW w:w="529" w:type="pct"/>
            <w:tcBorders>
              <w:top w:val="nil"/>
              <w:left w:val="nil"/>
              <w:bottom w:val="nil"/>
              <w:right w:val="nil"/>
            </w:tcBorders>
            <w:shd w:val="clear" w:color="auto" w:fill="auto"/>
            <w:noWrap/>
            <w:vAlign w:val="bottom"/>
            <w:hideMark/>
          </w:tcPr>
          <w:p w14:paraId="4CB990F7"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114.80</w:t>
            </w:r>
          </w:p>
        </w:tc>
        <w:tc>
          <w:tcPr>
            <w:tcW w:w="529" w:type="pct"/>
            <w:tcBorders>
              <w:top w:val="nil"/>
              <w:left w:val="nil"/>
              <w:bottom w:val="nil"/>
              <w:right w:val="nil"/>
            </w:tcBorders>
            <w:shd w:val="clear" w:color="auto" w:fill="auto"/>
            <w:noWrap/>
            <w:vAlign w:val="bottom"/>
            <w:hideMark/>
          </w:tcPr>
          <w:p w14:paraId="05FB4314"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42.23</w:t>
            </w:r>
          </w:p>
        </w:tc>
        <w:tc>
          <w:tcPr>
            <w:tcW w:w="605" w:type="pct"/>
            <w:tcBorders>
              <w:top w:val="nil"/>
              <w:left w:val="nil"/>
              <w:bottom w:val="nil"/>
              <w:right w:val="nil"/>
            </w:tcBorders>
            <w:shd w:val="clear" w:color="auto" w:fill="auto"/>
            <w:noWrap/>
            <w:vAlign w:val="bottom"/>
          </w:tcPr>
          <w:p w14:paraId="13490699"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36,973.82</w:t>
            </w:r>
          </w:p>
        </w:tc>
        <w:tc>
          <w:tcPr>
            <w:tcW w:w="529" w:type="pct"/>
            <w:tcBorders>
              <w:top w:val="nil"/>
              <w:left w:val="nil"/>
              <w:bottom w:val="nil"/>
              <w:right w:val="nil"/>
            </w:tcBorders>
            <w:shd w:val="clear" w:color="auto" w:fill="auto"/>
            <w:noWrap/>
            <w:vAlign w:val="bottom"/>
          </w:tcPr>
          <w:p w14:paraId="738ED520"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13,629.25</w:t>
            </w:r>
          </w:p>
        </w:tc>
        <w:tc>
          <w:tcPr>
            <w:tcW w:w="530" w:type="pct"/>
            <w:tcBorders>
              <w:top w:val="nil"/>
              <w:left w:val="nil"/>
              <w:bottom w:val="nil"/>
              <w:right w:val="nil"/>
            </w:tcBorders>
            <w:shd w:val="clear" w:color="auto" w:fill="auto"/>
            <w:noWrap/>
            <w:vAlign w:val="bottom"/>
          </w:tcPr>
          <w:p w14:paraId="499319A5"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3.34</w:t>
            </w:r>
          </w:p>
        </w:tc>
        <w:tc>
          <w:tcPr>
            <w:tcW w:w="529" w:type="pct"/>
            <w:tcBorders>
              <w:top w:val="nil"/>
              <w:left w:val="nil"/>
              <w:bottom w:val="nil"/>
              <w:right w:val="nil"/>
            </w:tcBorders>
            <w:shd w:val="clear" w:color="auto" w:fill="auto"/>
            <w:noWrap/>
            <w:vAlign w:val="bottom"/>
          </w:tcPr>
          <w:p w14:paraId="2B4BB3DF"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3.45</w:t>
            </w:r>
          </w:p>
        </w:tc>
      </w:tr>
      <w:tr w:rsidR="00B064C6" w:rsidRPr="00DE0337" w14:paraId="70591906" w14:textId="77777777" w:rsidTr="009B09FF">
        <w:trPr>
          <w:trHeight w:val="422"/>
        </w:trPr>
        <w:tc>
          <w:tcPr>
            <w:tcW w:w="915" w:type="pct"/>
            <w:tcBorders>
              <w:top w:val="nil"/>
              <w:left w:val="nil"/>
              <w:bottom w:val="nil"/>
              <w:right w:val="nil"/>
            </w:tcBorders>
            <w:shd w:val="clear" w:color="auto" w:fill="auto"/>
            <w:noWrap/>
            <w:vAlign w:val="bottom"/>
            <w:hideMark/>
          </w:tcPr>
          <w:p w14:paraId="45C4F1B9" w14:textId="77777777" w:rsidR="00B064C6" w:rsidRPr="00704916" w:rsidRDefault="00B064C6" w:rsidP="006631AF">
            <w:pPr>
              <w:ind w:firstLineChars="100" w:firstLine="200"/>
              <w:rPr>
                <w:rFonts w:eastAsia="Times New Roman"/>
                <w:sz w:val="20"/>
                <w:szCs w:val="20"/>
                <w:lang w:val="en-US" w:eastAsia="pt-BR"/>
              </w:rPr>
            </w:pPr>
            <w:r w:rsidRPr="00704916">
              <w:rPr>
                <w:rFonts w:eastAsia="Times New Roman"/>
                <w:sz w:val="20"/>
                <w:szCs w:val="20"/>
                <w:lang w:val="en-US" w:eastAsia="pt-BR"/>
              </w:rPr>
              <w:t>AA</w:t>
            </w:r>
          </w:p>
        </w:tc>
        <w:tc>
          <w:tcPr>
            <w:tcW w:w="454" w:type="pct"/>
            <w:tcBorders>
              <w:top w:val="nil"/>
              <w:left w:val="nil"/>
              <w:bottom w:val="nil"/>
              <w:right w:val="nil"/>
            </w:tcBorders>
            <w:shd w:val="clear" w:color="auto" w:fill="auto"/>
            <w:noWrap/>
            <w:vAlign w:val="bottom"/>
          </w:tcPr>
          <w:p w14:paraId="2F7A2584"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301</w:t>
            </w:r>
          </w:p>
        </w:tc>
        <w:tc>
          <w:tcPr>
            <w:tcW w:w="378" w:type="pct"/>
            <w:tcBorders>
              <w:top w:val="nil"/>
              <w:left w:val="nil"/>
              <w:bottom w:val="nil"/>
              <w:right w:val="nil"/>
            </w:tcBorders>
            <w:shd w:val="clear" w:color="auto" w:fill="auto"/>
            <w:noWrap/>
            <w:vAlign w:val="bottom"/>
          </w:tcPr>
          <w:p w14:paraId="7BFE1496"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1.5</w:t>
            </w:r>
          </w:p>
        </w:tc>
        <w:tc>
          <w:tcPr>
            <w:tcW w:w="529" w:type="pct"/>
            <w:tcBorders>
              <w:top w:val="nil"/>
              <w:left w:val="nil"/>
              <w:bottom w:val="nil"/>
              <w:right w:val="nil"/>
            </w:tcBorders>
            <w:shd w:val="clear" w:color="auto" w:fill="auto"/>
            <w:noWrap/>
            <w:vAlign w:val="bottom"/>
            <w:hideMark/>
          </w:tcPr>
          <w:p w14:paraId="5D68C450"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106.95</w:t>
            </w:r>
          </w:p>
        </w:tc>
        <w:tc>
          <w:tcPr>
            <w:tcW w:w="529" w:type="pct"/>
            <w:tcBorders>
              <w:top w:val="nil"/>
              <w:left w:val="nil"/>
              <w:bottom w:val="nil"/>
              <w:right w:val="nil"/>
            </w:tcBorders>
            <w:shd w:val="clear" w:color="auto" w:fill="auto"/>
            <w:noWrap/>
            <w:vAlign w:val="bottom"/>
            <w:hideMark/>
          </w:tcPr>
          <w:p w14:paraId="17401ACA"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47.04</w:t>
            </w:r>
          </w:p>
        </w:tc>
        <w:tc>
          <w:tcPr>
            <w:tcW w:w="605" w:type="pct"/>
            <w:tcBorders>
              <w:top w:val="nil"/>
              <w:left w:val="nil"/>
              <w:bottom w:val="nil"/>
              <w:right w:val="nil"/>
            </w:tcBorders>
            <w:shd w:val="clear" w:color="auto" w:fill="auto"/>
            <w:noWrap/>
            <w:vAlign w:val="bottom"/>
          </w:tcPr>
          <w:p w14:paraId="1150762D"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19,952.01</w:t>
            </w:r>
          </w:p>
        </w:tc>
        <w:tc>
          <w:tcPr>
            <w:tcW w:w="529" w:type="pct"/>
            <w:tcBorders>
              <w:top w:val="nil"/>
              <w:left w:val="nil"/>
              <w:bottom w:val="nil"/>
              <w:right w:val="nil"/>
            </w:tcBorders>
            <w:shd w:val="clear" w:color="auto" w:fill="auto"/>
            <w:noWrap/>
            <w:vAlign w:val="bottom"/>
          </w:tcPr>
          <w:p w14:paraId="56D25810"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5,957.87</w:t>
            </w:r>
          </w:p>
        </w:tc>
        <w:tc>
          <w:tcPr>
            <w:tcW w:w="530" w:type="pct"/>
            <w:tcBorders>
              <w:top w:val="nil"/>
              <w:left w:val="nil"/>
              <w:bottom w:val="nil"/>
              <w:right w:val="nil"/>
            </w:tcBorders>
            <w:shd w:val="clear" w:color="auto" w:fill="auto"/>
            <w:noWrap/>
            <w:vAlign w:val="bottom"/>
          </w:tcPr>
          <w:p w14:paraId="5E895519"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6.19</w:t>
            </w:r>
          </w:p>
        </w:tc>
        <w:tc>
          <w:tcPr>
            <w:tcW w:w="529" w:type="pct"/>
            <w:tcBorders>
              <w:top w:val="nil"/>
              <w:left w:val="nil"/>
              <w:bottom w:val="nil"/>
              <w:right w:val="nil"/>
            </w:tcBorders>
            <w:shd w:val="clear" w:color="auto" w:fill="auto"/>
            <w:noWrap/>
            <w:vAlign w:val="bottom"/>
          </w:tcPr>
          <w:p w14:paraId="55928084"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4.84</w:t>
            </w:r>
          </w:p>
        </w:tc>
      </w:tr>
      <w:tr w:rsidR="00B064C6" w:rsidRPr="00DE0337" w14:paraId="67B5F01F" w14:textId="77777777" w:rsidTr="009B09FF">
        <w:trPr>
          <w:trHeight w:val="414"/>
        </w:trPr>
        <w:tc>
          <w:tcPr>
            <w:tcW w:w="915" w:type="pct"/>
            <w:tcBorders>
              <w:top w:val="nil"/>
              <w:left w:val="nil"/>
              <w:bottom w:val="nil"/>
              <w:right w:val="nil"/>
            </w:tcBorders>
            <w:shd w:val="clear" w:color="auto" w:fill="auto"/>
            <w:noWrap/>
            <w:vAlign w:val="bottom"/>
            <w:hideMark/>
          </w:tcPr>
          <w:p w14:paraId="2521E98D" w14:textId="77777777" w:rsidR="00B064C6" w:rsidRPr="00704916" w:rsidRDefault="00B064C6" w:rsidP="006631AF">
            <w:pPr>
              <w:ind w:firstLineChars="100" w:firstLine="200"/>
              <w:rPr>
                <w:rFonts w:eastAsia="Times New Roman"/>
                <w:sz w:val="20"/>
                <w:szCs w:val="20"/>
                <w:lang w:val="en-US" w:eastAsia="pt-BR"/>
              </w:rPr>
            </w:pPr>
            <w:r w:rsidRPr="00704916">
              <w:rPr>
                <w:rFonts w:eastAsia="Times New Roman"/>
                <w:sz w:val="20"/>
                <w:szCs w:val="20"/>
                <w:lang w:val="en-US" w:eastAsia="pt-BR"/>
              </w:rPr>
              <w:t>A</w:t>
            </w:r>
          </w:p>
        </w:tc>
        <w:tc>
          <w:tcPr>
            <w:tcW w:w="454" w:type="pct"/>
            <w:tcBorders>
              <w:top w:val="nil"/>
              <w:left w:val="nil"/>
              <w:bottom w:val="nil"/>
              <w:right w:val="nil"/>
            </w:tcBorders>
            <w:shd w:val="clear" w:color="auto" w:fill="auto"/>
            <w:noWrap/>
            <w:vAlign w:val="bottom"/>
          </w:tcPr>
          <w:p w14:paraId="21098F21"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1,367</w:t>
            </w:r>
          </w:p>
        </w:tc>
        <w:tc>
          <w:tcPr>
            <w:tcW w:w="378" w:type="pct"/>
            <w:tcBorders>
              <w:top w:val="nil"/>
              <w:left w:val="nil"/>
              <w:bottom w:val="nil"/>
              <w:right w:val="nil"/>
            </w:tcBorders>
            <w:shd w:val="clear" w:color="auto" w:fill="auto"/>
            <w:noWrap/>
            <w:vAlign w:val="bottom"/>
          </w:tcPr>
          <w:p w14:paraId="06C4B4B7"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6.6</w:t>
            </w:r>
          </w:p>
        </w:tc>
        <w:tc>
          <w:tcPr>
            <w:tcW w:w="529" w:type="pct"/>
            <w:tcBorders>
              <w:top w:val="nil"/>
              <w:left w:val="nil"/>
              <w:bottom w:val="nil"/>
              <w:right w:val="nil"/>
            </w:tcBorders>
            <w:shd w:val="clear" w:color="auto" w:fill="auto"/>
            <w:noWrap/>
            <w:vAlign w:val="bottom"/>
            <w:hideMark/>
          </w:tcPr>
          <w:p w14:paraId="43558E26"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79.29</w:t>
            </w:r>
          </w:p>
        </w:tc>
        <w:tc>
          <w:tcPr>
            <w:tcW w:w="529" w:type="pct"/>
            <w:tcBorders>
              <w:top w:val="nil"/>
              <w:left w:val="nil"/>
              <w:bottom w:val="nil"/>
              <w:right w:val="nil"/>
            </w:tcBorders>
            <w:shd w:val="clear" w:color="auto" w:fill="auto"/>
            <w:noWrap/>
            <w:vAlign w:val="bottom"/>
            <w:hideMark/>
          </w:tcPr>
          <w:p w14:paraId="443B0E16"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35.68</w:t>
            </w:r>
          </w:p>
        </w:tc>
        <w:tc>
          <w:tcPr>
            <w:tcW w:w="605" w:type="pct"/>
            <w:tcBorders>
              <w:top w:val="nil"/>
              <w:left w:val="nil"/>
              <w:bottom w:val="nil"/>
              <w:right w:val="nil"/>
            </w:tcBorders>
            <w:shd w:val="clear" w:color="auto" w:fill="auto"/>
            <w:noWrap/>
            <w:vAlign w:val="bottom"/>
          </w:tcPr>
          <w:p w14:paraId="28984A5E"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11,480.33</w:t>
            </w:r>
          </w:p>
        </w:tc>
        <w:tc>
          <w:tcPr>
            <w:tcW w:w="529" w:type="pct"/>
            <w:tcBorders>
              <w:top w:val="nil"/>
              <w:left w:val="nil"/>
              <w:bottom w:val="nil"/>
              <w:right w:val="nil"/>
            </w:tcBorders>
            <w:shd w:val="clear" w:color="auto" w:fill="auto"/>
            <w:noWrap/>
            <w:vAlign w:val="bottom"/>
          </w:tcPr>
          <w:p w14:paraId="7569D2F5"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6,295.23</w:t>
            </w:r>
          </w:p>
        </w:tc>
        <w:tc>
          <w:tcPr>
            <w:tcW w:w="530" w:type="pct"/>
            <w:tcBorders>
              <w:top w:val="nil"/>
              <w:left w:val="nil"/>
              <w:bottom w:val="nil"/>
              <w:right w:val="nil"/>
            </w:tcBorders>
            <w:shd w:val="clear" w:color="auto" w:fill="auto"/>
            <w:noWrap/>
            <w:vAlign w:val="bottom"/>
          </w:tcPr>
          <w:p w14:paraId="77CF06E6"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7.68</w:t>
            </w:r>
          </w:p>
        </w:tc>
        <w:tc>
          <w:tcPr>
            <w:tcW w:w="529" w:type="pct"/>
            <w:tcBorders>
              <w:top w:val="nil"/>
              <w:left w:val="nil"/>
              <w:bottom w:val="nil"/>
              <w:right w:val="nil"/>
            </w:tcBorders>
            <w:shd w:val="clear" w:color="auto" w:fill="auto"/>
            <w:noWrap/>
            <w:vAlign w:val="bottom"/>
          </w:tcPr>
          <w:p w14:paraId="5C48962C"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6.01</w:t>
            </w:r>
          </w:p>
        </w:tc>
      </w:tr>
      <w:tr w:rsidR="00B064C6" w:rsidRPr="00DE0337" w14:paraId="6FFD558D" w14:textId="77777777" w:rsidTr="009B09FF">
        <w:trPr>
          <w:trHeight w:val="433"/>
        </w:trPr>
        <w:tc>
          <w:tcPr>
            <w:tcW w:w="915" w:type="pct"/>
            <w:tcBorders>
              <w:top w:val="nil"/>
              <w:left w:val="nil"/>
              <w:bottom w:val="nil"/>
              <w:right w:val="nil"/>
            </w:tcBorders>
            <w:shd w:val="clear" w:color="auto" w:fill="auto"/>
            <w:noWrap/>
            <w:vAlign w:val="bottom"/>
            <w:hideMark/>
          </w:tcPr>
          <w:p w14:paraId="49C9C2CE" w14:textId="77777777" w:rsidR="00B064C6" w:rsidRPr="00704916" w:rsidRDefault="00B064C6" w:rsidP="006631AF">
            <w:pPr>
              <w:ind w:firstLineChars="100" w:firstLine="200"/>
              <w:rPr>
                <w:rFonts w:eastAsia="Times New Roman"/>
                <w:sz w:val="20"/>
                <w:szCs w:val="20"/>
                <w:lang w:val="en-US" w:eastAsia="pt-BR"/>
              </w:rPr>
            </w:pPr>
            <w:r w:rsidRPr="00704916">
              <w:rPr>
                <w:rFonts w:eastAsia="Times New Roman"/>
                <w:sz w:val="20"/>
                <w:szCs w:val="20"/>
                <w:lang w:val="en-US" w:eastAsia="pt-BR"/>
              </w:rPr>
              <w:t>BB</w:t>
            </w:r>
          </w:p>
        </w:tc>
        <w:tc>
          <w:tcPr>
            <w:tcW w:w="454" w:type="pct"/>
            <w:tcBorders>
              <w:top w:val="nil"/>
              <w:left w:val="nil"/>
              <w:bottom w:val="nil"/>
              <w:right w:val="nil"/>
            </w:tcBorders>
            <w:shd w:val="clear" w:color="auto" w:fill="auto"/>
            <w:noWrap/>
            <w:vAlign w:val="bottom"/>
          </w:tcPr>
          <w:p w14:paraId="5C43481A"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1,142</w:t>
            </w:r>
          </w:p>
        </w:tc>
        <w:tc>
          <w:tcPr>
            <w:tcW w:w="378" w:type="pct"/>
            <w:tcBorders>
              <w:top w:val="nil"/>
              <w:left w:val="nil"/>
              <w:bottom w:val="nil"/>
              <w:right w:val="nil"/>
            </w:tcBorders>
            <w:shd w:val="clear" w:color="auto" w:fill="auto"/>
            <w:noWrap/>
            <w:vAlign w:val="bottom"/>
          </w:tcPr>
          <w:p w14:paraId="1C320389"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5.6</w:t>
            </w:r>
          </w:p>
        </w:tc>
        <w:tc>
          <w:tcPr>
            <w:tcW w:w="529" w:type="pct"/>
            <w:tcBorders>
              <w:top w:val="nil"/>
              <w:left w:val="nil"/>
              <w:bottom w:val="nil"/>
              <w:right w:val="nil"/>
            </w:tcBorders>
            <w:shd w:val="clear" w:color="auto" w:fill="auto"/>
            <w:noWrap/>
            <w:vAlign w:val="bottom"/>
            <w:hideMark/>
          </w:tcPr>
          <w:p w14:paraId="45BE5C6F"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49.71</w:t>
            </w:r>
          </w:p>
        </w:tc>
        <w:tc>
          <w:tcPr>
            <w:tcW w:w="529" w:type="pct"/>
            <w:tcBorders>
              <w:top w:val="nil"/>
              <w:left w:val="nil"/>
              <w:bottom w:val="nil"/>
              <w:right w:val="nil"/>
            </w:tcBorders>
            <w:shd w:val="clear" w:color="auto" w:fill="auto"/>
            <w:noWrap/>
            <w:vAlign w:val="bottom"/>
            <w:hideMark/>
          </w:tcPr>
          <w:p w14:paraId="32ECFAF9"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25.88</w:t>
            </w:r>
          </w:p>
        </w:tc>
        <w:tc>
          <w:tcPr>
            <w:tcW w:w="605" w:type="pct"/>
            <w:tcBorders>
              <w:top w:val="nil"/>
              <w:left w:val="nil"/>
              <w:bottom w:val="nil"/>
              <w:right w:val="nil"/>
            </w:tcBorders>
            <w:shd w:val="clear" w:color="auto" w:fill="auto"/>
            <w:noWrap/>
            <w:vAlign w:val="bottom"/>
          </w:tcPr>
          <w:p w14:paraId="4864E478"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11.853.95</w:t>
            </w:r>
          </w:p>
        </w:tc>
        <w:tc>
          <w:tcPr>
            <w:tcW w:w="529" w:type="pct"/>
            <w:tcBorders>
              <w:top w:val="nil"/>
              <w:left w:val="nil"/>
              <w:bottom w:val="nil"/>
              <w:right w:val="nil"/>
            </w:tcBorders>
            <w:shd w:val="clear" w:color="auto" w:fill="auto"/>
            <w:noWrap/>
            <w:vAlign w:val="bottom"/>
          </w:tcPr>
          <w:p w14:paraId="619DAA68"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7,225.21</w:t>
            </w:r>
          </w:p>
        </w:tc>
        <w:tc>
          <w:tcPr>
            <w:tcW w:w="530" w:type="pct"/>
            <w:tcBorders>
              <w:top w:val="nil"/>
              <w:left w:val="nil"/>
              <w:bottom w:val="nil"/>
              <w:right w:val="nil"/>
            </w:tcBorders>
            <w:shd w:val="clear" w:color="auto" w:fill="auto"/>
            <w:noWrap/>
            <w:vAlign w:val="bottom"/>
          </w:tcPr>
          <w:p w14:paraId="789F3750"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25.86</w:t>
            </w:r>
          </w:p>
        </w:tc>
        <w:tc>
          <w:tcPr>
            <w:tcW w:w="529" w:type="pct"/>
            <w:tcBorders>
              <w:top w:val="nil"/>
              <w:left w:val="nil"/>
              <w:bottom w:val="nil"/>
              <w:right w:val="nil"/>
            </w:tcBorders>
            <w:shd w:val="clear" w:color="auto" w:fill="auto"/>
            <w:noWrap/>
            <w:vAlign w:val="bottom"/>
          </w:tcPr>
          <w:p w14:paraId="0F19E89C"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8.34</w:t>
            </w:r>
          </w:p>
        </w:tc>
      </w:tr>
      <w:tr w:rsidR="00B064C6" w:rsidRPr="00DE0337" w14:paraId="61A95B7A" w14:textId="77777777" w:rsidTr="009B09FF">
        <w:trPr>
          <w:trHeight w:val="426"/>
        </w:trPr>
        <w:tc>
          <w:tcPr>
            <w:tcW w:w="915" w:type="pct"/>
            <w:tcBorders>
              <w:top w:val="nil"/>
              <w:left w:val="nil"/>
              <w:bottom w:val="nil"/>
              <w:right w:val="nil"/>
            </w:tcBorders>
            <w:shd w:val="clear" w:color="auto" w:fill="auto"/>
            <w:noWrap/>
            <w:vAlign w:val="bottom"/>
            <w:hideMark/>
          </w:tcPr>
          <w:p w14:paraId="64C7FADB" w14:textId="77777777" w:rsidR="00B064C6" w:rsidRPr="00704916" w:rsidRDefault="00B064C6" w:rsidP="006631AF">
            <w:pPr>
              <w:ind w:firstLineChars="100" w:firstLine="200"/>
              <w:rPr>
                <w:rFonts w:eastAsia="Times New Roman"/>
                <w:sz w:val="20"/>
                <w:szCs w:val="20"/>
                <w:lang w:val="en-US" w:eastAsia="pt-BR"/>
              </w:rPr>
            </w:pPr>
            <w:r w:rsidRPr="00704916">
              <w:rPr>
                <w:rFonts w:eastAsia="Times New Roman"/>
                <w:sz w:val="20"/>
                <w:szCs w:val="20"/>
                <w:lang w:val="en-US" w:eastAsia="pt-BR"/>
              </w:rPr>
              <w:t>B</w:t>
            </w:r>
          </w:p>
        </w:tc>
        <w:tc>
          <w:tcPr>
            <w:tcW w:w="454" w:type="pct"/>
            <w:tcBorders>
              <w:top w:val="nil"/>
              <w:left w:val="nil"/>
              <w:bottom w:val="nil"/>
              <w:right w:val="nil"/>
            </w:tcBorders>
            <w:shd w:val="clear" w:color="auto" w:fill="auto"/>
            <w:noWrap/>
            <w:vAlign w:val="bottom"/>
          </w:tcPr>
          <w:p w14:paraId="66EF8E7B"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2,543</w:t>
            </w:r>
          </w:p>
        </w:tc>
        <w:tc>
          <w:tcPr>
            <w:tcW w:w="378" w:type="pct"/>
            <w:tcBorders>
              <w:top w:val="nil"/>
              <w:left w:val="nil"/>
              <w:bottom w:val="nil"/>
              <w:right w:val="nil"/>
            </w:tcBorders>
            <w:shd w:val="clear" w:color="auto" w:fill="auto"/>
            <w:noWrap/>
            <w:vAlign w:val="bottom"/>
          </w:tcPr>
          <w:p w14:paraId="0F39E63E"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12.4</w:t>
            </w:r>
          </w:p>
        </w:tc>
        <w:tc>
          <w:tcPr>
            <w:tcW w:w="529" w:type="pct"/>
            <w:tcBorders>
              <w:top w:val="nil"/>
              <w:left w:val="nil"/>
              <w:bottom w:val="nil"/>
              <w:right w:val="nil"/>
            </w:tcBorders>
            <w:shd w:val="clear" w:color="auto" w:fill="auto"/>
            <w:noWrap/>
            <w:vAlign w:val="bottom"/>
            <w:hideMark/>
          </w:tcPr>
          <w:p w14:paraId="3B429F08"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52.01</w:t>
            </w:r>
          </w:p>
        </w:tc>
        <w:tc>
          <w:tcPr>
            <w:tcW w:w="529" w:type="pct"/>
            <w:tcBorders>
              <w:top w:val="nil"/>
              <w:left w:val="nil"/>
              <w:bottom w:val="nil"/>
              <w:right w:val="nil"/>
            </w:tcBorders>
            <w:shd w:val="clear" w:color="auto" w:fill="auto"/>
            <w:noWrap/>
            <w:vAlign w:val="bottom"/>
            <w:hideMark/>
          </w:tcPr>
          <w:p w14:paraId="05DBCCD4"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30.48</w:t>
            </w:r>
          </w:p>
        </w:tc>
        <w:tc>
          <w:tcPr>
            <w:tcW w:w="605" w:type="pct"/>
            <w:tcBorders>
              <w:top w:val="nil"/>
              <w:left w:val="nil"/>
              <w:bottom w:val="nil"/>
              <w:right w:val="nil"/>
            </w:tcBorders>
            <w:shd w:val="clear" w:color="auto" w:fill="auto"/>
            <w:noWrap/>
            <w:vAlign w:val="bottom"/>
          </w:tcPr>
          <w:p w14:paraId="5C4D891A"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4,823,65</w:t>
            </w:r>
          </w:p>
        </w:tc>
        <w:tc>
          <w:tcPr>
            <w:tcW w:w="529" w:type="pct"/>
            <w:tcBorders>
              <w:top w:val="nil"/>
              <w:left w:val="nil"/>
              <w:bottom w:val="nil"/>
              <w:right w:val="nil"/>
            </w:tcBorders>
            <w:shd w:val="clear" w:color="auto" w:fill="auto"/>
            <w:noWrap/>
            <w:vAlign w:val="bottom"/>
          </w:tcPr>
          <w:p w14:paraId="25918B1B"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1,668.59</w:t>
            </w:r>
          </w:p>
        </w:tc>
        <w:tc>
          <w:tcPr>
            <w:tcW w:w="530" w:type="pct"/>
            <w:tcBorders>
              <w:top w:val="nil"/>
              <w:left w:val="nil"/>
              <w:bottom w:val="nil"/>
              <w:right w:val="nil"/>
            </w:tcBorders>
            <w:shd w:val="clear" w:color="auto" w:fill="auto"/>
            <w:noWrap/>
            <w:vAlign w:val="bottom"/>
          </w:tcPr>
          <w:p w14:paraId="5B924A6C"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18.23</w:t>
            </w:r>
          </w:p>
        </w:tc>
        <w:tc>
          <w:tcPr>
            <w:tcW w:w="529" w:type="pct"/>
            <w:tcBorders>
              <w:top w:val="nil"/>
              <w:left w:val="nil"/>
              <w:bottom w:val="nil"/>
              <w:right w:val="nil"/>
            </w:tcBorders>
            <w:shd w:val="clear" w:color="auto" w:fill="auto"/>
            <w:noWrap/>
            <w:vAlign w:val="bottom"/>
          </w:tcPr>
          <w:p w14:paraId="163DF33E"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11.35</w:t>
            </w:r>
          </w:p>
        </w:tc>
      </w:tr>
      <w:tr w:rsidR="00B064C6" w:rsidRPr="00DE0337" w14:paraId="7FBBE5AD" w14:textId="77777777" w:rsidTr="009B09FF">
        <w:trPr>
          <w:trHeight w:val="432"/>
        </w:trPr>
        <w:tc>
          <w:tcPr>
            <w:tcW w:w="915" w:type="pct"/>
            <w:tcBorders>
              <w:top w:val="nil"/>
              <w:left w:val="nil"/>
              <w:bottom w:val="nil"/>
              <w:right w:val="nil"/>
            </w:tcBorders>
            <w:shd w:val="clear" w:color="auto" w:fill="auto"/>
            <w:noWrap/>
            <w:vAlign w:val="bottom"/>
            <w:hideMark/>
          </w:tcPr>
          <w:p w14:paraId="39273BE0" w14:textId="77777777" w:rsidR="00B064C6" w:rsidRPr="00704916" w:rsidRDefault="00B064C6" w:rsidP="006631AF">
            <w:pPr>
              <w:ind w:firstLineChars="100" w:firstLine="200"/>
              <w:rPr>
                <w:rFonts w:eastAsia="Times New Roman"/>
                <w:sz w:val="20"/>
                <w:szCs w:val="20"/>
                <w:lang w:val="en-US" w:eastAsia="pt-BR"/>
              </w:rPr>
            </w:pPr>
            <w:r w:rsidRPr="00704916">
              <w:rPr>
                <w:rFonts w:eastAsia="Times New Roman"/>
                <w:sz w:val="20"/>
                <w:szCs w:val="20"/>
                <w:lang w:val="en-US" w:eastAsia="pt-BR"/>
              </w:rPr>
              <w:t>C</w:t>
            </w:r>
          </w:p>
        </w:tc>
        <w:tc>
          <w:tcPr>
            <w:tcW w:w="454" w:type="pct"/>
            <w:tcBorders>
              <w:top w:val="nil"/>
              <w:left w:val="nil"/>
              <w:bottom w:val="nil"/>
              <w:right w:val="nil"/>
            </w:tcBorders>
            <w:shd w:val="clear" w:color="auto" w:fill="auto"/>
            <w:noWrap/>
            <w:vAlign w:val="bottom"/>
          </w:tcPr>
          <w:p w14:paraId="3130D113"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2,628</w:t>
            </w:r>
          </w:p>
        </w:tc>
        <w:tc>
          <w:tcPr>
            <w:tcW w:w="378" w:type="pct"/>
            <w:tcBorders>
              <w:top w:val="nil"/>
              <w:left w:val="nil"/>
              <w:bottom w:val="nil"/>
              <w:right w:val="nil"/>
            </w:tcBorders>
            <w:shd w:val="clear" w:color="auto" w:fill="auto"/>
            <w:noWrap/>
            <w:vAlign w:val="bottom"/>
          </w:tcPr>
          <w:p w14:paraId="38D1916E"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12.8</w:t>
            </w:r>
          </w:p>
        </w:tc>
        <w:tc>
          <w:tcPr>
            <w:tcW w:w="529" w:type="pct"/>
            <w:tcBorders>
              <w:top w:val="nil"/>
              <w:left w:val="nil"/>
              <w:bottom w:val="nil"/>
              <w:right w:val="nil"/>
            </w:tcBorders>
            <w:shd w:val="clear" w:color="auto" w:fill="auto"/>
            <w:noWrap/>
            <w:vAlign w:val="bottom"/>
            <w:hideMark/>
          </w:tcPr>
          <w:p w14:paraId="5AC50665"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32.73</w:t>
            </w:r>
          </w:p>
        </w:tc>
        <w:tc>
          <w:tcPr>
            <w:tcW w:w="529" w:type="pct"/>
            <w:tcBorders>
              <w:top w:val="nil"/>
              <w:left w:val="nil"/>
              <w:bottom w:val="nil"/>
              <w:right w:val="nil"/>
            </w:tcBorders>
            <w:shd w:val="clear" w:color="auto" w:fill="auto"/>
            <w:noWrap/>
            <w:vAlign w:val="bottom"/>
            <w:hideMark/>
          </w:tcPr>
          <w:p w14:paraId="53933DF0"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24.79</w:t>
            </w:r>
          </w:p>
        </w:tc>
        <w:tc>
          <w:tcPr>
            <w:tcW w:w="605" w:type="pct"/>
            <w:tcBorders>
              <w:top w:val="nil"/>
              <w:left w:val="nil"/>
              <w:bottom w:val="nil"/>
              <w:right w:val="nil"/>
            </w:tcBorders>
            <w:shd w:val="clear" w:color="auto" w:fill="auto"/>
            <w:noWrap/>
            <w:vAlign w:val="bottom"/>
          </w:tcPr>
          <w:p w14:paraId="52BBF395"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4,211.76</w:t>
            </w:r>
          </w:p>
        </w:tc>
        <w:tc>
          <w:tcPr>
            <w:tcW w:w="529" w:type="pct"/>
            <w:tcBorders>
              <w:top w:val="nil"/>
              <w:left w:val="nil"/>
              <w:bottom w:val="nil"/>
              <w:right w:val="nil"/>
            </w:tcBorders>
            <w:shd w:val="clear" w:color="auto" w:fill="auto"/>
            <w:noWrap/>
            <w:vAlign w:val="bottom"/>
          </w:tcPr>
          <w:p w14:paraId="0F7C7B57"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5,522.96</w:t>
            </w:r>
          </w:p>
        </w:tc>
        <w:tc>
          <w:tcPr>
            <w:tcW w:w="530" w:type="pct"/>
            <w:tcBorders>
              <w:top w:val="nil"/>
              <w:left w:val="nil"/>
              <w:bottom w:val="nil"/>
              <w:right w:val="nil"/>
            </w:tcBorders>
            <w:shd w:val="clear" w:color="auto" w:fill="auto"/>
            <w:noWrap/>
            <w:vAlign w:val="bottom"/>
          </w:tcPr>
          <w:p w14:paraId="359474C6"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36.44</w:t>
            </w:r>
          </w:p>
        </w:tc>
        <w:tc>
          <w:tcPr>
            <w:tcW w:w="529" w:type="pct"/>
            <w:tcBorders>
              <w:top w:val="nil"/>
              <w:left w:val="nil"/>
              <w:bottom w:val="nil"/>
              <w:right w:val="nil"/>
            </w:tcBorders>
            <w:shd w:val="clear" w:color="auto" w:fill="auto"/>
            <w:noWrap/>
            <w:vAlign w:val="bottom"/>
          </w:tcPr>
          <w:p w14:paraId="1B50A44D"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20.62</w:t>
            </w:r>
          </w:p>
        </w:tc>
      </w:tr>
      <w:tr w:rsidR="00B064C6" w:rsidRPr="00DE0337" w14:paraId="75388BDD" w14:textId="77777777" w:rsidTr="009B09FF">
        <w:trPr>
          <w:trHeight w:val="414"/>
        </w:trPr>
        <w:tc>
          <w:tcPr>
            <w:tcW w:w="915" w:type="pct"/>
            <w:tcBorders>
              <w:top w:val="single" w:sz="4" w:space="0" w:color="auto"/>
              <w:left w:val="nil"/>
              <w:bottom w:val="single" w:sz="4" w:space="0" w:color="auto"/>
              <w:right w:val="nil"/>
            </w:tcBorders>
            <w:shd w:val="clear" w:color="auto" w:fill="auto"/>
            <w:noWrap/>
            <w:vAlign w:val="bottom"/>
            <w:hideMark/>
          </w:tcPr>
          <w:p w14:paraId="66671787" w14:textId="77777777" w:rsidR="00B064C6" w:rsidRPr="00704916" w:rsidRDefault="00B064C6" w:rsidP="006631AF">
            <w:pPr>
              <w:rPr>
                <w:rFonts w:eastAsia="Times New Roman"/>
                <w:bCs/>
                <w:sz w:val="20"/>
                <w:szCs w:val="20"/>
                <w:lang w:val="en-US" w:eastAsia="pt-BR"/>
              </w:rPr>
            </w:pPr>
            <w:r w:rsidRPr="00704916">
              <w:rPr>
                <w:rFonts w:eastAsia="Times New Roman"/>
                <w:bCs/>
                <w:sz w:val="20"/>
                <w:szCs w:val="20"/>
                <w:lang w:val="en-US" w:eastAsia="pt-BR"/>
              </w:rPr>
              <w:t>Smaller Occupier</w:t>
            </w:r>
          </w:p>
        </w:tc>
        <w:tc>
          <w:tcPr>
            <w:tcW w:w="454" w:type="pct"/>
            <w:tcBorders>
              <w:top w:val="single" w:sz="4" w:space="0" w:color="auto"/>
              <w:left w:val="nil"/>
              <w:bottom w:val="single" w:sz="4" w:space="0" w:color="auto"/>
              <w:right w:val="nil"/>
            </w:tcBorders>
            <w:shd w:val="clear" w:color="auto" w:fill="auto"/>
            <w:noWrap/>
            <w:vAlign w:val="bottom"/>
          </w:tcPr>
          <w:p w14:paraId="1BFE95A6"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12,421</w:t>
            </w:r>
          </w:p>
        </w:tc>
        <w:tc>
          <w:tcPr>
            <w:tcW w:w="378" w:type="pct"/>
            <w:tcBorders>
              <w:top w:val="single" w:sz="4" w:space="0" w:color="auto"/>
              <w:left w:val="nil"/>
              <w:bottom w:val="single" w:sz="4" w:space="0" w:color="auto"/>
              <w:right w:val="nil"/>
            </w:tcBorders>
            <w:shd w:val="clear" w:color="auto" w:fill="auto"/>
            <w:noWrap/>
            <w:vAlign w:val="bottom"/>
          </w:tcPr>
          <w:p w14:paraId="10BFC199"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60.4</w:t>
            </w:r>
          </w:p>
        </w:tc>
        <w:tc>
          <w:tcPr>
            <w:tcW w:w="529" w:type="pct"/>
            <w:tcBorders>
              <w:top w:val="single" w:sz="4" w:space="0" w:color="auto"/>
              <w:left w:val="nil"/>
              <w:bottom w:val="single" w:sz="4" w:space="0" w:color="auto"/>
              <w:right w:val="nil"/>
            </w:tcBorders>
            <w:shd w:val="clear" w:color="auto" w:fill="auto"/>
            <w:noWrap/>
            <w:vAlign w:val="bottom"/>
            <w:hideMark/>
          </w:tcPr>
          <w:p w14:paraId="2772B837"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39.18</w:t>
            </w:r>
          </w:p>
        </w:tc>
        <w:tc>
          <w:tcPr>
            <w:tcW w:w="529" w:type="pct"/>
            <w:tcBorders>
              <w:top w:val="single" w:sz="4" w:space="0" w:color="auto"/>
              <w:left w:val="nil"/>
              <w:bottom w:val="single" w:sz="4" w:space="0" w:color="auto"/>
              <w:right w:val="nil"/>
            </w:tcBorders>
            <w:shd w:val="clear" w:color="auto" w:fill="auto"/>
            <w:noWrap/>
            <w:vAlign w:val="bottom"/>
            <w:hideMark/>
          </w:tcPr>
          <w:p w14:paraId="7711E135"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22.33</w:t>
            </w:r>
          </w:p>
        </w:tc>
        <w:tc>
          <w:tcPr>
            <w:tcW w:w="605" w:type="pct"/>
            <w:tcBorders>
              <w:top w:val="single" w:sz="4" w:space="0" w:color="auto"/>
              <w:left w:val="nil"/>
              <w:bottom w:val="single" w:sz="4" w:space="0" w:color="auto"/>
              <w:right w:val="nil"/>
            </w:tcBorders>
            <w:shd w:val="clear" w:color="auto" w:fill="auto"/>
            <w:noWrap/>
            <w:vAlign w:val="bottom"/>
          </w:tcPr>
          <w:p w14:paraId="03F9962F"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4,182.61</w:t>
            </w:r>
          </w:p>
        </w:tc>
        <w:tc>
          <w:tcPr>
            <w:tcW w:w="529" w:type="pct"/>
            <w:tcBorders>
              <w:top w:val="single" w:sz="4" w:space="0" w:color="auto"/>
              <w:left w:val="nil"/>
              <w:bottom w:val="single" w:sz="4" w:space="0" w:color="auto"/>
              <w:right w:val="nil"/>
            </w:tcBorders>
            <w:shd w:val="clear" w:color="auto" w:fill="auto"/>
            <w:noWrap/>
            <w:vAlign w:val="bottom"/>
          </w:tcPr>
          <w:p w14:paraId="19033A28"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3,746.67</w:t>
            </w:r>
          </w:p>
        </w:tc>
        <w:tc>
          <w:tcPr>
            <w:tcW w:w="530" w:type="pct"/>
            <w:tcBorders>
              <w:top w:val="single" w:sz="4" w:space="0" w:color="auto"/>
              <w:left w:val="nil"/>
              <w:bottom w:val="single" w:sz="4" w:space="0" w:color="auto"/>
              <w:right w:val="nil"/>
            </w:tcBorders>
            <w:shd w:val="clear" w:color="auto" w:fill="auto"/>
            <w:noWrap/>
            <w:vAlign w:val="bottom"/>
          </w:tcPr>
          <w:p w14:paraId="2BDAC309"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21.88</w:t>
            </w:r>
          </w:p>
        </w:tc>
        <w:tc>
          <w:tcPr>
            <w:tcW w:w="529" w:type="pct"/>
            <w:tcBorders>
              <w:top w:val="single" w:sz="4" w:space="0" w:color="auto"/>
              <w:left w:val="nil"/>
              <w:bottom w:val="single" w:sz="4" w:space="0" w:color="auto"/>
              <w:right w:val="nil"/>
            </w:tcBorders>
            <w:shd w:val="clear" w:color="auto" w:fill="auto"/>
            <w:noWrap/>
            <w:vAlign w:val="bottom"/>
          </w:tcPr>
          <w:p w14:paraId="0278F415"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18.94</w:t>
            </w:r>
          </w:p>
        </w:tc>
      </w:tr>
      <w:tr w:rsidR="00B064C6" w:rsidRPr="00DE0337" w14:paraId="09CE9E56" w14:textId="77777777" w:rsidTr="009B09FF">
        <w:trPr>
          <w:trHeight w:val="406"/>
        </w:trPr>
        <w:tc>
          <w:tcPr>
            <w:tcW w:w="915" w:type="pct"/>
            <w:tcBorders>
              <w:top w:val="nil"/>
              <w:left w:val="nil"/>
              <w:bottom w:val="nil"/>
              <w:right w:val="nil"/>
            </w:tcBorders>
            <w:shd w:val="clear" w:color="auto" w:fill="auto"/>
            <w:noWrap/>
            <w:vAlign w:val="bottom"/>
          </w:tcPr>
          <w:p w14:paraId="155A8D02" w14:textId="77777777" w:rsidR="00B064C6" w:rsidRPr="00704916" w:rsidRDefault="00B064C6" w:rsidP="006631AF">
            <w:pPr>
              <w:ind w:firstLineChars="100" w:firstLine="200"/>
              <w:rPr>
                <w:rFonts w:eastAsia="Times New Roman"/>
                <w:sz w:val="20"/>
                <w:szCs w:val="20"/>
                <w:lang w:val="en-US" w:eastAsia="pt-BR"/>
              </w:rPr>
            </w:pPr>
            <w:r w:rsidRPr="00704916">
              <w:rPr>
                <w:rFonts w:eastAsia="Times New Roman"/>
                <w:sz w:val="20"/>
                <w:szCs w:val="20"/>
                <w:lang w:val="en-US" w:eastAsia="pt-BR"/>
              </w:rPr>
              <w:t>AAA</w:t>
            </w:r>
          </w:p>
        </w:tc>
        <w:tc>
          <w:tcPr>
            <w:tcW w:w="454" w:type="pct"/>
            <w:tcBorders>
              <w:top w:val="nil"/>
              <w:left w:val="nil"/>
              <w:bottom w:val="nil"/>
              <w:right w:val="nil"/>
            </w:tcBorders>
            <w:shd w:val="clear" w:color="auto" w:fill="auto"/>
            <w:noWrap/>
            <w:vAlign w:val="bottom"/>
          </w:tcPr>
          <w:p w14:paraId="4DE04989"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N/A</w:t>
            </w:r>
          </w:p>
        </w:tc>
        <w:tc>
          <w:tcPr>
            <w:tcW w:w="378" w:type="pct"/>
            <w:tcBorders>
              <w:top w:val="nil"/>
              <w:left w:val="nil"/>
              <w:bottom w:val="nil"/>
              <w:right w:val="nil"/>
            </w:tcBorders>
            <w:shd w:val="clear" w:color="auto" w:fill="auto"/>
            <w:noWrap/>
            <w:vAlign w:val="bottom"/>
          </w:tcPr>
          <w:p w14:paraId="3071F55F"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N/A</w:t>
            </w:r>
          </w:p>
        </w:tc>
        <w:tc>
          <w:tcPr>
            <w:tcW w:w="529" w:type="pct"/>
            <w:tcBorders>
              <w:top w:val="nil"/>
              <w:left w:val="nil"/>
              <w:bottom w:val="nil"/>
              <w:right w:val="nil"/>
            </w:tcBorders>
            <w:shd w:val="clear" w:color="auto" w:fill="auto"/>
            <w:noWrap/>
            <w:vAlign w:val="bottom"/>
          </w:tcPr>
          <w:p w14:paraId="1EDF06DE"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N/A</w:t>
            </w:r>
          </w:p>
        </w:tc>
        <w:tc>
          <w:tcPr>
            <w:tcW w:w="529" w:type="pct"/>
            <w:tcBorders>
              <w:top w:val="nil"/>
              <w:left w:val="nil"/>
              <w:bottom w:val="nil"/>
              <w:right w:val="nil"/>
            </w:tcBorders>
            <w:shd w:val="clear" w:color="auto" w:fill="auto"/>
            <w:noWrap/>
            <w:vAlign w:val="bottom"/>
          </w:tcPr>
          <w:p w14:paraId="6D1745D1"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N/A</w:t>
            </w:r>
          </w:p>
        </w:tc>
        <w:tc>
          <w:tcPr>
            <w:tcW w:w="605" w:type="pct"/>
            <w:tcBorders>
              <w:top w:val="nil"/>
              <w:left w:val="nil"/>
              <w:bottom w:val="nil"/>
              <w:right w:val="nil"/>
            </w:tcBorders>
            <w:shd w:val="clear" w:color="auto" w:fill="auto"/>
            <w:noWrap/>
            <w:vAlign w:val="bottom"/>
          </w:tcPr>
          <w:p w14:paraId="30DE5498"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N/A</w:t>
            </w:r>
          </w:p>
        </w:tc>
        <w:tc>
          <w:tcPr>
            <w:tcW w:w="529" w:type="pct"/>
            <w:tcBorders>
              <w:top w:val="nil"/>
              <w:left w:val="nil"/>
              <w:bottom w:val="nil"/>
              <w:right w:val="nil"/>
            </w:tcBorders>
            <w:shd w:val="clear" w:color="auto" w:fill="auto"/>
            <w:noWrap/>
            <w:vAlign w:val="bottom"/>
          </w:tcPr>
          <w:p w14:paraId="5C6013D3"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N/A</w:t>
            </w:r>
          </w:p>
        </w:tc>
        <w:tc>
          <w:tcPr>
            <w:tcW w:w="530" w:type="pct"/>
            <w:tcBorders>
              <w:top w:val="nil"/>
              <w:left w:val="nil"/>
              <w:bottom w:val="nil"/>
              <w:right w:val="nil"/>
            </w:tcBorders>
            <w:shd w:val="clear" w:color="auto" w:fill="auto"/>
            <w:noWrap/>
            <w:vAlign w:val="bottom"/>
          </w:tcPr>
          <w:p w14:paraId="6CE55FDD"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N/A</w:t>
            </w:r>
          </w:p>
        </w:tc>
        <w:tc>
          <w:tcPr>
            <w:tcW w:w="529" w:type="pct"/>
            <w:tcBorders>
              <w:top w:val="nil"/>
              <w:left w:val="nil"/>
              <w:bottom w:val="nil"/>
              <w:right w:val="nil"/>
            </w:tcBorders>
            <w:shd w:val="clear" w:color="auto" w:fill="auto"/>
            <w:noWrap/>
            <w:vAlign w:val="bottom"/>
          </w:tcPr>
          <w:p w14:paraId="369B95CD"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N/A</w:t>
            </w:r>
          </w:p>
        </w:tc>
      </w:tr>
      <w:tr w:rsidR="00B064C6" w:rsidRPr="00DE0337" w14:paraId="265CAFD6" w14:textId="77777777" w:rsidTr="009B09FF">
        <w:trPr>
          <w:trHeight w:val="436"/>
        </w:trPr>
        <w:tc>
          <w:tcPr>
            <w:tcW w:w="915" w:type="pct"/>
            <w:tcBorders>
              <w:top w:val="nil"/>
              <w:left w:val="nil"/>
              <w:bottom w:val="nil"/>
              <w:right w:val="nil"/>
            </w:tcBorders>
            <w:shd w:val="clear" w:color="auto" w:fill="auto"/>
            <w:noWrap/>
            <w:vAlign w:val="bottom"/>
            <w:hideMark/>
          </w:tcPr>
          <w:p w14:paraId="569CF9F2" w14:textId="77777777" w:rsidR="00B064C6" w:rsidRPr="00704916" w:rsidRDefault="00B064C6" w:rsidP="006631AF">
            <w:pPr>
              <w:ind w:firstLineChars="100" w:firstLine="200"/>
              <w:rPr>
                <w:rFonts w:eastAsia="Times New Roman"/>
                <w:sz w:val="20"/>
                <w:szCs w:val="20"/>
                <w:lang w:val="en-US" w:eastAsia="pt-BR"/>
              </w:rPr>
            </w:pPr>
            <w:r w:rsidRPr="00704916">
              <w:rPr>
                <w:rFonts w:eastAsia="Times New Roman"/>
                <w:sz w:val="20"/>
                <w:szCs w:val="20"/>
                <w:lang w:val="en-US" w:eastAsia="pt-BR"/>
              </w:rPr>
              <w:t>AA</w:t>
            </w:r>
          </w:p>
        </w:tc>
        <w:tc>
          <w:tcPr>
            <w:tcW w:w="454" w:type="pct"/>
            <w:tcBorders>
              <w:top w:val="nil"/>
              <w:left w:val="nil"/>
              <w:bottom w:val="nil"/>
              <w:right w:val="nil"/>
            </w:tcBorders>
            <w:shd w:val="clear" w:color="auto" w:fill="auto"/>
            <w:noWrap/>
            <w:vAlign w:val="bottom"/>
          </w:tcPr>
          <w:p w14:paraId="5F2D954D"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56</w:t>
            </w:r>
          </w:p>
        </w:tc>
        <w:tc>
          <w:tcPr>
            <w:tcW w:w="378" w:type="pct"/>
            <w:tcBorders>
              <w:top w:val="nil"/>
              <w:left w:val="nil"/>
              <w:bottom w:val="nil"/>
              <w:right w:val="nil"/>
            </w:tcBorders>
            <w:shd w:val="clear" w:color="auto" w:fill="auto"/>
            <w:noWrap/>
            <w:vAlign w:val="bottom"/>
          </w:tcPr>
          <w:p w14:paraId="72C58363"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0.3</w:t>
            </w:r>
          </w:p>
        </w:tc>
        <w:tc>
          <w:tcPr>
            <w:tcW w:w="529" w:type="pct"/>
            <w:tcBorders>
              <w:top w:val="nil"/>
              <w:left w:val="nil"/>
              <w:bottom w:val="nil"/>
              <w:right w:val="nil"/>
            </w:tcBorders>
            <w:shd w:val="clear" w:color="auto" w:fill="auto"/>
            <w:noWrap/>
            <w:vAlign w:val="bottom"/>
            <w:hideMark/>
          </w:tcPr>
          <w:p w14:paraId="1E4E53B2"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84.87</w:t>
            </w:r>
          </w:p>
        </w:tc>
        <w:tc>
          <w:tcPr>
            <w:tcW w:w="529" w:type="pct"/>
            <w:tcBorders>
              <w:top w:val="nil"/>
              <w:left w:val="nil"/>
              <w:bottom w:val="nil"/>
              <w:right w:val="nil"/>
            </w:tcBorders>
            <w:shd w:val="clear" w:color="auto" w:fill="auto"/>
            <w:noWrap/>
            <w:vAlign w:val="bottom"/>
            <w:hideMark/>
          </w:tcPr>
          <w:p w14:paraId="3DED8857"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25.25</w:t>
            </w:r>
          </w:p>
        </w:tc>
        <w:tc>
          <w:tcPr>
            <w:tcW w:w="605" w:type="pct"/>
            <w:tcBorders>
              <w:top w:val="nil"/>
              <w:left w:val="nil"/>
              <w:bottom w:val="nil"/>
              <w:right w:val="nil"/>
            </w:tcBorders>
            <w:shd w:val="clear" w:color="auto" w:fill="auto"/>
            <w:noWrap/>
            <w:vAlign w:val="bottom"/>
          </w:tcPr>
          <w:p w14:paraId="5C943FAE"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21,644.95</w:t>
            </w:r>
          </w:p>
        </w:tc>
        <w:tc>
          <w:tcPr>
            <w:tcW w:w="529" w:type="pct"/>
            <w:tcBorders>
              <w:top w:val="nil"/>
              <w:left w:val="nil"/>
              <w:bottom w:val="nil"/>
              <w:right w:val="nil"/>
            </w:tcBorders>
            <w:shd w:val="clear" w:color="auto" w:fill="auto"/>
            <w:noWrap/>
            <w:vAlign w:val="bottom"/>
          </w:tcPr>
          <w:p w14:paraId="3E5BDA64"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9166.74</w:t>
            </w:r>
          </w:p>
        </w:tc>
        <w:tc>
          <w:tcPr>
            <w:tcW w:w="530" w:type="pct"/>
            <w:tcBorders>
              <w:top w:val="nil"/>
              <w:left w:val="nil"/>
              <w:bottom w:val="nil"/>
              <w:right w:val="nil"/>
            </w:tcBorders>
            <w:shd w:val="clear" w:color="auto" w:fill="auto"/>
            <w:noWrap/>
            <w:vAlign w:val="bottom"/>
          </w:tcPr>
          <w:p w14:paraId="64D6028C"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1.37</w:t>
            </w:r>
          </w:p>
        </w:tc>
        <w:tc>
          <w:tcPr>
            <w:tcW w:w="529" w:type="pct"/>
            <w:tcBorders>
              <w:top w:val="nil"/>
              <w:left w:val="nil"/>
              <w:bottom w:val="nil"/>
              <w:right w:val="nil"/>
            </w:tcBorders>
            <w:shd w:val="clear" w:color="auto" w:fill="auto"/>
            <w:noWrap/>
            <w:vAlign w:val="bottom"/>
          </w:tcPr>
          <w:p w14:paraId="012C94FF"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1.18</w:t>
            </w:r>
          </w:p>
        </w:tc>
      </w:tr>
      <w:tr w:rsidR="00B064C6" w:rsidRPr="00DE0337" w14:paraId="69F00E3F" w14:textId="77777777" w:rsidTr="009B09FF">
        <w:trPr>
          <w:trHeight w:val="428"/>
        </w:trPr>
        <w:tc>
          <w:tcPr>
            <w:tcW w:w="915" w:type="pct"/>
            <w:tcBorders>
              <w:top w:val="nil"/>
              <w:left w:val="nil"/>
              <w:bottom w:val="nil"/>
              <w:right w:val="nil"/>
            </w:tcBorders>
            <w:shd w:val="clear" w:color="auto" w:fill="auto"/>
            <w:noWrap/>
            <w:vAlign w:val="bottom"/>
            <w:hideMark/>
          </w:tcPr>
          <w:p w14:paraId="4CD27D3C" w14:textId="77777777" w:rsidR="00B064C6" w:rsidRPr="00704916" w:rsidRDefault="00B064C6" w:rsidP="006631AF">
            <w:pPr>
              <w:ind w:firstLineChars="100" w:firstLine="200"/>
              <w:rPr>
                <w:rFonts w:eastAsia="Times New Roman"/>
                <w:sz w:val="20"/>
                <w:szCs w:val="20"/>
                <w:lang w:val="en-US" w:eastAsia="pt-BR"/>
              </w:rPr>
            </w:pPr>
            <w:r w:rsidRPr="00704916">
              <w:rPr>
                <w:rFonts w:eastAsia="Times New Roman"/>
                <w:sz w:val="20"/>
                <w:szCs w:val="20"/>
                <w:lang w:val="en-US" w:eastAsia="pt-BR"/>
              </w:rPr>
              <w:t>A</w:t>
            </w:r>
          </w:p>
        </w:tc>
        <w:tc>
          <w:tcPr>
            <w:tcW w:w="454" w:type="pct"/>
            <w:tcBorders>
              <w:top w:val="nil"/>
              <w:left w:val="nil"/>
              <w:bottom w:val="nil"/>
              <w:right w:val="nil"/>
            </w:tcBorders>
            <w:shd w:val="clear" w:color="auto" w:fill="auto"/>
            <w:noWrap/>
            <w:vAlign w:val="bottom"/>
          </w:tcPr>
          <w:p w14:paraId="421B39A1"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454</w:t>
            </w:r>
          </w:p>
        </w:tc>
        <w:tc>
          <w:tcPr>
            <w:tcW w:w="378" w:type="pct"/>
            <w:tcBorders>
              <w:top w:val="nil"/>
              <w:left w:val="nil"/>
              <w:bottom w:val="nil"/>
              <w:right w:val="nil"/>
            </w:tcBorders>
            <w:shd w:val="clear" w:color="auto" w:fill="auto"/>
            <w:noWrap/>
            <w:vAlign w:val="bottom"/>
          </w:tcPr>
          <w:p w14:paraId="297EBAF1"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2.2</w:t>
            </w:r>
          </w:p>
        </w:tc>
        <w:tc>
          <w:tcPr>
            <w:tcW w:w="529" w:type="pct"/>
            <w:tcBorders>
              <w:top w:val="nil"/>
              <w:left w:val="nil"/>
              <w:bottom w:val="nil"/>
              <w:right w:val="nil"/>
            </w:tcBorders>
            <w:shd w:val="clear" w:color="auto" w:fill="auto"/>
            <w:noWrap/>
            <w:vAlign w:val="bottom"/>
            <w:hideMark/>
          </w:tcPr>
          <w:p w14:paraId="7DD68723"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63.51</w:t>
            </w:r>
          </w:p>
        </w:tc>
        <w:tc>
          <w:tcPr>
            <w:tcW w:w="529" w:type="pct"/>
            <w:tcBorders>
              <w:top w:val="nil"/>
              <w:left w:val="nil"/>
              <w:bottom w:val="nil"/>
              <w:right w:val="nil"/>
            </w:tcBorders>
            <w:shd w:val="clear" w:color="auto" w:fill="auto"/>
            <w:noWrap/>
            <w:vAlign w:val="bottom"/>
            <w:hideMark/>
          </w:tcPr>
          <w:p w14:paraId="2A0B56E2"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24.65</w:t>
            </w:r>
          </w:p>
        </w:tc>
        <w:tc>
          <w:tcPr>
            <w:tcW w:w="605" w:type="pct"/>
            <w:tcBorders>
              <w:top w:val="nil"/>
              <w:left w:val="nil"/>
              <w:bottom w:val="nil"/>
              <w:right w:val="nil"/>
            </w:tcBorders>
            <w:shd w:val="clear" w:color="auto" w:fill="auto"/>
            <w:noWrap/>
            <w:vAlign w:val="bottom"/>
          </w:tcPr>
          <w:p w14:paraId="1010D7AC"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9,058.92</w:t>
            </w:r>
          </w:p>
        </w:tc>
        <w:tc>
          <w:tcPr>
            <w:tcW w:w="529" w:type="pct"/>
            <w:tcBorders>
              <w:top w:val="nil"/>
              <w:left w:val="nil"/>
              <w:bottom w:val="nil"/>
              <w:right w:val="nil"/>
            </w:tcBorders>
            <w:shd w:val="clear" w:color="auto" w:fill="auto"/>
            <w:noWrap/>
            <w:vAlign w:val="bottom"/>
          </w:tcPr>
          <w:p w14:paraId="712EA478"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3,993.47</w:t>
            </w:r>
          </w:p>
        </w:tc>
        <w:tc>
          <w:tcPr>
            <w:tcW w:w="530" w:type="pct"/>
            <w:tcBorders>
              <w:top w:val="nil"/>
              <w:left w:val="nil"/>
              <w:bottom w:val="nil"/>
              <w:right w:val="nil"/>
            </w:tcBorders>
            <w:shd w:val="clear" w:color="auto" w:fill="auto"/>
            <w:noWrap/>
            <w:vAlign w:val="bottom"/>
          </w:tcPr>
          <w:p w14:paraId="25687845"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4.80</w:t>
            </w:r>
          </w:p>
        </w:tc>
        <w:tc>
          <w:tcPr>
            <w:tcW w:w="529" w:type="pct"/>
            <w:tcBorders>
              <w:top w:val="nil"/>
              <w:left w:val="nil"/>
              <w:bottom w:val="nil"/>
              <w:right w:val="nil"/>
            </w:tcBorders>
            <w:shd w:val="clear" w:color="auto" w:fill="auto"/>
            <w:noWrap/>
            <w:vAlign w:val="bottom"/>
          </w:tcPr>
          <w:p w14:paraId="33DABF77"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4.74</w:t>
            </w:r>
          </w:p>
        </w:tc>
      </w:tr>
      <w:tr w:rsidR="00B064C6" w:rsidRPr="00DE0337" w14:paraId="7AB70EE7" w14:textId="77777777" w:rsidTr="009B09FF">
        <w:trPr>
          <w:trHeight w:val="420"/>
        </w:trPr>
        <w:tc>
          <w:tcPr>
            <w:tcW w:w="915" w:type="pct"/>
            <w:tcBorders>
              <w:top w:val="nil"/>
              <w:left w:val="nil"/>
              <w:bottom w:val="nil"/>
              <w:right w:val="nil"/>
            </w:tcBorders>
            <w:shd w:val="clear" w:color="auto" w:fill="auto"/>
            <w:noWrap/>
            <w:vAlign w:val="bottom"/>
            <w:hideMark/>
          </w:tcPr>
          <w:p w14:paraId="395F74CF" w14:textId="77777777" w:rsidR="00B064C6" w:rsidRPr="00704916" w:rsidRDefault="00B064C6" w:rsidP="006631AF">
            <w:pPr>
              <w:ind w:firstLineChars="100" w:firstLine="200"/>
              <w:rPr>
                <w:rFonts w:eastAsia="Times New Roman"/>
                <w:sz w:val="20"/>
                <w:szCs w:val="20"/>
                <w:lang w:val="en-US" w:eastAsia="pt-BR"/>
              </w:rPr>
            </w:pPr>
            <w:r w:rsidRPr="00704916">
              <w:rPr>
                <w:rFonts w:eastAsia="Times New Roman"/>
                <w:sz w:val="20"/>
                <w:szCs w:val="20"/>
                <w:lang w:val="en-US" w:eastAsia="pt-BR"/>
              </w:rPr>
              <w:t>BB</w:t>
            </w:r>
          </w:p>
        </w:tc>
        <w:tc>
          <w:tcPr>
            <w:tcW w:w="454" w:type="pct"/>
            <w:tcBorders>
              <w:top w:val="nil"/>
              <w:left w:val="nil"/>
              <w:bottom w:val="nil"/>
              <w:right w:val="nil"/>
            </w:tcBorders>
            <w:shd w:val="clear" w:color="auto" w:fill="auto"/>
            <w:noWrap/>
            <w:vAlign w:val="bottom"/>
          </w:tcPr>
          <w:p w14:paraId="1E10EE96"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337</w:t>
            </w:r>
          </w:p>
        </w:tc>
        <w:tc>
          <w:tcPr>
            <w:tcW w:w="378" w:type="pct"/>
            <w:tcBorders>
              <w:top w:val="nil"/>
              <w:left w:val="nil"/>
              <w:bottom w:val="nil"/>
              <w:right w:val="nil"/>
            </w:tcBorders>
            <w:shd w:val="clear" w:color="auto" w:fill="auto"/>
            <w:noWrap/>
            <w:vAlign w:val="bottom"/>
          </w:tcPr>
          <w:p w14:paraId="0A9DAB9D"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1.6</w:t>
            </w:r>
          </w:p>
        </w:tc>
        <w:tc>
          <w:tcPr>
            <w:tcW w:w="529" w:type="pct"/>
            <w:tcBorders>
              <w:top w:val="nil"/>
              <w:left w:val="nil"/>
              <w:bottom w:val="nil"/>
              <w:right w:val="nil"/>
            </w:tcBorders>
            <w:shd w:val="clear" w:color="auto" w:fill="auto"/>
            <w:noWrap/>
            <w:vAlign w:val="bottom"/>
            <w:hideMark/>
          </w:tcPr>
          <w:p w14:paraId="5DCD6593"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37.59</w:t>
            </w:r>
          </w:p>
        </w:tc>
        <w:tc>
          <w:tcPr>
            <w:tcW w:w="529" w:type="pct"/>
            <w:tcBorders>
              <w:top w:val="nil"/>
              <w:left w:val="nil"/>
              <w:bottom w:val="nil"/>
              <w:right w:val="nil"/>
            </w:tcBorders>
            <w:shd w:val="clear" w:color="auto" w:fill="auto"/>
            <w:noWrap/>
            <w:vAlign w:val="bottom"/>
            <w:hideMark/>
          </w:tcPr>
          <w:p w14:paraId="2BBE9371"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23.06</w:t>
            </w:r>
          </w:p>
        </w:tc>
        <w:tc>
          <w:tcPr>
            <w:tcW w:w="605" w:type="pct"/>
            <w:tcBorders>
              <w:top w:val="nil"/>
              <w:left w:val="nil"/>
              <w:bottom w:val="nil"/>
              <w:right w:val="nil"/>
            </w:tcBorders>
            <w:shd w:val="clear" w:color="auto" w:fill="auto"/>
            <w:noWrap/>
            <w:vAlign w:val="bottom"/>
          </w:tcPr>
          <w:p w14:paraId="492B2420"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13,633.93</w:t>
            </w:r>
          </w:p>
        </w:tc>
        <w:tc>
          <w:tcPr>
            <w:tcW w:w="529" w:type="pct"/>
            <w:tcBorders>
              <w:top w:val="nil"/>
              <w:left w:val="nil"/>
              <w:bottom w:val="nil"/>
              <w:right w:val="nil"/>
            </w:tcBorders>
            <w:shd w:val="clear" w:color="auto" w:fill="auto"/>
            <w:noWrap/>
            <w:vAlign w:val="bottom"/>
          </w:tcPr>
          <w:p w14:paraId="1715C3CF"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5,984.07</w:t>
            </w:r>
          </w:p>
        </w:tc>
        <w:tc>
          <w:tcPr>
            <w:tcW w:w="530" w:type="pct"/>
            <w:tcBorders>
              <w:top w:val="nil"/>
              <w:left w:val="nil"/>
              <w:bottom w:val="nil"/>
              <w:right w:val="nil"/>
            </w:tcBorders>
            <w:shd w:val="clear" w:color="auto" w:fill="auto"/>
            <w:noWrap/>
            <w:vAlign w:val="bottom"/>
          </w:tcPr>
          <w:p w14:paraId="39058A0E"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33.60</w:t>
            </w:r>
          </w:p>
        </w:tc>
        <w:tc>
          <w:tcPr>
            <w:tcW w:w="529" w:type="pct"/>
            <w:tcBorders>
              <w:top w:val="nil"/>
              <w:left w:val="nil"/>
              <w:bottom w:val="nil"/>
              <w:right w:val="nil"/>
            </w:tcBorders>
            <w:shd w:val="clear" w:color="auto" w:fill="auto"/>
            <w:noWrap/>
            <w:vAlign w:val="bottom"/>
          </w:tcPr>
          <w:p w14:paraId="248E1B39"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3.90</w:t>
            </w:r>
          </w:p>
        </w:tc>
      </w:tr>
      <w:tr w:rsidR="00B064C6" w:rsidRPr="00DE0337" w14:paraId="7E1D350D" w14:textId="77777777" w:rsidTr="009B09FF">
        <w:trPr>
          <w:trHeight w:val="426"/>
        </w:trPr>
        <w:tc>
          <w:tcPr>
            <w:tcW w:w="915" w:type="pct"/>
            <w:tcBorders>
              <w:top w:val="nil"/>
              <w:left w:val="nil"/>
              <w:bottom w:val="nil"/>
              <w:right w:val="nil"/>
            </w:tcBorders>
            <w:shd w:val="clear" w:color="auto" w:fill="auto"/>
            <w:noWrap/>
            <w:vAlign w:val="bottom"/>
            <w:hideMark/>
          </w:tcPr>
          <w:p w14:paraId="5BC3B2C5" w14:textId="77777777" w:rsidR="00B064C6" w:rsidRPr="00704916" w:rsidRDefault="00B064C6" w:rsidP="006631AF">
            <w:pPr>
              <w:ind w:firstLineChars="100" w:firstLine="200"/>
              <w:rPr>
                <w:rFonts w:eastAsia="Times New Roman"/>
                <w:sz w:val="20"/>
                <w:szCs w:val="20"/>
                <w:lang w:val="en-US" w:eastAsia="pt-BR"/>
              </w:rPr>
            </w:pPr>
            <w:r w:rsidRPr="00704916">
              <w:rPr>
                <w:rFonts w:eastAsia="Times New Roman"/>
                <w:sz w:val="20"/>
                <w:szCs w:val="20"/>
                <w:lang w:val="en-US" w:eastAsia="pt-BR"/>
              </w:rPr>
              <w:t>B</w:t>
            </w:r>
          </w:p>
        </w:tc>
        <w:tc>
          <w:tcPr>
            <w:tcW w:w="454" w:type="pct"/>
            <w:tcBorders>
              <w:top w:val="nil"/>
              <w:left w:val="nil"/>
              <w:bottom w:val="nil"/>
              <w:right w:val="nil"/>
            </w:tcBorders>
            <w:shd w:val="clear" w:color="auto" w:fill="auto"/>
            <w:noWrap/>
            <w:vAlign w:val="bottom"/>
          </w:tcPr>
          <w:p w14:paraId="7DAE1D55"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4,515</w:t>
            </w:r>
          </w:p>
        </w:tc>
        <w:tc>
          <w:tcPr>
            <w:tcW w:w="378" w:type="pct"/>
            <w:tcBorders>
              <w:top w:val="nil"/>
              <w:left w:val="nil"/>
              <w:bottom w:val="nil"/>
              <w:right w:val="nil"/>
            </w:tcBorders>
            <w:shd w:val="clear" w:color="auto" w:fill="auto"/>
            <w:noWrap/>
            <w:vAlign w:val="bottom"/>
          </w:tcPr>
          <w:p w14:paraId="1BA84A0E"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22.0</w:t>
            </w:r>
          </w:p>
        </w:tc>
        <w:tc>
          <w:tcPr>
            <w:tcW w:w="529" w:type="pct"/>
            <w:tcBorders>
              <w:top w:val="nil"/>
              <w:left w:val="nil"/>
              <w:bottom w:val="nil"/>
              <w:right w:val="nil"/>
            </w:tcBorders>
            <w:shd w:val="clear" w:color="auto" w:fill="auto"/>
            <w:noWrap/>
            <w:vAlign w:val="bottom"/>
            <w:hideMark/>
          </w:tcPr>
          <w:p w14:paraId="222DBE73"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43.89</w:t>
            </w:r>
          </w:p>
        </w:tc>
        <w:tc>
          <w:tcPr>
            <w:tcW w:w="529" w:type="pct"/>
            <w:tcBorders>
              <w:top w:val="nil"/>
              <w:left w:val="nil"/>
              <w:bottom w:val="nil"/>
              <w:right w:val="nil"/>
            </w:tcBorders>
            <w:shd w:val="clear" w:color="auto" w:fill="auto"/>
            <w:noWrap/>
            <w:vAlign w:val="bottom"/>
            <w:hideMark/>
          </w:tcPr>
          <w:p w14:paraId="4FF00091"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21.72</w:t>
            </w:r>
          </w:p>
        </w:tc>
        <w:tc>
          <w:tcPr>
            <w:tcW w:w="605" w:type="pct"/>
            <w:tcBorders>
              <w:top w:val="nil"/>
              <w:left w:val="nil"/>
              <w:bottom w:val="nil"/>
              <w:right w:val="nil"/>
            </w:tcBorders>
            <w:shd w:val="clear" w:color="auto" w:fill="auto"/>
            <w:noWrap/>
            <w:vAlign w:val="bottom"/>
          </w:tcPr>
          <w:p w14:paraId="45529CC2"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4,605.66</w:t>
            </w:r>
          </w:p>
        </w:tc>
        <w:tc>
          <w:tcPr>
            <w:tcW w:w="529" w:type="pct"/>
            <w:tcBorders>
              <w:top w:val="nil"/>
              <w:left w:val="nil"/>
              <w:bottom w:val="nil"/>
              <w:right w:val="nil"/>
            </w:tcBorders>
            <w:shd w:val="clear" w:color="auto" w:fill="auto"/>
            <w:noWrap/>
            <w:vAlign w:val="bottom"/>
          </w:tcPr>
          <w:p w14:paraId="0D548F67"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1,482.62</w:t>
            </w:r>
          </w:p>
        </w:tc>
        <w:tc>
          <w:tcPr>
            <w:tcW w:w="530" w:type="pct"/>
            <w:tcBorders>
              <w:top w:val="nil"/>
              <w:left w:val="nil"/>
              <w:bottom w:val="nil"/>
              <w:right w:val="nil"/>
            </w:tcBorders>
            <w:shd w:val="clear" w:color="auto" w:fill="auto"/>
            <w:noWrap/>
            <w:vAlign w:val="bottom"/>
          </w:tcPr>
          <w:p w14:paraId="000E1C7E"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14.91</w:t>
            </w:r>
          </w:p>
        </w:tc>
        <w:tc>
          <w:tcPr>
            <w:tcW w:w="529" w:type="pct"/>
            <w:tcBorders>
              <w:top w:val="nil"/>
              <w:left w:val="nil"/>
              <w:bottom w:val="nil"/>
              <w:right w:val="nil"/>
            </w:tcBorders>
            <w:shd w:val="clear" w:color="auto" w:fill="auto"/>
            <w:noWrap/>
            <w:vAlign w:val="bottom"/>
          </w:tcPr>
          <w:p w14:paraId="3867B87C"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10.54</w:t>
            </w:r>
          </w:p>
        </w:tc>
      </w:tr>
      <w:tr w:rsidR="00B064C6" w:rsidRPr="00DE0337" w14:paraId="79F74199" w14:textId="77777777" w:rsidTr="009B09FF">
        <w:trPr>
          <w:trHeight w:val="432"/>
        </w:trPr>
        <w:tc>
          <w:tcPr>
            <w:tcW w:w="915" w:type="pct"/>
            <w:tcBorders>
              <w:top w:val="nil"/>
              <w:left w:val="nil"/>
              <w:bottom w:val="single" w:sz="4" w:space="0" w:color="auto"/>
              <w:right w:val="nil"/>
            </w:tcBorders>
            <w:shd w:val="clear" w:color="auto" w:fill="auto"/>
            <w:noWrap/>
            <w:vAlign w:val="bottom"/>
            <w:hideMark/>
          </w:tcPr>
          <w:p w14:paraId="4189308E" w14:textId="77777777" w:rsidR="00B064C6" w:rsidRPr="00704916" w:rsidRDefault="00B064C6" w:rsidP="006631AF">
            <w:pPr>
              <w:ind w:firstLineChars="100" w:firstLine="200"/>
              <w:rPr>
                <w:rFonts w:eastAsia="Times New Roman"/>
                <w:sz w:val="20"/>
                <w:szCs w:val="20"/>
                <w:lang w:val="en-US" w:eastAsia="pt-BR"/>
              </w:rPr>
            </w:pPr>
            <w:r w:rsidRPr="00704916">
              <w:rPr>
                <w:rFonts w:eastAsia="Times New Roman"/>
                <w:sz w:val="20"/>
                <w:szCs w:val="20"/>
                <w:lang w:val="en-US" w:eastAsia="pt-BR"/>
              </w:rPr>
              <w:t>C</w:t>
            </w:r>
          </w:p>
        </w:tc>
        <w:tc>
          <w:tcPr>
            <w:tcW w:w="454" w:type="pct"/>
            <w:tcBorders>
              <w:top w:val="nil"/>
              <w:left w:val="nil"/>
              <w:bottom w:val="single" w:sz="4" w:space="0" w:color="auto"/>
              <w:right w:val="nil"/>
            </w:tcBorders>
            <w:shd w:val="clear" w:color="auto" w:fill="auto"/>
            <w:noWrap/>
            <w:vAlign w:val="bottom"/>
          </w:tcPr>
          <w:p w14:paraId="471882BD"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7,059</w:t>
            </w:r>
          </w:p>
        </w:tc>
        <w:tc>
          <w:tcPr>
            <w:tcW w:w="378" w:type="pct"/>
            <w:tcBorders>
              <w:top w:val="nil"/>
              <w:left w:val="nil"/>
              <w:bottom w:val="single" w:sz="4" w:space="0" w:color="auto"/>
              <w:right w:val="nil"/>
            </w:tcBorders>
            <w:shd w:val="clear" w:color="auto" w:fill="auto"/>
            <w:noWrap/>
            <w:vAlign w:val="bottom"/>
          </w:tcPr>
          <w:p w14:paraId="125C6D9F"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34.3</w:t>
            </w:r>
          </w:p>
        </w:tc>
        <w:tc>
          <w:tcPr>
            <w:tcW w:w="529" w:type="pct"/>
            <w:tcBorders>
              <w:top w:val="nil"/>
              <w:left w:val="nil"/>
              <w:bottom w:val="single" w:sz="4" w:space="0" w:color="auto"/>
              <w:right w:val="nil"/>
            </w:tcBorders>
            <w:shd w:val="clear" w:color="auto" w:fill="auto"/>
            <w:noWrap/>
            <w:vAlign w:val="bottom"/>
            <w:hideMark/>
          </w:tcPr>
          <w:p w14:paraId="7EE621E2"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34.32</w:t>
            </w:r>
          </w:p>
        </w:tc>
        <w:tc>
          <w:tcPr>
            <w:tcW w:w="529" w:type="pct"/>
            <w:tcBorders>
              <w:top w:val="nil"/>
              <w:left w:val="nil"/>
              <w:bottom w:val="single" w:sz="4" w:space="0" w:color="auto"/>
              <w:right w:val="nil"/>
            </w:tcBorders>
            <w:shd w:val="clear" w:color="auto" w:fill="auto"/>
            <w:noWrap/>
            <w:vAlign w:val="bottom"/>
            <w:hideMark/>
          </w:tcPr>
          <w:p w14:paraId="5DAED2FC"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20.35</w:t>
            </w:r>
          </w:p>
        </w:tc>
        <w:tc>
          <w:tcPr>
            <w:tcW w:w="605" w:type="pct"/>
            <w:tcBorders>
              <w:top w:val="nil"/>
              <w:left w:val="nil"/>
              <w:bottom w:val="single" w:sz="4" w:space="0" w:color="auto"/>
              <w:right w:val="nil"/>
            </w:tcBorders>
            <w:shd w:val="clear" w:color="auto" w:fill="auto"/>
            <w:noWrap/>
            <w:vAlign w:val="bottom"/>
          </w:tcPr>
          <w:p w14:paraId="16E0FF5E"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3,008.66</w:t>
            </w:r>
          </w:p>
        </w:tc>
        <w:tc>
          <w:tcPr>
            <w:tcW w:w="529" w:type="pct"/>
            <w:tcBorders>
              <w:top w:val="nil"/>
              <w:left w:val="nil"/>
              <w:bottom w:val="single" w:sz="4" w:space="0" w:color="auto"/>
              <w:right w:val="nil"/>
            </w:tcBorders>
            <w:shd w:val="clear" w:color="auto" w:fill="auto"/>
            <w:noWrap/>
            <w:vAlign w:val="bottom"/>
          </w:tcPr>
          <w:p w14:paraId="50B16940"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3,194.7</w:t>
            </w:r>
          </w:p>
        </w:tc>
        <w:tc>
          <w:tcPr>
            <w:tcW w:w="530" w:type="pct"/>
            <w:tcBorders>
              <w:top w:val="nil"/>
              <w:left w:val="nil"/>
              <w:bottom w:val="single" w:sz="4" w:space="0" w:color="auto"/>
              <w:right w:val="nil"/>
            </w:tcBorders>
            <w:shd w:val="clear" w:color="auto" w:fill="auto"/>
            <w:noWrap/>
            <w:vAlign w:val="bottom"/>
          </w:tcPr>
          <w:p w14:paraId="411FAD9E"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27.04</w:t>
            </w:r>
          </w:p>
        </w:tc>
        <w:tc>
          <w:tcPr>
            <w:tcW w:w="529" w:type="pct"/>
            <w:tcBorders>
              <w:top w:val="nil"/>
              <w:left w:val="nil"/>
              <w:bottom w:val="single" w:sz="4" w:space="0" w:color="auto"/>
              <w:right w:val="nil"/>
            </w:tcBorders>
            <w:shd w:val="clear" w:color="auto" w:fill="auto"/>
            <w:noWrap/>
            <w:vAlign w:val="bottom"/>
          </w:tcPr>
          <w:p w14:paraId="7754596A" w14:textId="77777777" w:rsidR="00B064C6" w:rsidRPr="00704916" w:rsidRDefault="00B064C6" w:rsidP="006631AF">
            <w:pPr>
              <w:jc w:val="right"/>
              <w:rPr>
                <w:rFonts w:eastAsia="Times New Roman"/>
                <w:sz w:val="20"/>
                <w:szCs w:val="20"/>
                <w:lang w:val="en-US" w:eastAsia="pt-BR"/>
              </w:rPr>
            </w:pPr>
            <w:r w:rsidRPr="00704916">
              <w:rPr>
                <w:rFonts w:eastAsia="Times New Roman"/>
                <w:sz w:val="20"/>
                <w:szCs w:val="20"/>
                <w:lang w:val="en-US" w:eastAsia="pt-BR"/>
              </w:rPr>
              <w:t>21.72</w:t>
            </w:r>
          </w:p>
        </w:tc>
      </w:tr>
      <w:tr w:rsidR="00B064C6" w:rsidRPr="00DE0337" w14:paraId="7613C08C" w14:textId="77777777" w:rsidTr="009B09FF">
        <w:trPr>
          <w:trHeight w:val="400"/>
        </w:trPr>
        <w:tc>
          <w:tcPr>
            <w:tcW w:w="915" w:type="pct"/>
            <w:tcBorders>
              <w:top w:val="single" w:sz="4" w:space="0" w:color="auto"/>
              <w:left w:val="nil"/>
              <w:bottom w:val="single" w:sz="4" w:space="0" w:color="auto"/>
              <w:right w:val="nil"/>
            </w:tcBorders>
            <w:shd w:val="clear" w:color="auto" w:fill="auto"/>
            <w:noWrap/>
            <w:vAlign w:val="bottom"/>
            <w:hideMark/>
          </w:tcPr>
          <w:p w14:paraId="1D9C81CC" w14:textId="77777777" w:rsidR="00B064C6" w:rsidRPr="00704916" w:rsidRDefault="00B064C6" w:rsidP="006631AF">
            <w:pPr>
              <w:rPr>
                <w:rFonts w:eastAsia="Times New Roman"/>
                <w:bCs/>
                <w:sz w:val="20"/>
                <w:szCs w:val="20"/>
                <w:lang w:val="en-US" w:eastAsia="pt-BR"/>
              </w:rPr>
            </w:pPr>
            <w:r w:rsidRPr="00704916">
              <w:rPr>
                <w:rFonts w:eastAsia="Times New Roman"/>
                <w:bCs/>
                <w:sz w:val="20"/>
                <w:szCs w:val="20"/>
                <w:lang w:val="en-US" w:eastAsia="pt-BR"/>
              </w:rPr>
              <w:t xml:space="preserve">Total </w:t>
            </w:r>
          </w:p>
        </w:tc>
        <w:tc>
          <w:tcPr>
            <w:tcW w:w="454" w:type="pct"/>
            <w:tcBorders>
              <w:top w:val="single" w:sz="4" w:space="0" w:color="auto"/>
              <w:left w:val="nil"/>
              <w:bottom w:val="single" w:sz="4" w:space="0" w:color="auto"/>
              <w:right w:val="nil"/>
            </w:tcBorders>
            <w:shd w:val="clear" w:color="auto" w:fill="auto"/>
            <w:noWrap/>
            <w:vAlign w:val="bottom"/>
          </w:tcPr>
          <w:p w14:paraId="182C224A"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20,562</w:t>
            </w:r>
          </w:p>
        </w:tc>
        <w:tc>
          <w:tcPr>
            <w:tcW w:w="378" w:type="pct"/>
            <w:tcBorders>
              <w:top w:val="single" w:sz="4" w:space="0" w:color="auto"/>
              <w:left w:val="nil"/>
              <w:bottom w:val="single" w:sz="4" w:space="0" w:color="auto"/>
              <w:right w:val="nil"/>
            </w:tcBorders>
            <w:shd w:val="clear" w:color="auto" w:fill="auto"/>
            <w:noWrap/>
            <w:vAlign w:val="bottom"/>
          </w:tcPr>
          <w:p w14:paraId="702C26AE"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100.0</w:t>
            </w:r>
          </w:p>
        </w:tc>
        <w:tc>
          <w:tcPr>
            <w:tcW w:w="529" w:type="pct"/>
            <w:tcBorders>
              <w:top w:val="single" w:sz="4" w:space="0" w:color="auto"/>
              <w:left w:val="nil"/>
              <w:bottom w:val="single" w:sz="4" w:space="0" w:color="auto"/>
              <w:right w:val="nil"/>
            </w:tcBorders>
            <w:shd w:val="clear" w:color="auto" w:fill="auto"/>
            <w:noWrap/>
            <w:vAlign w:val="bottom"/>
            <w:hideMark/>
          </w:tcPr>
          <w:p w14:paraId="68D4CB15"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44.79</w:t>
            </w:r>
          </w:p>
        </w:tc>
        <w:tc>
          <w:tcPr>
            <w:tcW w:w="529" w:type="pct"/>
            <w:tcBorders>
              <w:top w:val="single" w:sz="4" w:space="0" w:color="auto"/>
              <w:left w:val="nil"/>
              <w:bottom w:val="single" w:sz="4" w:space="0" w:color="auto"/>
              <w:right w:val="nil"/>
            </w:tcBorders>
            <w:shd w:val="clear" w:color="auto" w:fill="auto"/>
            <w:noWrap/>
            <w:vAlign w:val="bottom"/>
            <w:hideMark/>
          </w:tcPr>
          <w:p w14:paraId="467FD7CB"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29.71</w:t>
            </w:r>
          </w:p>
        </w:tc>
        <w:tc>
          <w:tcPr>
            <w:tcW w:w="605" w:type="pct"/>
            <w:tcBorders>
              <w:top w:val="single" w:sz="4" w:space="0" w:color="auto"/>
              <w:left w:val="nil"/>
              <w:bottom w:val="single" w:sz="4" w:space="0" w:color="auto"/>
              <w:right w:val="nil"/>
            </w:tcBorders>
            <w:shd w:val="clear" w:color="auto" w:fill="auto"/>
            <w:noWrap/>
            <w:vAlign w:val="bottom"/>
          </w:tcPr>
          <w:p w14:paraId="3186678E"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5,668.94</w:t>
            </w:r>
          </w:p>
        </w:tc>
        <w:tc>
          <w:tcPr>
            <w:tcW w:w="529" w:type="pct"/>
            <w:tcBorders>
              <w:top w:val="single" w:sz="4" w:space="0" w:color="auto"/>
              <w:left w:val="nil"/>
              <w:bottom w:val="single" w:sz="4" w:space="0" w:color="auto"/>
              <w:right w:val="nil"/>
            </w:tcBorders>
            <w:shd w:val="clear" w:color="auto" w:fill="auto"/>
            <w:noWrap/>
            <w:vAlign w:val="bottom"/>
          </w:tcPr>
          <w:p w14:paraId="0C3F8024"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6,091.12</w:t>
            </w:r>
          </w:p>
        </w:tc>
        <w:tc>
          <w:tcPr>
            <w:tcW w:w="530" w:type="pct"/>
            <w:tcBorders>
              <w:top w:val="single" w:sz="4" w:space="0" w:color="auto"/>
              <w:left w:val="nil"/>
              <w:bottom w:val="single" w:sz="4" w:space="0" w:color="auto"/>
              <w:right w:val="nil"/>
            </w:tcBorders>
            <w:shd w:val="clear" w:color="auto" w:fill="auto"/>
            <w:noWrap/>
            <w:vAlign w:val="bottom"/>
          </w:tcPr>
          <w:p w14:paraId="7B23987A"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22.19</w:t>
            </w:r>
          </w:p>
        </w:tc>
        <w:tc>
          <w:tcPr>
            <w:tcW w:w="529" w:type="pct"/>
            <w:tcBorders>
              <w:top w:val="single" w:sz="4" w:space="0" w:color="auto"/>
              <w:left w:val="nil"/>
              <w:bottom w:val="single" w:sz="4" w:space="0" w:color="auto"/>
              <w:right w:val="nil"/>
            </w:tcBorders>
            <w:shd w:val="clear" w:color="auto" w:fill="auto"/>
            <w:noWrap/>
            <w:vAlign w:val="bottom"/>
          </w:tcPr>
          <w:p w14:paraId="1F9D7164" w14:textId="77777777" w:rsidR="00B064C6" w:rsidRPr="00704916" w:rsidRDefault="00B064C6" w:rsidP="006631AF">
            <w:pPr>
              <w:jc w:val="right"/>
              <w:rPr>
                <w:rFonts w:eastAsia="Times New Roman"/>
                <w:bCs/>
                <w:sz w:val="20"/>
                <w:szCs w:val="20"/>
                <w:lang w:val="en-US" w:eastAsia="pt-BR"/>
              </w:rPr>
            </w:pPr>
            <w:r w:rsidRPr="00704916">
              <w:rPr>
                <w:rFonts w:eastAsia="Times New Roman"/>
                <w:bCs/>
                <w:sz w:val="20"/>
                <w:szCs w:val="20"/>
                <w:lang w:val="en-US" w:eastAsia="pt-BR"/>
              </w:rPr>
              <w:t>18.51</w:t>
            </w:r>
          </w:p>
        </w:tc>
      </w:tr>
    </w:tbl>
    <w:p w14:paraId="6ECEB60A" w14:textId="3B00EB37" w:rsidR="00B064C6" w:rsidRDefault="00B064C6" w:rsidP="00B064C6">
      <w:pPr>
        <w:tabs>
          <w:tab w:val="left" w:pos="1701"/>
        </w:tabs>
        <w:jc w:val="both"/>
        <w:rPr>
          <w:sz w:val="20"/>
          <w:szCs w:val="20"/>
          <w:lang w:val="en-US"/>
        </w:rPr>
      </w:pPr>
      <w:r w:rsidRPr="00F0753B">
        <w:rPr>
          <w:rFonts w:eastAsiaTheme="minorEastAsia"/>
          <w:sz w:val="20"/>
          <w:szCs w:val="20"/>
          <w:lang w:val="en-US"/>
        </w:rPr>
        <w:t xml:space="preserve">This table shows summary statistics of the variables defined in Table 1. The breakdown into corporate and smaller occupier segments allows us to study any a priori differences between these two property-type segments. </w:t>
      </w:r>
      <w:r w:rsidRPr="00F0753B">
        <w:rPr>
          <w:sz w:val="20"/>
          <w:szCs w:val="20"/>
          <w:lang w:val="en-US"/>
        </w:rPr>
        <w:t>The data covers office buildings towers in the city of Sao Paulo from 2005:Q3 to 2014:Q3.</w:t>
      </w:r>
    </w:p>
    <w:p w14:paraId="690FAC9D" w14:textId="77777777" w:rsidR="007D6B53" w:rsidRPr="007D6B53" w:rsidRDefault="007D6B53" w:rsidP="007D6B53">
      <w:pPr>
        <w:autoSpaceDE w:val="0"/>
        <w:autoSpaceDN w:val="0"/>
        <w:adjustRightInd w:val="0"/>
        <w:spacing w:line="360" w:lineRule="auto"/>
        <w:jc w:val="both"/>
        <w:rPr>
          <w:color w:val="FF0000"/>
          <w:sz w:val="20"/>
          <w:szCs w:val="20"/>
          <w:lang w:val="en-US"/>
        </w:rPr>
      </w:pPr>
      <w:r w:rsidRPr="007D6B53">
        <w:rPr>
          <w:color w:val="FF0000"/>
          <w:sz w:val="20"/>
          <w:szCs w:val="20"/>
          <w:lang w:val="en-US"/>
        </w:rPr>
        <w:t>Note(s): 1sqm = 10.76sqft</w:t>
      </w:r>
    </w:p>
    <w:p w14:paraId="0B2A8F27" w14:textId="77777777" w:rsidR="00B064C6" w:rsidRDefault="00B064C6">
      <w:pPr>
        <w:rPr>
          <w:sz w:val="20"/>
          <w:szCs w:val="20"/>
          <w:lang w:val="en-US"/>
        </w:rPr>
      </w:pPr>
    </w:p>
    <w:p w14:paraId="7AC285D5" w14:textId="77777777" w:rsidR="005019C3" w:rsidRDefault="005019C3">
      <w:pPr>
        <w:rPr>
          <w:lang w:val="en-US"/>
        </w:rPr>
      </w:pPr>
    </w:p>
    <w:p w14:paraId="13954533" w14:textId="77777777" w:rsidR="00B064C6" w:rsidRDefault="00B064C6" w:rsidP="00B064C6">
      <w:pPr>
        <w:tabs>
          <w:tab w:val="left" w:pos="709"/>
        </w:tabs>
        <w:spacing w:before="120" w:after="120" w:line="360" w:lineRule="auto"/>
        <w:jc w:val="both"/>
        <w:rPr>
          <w:lang w:val="en-US"/>
        </w:rPr>
      </w:pPr>
    </w:p>
    <w:p w14:paraId="608C8314" w14:textId="77777777" w:rsidR="005019C3" w:rsidRDefault="005019C3" w:rsidP="00B064C6">
      <w:pPr>
        <w:tabs>
          <w:tab w:val="left" w:pos="709"/>
        </w:tabs>
        <w:spacing w:before="120" w:after="120" w:line="360" w:lineRule="auto"/>
        <w:jc w:val="both"/>
        <w:rPr>
          <w:lang w:val="en-US"/>
        </w:rPr>
      </w:pPr>
    </w:p>
    <w:p w14:paraId="098D7009" w14:textId="77777777" w:rsidR="005019C3" w:rsidRDefault="005019C3" w:rsidP="00B064C6">
      <w:pPr>
        <w:tabs>
          <w:tab w:val="left" w:pos="709"/>
        </w:tabs>
        <w:spacing w:before="120" w:after="120" w:line="360" w:lineRule="auto"/>
        <w:jc w:val="both"/>
        <w:rPr>
          <w:lang w:val="en-US"/>
        </w:rPr>
      </w:pPr>
    </w:p>
    <w:p w14:paraId="120FAD9D" w14:textId="77777777" w:rsidR="005019C3" w:rsidRDefault="005019C3" w:rsidP="00B064C6">
      <w:pPr>
        <w:tabs>
          <w:tab w:val="left" w:pos="709"/>
        </w:tabs>
        <w:spacing w:before="120" w:after="120" w:line="360" w:lineRule="auto"/>
        <w:jc w:val="both"/>
        <w:rPr>
          <w:lang w:val="en-US"/>
        </w:rPr>
      </w:pPr>
    </w:p>
    <w:p w14:paraId="7E84172E" w14:textId="77777777" w:rsidR="005019C3" w:rsidRDefault="005019C3" w:rsidP="00B064C6">
      <w:pPr>
        <w:tabs>
          <w:tab w:val="left" w:pos="709"/>
        </w:tabs>
        <w:spacing w:before="120" w:after="120" w:line="360" w:lineRule="auto"/>
        <w:jc w:val="both"/>
        <w:rPr>
          <w:lang w:val="en-US"/>
        </w:rPr>
      </w:pPr>
    </w:p>
    <w:p w14:paraId="2C7A33ED" w14:textId="77777777" w:rsidR="005019C3" w:rsidRDefault="005019C3" w:rsidP="00B064C6">
      <w:pPr>
        <w:tabs>
          <w:tab w:val="left" w:pos="709"/>
        </w:tabs>
        <w:spacing w:before="120" w:after="120" w:line="360" w:lineRule="auto"/>
        <w:jc w:val="both"/>
        <w:rPr>
          <w:lang w:val="en-US"/>
        </w:rPr>
      </w:pPr>
    </w:p>
    <w:p w14:paraId="6726DA72" w14:textId="6D1A741A" w:rsidR="005019C3" w:rsidRDefault="005019C3" w:rsidP="00B064C6">
      <w:pPr>
        <w:tabs>
          <w:tab w:val="left" w:pos="709"/>
        </w:tabs>
        <w:spacing w:before="120" w:after="120" w:line="360" w:lineRule="auto"/>
        <w:jc w:val="both"/>
        <w:rPr>
          <w:lang w:val="en-US"/>
        </w:rPr>
      </w:pPr>
    </w:p>
    <w:p w14:paraId="2AE4EA2E" w14:textId="77777777" w:rsidR="009B09FF" w:rsidRDefault="009B09FF" w:rsidP="00B064C6">
      <w:pPr>
        <w:tabs>
          <w:tab w:val="left" w:pos="709"/>
        </w:tabs>
        <w:spacing w:before="120" w:after="120" w:line="360" w:lineRule="auto"/>
        <w:jc w:val="both"/>
        <w:rPr>
          <w:lang w:val="en-US"/>
        </w:rPr>
      </w:pPr>
    </w:p>
    <w:p w14:paraId="2C3A339A" w14:textId="77777777" w:rsidR="00B064C6" w:rsidRDefault="00B064C6" w:rsidP="00B064C6">
      <w:pPr>
        <w:tabs>
          <w:tab w:val="left" w:pos="709"/>
        </w:tabs>
        <w:spacing w:before="120" w:after="120" w:line="360" w:lineRule="auto"/>
        <w:jc w:val="both"/>
        <w:rPr>
          <w:lang w:val="en-US"/>
        </w:rPr>
      </w:pPr>
    </w:p>
    <w:p w14:paraId="4FDA6772" w14:textId="77777777" w:rsidR="00B064C6" w:rsidRPr="000F76CE" w:rsidRDefault="00B064C6" w:rsidP="00B064C6">
      <w:pPr>
        <w:tabs>
          <w:tab w:val="left" w:pos="709"/>
        </w:tabs>
        <w:spacing w:before="120" w:after="120" w:line="360" w:lineRule="auto"/>
        <w:jc w:val="both"/>
        <w:rPr>
          <w:b/>
          <w:sz w:val="20"/>
          <w:szCs w:val="20"/>
          <w:lang w:val="en-US"/>
        </w:rPr>
      </w:pPr>
      <w:r w:rsidRPr="007765AC">
        <w:rPr>
          <w:b/>
          <w:sz w:val="20"/>
          <w:szCs w:val="20"/>
          <w:lang w:val="en-US"/>
        </w:rPr>
        <w:t>Table 4: Hedonic</w:t>
      </w:r>
      <w:r w:rsidRPr="00A42891">
        <w:rPr>
          <w:b/>
          <w:sz w:val="20"/>
          <w:szCs w:val="20"/>
          <w:lang w:val="en-US"/>
        </w:rPr>
        <w:t xml:space="preserve"> Regression Estimates of Observed ln(Rent/sqm)</w:t>
      </w:r>
    </w:p>
    <w:tbl>
      <w:tblPr>
        <w:tblW w:w="4003" w:type="pct"/>
        <w:jc w:val="center"/>
        <w:tblLook w:val="04A0" w:firstRow="1" w:lastRow="0" w:firstColumn="1" w:lastColumn="0" w:noHBand="0" w:noVBand="1"/>
      </w:tblPr>
      <w:tblGrid>
        <w:gridCol w:w="2094"/>
        <w:gridCol w:w="1570"/>
        <w:gridCol w:w="1570"/>
        <w:gridCol w:w="1570"/>
      </w:tblGrid>
      <w:tr w:rsidR="00D267F7" w:rsidRPr="00DE0337" w14:paraId="4AE129D1" w14:textId="77777777" w:rsidTr="00D267F7">
        <w:trPr>
          <w:trHeight w:val="279"/>
          <w:jc w:val="center"/>
        </w:trPr>
        <w:tc>
          <w:tcPr>
            <w:tcW w:w="1538" w:type="pct"/>
            <w:tcBorders>
              <w:top w:val="single" w:sz="4" w:space="0" w:color="000000"/>
              <w:left w:val="nil"/>
              <w:bottom w:val="nil"/>
              <w:right w:val="single" w:sz="4" w:space="0" w:color="FFFFFF"/>
            </w:tcBorders>
            <w:shd w:val="clear" w:color="auto" w:fill="auto"/>
            <w:noWrap/>
            <w:vAlign w:val="bottom"/>
            <w:hideMark/>
          </w:tcPr>
          <w:p w14:paraId="08BF6BB7" w14:textId="77777777" w:rsidR="00D267F7" w:rsidRPr="00DE0337" w:rsidRDefault="00D267F7" w:rsidP="006631AF">
            <w:pPr>
              <w:rPr>
                <w:rFonts w:eastAsia="Times New Roman"/>
                <w:sz w:val="20"/>
                <w:szCs w:val="20"/>
                <w:lang w:val="en-US"/>
              </w:rPr>
            </w:pPr>
            <w:r w:rsidRPr="00DE0337">
              <w:rPr>
                <w:rFonts w:eastAsia="Times New Roman"/>
                <w:sz w:val="20"/>
                <w:szCs w:val="20"/>
                <w:lang w:val="en-US"/>
              </w:rPr>
              <w:t> </w:t>
            </w:r>
          </w:p>
        </w:tc>
        <w:tc>
          <w:tcPr>
            <w:tcW w:w="1154" w:type="pct"/>
            <w:tcBorders>
              <w:top w:val="single" w:sz="4" w:space="0" w:color="000000"/>
              <w:left w:val="single" w:sz="4" w:space="0" w:color="FFFFFF"/>
              <w:bottom w:val="single" w:sz="4" w:space="0" w:color="auto"/>
              <w:right w:val="nil"/>
            </w:tcBorders>
            <w:shd w:val="clear" w:color="auto" w:fill="auto"/>
            <w:noWrap/>
            <w:vAlign w:val="center"/>
            <w:hideMark/>
          </w:tcPr>
          <w:p w14:paraId="32940327" w14:textId="77777777" w:rsidR="00D267F7" w:rsidRPr="00DE0337" w:rsidRDefault="00D267F7" w:rsidP="006631AF">
            <w:pPr>
              <w:jc w:val="center"/>
              <w:rPr>
                <w:rFonts w:eastAsia="Times New Roman"/>
                <w:b/>
                <w:bCs/>
                <w:sz w:val="20"/>
                <w:szCs w:val="20"/>
                <w:lang w:val="en-US"/>
              </w:rPr>
            </w:pPr>
            <w:r>
              <w:rPr>
                <w:rFonts w:eastAsia="Times New Roman"/>
                <w:b/>
                <w:bCs/>
                <w:sz w:val="20"/>
                <w:szCs w:val="20"/>
                <w:lang w:val="en-US"/>
              </w:rPr>
              <w:t>(I</w:t>
            </w:r>
            <w:r w:rsidRPr="00DE0337">
              <w:rPr>
                <w:rFonts w:eastAsia="Times New Roman"/>
                <w:b/>
                <w:bCs/>
                <w:sz w:val="20"/>
                <w:szCs w:val="20"/>
                <w:lang w:val="en-US"/>
              </w:rPr>
              <w:t>)</w:t>
            </w:r>
          </w:p>
        </w:tc>
        <w:tc>
          <w:tcPr>
            <w:tcW w:w="1154" w:type="pct"/>
            <w:tcBorders>
              <w:top w:val="single" w:sz="4" w:space="0" w:color="000000"/>
              <w:left w:val="nil"/>
              <w:bottom w:val="single" w:sz="4" w:space="0" w:color="auto"/>
              <w:right w:val="nil"/>
            </w:tcBorders>
            <w:shd w:val="clear" w:color="auto" w:fill="auto"/>
            <w:noWrap/>
            <w:vAlign w:val="center"/>
            <w:hideMark/>
          </w:tcPr>
          <w:p w14:paraId="7349C76E" w14:textId="77777777" w:rsidR="00D267F7" w:rsidRPr="00DE0337" w:rsidRDefault="00D267F7" w:rsidP="006631AF">
            <w:pPr>
              <w:jc w:val="center"/>
              <w:rPr>
                <w:rFonts w:eastAsia="Times New Roman"/>
                <w:b/>
                <w:bCs/>
                <w:sz w:val="20"/>
                <w:szCs w:val="20"/>
                <w:lang w:val="en-US"/>
              </w:rPr>
            </w:pPr>
            <w:r w:rsidRPr="00DE0337">
              <w:rPr>
                <w:rFonts w:eastAsia="Times New Roman"/>
                <w:b/>
                <w:bCs/>
                <w:sz w:val="20"/>
                <w:szCs w:val="20"/>
                <w:lang w:val="en-US"/>
              </w:rPr>
              <w:t>(</w:t>
            </w:r>
            <w:r>
              <w:rPr>
                <w:rFonts w:eastAsia="Times New Roman"/>
                <w:b/>
                <w:bCs/>
                <w:sz w:val="20"/>
                <w:szCs w:val="20"/>
                <w:lang w:val="en-US"/>
              </w:rPr>
              <w:t>II</w:t>
            </w:r>
            <w:r w:rsidRPr="00DE0337">
              <w:rPr>
                <w:rFonts w:eastAsia="Times New Roman"/>
                <w:b/>
                <w:bCs/>
                <w:sz w:val="20"/>
                <w:szCs w:val="20"/>
                <w:lang w:val="en-US"/>
              </w:rPr>
              <w:t>)</w:t>
            </w:r>
          </w:p>
        </w:tc>
        <w:tc>
          <w:tcPr>
            <w:tcW w:w="1154" w:type="pct"/>
            <w:tcBorders>
              <w:top w:val="single" w:sz="4" w:space="0" w:color="000000"/>
              <w:left w:val="nil"/>
              <w:bottom w:val="single" w:sz="4" w:space="0" w:color="auto"/>
              <w:right w:val="single" w:sz="4" w:space="0" w:color="FFFFFF"/>
            </w:tcBorders>
            <w:shd w:val="clear" w:color="auto" w:fill="auto"/>
            <w:noWrap/>
            <w:vAlign w:val="center"/>
            <w:hideMark/>
          </w:tcPr>
          <w:p w14:paraId="7074C61D" w14:textId="77777777" w:rsidR="00D267F7" w:rsidRPr="00DE0337" w:rsidRDefault="00D267F7" w:rsidP="006631AF">
            <w:pPr>
              <w:jc w:val="center"/>
              <w:rPr>
                <w:rFonts w:eastAsia="Times New Roman"/>
                <w:b/>
                <w:bCs/>
                <w:sz w:val="20"/>
                <w:szCs w:val="20"/>
                <w:lang w:val="en-US"/>
              </w:rPr>
            </w:pPr>
            <w:r>
              <w:rPr>
                <w:rFonts w:eastAsia="Times New Roman"/>
                <w:b/>
                <w:bCs/>
                <w:sz w:val="20"/>
                <w:szCs w:val="20"/>
                <w:lang w:val="en-US"/>
              </w:rPr>
              <w:t>(III</w:t>
            </w:r>
            <w:r w:rsidRPr="00DE0337">
              <w:rPr>
                <w:rFonts w:eastAsia="Times New Roman"/>
                <w:b/>
                <w:bCs/>
                <w:sz w:val="20"/>
                <w:szCs w:val="20"/>
                <w:lang w:val="en-US"/>
              </w:rPr>
              <w:t>)</w:t>
            </w:r>
          </w:p>
        </w:tc>
      </w:tr>
      <w:tr w:rsidR="00D267F7" w:rsidRPr="00DE0337" w14:paraId="149FC7BC" w14:textId="77777777" w:rsidTr="00D267F7">
        <w:trPr>
          <w:trHeight w:val="280"/>
          <w:jc w:val="center"/>
        </w:trPr>
        <w:tc>
          <w:tcPr>
            <w:tcW w:w="1538" w:type="pct"/>
            <w:tcBorders>
              <w:top w:val="nil"/>
              <w:left w:val="nil"/>
              <w:bottom w:val="nil"/>
              <w:right w:val="single" w:sz="4" w:space="0" w:color="FFFFFF"/>
            </w:tcBorders>
            <w:shd w:val="clear" w:color="auto" w:fill="auto"/>
            <w:noWrap/>
            <w:vAlign w:val="center"/>
            <w:hideMark/>
          </w:tcPr>
          <w:p w14:paraId="3B0E0454" w14:textId="77777777" w:rsidR="00D267F7" w:rsidRPr="00704916" w:rsidRDefault="00D267F7" w:rsidP="006631AF">
            <w:pPr>
              <w:jc w:val="center"/>
              <w:rPr>
                <w:rFonts w:eastAsia="Times New Roman"/>
                <w:sz w:val="20"/>
                <w:szCs w:val="20"/>
                <w:lang w:val="en-US"/>
              </w:rPr>
            </w:pPr>
          </w:p>
        </w:tc>
        <w:tc>
          <w:tcPr>
            <w:tcW w:w="1154" w:type="pct"/>
            <w:vMerge w:val="restart"/>
            <w:tcBorders>
              <w:top w:val="nil"/>
              <w:left w:val="single" w:sz="4" w:space="0" w:color="FFFFFF"/>
              <w:bottom w:val="single" w:sz="4" w:space="0" w:color="000000"/>
              <w:right w:val="nil"/>
            </w:tcBorders>
            <w:shd w:val="clear" w:color="auto" w:fill="auto"/>
            <w:vAlign w:val="center"/>
            <w:hideMark/>
          </w:tcPr>
          <w:p w14:paraId="23C8D658" w14:textId="77777777" w:rsidR="00D267F7" w:rsidRDefault="00D267F7" w:rsidP="006631AF">
            <w:pPr>
              <w:jc w:val="center"/>
              <w:rPr>
                <w:rFonts w:eastAsia="Times New Roman"/>
                <w:bCs/>
                <w:sz w:val="20"/>
                <w:szCs w:val="20"/>
                <w:lang w:val="en-US"/>
              </w:rPr>
            </w:pPr>
            <w:r w:rsidRPr="00704916">
              <w:rPr>
                <w:rFonts w:eastAsia="Times New Roman"/>
                <w:bCs/>
                <w:sz w:val="20"/>
                <w:szCs w:val="20"/>
                <w:lang w:val="en-US"/>
              </w:rPr>
              <w:t xml:space="preserve">Total </w:t>
            </w:r>
          </w:p>
          <w:p w14:paraId="6AD3C0E9" w14:textId="77777777" w:rsidR="00D267F7" w:rsidRPr="00704916" w:rsidRDefault="00D267F7" w:rsidP="006631AF">
            <w:pPr>
              <w:jc w:val="center"/>
              <w:rPr>
                <w:rFonts w:eastAsia="Times New Roman"/>
                <w:bCs/>
                <w:sz w:val="20"/>
                <w:szCs w:val="20"/>
                <w:lang w:val="en-US"/>
              </w:rPr>
            </w:pPr>
            <w:r w:rsidRPr="00704916">
              <w:rPr>
                <w:rFonts w:eastAsia="Times New Roman"/>
                <w:bCs/>
                <w:sz w:val="20"/>
                <w:szCs w:val="20"/>
                <w:lang w:val="en-US"/>
              </w:rPr>
              <w:t>Sample</w:t>
            </w:r>
          </w:p>
        </w:tc>
        <w:tc>
          <w:tcPr>
            <w:tcW w:w="1154" w:type="pct"/>
            <w:vMerge w:val="restart"/>
            <w:tcBorders>
              <w:top w:val="nil"/>
              <w:left w:val="nil"/>
              <w:bottom w:val="single" w:sz="4" w:space="0" w:color="000000"/>
              <w:right w:val="nil"/>
            </w:tcBorders>
            <w:shd w:val="clear" w:color="auto" w:fill="auto"/>
            <w:vAlign w:val="center"/>
            <w:hideMark/>
          </w:tcPr>
          <w:p w14:paraId="589CADC5" w14:textId="77777777" w:rsidR="00D267F7" w:rsidRPr="00704916" w:rsidRDefault="00D267F7" w:rsidP="006631AF">
            <w:pPr>
              <w:jc w:val="center"/>
              <w:rPr>
                <w:rFonts w:eastAsia="Times New Roman"/>
                <w:bCs/>
                <w:sz w:val="20"/>
                <w:szCs w:val="20"/>
                <w:lang w:val="en-US"/>
              </w:rPr>
            </w:pPr>
            <w:r w:rsidRPr="00704916">
              <w:rPr>
                <w:rFonts w:eastAsia="Times New Roman"/>
                <w:bCs/>
                <w:sz w:val="20"/>
                <w:szCs w:val="20"/>
                <w:lang w:val="en-US"/>
              </w:rPr>
              <w:t>Corporate Sample</w:t>
            </w:r>
          </w:p>
        </w:tc>
        <w:tc>
          <w:tcPr>
            <w:tcW w:w="1154" w:type="pct"/>
            <w:vMerge w:val="restart"/>
            <w:tcBorders>
              <w:top w:val="nil"/>
              <w:left w:val="nil"/>
              <w:bottom w:val="single" w:sz="4" w:space="0" w:color="000000"/>
              <w:right w:val="single" w:sz="4" w:space="0" w:color="FFFFFF"/>
            </w:tcBorders>
            <w:shd w:val="clear" w:color="auto" w:fill="auto"/>
            <w:vAlign w:val="center"/>
            <w:hideMark/>
          </w:tcPr>
          <w:p w14:paraId="0DC3339D" w14:textId="77777777" w:rsidR="00D267F7" w:rsidRPr="00704916" w:rsidRDefault="00D267F7" w:rsidP="006631AF">
            <w:pPr>
              <w:jc w:val="center"/>
              <w:rPr>
                <w:rFonts w:eastAsia="Times New Roman"/>
                <w:bCs/>
                <w:sz w:val="20"/>
                <w:szCs w:val="20"/>
                <w:lang w:val="en-US"/>
              </w:rPr>
            </w:pPr>
            <w:r w:rsidRPr="00704916">
              <w:rPr>
                <w:rFonts w:eastAsia="Times New Roman"/>
                <w:bCs/>
                <w:sz w:val="20"/>
                <w:szCs w:val="20"/>
                <w:lang w:val="en-US"/>
              </w:rPr>
              <w:t>Smaller Occupier Sample</w:t>
            </w:r>
          </w:p>
        </w:tc>
      </w:tr>
      <w:tr w:rsidR="00D267F7" w:rsidRPr="00DE0337" w14:paraId="0A900085" w14:textId="77777777" w:rsidTr="00D267F7">
        <w:trPr>
          <w:trHeight w:val="639"/>
          <w:jc w:val="center"/>
        </w:trPr>
        <w:tc>
          <w:tcPr>
            <w:tcW w:w="1538" w:type="pct"/>
            <w:tcBorders>
              <w:top w:val="nil"/>
              <w:left w:val="nil"/>
              <w:bottom w:val="single" w:sz="4" w:space="0" w:color="auto"/>
              <w:right w:val="single" w:sz="4" w:space="0" w:color="FFFFFF"/>
            </w:tcBorders>
            <w:shd w:val="clear" w:color="auto" w:fill="auto"/>
            <w:noWrap/>
            <w:vAlign w:val="center"/>
            <w:hideMark/>
          </w:tcPr>
          <w:p w14:paraId="50BE2587" w14:textId="77777777" w:rsidR="00D267F7" w:rsidRPr="00704916" w:rsidRDefault="00D267F7" w:rsidP="006631AF">
            <w:pPr>
              <w:rPr>
                <w:rFonts w:eastAsia="Times New Roman"/>
                <w:bCs/>
                <w:sz w:val="20"/>
                <w:szCs w:val="20"/>
                <w:lang w:val="en-US"/>
              </w:rPr>
            </w:pPr>
            <w:r w:rsidRPr="00704916">
              <w:rPr>
                <w:rFonts w:eastAsia="Times New Roman"/>
                <w:bCs/>
                <w:sz w:val="20"/>
                <w:szCs w:val="20"/>
                <w:lang w:val="en-US"/>
              </w:rPr>
              <w:t>Variables</w:t>
            </w:r>
          </w:p>
        </w:tc>
        <w:tc>
          <w:tcPr>
            <w:tcW w:w="1154" w:type="pct"/>
            <w:vMerge/>
            <w:tcBorders>
              <w:top w:val="nil"/>
              <w:left w:val="single" w:sz="4" w:space="0" w:color="FFFFFF"/>
              <w:bottom w:val="single" w:sz="4" w:space="0" w:color="000000"/>
              <w:right w:val="nil"/>
            </w:tcBorders>
            <w:vAlign w:val="center"/>
            <w:hideMark/>
          </w:tcPr>
          <w:p w14:paraId="29B288A8" w14:textId="77777777" w:rsidR="00D267F7" w:rsidRPr="00704916" w:rsidRDefault="00D267F7" w:rsidP="006631AF">
            <w:pPr>
              <w:jc w:val="center"/>
              <w:rPr>
                <w:rFonts w:eastAsia="Times New Roman"/>
                <w:bCs/>
                <w:sz w:val="20"/>
                <w:szCs w:val="20"/>
                <w:lang w:val="en-US"/>
              </w:rPr>
            </w:pPr>
          </w:p>
        </w:tc>
        <w:tc>
          <w:tcPr>
            <w:tcW w:w="1154" w:type="pct"/>
            <w:vMerge/>
            <w:tcBorders>
              <w:top w:val="nil"/>
              <w:left w:val="nil"/>
              <w:bottom w:val="single" w:sz="4" w:space="0" w:color="000000"/>
              <w:right w:val="nil"/>
            </w:tcBorders>
            <w:vAlign w:val="center"/>
            <w:hideMark/>
          </w:tcPr>
          <w:p w14:paraId="41315BFD" w14:textId="77777777" w:rsidR="00D267F7" w:rsidRPr="00704916" w:rsidRDefault="00D267F7" w:rsidP="006631AF">
            <w:pPr>
              <w:jc w:val="center"/>
              <w:rPr>
                <w:rFonts w:eastAsia="Times New Roman"/>
                <w:bCs/>
                <w:sz w:val="20"/>
                <w:szCs w:val="20"/>
                <w:lang w:val="en-US"/>
              </w:rPr>
            </w:pPr>
          </w:p>
        </w:tc>
        <w:tc>
          <w:tcPr>
            <w:tcW w:w="1154" w:type="pct"/>
            <w:vMerge/>
            <w:tcBorders>
              <w:top w:val="nil"/>
              <w:left w:val="nil"/>
              <w:bottom w:val="single" w:sz="4" w:space="0" w:color="000000"/>
              <w:right w:val="single" w:sz="4" w:space="0" w:color="FFFFFF"/>
            </w:tcBorders>
            <w:vAlign w:val="center"/>
            <w:hideMark/>
          </w:tcPr>
          <w:p w14:paraId="1DA2D347" w14:textId="77777777" w:rsidR="00D267F7" w:rsidRPr="00704916" w:rsidRDefault="00D267F7" w:rsidP="006631AF">
            <w:pPr>
              <w:jc w:val="center"/>
              <w:rPr>
                <w:rFonts w:eastAsia="Times New Roman"/>
                <w:bCs/>
                <w:sz w:val="20"/>
                <w:szCs w:val="20"/>
                <w:lang w:val="en-US"/>
              </w:rPr>
            </w:pPr>
          </w:p>
        </w:tc>
      </w:tr>
      <w:tr w:rsidR="00D267F7" w:rsidRPr="00DE0337" w14:paraId="3746DE14"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tcPr>
          <w:p w14:paraId="5170AADC" w14:textId="77777777" w:rsidR="00D267F7" w:rsidRPr="00704916" w:rsidRDefault="00D267F7" w:rsidP="006631AF">
            <w:pPr>
              <w:rPr>
                <w:rFonts w:eastAsia="Times New Roman"/>
                <w:bCs/>
                <w:sz w:val="20"/>
                <w:szCs w:val="20"/>
                <w:lang w:val="en-US"/>
              </w:rPr>
            </w:pPr>
            <w:r w:rsidRPr="00704916">
              <w:rPr>
                <w:sz w:val="20"/>
                <w:szCs w:val="20"/>
                <w:lang w:val="en-US"/>
              </w:rPr>
              <w:t>Constant</w:t>
            </w:r>
          </w:p>
        </w:tc>
        <w:tc>
          <w:tcPr>
            <w:tcW w:w="1154" w:type="pct"/>
            <w:tcBorders>
              <w:top w:val="nil"/>
              <w:left w:val="single" w:sz="4" w:space="0" w:color="FFFFFF"/>
              <w:bottom w:val="nil"/>
              <w:right w:val="nil"/>
            </w:tcBorders>
            <w:shd w:val="clear" w:color="auto" w:fill="auto"/>
            <w:noWrap/>
            <w:vAlign w:val="bottom"/>
          </w:tcPr>
          <w:p w14:paraId="6A578AC4" w14:textId="77777777" w:rsidR="00D267F7" w:rsidRPr="00704916" w:rsidRDefault="00D267F7" w:rsidP="006631AF">
            <w:pPr>
              <w:jc w:val="center"/>
              <w:rPr>
                <w:rFonts w:eastAsia="Times New Roman"/>
                <w:sz w:val="20"/>
                <w:szCs w:val="20"/>
                <w:lang w:val="en-US"/>
              </w:rPr>
            </w:pPr>
            <w:r w:rsidRPr="00704916">
              <w:rPr>
                <w:sz w:val="20"/>
                <w:szCs w:val="20"/>
                <w:lang w:val="en-US"/>
              </w:rPr>
              <w:t>2.53***</w:t>
            </w:r>
          </w:p>
        </w:tc>
        <w:tc>
          <w:tcPr>
            <w:tcW w:w="1154" w:type="pct"/>
            <w:tcBorders>
              <w:top w:val="nil"/>
              <w:left w:val="nil"/>
              <w:bottom w:val="nil"/>
              <w:right w:val="nil"/>
            </w:tcBorders>
            <w:shd w:val="clear" w:color="auto" w:fill="auto"/>
            <w:noWrap/>
            <w:vAlign w:val="bottom"/>
          </w:tcPr>
          <w:p w14:paraId="3B738108" w14:textId="77777777" w:rsidR="00D267F7" w:rsidRPr="00704916" w:rsidRDefault="00D267F7" w:rsidP="006631AF">
            <w:pPr>
              <w:jc w:val="center"/>
              <w:rPr>
                <w:rFonts w:eastAsia="Times New Roman"/>
                <w:sz w:val="20"/>
                <w:szCs w:val="20"/>
                <w:lang w:val="en-US"/>
              </w:rPr>
            </w:pPr>
            <w:r w:rsidRPr="00704916">
              <w:rPr>
                <w:sz w:val="20"/>
                <w:szCs w:val="20"/>
                <w:lang w:val="en-US"/>
              </w:rPr>
              <w:t>2.49***</w:t>
            </w:r>
          </w:p>
        </w:tc>
        <w:tc>
          <w:tcPr>
            <w:tcW w:w="1154" w:type="pct"/>
            <w:tcBorders>
              <w:top w:val="nil"/>
              <w:left w:val="nil"/>
              <w:bottom w:val="nil"/>
              <w:right w:val="single" w:sz="4" w:space="0" w:color="FFFFFF"/>
            </w:tcBorders>
            <w:shd w:val="clear" w:color="auto" w:fill="auto"/>
            <w:noWrap/>
            <w:vAlign w:val="bottom"/>
          </w:tcPr>
          <w:p w14:paraId="5929E519" w14:textId="77777777" w:rsidR="00D267F7" w:rsidRPr="00704916" w:rsidRDefault="00D267F7" w:rsidP="006631AF">
            <w:pPr>
              <w:jc w:val="center"/>
              <w:rPr>
                <w:rFonts w:eastAsia="Times New Roman"/>
                <w:sz w:val="20"/>
                <w:szCs w:val="20"/>
                <w:lang w:val="en-US"/>
              </w:rPr>
            </w:pPr>
            <w:r w:rsidRPr="00704916">
              <w:rPr>
                <w:sz w:val="20"/>
                <w:szCs w:val="20"/>
                <w:lang w:val="en-US"/>
              </w:rPr>
              <w:t>2.70***</w:t>
            </w:r>
          </w:p>
        </w:tc>
      </w:tr>
      <w:tr w:rsidR="00D267F7" w:rsidRPr="00DE0337" w14:paraId="440A8252" w14:textId="77777777" w:rsidTr="00D267F7">
        <w:trPr>
          <w:trHeight w:val="280"/>
          <w:jc w:val="center"/>
        </w:trPr>
        <w:tc>
          <w:tcPr>
            <w:tcW w:w="1538" w:type="pct"/>
            <w:tcBorders>
              <w:top w:val="nil"/>
              <w:left w:val="nil"/>
              <w:bottom w:val="single" w:sz="4" w:space="0" w:color="FFFFFF" w:themeColor="background1"/>
              <w:right w:val="single" w:sz="4" w:space="0" w:color="FFFFFF"/>
            </w:tcBorders>
            <w:shd w:val="clear" w:color="auto" w:fill="auto"/>
            <w:noWrap/>
            <w:vAlign w:val="bottom"/>
          </w:tcPr>
          <w:p w14:paraId="34C2719E" w14:textId="77777777" w:rsidR="00D267F7" w:rsidRPr="00704916" w:rsidRDefault="00D267F7" w:rsidP="006631AF">
            <w:pPr>
              <w:rPr>
                <w:rFonts w:eastAsia="Times New Roman"/>
                <w:bCs/>
                <w:sz w:val="20"/>
                <w:szCs w:val="20"/>
                <w:lang w:val="en-US"/>
              </w:rPr>
            </w:pPr>
          </w:p>
        </w:tc>
        <w:tc>
          <w:tcPr>
            <w:tcW w:w="1154" w:type="pct"/>
            <w:tcBorders>
              <w:top w:val="nil"/>
              <w:left w:val="single" w:sz="4" w:space="0" w:color="FFFFFF"/>
              <w:bottom w:val="single" w:sz="4" w:space="0" w:color="FFFFFF" w:themeColor="background1"/>
              <w:right w:val="nil"/>
            </w:tcBorders>
            <w:shd w:val="clear" w:color="auto" w:fill="auto"/>
            <w:noWrap/>
            <w:vAlign w:val="bottom"/>
          </w:tcPr>
          <w:p w14:paraId="228D97C3" w14:textId="77777777" w:rsidR="00D267F7" w:rsidRPr="00704916" w:rsidRDefault="00D267F7" w:rsidP="006631AF">
            <w:pPr>
              <w:jc w:val="center"/>
              <w:rPr>
                <w:rFonts w:eastAsia="Times New Roman"/>
                <w:sz w:val="20"/>
                <w:szCs w:val="20"/>
                <w:lang w:val="en-US"/>
              </w:rPr>
            </w:pPr>
            <w:r w:rsidRPr="00704916">
              <w:rPr>
                <w:sz w:val="20"/>
                <w:szCs w:val="20"/>
                <w:lang w:val="en-US"/>
              </w:rPr>
              <w:t>(8.4)</w:t>
            </w:r>
          </w:p>
        </w:tc>
        <w:tc>
          <w:tcPr>
            <w:tcW w:w="1154" w:type="pct"/>
            <w:tcBorders>
              <w:top w:val="nil"/>
              <w:left w:val="nil"/>
              <w:bottom w:val="single" w:sz="4" w:space="0" w:color="FFFFFF" w:themeColor="background1"/>
              <w:right w:val="nil"/>
            </w:tcBorders>
            <w:shd w:val="clear" w:color="auto" w:fill="auto"/>
            <w:noWrap/>
            <w:vAlign w:val="bottom"/>
          </w:tcPr>
          <w:p w14:paraId="2D03D3C1" w14:textId="77777777" w:rsidR="00D267F7" w:rsidRPr="00704916" w:rsidRDefault="00D267F7" w:rsidP="006631AF">
            <w:pPr>
              <w:jc w:val="center"/>
              <w:rPr>
                <w:rFonts w:eastAsia="Times New Roman"/>
                <w:sz w:val="20"/>
                <w:szCs w:val="20"/>
                <w:lang w:val="en-US"/>
              </w:rPr>
            </w:pPr>
            <w:r w:rsidRPr="00704916">
              <w:rPr>
                <w:sz w:val="20"/>
                <w:szCs w:val="20"/>
                <w:lang w:val="en-US"/>
              </w:rPr>
              <w:t>(12.9)</w:t>
            </w:r>
          </w:p>
        </w:tc>
        <w:tc>
          <w:tcPr>
            <w:tcW w:w="1154" w:type="pct"/>
            <w:tcBorders>
              <w:top w:val="nil"/>
              <w:left w:val="nil"/>
              <w:bottom w:val="single" w:sz="4" w:space="0" w:color="FFFFFF" w:themeColor="background1"/>
              <w:right w:val="single" w:sz="4" w:space="0" w:color="FFFFFF"/>
            </w:tcBorders>
            <w:shd w:val="clear" w:color="auto" w:fill="auto"/>
            <w:noWrap/>
            <w:vAlign w:val="bottom"/>
          </w:tcPr>
          <w:p w14:paraId="06DF6AA2" w14:textId="77777777" w:rsidR="00D267F7" w:rsidRPr="00704916" w:rsidRDefault="00D267F7" w:rsidP="006631AF">
            <w:pPr>
              <w:jc w:val="center"/>
              <w:rPr>
                <w:rFonts w:eastAsia="Times New Roman"/>
                <w:sz w:val="20"/>
                <w:szCs w:val="20"/>
                <w:lang w:val="en-US"/>
              </w:rPr>
            </w:pPr>
            <w:r w:rsidRPr="00704916">
              <w:rPr>
                <w:sz w:val="20"/>
                <w:szCs w:val="20"/>
                <w:lang w:val="en-US"/>
              </w:rPr>
              <w:t>(7.1)</w:t>
            </w:r>
          </w:p>
        </w:tc>
      </w:tr>
      <w:tr w:rsidR="00D267F7" w:rsidRPr="00DE0337" w14:paraId="036BA74A" w14:textId="77777777" w:rsidTr="00D267F7">
        <w:trPr>
          <w:trHeight w:val="280"/>
          <w:jc w:val="center"/>
        </w:trPr>
        <w:tc>
          <w:tcPr>
            <w:tcW w:w="1538" w:type="pct"/>
            <w:tcBorders>
              <w:top w:val="single" w:sz="4" w:space="0" w:color="FFFFFF" w:themeColor="background1"/>
              <w:left w:val="nil"/>
              <w:bottom w:val="nil"/>
              <w:right w:val="single" w:sz="4" w:space="0" w:color="FFFFFF"/>
            </w:tcBorders>
            <w:shd w:val="clear" w:color="auto" w:fill="auto"/>
            <w:noWrap/>
            <w:vAlign w:val="bottom"/>
            <w:hideMark/>
          </w:tcPr>
          <w:p w14:paraId="623669D7" w14:textId="77777777" w:rsidR="00D267F7" w:rsidRPr="00704916" w:rsidRDefault="00D267F7" w:rsidP="006631AF">
            <w:pPr>
              <w:rPr>
                <w:rFonts w:eastAsia="Times New Roman"/>
                <w:bCs/>
                <w:sz w:val="20"/>
                <w:szCs w:val="20"/>
                <w:lang w:val="en-US"/>
              </w:rPr>
            </w:pPr>
            <w:r w:rsidRPr="00704916">
              <w:rPr>
                <w:rFonts w:eastAsia="Times New Roman"/>
                <w:bCs/>
                <w:sz w:val="20"/>
                <w:szCs w:val="20"/>
                <w:lang w:val="en-US"/>
              </w:rPr>
              <w:t>ln (Size)</w:t>
            </w:r>
          </w:p>
        </w:tc>
        <w:tc>
          <w:tcPr>
            <w:tcW w:w="1154" w:type="pct"/>
            <w:tcBorders>
              <w:top w:val="single" w:sz="4" w:space="0" w:color="FFFFFF" w:themeColor="background1"/>
              <w:left w:val="single" w:sz="4" w:space="0" w:color="FFFFFF"/>
              <w:bottom w:val="nil"/>
            </w:tcBorders>
            <w:shd w:val="clear" w:color="auto" w:fill="auto"/>
            <w:noWrap/>
            <w:vAlign w:val="bottom"/>
            <w:hideMark/>
          </w:tcPr>
          <w:p w14:paraId="5C874614"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0.12***</w:t>
            </w:r>
          </w:p>
        </w:tc>
        <w:tc>
          <w:tcPr>
            <w:tcW w:w="1154" w:type="pct"/>
            <w:tcBorders>
              <w:top w:val="single" w:sz="4" w:space="0" w:color="FFFFFF" w:themeColor="background1"/>
              <w:bottom w:val="nil"/>
            </w:tcBorders>
            <w:shd w:val="clear" w:color="auto" w:fill="auto"/>
            <w:noWrap/>
            <w:vAlign w:val="bottom"/>
            <w:hideMark/>
          </w:tcPr>
          <w:p w14:paraId="4C985976"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0.14***</w:t>
            </w:r>
          </w:p>
        </w:tc>
        <w:tc>
          <w:tcPr>
            <w:tcW w:w="1154" w:type="pct"/>
            <w:tcBorders>
              <w:top w:val="single" w:sz="4" w:space="0" w:color="FFFFFF" w:themeColor="background1"/>
              <w:bottom w:val="nil"/>
              <w:right w:val="single" w:sz="4" w:space="0" w:color="FFFFFF"/>
            </w:tcBorders>
            <w:shd w:val="clear" w:color="auto" w:fill="auto"/>
            <w:noWrap/>
            <w:vAlign w:val="bottom"/>
            <w:hideMark/>
          </w:tcPr>
          <w:p w14:paraId="0BACE8CD"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0.09*</w:t>
            </w:r>
          </w:p>
        </w:tc>
      </w:tr>
      <w:tr w:rsidR="00D267F7" w:rsidRPr="00DE0337" w14:paraId="56DFD5C8"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53FD78CE"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w:t>
            </w:r>
          </w:p>
        </w:tc>
        <w:tc>
          <w:tcPr>
            <w:tcW w:w="1154" w:type="pct"/>
            <w:tcBorders>
              <w:top w:val="nil"/>
              <w:left w:val="single" w:sz="4" w:space="0" w:color="FFFFFF"/>
              <w:bottom w:val="nil"/>
              <w:right w:val="nil"/>
            </w:tcBorders>
            <w:shd w:val="clear" w:color="auto" w:fill="auto"/>
            <w:noWrap/>
            <w:vAlign w:val="bottom"/>
            <w:hideMark/>
          </w:tcPr>
          <w:p w14:paraId="3E105625"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(3.5)</w:t>
            </w:r>
          </w:p>
        </w:tc>
        <w:tc>
          <w:tcPr>
            <w:tcW w:w="1154" w:type="pct"/>
            <w:tcBorders>
              <w:top w:val="nil"/>
              <w:left w:val="nil"/>
              <w:bottom w:val="nil"/>
              <w:right w:val="nil"/>
            </w:tcBorders>
            <w:shd w:val="clear" w:color="auto" w:fill="auto"/>
            <w:noWrap/>
            <w:vAlign w:val="bottom"/>
            <w:hideMark/>
          </w:tcPr>
          <w:p w14:paraId="13C5A515"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(6.0)</w:t>
            </w:r>
          </w:p>
        </w:tc>
        <w:tc>
          <w:tcPr>
            <w:tcW w:w="1154" w:type="pct"/>
            <w:tcBorders>
              <w:top w:val="nil"/>
              <w:left w:val="nil"/>
              <w:bottom w:val="nil"/>
              <w:right w:val="single" w:sz="4" w:space="0" w:color="FFFFFF"/>
            </w:tcBorders>
            <w:shd w:val="clear" w:color="auto" w:fill="auto"/>
            <w:noWrap/>
            <w:vAlign w:val="bottom"/>
            <w:hideMark/>
          </w:tcPr>
          <w:p w14:paraId="205ACFBA"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(2.0)</w:t>
            </w:r>
          </w:p>
        </w:tc>
      </w:tr>
      <w:tr w:rsidR="00D267F7" w:rsidRPr="00DE0337" w14:paraId="2C020078"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641930DF"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Age (years)</w:t>
            </w:r>
            <w:r w:rsidRPr="00704916">
              <w:rPr>
                <w:i/>
                <w:color w:val="000000" w:themeColor="text1"/>
                <w:highlight w:val="yellow"/>
                <w:lang w:val="en-US"/>
              </w:rPr>
              <w:t xml:space="preserve"> </w:t>
            </w:r>
          </w:p>
        </w:tc>
        <w:tc>
          <w:tcPr>
            <w:tcW w:w="1154" w:type="pct"/>
            <w:tcBorders>
              <w:top w:val="nil"/>
              <w:left w:val="single" w:sz="4" w:space="0" w:color="FFFFFF"/>
              <w:bottom w:val="nil"/>
              <w:right w:val="nil"/>
            </w:tcBorders>
            <w:shd w:val="clear" w:color="auto" w:fill="auto"/>
            <w:noWrap/>
            <w:vAlign w:val="bottom"/>
            <w:hideMark/>
          </w:tcPr>
          <w:p w14:paraId="3574C556" w14:textId="77777777" w:rsidR="00D267F7" w:rsidRPr="00704916" w:rsidRDefault="00D267F7" w:rsidP="006631AF">
            <w:pPr>
              <w:jc w:val="center"/>
              <w:rPr>
                <w:rFonts w:eastAsia="Times New Roman"/>
                <w:sz w:val="20"/>
                <w:szCs w:val="20"/>
                <w:lang w:val="en-US"/>
              </w:rPr>
            </w:pPr>
          </w:p>
        </w:tc>
        <w:tc>
          <w:tcPr>
            <w:tcW w:w="1154" w:type="pct"/>
            <w:tcBorders>
              <w:top w:val="nil"/>
              <w:left w:val="nil"/>
              <w:bottom w:val="nil"/>
              <w:right w:val="nil"/>
            </w:tcBorders>
            <w:shd w:val="clear" w:color="auto" w:fill="auto"/>
            <w:noWrap/>
            <w:vAlign w:val="bottom"/>
            <w:hideMark/>
          </w:tcPr>
          <w:p w14:paraId="5BC3446A" w14:textId="77777777" w:rsidR="00D267F7" w:rsidRPr="00704916" w:rsidRDefault="00D267F7" w:rsidP="006631AF">
            <w:pPr>
              <w:jc w:val="center"/>
              <w:rPr>
                <w:rFonts w:eastAsia="Times New Roman"/>
                <w:sz w:val="20"/>
                <w:szCs w:val="20"/>
                <w:lang w:val="en-US"/>
              </w:rPr>
            </w:pPr>
          </w:p>
        </w:tc>
        <w:tc>
          <w:tcPr>
            <w:tcW w:w="1154" w:type="pct"/>
            <w:tcBorders>
              <w:top w:val="nil"/>
              <w:left w:val="nil"/>
              <w:bottom w:val="nil"/>
              <w:right w:val="single" w:sz="4" w:space="0" w:color="FFFFFF"/>
            </w:tcBorders>
            <w:shd w:val="clear" w:color="auto" w:fill="auto"/>
            <w:noWrap/>
            <w:vAlign w:val="bottom"/>
            <w:hideMark/>
          </w:tcPr>
          <w:p w14:paraId="6D247DFB"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 </w:t>
            </w:r>
          </w:p>
        </w:tc>
      </w:tr>
      <w:tr w:rsidR="00D267F7" w:rsidRPr="00DE0337" w14:paraId="3AA7ED0C"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63D8BFDA"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xml:space="preserve">   5 to 9 </w:t>
            </w:r>
          </w:p>
        </w:tc>
        <w:tc>
          <w:tcPr>
            <w:tcW w:w="1154" w:type="pct"/>
            <w:tcBorders>
              <w:top w:val="nil"/>
              <w:left w:val="single" w:sz="4" w:space="0" w:color="FFFFFF"/>
              <w:bottom w:val="nil"/>
              <w:right w:val="nil"/>
            </w:tcBorders>
            <w:shd w:val="clear" w:color="auto" w:fill="auto"/>
            <w:noWrap/>
            <w:vAlign w:val="bottom"/>
            <w:hideMark/>
          </w:tcPr>
          <w:p w14:paraId="0D44FA3F"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-0.07**</w:t>
            </w:r>
          </w:p>
        </w:tc>
        <w:tc>
          <w:tcPr>
            <w:tcW w:w="1154" w:type="pct"/>
            <w:tcBorders>
              <w:top w:val="nil"/>
              <w:left w:val="nil"/>
              <w:bottom w:val="nil"/>
              <w:right w:val="nil"/>
            </w:tcBorders>
            <w:shd w:val="clear" w:color="auto" w:fill="auto"/>
            <w:noWrap/>
            <w:vAlign w:val="bottom"/>
            <w:hideMark/>
          </w:tcPr>
          <w:p w14:paraId="2A40F384"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-0.08***</w:t>
            </w:r>
          </w:p>
        </w:tc>
        <w:tc>
          <w:tcPr>
            <w:tcW w:w="1154" w:type="pct"/>
            <w:tcBorders>
              <w:top w:val="nil"/>
              <w:left w:val="nil"/>
              <w:bottom w:val="nil"/>
              <w:right w:val="single" w:sz="4" w:space="0" w:color="FFFFFF"/>
            </w:tcBorders>
            <w:shd w:val="clear" w:color="auto" w:fill="auto"/>
            <w:noWrap/>
            <w:vAlign w:val="bottom"/>
            <w:hideMark/>
          </w:tcPr>
          <w:p w14:paraId="18CAE460"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-0.09***</w:t>
            </w:r>
          </w:p>
        </w:tc>
      </w:tr>
      <w:tr w:rsidR="00D267F7" w:rsidRPr="00DE0337" w14:paraId="4C776AF5"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573DCBB6"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w:t>
            </w:r>
          </w:p>
        </w:tc>
        <w:tc>
          <w:tcPr>
            <w:tcW w:w="1154" w:type="pct"/>
            <w:tcBorders>
              <w:top w:val="nil"/>
              <w:left w:val="single" w:sz="4" w:space="0" w:color="FFFFFF"/>
              <w:bottom w:val="nil"/>
              <w:right w:val="nil"/>
            </w:tcBorders>
            <w:shd w:val="clear" w:color="auto" w:fill="auto"/>
            <w:noWrap/>
            <w:vAlign w:val="bottom"/>
            <w:hideMark/>
          </w:tcPr>
          <w:p w14:paraId="78BCE399"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(-2.8)</w:t>
            </w:r>
          </w:p>
        </w:tc>
        <w:tc>
          <w:tcPr>
            <w:tcW w:w="1154" w:type="pct"/>
            <w:tcBorders>
              <w:top w:val="nil"/>
              <w:left w:val="nil"/>
              <w:bottom w:val="nil"/>
              <w:right w:val="nil"/>
            </w:tcBorders>
            <w:shd w:val="clear" w:color="auto" w:fill="auto"/>
            <w:noWrap/>
            <w:vAlign w:val="bottom"/>
            <w:hideMark/>
          </w:tcPr>
          <w:p w14:paraId="017466A9"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(-3.3)</w:t>
            </w:r>
          </w:p>
        </w:tc>
        <w:tc>
          <w:tcPr>
            <w:tcW w:w="1154" w:type="pct"/>
            <w:tcBorders>
              <w:top w:val="nil"/>
              <w:left w:val="nil"/>
              <w:bottom w:val="nil"/>
              <w:right w:val="single" w:sz="4" w:space="0" w:color="FFFFFF"/>
            </w:tcBorders>
            <w:shd w:val="clear" w:color="auto" w:fill="auto"/>
            <w:noWrap/>
            <w:vAlign w:val="bottom"/>
            <w:hideMark/>
          </w:tcPr>
          <w:p w14:paraId="69932175"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(-4.6)</w:t>
            </w:r>
          </w:p>
        </w:tc>
      </w:tr>
      <w:tr w:rsidR="00D267F7" w:rsidRPr="00DE0337" w14:paraId="43BF136E"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1C4F1C10"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xml:space="preserve">   10 to 14</w:t>
            </w:r>
          </w:p>
        </w:tc>
        <w:tc>
          <w:tcPr>
            <w:tcW w:w="1154" w:type="pct"/>
            <w:tcBorders>
              <w:top w:val="nil"/>
              <w:left w:val="single" w:sz="4" w:space="0" w:color="FFFFFF"/>
              <w:bottom w:val="nil"/>
              <w:right w:val="nil"/>
            </w:tcBorders>
            <w:shd w:val="clear" w:color="auto" w:fill="auto"/>
            <w:noWrap/>
            <w:vAlign w:val="bottom"/>
            <w:hideMark/>
          </w:tcPr>
          <w:p w14:paraId="21F44A3C"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-0.20***</w:t>
            </w:r>
          </w:p>
        </w:tc>
        <w:tc>
          <w:tcPr>
            <w:tcW w:w="1154" w:type="pct"/>
            <w:tcBorders>
              <w:top w:val="nil"/>
              <w:left w:val="nil"/>
              <w:bottom w:val="nil"/>
              <w:right w:val="nil"/>
            </w:tcBorders>
            <w:shd w:val="clear" w:color="auto" w:fill="auto"/>
            <w:noWrap/>
            <w:vAlign w:val="bottom"/>
            <w:hideMark/>
          </w:tcPr>
          <w:p w14:paraId="33D0B105"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-0.22***</w:t>
            </w:r>
          </w:p>
        </w:tc>
        <w:tc>
          <w:tcPr>
            <w:tcW w:w="1154" w:type="pct"/>
            <w:tcBorders>
              <w:top w:val="nil"/>
              <w:left w:val="nil"/>
              <w:bottom w:val="nil"/>
              <w:right w:val="single" w:sz="4" w:space="0" w:color="FFFFFF"/>
            </w:tcBorders>
            <w:shd w:val="clear" w:color="auto" w:fill="auto"/>
            <w:noWrap/>
            <w:vAlign w:val="bottom"/>
            <w:hideMark/>
          </w:tcPr>
          <w:p w14:paraId="6823E2C2"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-0.21***</w:t>
            </w:r>
          </w:p>
        </w:tc>
      </w:tr>
      <w:tr w:rsidR="00D267F7" w:rsidRPr="00DE0337" w14:paraId="37CE069F"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14592C78"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w:t>
            </w:r>
          </w:p>
        </w:tc>
        <w:tc>
          <w:tcPr>
            <w:tcW w:w="1154" w:type="pct"/>
            <w:tcBorders>
              <w:top w:val="nil"/>
              <w:left w:val="single" w:sz="4" w:space="0" w:color="FFFFFF"/>
              <w:bottom w:val="nil"/>
              <w:right w:val="nil"/>
            </w:tcBorders>
            <w:shd w:val="clear" w:color="auto" w:fill="auto"/>
            <w:noWrap/>
            <w:vAlign w:val="bottom"/>
            <w:hideMark/>
          </w:tcPr>
          <w:p w14:paraId="3C0BB257"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(-8.6)</w:t>
            </w:r>
          </w:p>
        </w:tc>
        <w:tc>
          <w:tcPr>
            <w:tcW w:w="1154" w:type="pct"/>
            <w:tcBorders>
              <w:top w:val="nil"/>
              <w:left w:val="nil"/>
              <w:bottom w:val="nil"/>
              <w:right w:val="nil"/>
            </w:tcBorders>
            <w:shd w:val="clear" w:color="auto" w:fill="auto"/>
            <w:noWrap/>
            <w:vAlign w:val="bottom"/>
            <w:hideMark/>
          </w:tcPr>
          <w:p w14:paraId="27C576AB"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(-5.3)</w:t>
            </w:r>
          </w:p>
        </w:tc>
        <w:tc>
          <w:tcPr>
            <w:tcW w:w="1154" w:type="pct"/>
            <w:tcBorders>
              <w:top w:val="nil"/>
              <w:left w:val="nil"/>
              <w:bottom w:val="nil"/>
              <w:right w:val="single" w:sz="4" w:space="0" w:color="FFFFFF"/>
            </w:tcBorders>
            <w:shd w:val="clear" w:color="auto" w:fill="auto"/>
            <w:noWrap/>
            <w:vAlign w:val="bottom"/>
            <w:hideMark/>
          </w:tcPr>
          <w:p w14:paraId="5D664766"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(-8.9)</w:t>
            </w:r>
          </w:p>
        </w:tc>
      </w:tr>
      <w:tr w:rsidR="00D267F7" w:rsidRPr="00DE0337" w14:paraId="5A740706"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75E0D12F"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xml:space="preserve">   15 to 19</w:t>
            </w:r>
          </w:p>
        </w:tc>
        <w:tc>
          <w:tcPr>
            <w:tcW w:w="1154" w:type="pct"/>
            <w:tcBorders>
              <w:top w:val="nil"/>
              <w:left w:val="single" w:sz="4" w:space="0" w:color="FFFFFF"/>
              <w:bottom w:val="nil"/>
              <w:right w:val="nil"/>
            </w:tcBorders>
            <w:shd w:val="clear" w:color="auto" w:fill="auto"/>
            <w:noWrap/>
            <w:vAlign w:val="bottom"/>
            <w:hideMark/>
          </w:tcPr>
          <w:p w14:paraId="4CC5E698"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-0.29***</w:t>
            </w:r>
          </w:p>
        </w:tc>
        <w:tc>
          <w:tcPr>
            <w:tcW w:w="1154" w:type="pct"/>
            <w:tcBorders>
              <w:top w:val="nil"/>
              <w:left w:val="nil"/>
              <w:bottom w:val="nil"/>
              <w:right w:val="nil"/>
            </w:tcBorders>
            <w:shd w:val="clear" w:color="auto" w:fill="auto"/>
            <w:noWrap/>
            <w:vAlign w:val="bottom"/>
            <w:hideMark/>
          </w:tcPr>
          <w:p w14:paraId="5F2C2C0F"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-0.34***</w:t>
            </w:r>
          </w:p>
        </w:tc>
        <w:tc>
          <w:tcPr>
            <w:tcW w:w="1154" w:type="pct"/>
            <w:tcBorders>
              <w:top w:val="nil"/>
              <w:left w:val="nil"/>
              <w:bottom w:val="nil"/>
              <w:right w:val="single" w:sz="4" w:space="0" w:color="FFFFFF"/>
            </w:tcBorders>
            <w:shd w:val="clear" w:color="auto" w:fill="auto"/>
            <w:noWrap/>
            <w:vAlign w:val="bottom"/>
            <w:hideMark/>
          </w:tcPr>
          <w:p w14:paraId="3CA3294B"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-0.31***</w:t>
            </w:r>
          </w:p>
        </w:tc>
      </w:tr>
      <w:tr w:rsidR="00D267F7" w:rsidRPr="00DE0337" w14:paraId="7F22A5B5"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303E56C9"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w:t>
            </w:r>
          </w:p>
        </w:tc>
        <w:tc>
          <w:tcPr>
            <w:tcW w:w="1154" w:type="pct"/>
            <w:tcBorders>
              <w:top w:val="nil"/>
              <w:left w:val="single" w:sz="4" w:space="0" w:color="FFFFFF"/>
              <w:bottom w:val="nil"/>
              <w:right w:val="nil"/>
            </w:tcBorders>
            <w:shd w:val="clear" w:color="auto" w:fill="auto"/>
            <w:noWrap/>
            <w:vAlign w:val="bottom"/>
            <w:hideMark/>
          </w:tcPr>
          <w:p w14:paraId="62941C2F"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(-11.1)</w:t>
            </w:r>
          </w:p>
        </w:tc>
        <w:tc>
          <w:tcPr>
            <w:tcW w:w="1154" w:type="pct"/>
            <w:tcBorders>
              <w:top w:val="nil"/>
              <w:left w:val="nil"/>
              <w:bottom w:val="nil"/>
              <w:right w:val="nil"/>
            </w:tcBorders>
            <w:shd w:val="clear" w:color="auto" w:fill="auto"/>
            <w:noWrap/>
            <w:vAlign w:val="bottom"/>
            <w:hideMark/>
          </w:tcPr>
          <w:p w14:paraId="670A15A2"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(-7.6)</w:t>
            </w:r>
          </w:p>
        </w:tc>
        <w:tc>
          <w:tcPr>
            <w:tcW w:w="1154" w:type="pct"/>
            <w:tcBorders>
              <w:top w:val="nil"/>
              <w:left w:val="nil"/>
              <w:bottom w:val="nil"/>
              <w:right w:val="single" w:sz="4" w:space="0" w:color="FFFFFF"/>
            </w:tcBorders>
            <w:shd w:val="clear" w:color="auto" w:fill="auto"/>
            <w:noWrap/>
            <w:vAlign w:val="bottom"/>
            <w:hideMark/>
          </w:tcPr>
          <w:p w14:paraId="08ECCA89"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(-10.1)</w:t>
            </w:r>
          </w:p>
        </w:tc>
      </w:tr>
      <w:tr w:rsidR="00D267F7" w:rsidRPr="00DE0337" w14:paraId="426CEEB9"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6F3C1CF1"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xml:space="preserve">   20 to 24</w:t>
            </w:r>
          </w:p>
        </w:tc>
        <w:tc>
          <w:tcPr>
            <w:tcW w:w="1154" w:type="pct"/>
            <w:tcBorders>
              <w:top w:val="nil"/>
              <w:left w:val="single" w:sz="4" w:space="0" w:color="FFFFFF"/>
              <w:bottom w:val="nil"/>
              <w:right w:val="nil"/>
            </w:tcBorders>
            <w:shd w:val="clear" w:color="auto" w:fill="auto"/>
            <w:noWrap/>
            <w:vAlign w:val="bottom"/>
            <w:hideMark/>
          </w:tcPr>
          <w:p w14:paraId="702F440E"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-0.34***</w:t>
            </w:r>
          </w:p>
        </w:tc>
        <w:tc>
          <w:tcPr>
            <w:tcW w:w="1154" w:type="pct"/>
            <w:tcBorders>
              <w:top w:val="nil"/>
              <w:left w:val="nil"/>
              <w:bottom w:val="nil"/>
              <w:right w:val="nil"/>
            </w:tcBorders>
            <w:shd w:val="clear" w:color="auto" w:fill="auto"/>
            <w:noWrap/>
            <w:vAlign w:val="bottom"/>
            <w:hideMark/>
          </w:tcPr>
          <w:p w14:paraId="6052CCB0"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-0.46***</w:t>
            </w:r>
          </w:p>
        </w:tc>
        <w:tc>
          <w:tcPr>
            <w:tcW w:w="1154" w:type="pct"/>
            <w:tcBorders>
              <w:top w:val="nil"/>
              <w:left w:val="nil"/>
              <w:bottom w:val="nil"/>
              <w:right w:val="single" w:sz="4" w:space="0" w:color="FFFFFF"/>
            </w:tcBorders>
            <w:shd w:val="clear" w:color="auto" w:fill="auto"/>
            <w:noWrap/>
            <w:vAlign w:val="bottom"/>
            <w:hideMark/>
          </w:tcPr>
          <w:p w14:paraId="638362AA"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-0.33***</w:t>
            </w:r>
          </w:p>
        </w:tc>
      </w:tr>
      <w:tr w:rsidR="00D267F7" w:rsidRPr="00DE0337" w14:paraId="6FAC3365"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680EF650"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w:t>
            </w:r>
          </w:p>
        </w:tc>
        <w:tc>
          <w:tcPr>
            <w:tcW w:w="1154" w:type="pct"/>
            <w:tcBorders>
              <w:top w:val="nil"/>
              <w:left w:val="single" w:sz="4" w:space="0" w:color="FFFFFF"/>
              <w:bottom w:val="nil"/>
              <w:right w:val="nil"/>
            </w:tcBorders>
            <w:shd w:val="clear" w:color="auto" w:fill="auto"/>
            <w:noWrap/>
            <w:vAlign w:val="bottom"/>
            <w:hideMark/>
          </w:tcPr>
          <w:p w14:paraId="210C435D"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(-9.7)</w:t>
            </w:r>
          </w:p>
        </w:tc>
        <w:tc>
          <w:tcPr>
            <w:tcW w:w="1154" w:type="pct"/>
            <w:tcBorders>
              <w:top w:val="nil"/>
              <w:left w:val="nil"/>
              <w:bottom w:val="nil"/>
              <w:right w:val="nil"/>
            </w:tcBorders>
            <w:shd w:val="clear" w:color="auto" w:fill="auto"/>
            <w:noWrap/>
            <w:vAlign w:val="bottom"/>
            <w:hideMark/>
          </w:tcPr>
          <w:p w14:paraId="6E811AA1"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(-8.5)</w:t>
            </w:r>
          </w:p>
        </w:tc>
        <w:tc>
          <w:tcPr>
            <w:tcW w:w="1154" w:type="pct"/>
            <w:tcBorders>
              <w:top w:val="nil"/>
              <w:left w:val="nil"/>
              <w:bottom w:val="nil"/>
              <w:right w:val="single" w:sz="4" w:space="0" w:color="FFFFFF"/>
            </w:tcBorders>
            <w:shd w:val="clear" w:color="auto" w:fill="auto"/>
            <w:noWrap/>
            <w:vAlign w:val="bottom"/>
            <w:hideMark/>
          </w:tcPr>
          <w:p w14:paraId="69E77624"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(-10.8)</w:t>
            </w:r>
          </w:p>
        </w:tc>
      </w:tr>
      <w:tr w:rsidR="00D267F7" w:rsidRPr="00DE0337" w14:paraId="561E16A4"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3C3C8E3F"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xml:space="preserve">   25to29</w:t>
            </w:r>
          </w:p>
        </w:tc>
        <w:tc>
          <w:tcPr>
            <w:tcW w:w="1154" w:type="pct"/>
            <w:tcBorders>
              <w:top w:val="nil"/>
              <w:left w:val="single" w:sz="4" w:space="0" w:color="FFFFFF"/>
              <w:bottom w:val="nil"/>
              <w:right w:val="nil"/>
            </w:tcBorders>
            <w:shd w:val="clear" w:color="auto" w:fill="auto"/>
            <w:noWrap/>
            <w:vAlign w:val="bottom"/>
            <w:hideMark/>
          </w:tcPr>
          <w:p w14:paraId="7A29D7BB"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-0.43***</w:t>
            </w:r>
          </w:p>
        </w:tc>
        <w:tc>
          <w:tcPr>
            <w:tcW w:w="1154" w:type="pct"/>
            <w:tcBorders>
              <w:top w:val="nil"/>
              <w:left w:val="nil"/>
              <w:bottom w:val="nil"/>
              <w:right w:val="nil"/>
            </w:tcBorders>
            <w:shd w:val="clear" w:color="auto" w:fill="auto"/>
            <w:noWrap/>
            <w:vAlign w:val="bottom"/>
            <w:hideMark/>
          </w:tcPr>
          <w:p w14:paraId="324620C3"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-0.55***</w:t>
            </w:r>
          </w:p>
        </w:tc>
        <w:tc>
          <w:tcPr>
            <w:tcW w:w="1154" w:type="pct"/>
            <w:tcBorders>
              <w:top w:val="nil"/>
              <w:left w:val="nil"/>
              <w:bottom w:val="nil"/>
              <w:right w:val="single" w:sz="4" w:space="0" w:color="FFFFFF"/>
            </w:tcBorders>
            <w:shd w:val="clear" w:color="auto" w:fill="auto"/>
            <w:noWrap/>
            <w:vAlign w:val="bottom"/>
            <w:hideMark/>
          </w:tcPr>
          <w:p w14:paraId="4763AE2F"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-0.41***</w:t>
            </w:r>
          </w:p>
        </w:tc>
      </w:tr>
      <w:tr w:rsidR="00D267F7" w:rsidRPr="00DE0337" w14:paraId="4945D21F"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5B577C0D"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w:t>
            </w:r>
          </w:p>
        </w:tc>
        <w:tc>
          <w:tcPr>
            <w:tcW w:w="1154" w:type="pct"/>
            <w:tcBorders>
              <w:top w:val="nil"/>
              <w:left w:val="single" w:sz="4" w:space="0" w:color="FFFFFF"/>
              <w:bottom w:val="nil"/>
              <w:right w:val="nil"/>
            </w:tcBorders>
            <w:shd w:val="clear" w:color="auto" w:fill="auto"/>
            <w:noWrap/>
            <w:vAlign w:val="bottom"/>
            <w:hideMark/>
          </w:tcPr>
          <w:p w14:paraId="463EDCD5"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(-18.3)</w:t>
            </w:r>
          </w:p>
        </w:tc>
        <w:tc>
          <w:tcPr>
            <w:tcW w:w="1154" w:type="pct"/>
            <w:tcBorders>
              <w:top w:val="nil"/>
              <w:left w:val="nil"/>
              <w:bottom w:val="nil"/>
              <w:right w:val="nil"/>
            </w:tcBorders>
            <w:shd w:val="clear" w:color="auto" w:fill="auto"/>
            <w:noWrap/>
            <w:vAlign w:val="bottom"/>
            <w:hideMark/>
          </w:tcPr>
          <w:p w14:paraId="74AAB69C"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(-9.4)</w:t>
            </w:r>
          </w:p>
        </w:tc>
        <w:tc>
          <w:tcPr>
            <w:tcW w:w="1154" w:type="pct"/>
            <w:tcBorders>
              <w:top w:val="nil"/>
              <w:left w:val="nil"/>
              <w:bottom w:val="nil"/>
              <w:right w:val="single" w:sz="4" w:space="0" w:color="FFFFFF"/>
            </w:tcBorders>
            <w:shd w:val="clear" w:color="auto" w:fill="auto"/>
            <w:noWrap/>
            <w:vAlign w:val="bottom"/>
            <w:hideMark/>
          </w:tcPr>
          <w:p w14:paraId="542C79B4"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(-12.7)</w:t>
            </w:r>
          </w:p>
        </w:tc>
      </w:tr>
      <w:tr w:rsidR="00D267F7" w:rsidRPr="00DE0337" w14:paraId="59D62746"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169AC00A"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xml:space="preserve">   30+</w:t>
            </w:r>
          </w:p>
        </w:tc>
        <w:tc>
          <w:tcPr>
            <w:tcW w:w="1154" w:type="pct"/>
            <w:tcBorders>
              <w:top w:val="nil"/>
              <w:left w:val="single" w:sz="4" w:space="0" w:color="FFFFFF"/>
              <w:bottom w:val="nil"/>
              <w:right w:val="nil"/>
            </w:tcBorders>
            <w:shd w:val="clear" w:color="auto" w:fill="auto"/>
            <w:noWrap/>
            <w:vAlign w:val="bottom"/>
            <w:hideMark/>
          </w:tcPr>
          <w:p w14:paraId="49C5EBC4"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-0.51***</w:t>
            </w:r>
          </w:p>
        </w:tc>
        <w:tc>
          <w:tcPr>
            <w:tcW w:w="1154" w:type="pct"/>
            <w:tcBorders>
              <w:top w:val="nil"/>
              <w:left w:val="nil"/>
              <w:bottom w:val="nil"/>
              <w:right w:val="nil"/>
            </w:tcBorders>
            <w:shd w:val="clear" w:color="auto" w:fill="auto"/>
            <w:noWrap/>
            <w:vAlign w:val="bottom"/>
            <w:hideMark/>
          </w:tcPr>
          <w:p w14:paraId="48F29784"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-0.64***</w:t>
            </w:r>
          </w:p>
        </w:tc>
        <w:tc>
          <w:tcPr>
            <w:tcW w:w="1154" w:type="pct"/>
            <w:tcBorders>
              <w:top w:val="nil"/>
              <w:left w:val="nil"/>
              <w:bottom w:val="nil"/>
              <w:right w:val="single" w:sz="4" w:space="0" w:color="FFFFFF"/>
            </w:tcBorders>
            <w:shd w:val="clear" w:color="auto" w:fill="auto"/>
            <w:noWrap/>
            <w:vAlign w:val="bottom"/>
            <w:hideMark/>
          </w:tcPr>
          <w:p w14:paraId="1DAB9093"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-0.45***</w:t>
            </w:r>
          </w:p>
        </w:tc>
      </w:tr>
      <w:tr w:rsidR="00D267F7" w:rsidRPr="00DE0337" w14:paraId="6DD450D8"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07AD9A66"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w:t>
            </w:r>
          </w:p>
        </w:tc>
        <w:tc>
          <w:tcPr>
            <w:tcW w:w="1154" w:type="pct"/>
            <w:tcBorders>
              <w:top w:val="nil"/>
              <w:left w:val="single" w:sz="4" w:space="0" w:color="FFFFFF"/>
              <w:bottom w:val="nil"/>
              <w:right w:val="nil"/>
            </w:tcBorders>
            <w:shd w:val="clear" w:color="auto" w:fill="auto"/>
            <w:noWrap/>
            <w:vAlign w:val="bottom"/>
            <w:hideMark/>
          </w:tcPr>
          <w:p w14:paraId="2A08F919"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(-14.7)</w:t>
            </w:r>
          </w:p>
        </w:tc>
        <w:tc>
          <w:tcPr>
            <w:tcW w:w="1154" w:type="pct"/>
            <w:tcBorders>
              <w:top w:val="nil"/>
              <w:left w:val="nil"/>
              <w:bottom w:val="nil"/>
              <w:right w:val="nil"/>
            </w:tcBorders>
            <w:shd w:val="clear" w:color="auto" w:fill="auto"/>
            <w:noWrap/>
            <w:vAlign w:val="bottom"/>
            <w:hideMark/>
          </w:tcPr>
          <w:p w14:paraId="3548F6D8"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(-16.2)</w:t>
            </w:r>
          </w:p>
        </w:tc>
        <w:tc>
          <w:tcPr>
            <w:tcW w:w="1154" w:type="pct"/>
            <w:tcBorders>
              <w:top w:val="nil"/>
              <w:left w:val="nil"/>
              <w:bottom w:val="nil"/>
              <w:right w:val="single" w:sz="4" w:space="0" w:color="FFFFFF"/>
            </w:tcBorders>
            <w:shd w:val="clear" w:color="auto" w:fill="auto"/>
            <w:noWrap/>
            <w:vAlign w:val="bottom"/>
            <w:hideMark/>
          </w:tcPr>
          <w:p w14:paraId="4B32903D"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(-12.5)</w:t>
            </w:r>
          </w:p>
        </w:tc>
      </w:tr>
      <w:tr w:rsidR="00D267F7" w:rsidRPr="00DE0337" w14:paraId="375E1973"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052E62C3" w14:textId="77777777" w:rsidR="00D267F7" w:rsidRPr="00704916" w:rsidRDefault="00D267F7" w:rsidP="006631AF">
            <w:pPr>
              <w:rPr>
                <w:rFonts w:eastAsia="Times New Roman"/>
                <w:bCs/>
                <w:sz w:val="20"/>
                <w:szCs w:val="20"/>
                <w:lang w:val="en-US"/>
              </w:rPr>
            </w:pPr>
            <w:r w:rsidRPr="00704916">
              <w:rPr>
                <w:rFonts w:eastAsia="Times New Roman"/>
                <w:bCs/>
                <w:sz w:val="20"/>
                <w:szCs w:val="20"/>
                <w:lang w:val="en-US"/>
              </w:rPr>
              <w:t>Rating (Grades)</w:t>
            </w:r>
          </w:p>
        </w:tc>
        <w:tc>
          <w:tcPr>
            <w:tcW w:w="1154" w:type="pct"/>
            <w:tcBorders>
              <w:top w:val="nil"/>
              <w:left w:val="single" w:sz="4" w:space="0" w:color="FFFFFF"/>
              <w:bottom w:val="nil"/>
              <w:right w:val="nil"/>
            </w:tcBorders>
            <w:shd w:val="clear" w:color="auto" w:fill="auto"/>
            <w:noWrap/>
            <w:vAlign w:val="bottom"/>
            <w:hideMark/>
          </w:tcPr>
          <w:p w14:paraId="5F8F82B8" w14:textId="77777777" w:rsidR="00D267F7" w:rsidRPr="00704916" w:rsidRDefault="00D267F7" w:rsidP="006631AF">
            <w:pPr>
              <w:jc w:val="center"/>
              <w:rPr>
                <w:rFonts w:eastAsia="Times New Roman"/>
                <w:sz w:val="20"/>
                <w:szCs w:val="20"/>
                <w:lang w:val="en-US"/>
              </w:rPr>
            </w:pPr>
          </w:p>
        </w:tc>
        <w:tc>
          <w:tcPr>
            <w:tcW w:w="1154" w:type="pct"/>
            <w:tcBorders>
              <w:top w:val="nil"/>
              <w:left w:val="nil"/>
              <w:bottom w:val="nil"/>
              <w:right w:val="nil"/>
            </w:tcBorders>
            <w:shd w:val="clear" w:color="auto" w:fill="auto"/>
            <w:noWrap/>
            <w:vAlign w:val="bottom"/>
            <w:hideMark/>
          </w:tcPr>
          <w:p w14:paraId="1F96A94F" w14:textId="77777777" w:rsidR="00D267F7" w:rsidRPr="00704916" w:rsidRDefault="00D267F7" w:rsidP="006631AF">
            <w:pPr>
              <w:jc w:val="center"/>
              <w:rPr>
                <w:rFonts w:eastAsia="Times New Roman"/>
                <w:sz w:val="20"/>
                <w:szCs w:val="20"/>
                <w:lang w:val="en-US"/>
              </w:rPr>
            </w:pPr>
          </w:p>
        </w:tc>
        <w:tc>
          <w:tcPr>
            <w:tcW w:w="1154" w:type="pct"/>
            <w:tcBorders>
              <w:top w:val="nil"/>
              <w:left w:val="nil"/>
              <w:bottom w:val="nil"/>
              <w:right w:val="single" w:sz="4" w:space="0" w:color="FFFFFF"/>
            </w:tcBorders>
            <w:shd w:val="clear" w:color="auto" w:fill="auto"/>
            <w:noWrap/>
            <w:vAlign w:val="bottom"/>
            <w:hideMark/>
          </w:tcPr>
          <w:p w14:paraId="71E9F4B8"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 </w:t>
            </w:r>
          </w:p>
        </w:tc>
      </w:tr>
      <w:tr w:rsidR="00D267F7" w:rsidRPr="00DE0337" w14:paraId="10607F13"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30032C1E"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xml:space="preserve">    AAA</w:t>
            </w:r>
          </w:p>
        </w:tc>
        <w:tc>
          <w:tcPr>
            <w:tcW w:w="1154" w:type="pct"/>
            <w:tcBorders>
              <w:top w:val="nil"/>
              <w:left w:val="single" w:sz="4" w:space="0" w:color="FFFFFF"/>
              <w:bottom w:val="nil"/>
              <w:right w:val="nil"/>
            </w:tcBorders>
            <w:shd w:val="clear" w:color="auto" w:fill="auto"/>
            <w:noWrap/>
            <w:vAlign w:val="bottom"/>
            <w:hideMark/>
          </w:tcPr>
          <w:p w14:paraId="04C03E7D"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0.32***</w:t>
            </w:r>
          </w:p>
        </w:tc>
        <w:tc>
          <w:tcPr>
            <w:tcW w:w="1154" w:type="pct"/>
            <w:tcBorders>
              <w:top w:val="nil"/>
              <w:left w:val="nil"/>
              <w:bottom w:val="nil"/>
              <w:right w:val="nil"/>
            </w:tcBorders>
            <w:shd w:val="clear" w:color="auto" w:fill="auto"/>
            <w:noWrap/>
            <w:vAlign w:val="bottom"/>
            <w:hideMark/>
          </w:tcPr>
          <w:p w14:paraId="5E29EEBE"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0.20**</w:t>
            </w:r>
          </w:p>
        </w:tc>
        <w:tc>
          <w:tcPr>
            <w:tcW w:w="1154" w:type="pct"/>
            <w:tcBorders>
              <w:top w:val="nil"/>
              <w:left w:val="nil"/>
              <w:bottom w:val="nil"/>
              <w:right w:val="single" w:sz="4" w:space="0" w:color="FFFFFF"/>
            </w:tcBorders>
            <w:shd w:val="clear" w:color="auto" w:fill="auto"/>
            <w:noWrap/>
            <w:vAlign w:val="bottom"/>
            <w:hideMark/>
          </w:tcPr>
          <w:p w14:paraId="09B8C4BF"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 </w:t>
            </w:r>
          </w:p>
        </w:tc>
      </w:tr>
      <w:tr w:rsidR="00D267F7" w:rsidRPr="00DE0337" w14:paraId="476DED55"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60F7AB68"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w:t>
            </w:r>
          </w:p>
        </w:tc>
        <w:tc>
          <w:tcPr>
            <w:tcW w:w="1154" w:type="pct"/>
            <w:tcBorders>
              <w:top w:val="nil"/>
              <w:left w:val="single" w:sz="4" w:space="0" w:color="FFFFFF"/>
              <w:bottom w:val="nil"/>
              <w:right w:val="nil"/>
            </w:tcBorders>
            <w:shd w:val="clear" w:color="auto" w:fill="auto"/>
            <w:noWrap/>
            <w:vAlign w:val="bottom"/>
            <w:hideMark/>
          </w:tcPr>
          <w:p w14:paraId="187794C4"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(4.6)</w:t>
            </w:r>
          </w:p>
        </w:tc>
        <w:tc>
          <w:tcPr>
            <w:tcW w:w="1154" w:type="pct"/>
            <w:tcBorders>
              <w:top w:val="nil"/>
              <w:left w:val="nil"/>
              <w:bottom w:val="nil"/>
              <w:right w:val="nil"/>
            </w:tcBorders>
            <w:shd w:val="clear" w:color="auto" w:fill="auto"/>
            <w:noWrap/>
            <w:vAlign w:val="bottom"/>
            <w:hideMark/>
          </w:tcPr>
          <w:p w14:paraId="3E92F0D4"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(3.0)</w:t>
            </w:r>
          </w:p>
        </w:tc>
        <w:tc>
          <w:tcPr>
            <w:tcW w:w="1154" w:type="pct"/>
            <w:tcBorders>
              <w:top w:val="nil"/>
              <w:left w:val="nil"/>
              <w:bottom w:val="nil"/>
              <w:right w:val="single" w:sz="4" w:space="0" w:color="FFFFFF"/>
            </w:tcBorders>
            <w:shd w:val="clear" w:color="auto" w:fill="auto"/>
            <w:noWrap/>
            <w:vAlign w:val="bottom"/>
            <w:hideMark/>
          </w:tcPr>
          <w:p w14:paraId="262DD5C0"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 </w:t>
            </w:r>
          </w:p>
        </w:tc>
      </w:tr>
      <w:tr w:rsidR="00D267F7" w:rsidRPr="00DE0337" w14:paraId="559A39FE"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5F36B3C3"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xml:space="preserve">    AA</w:t>
            </w:r>
          </w:p>
        </w:tc>
        <w:tc>
          <w:tcPr>
            <w:tcW w:w="1154" w:type="pct"/>
            <w:tcBorders>
              <w:top w:val="nil"/>
              <w:left w:val="single" w:sz="4" w:space="0" w:color="FFFFFF"/>
              <w:bottom w:val="nil"/>
              <w:right w:val="nil"/>
            </w:tcBorders>
            <w:shd w:val="clear" w:color="auto" w:fill="auto"/>
            <w:noWrap/>
            <w:vAlign w:val="bottom"/>
            <w:hideMark/>
          </w:tcPr>
          <w:p w14:paraId="509B3088"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0.35***</w:t>
            </w:r>
          </w:p>
        </w:tc>
        <w:tc>
          <w:tcPr>
            <w:tcW w:w="1154" w:type="pct"/>
            <w:tcBorders>
              <w:top w:val="nil"/>
              <w:left w:val="nil"/>
              <w:bottom w:val="nil"/>
              <w:right w:val="nil"/>
            </w:tcBorders>
            <w:shd w:val="clear" w:color="auto" w:fill="auto"/>
            <w:noWrap/>
            <w:vAlign w:val="bottom"/>
            <w:hideMark/>
          </w:tcPr>
          <w:p w14:paraId="6CA1B270"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0.30***</w:t>
            </w:r>
          </w:p>
        </w:tc>
        <w:tc>
          <w:tcPr>
            <w:tcW w:w="1154" w:type="pct"/>
            <w:tcBorders>
              <w:top w:val="nil"/>
              <w:left w:val="nil"/>
              <w:bottom w:val="nil"/>
              <w:right w:val="single" w:sz="4" w:space="0" w:color="FFFFFF"/>
            </w:tcBorders>
            <w:shd w:val="clear" w:color="auto" w:fill="auto"/>
            <w:noWrap/>
            <w:vAlign w:val="bottom"/>
            <w:hideMark/>
          </w:tcPr>
          <w:p w14:paraId="12475525"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-0.04</w:t>
            </w:r>
          </w:p>
        </w:tc>
      </w:tr>
      <w:tr w:rsidR="00D267F7" w:rsidRPr="00DE0337" w14:paraId="14390902"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18AF9F0A"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w:t>
            </w:r>
          </w:p>
        </w:tc>
        <w:tc>
          <w:tcPr>
            <w:tcW w:w="1154" w:type="pct"/>
            <w:tcBorders>
              <w:top w:val="nil"/>
              <w:left w:val="single" w:sz="4" w:space="0" w:color="FFFFFF"/>
              <w:bottom w:val="nil"/>
              <w:right w:val="nil"/>
            </w:tcBorders>
            <w:shd w:val="clear" w:color="auto" w:fill="auto"/>
            <w:noWrap/>
            <w:vAlign w:val="bottom"/>
            <w:hideMark/>
          </w:tcPr>
          <w:p w14:paraId="24750D57"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(5.5)</w:t>
            </w:r>
          </w:p>
        </w:tc>
        <w:tc>
          <w:tcPr>
            <w:tcW w:w="1154" w:type="pct"/>
            <w:tcBorders>
              <w:top w:val="nil"/>
              <w:left w:val="nil"/>
              <w:bottom w:val="nil"/>
              <w:right w:val="nil"/>
            </w:tcBorders>
            <w:shd w:val="clear" w:color="auto" w:fill="auto"/>
            <w:noWrap/>
            <w:vAlign w:val="bottom"/>
            <w:hideMark/>
          </w:tcPr>
          <w:p w14:paraId="398D79C1"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(6.2)</w:t>
            </w:r>
          </w:p>
        </w:tc>
        <w:tc>
          <w:tcPr>
            <w:tcW w:w="1154" w:type="pct"/>
            <w:tcBorders>
              <w:top w:val="nil"/>
              <w:left w:val="nil"/>
              <w:bottom w:val="nil"/>
              <w:right w:val="single" w:sz="4" w:space="0" w:color="FFFFFF"/>
            </w:tcBorders>
            <w:shd w:val="clear" w:color="auto" w:fill="auto"/>
            <w:noWrap/>
            <w:vAlign w:val="bottom"/>
            <w:hideMark/>
          </w:tcPr>
          <w:p w14:paraId="0384AEF8"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(-0.1)</w:t>
            </w:r>
          </w:p>
        </w:tc>
      </w:tr>
      <w:tr w:rsidR="00D267F7" w:rsidRPr="00DE0337" w14:paraId="7F7B7182"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6B1B4BF2"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xml:space="preserve">    A</w:t>
            </w:r>
          </w:p>
        </w:tc>
        <w:tc>
          <w:tcPr>
            <w:tcW w:w="1154" w:type="pct"/>
            <w:tcBorders>
              <w:top w:val="nil"/>
              <w:left w:val="single" w:sz="4" w:space="0" w:color="FFFFFF"/>
              <w:bottom w:val="nil"/>
              <w:right w:val="nil"/>
            </w:tcBorders>
            <w:shd w:val="clear" w:color="auto" w:fill="auto"/>
            <w:noWrap/>
            <w:vAlign w:val="bottom"/>
            <w:hideMark/>
          </w:tcPr>
          <w:p w14:paraId="113D61ED"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0.22***</w:t>
            </w:r>
          </w:p>
        </w:tc>
        <w:tc>
          <w:tcPr>
            <w:tcW w:w="1154" w:type="pct"/>
            <w:tcBorders>
              <w:top w:val="nil"/>
              <w:left w:val="nil"/>
              <w:bottom w:val="nil"/>
              <w:right w:val="nil"/>
            </w:tcBorders>
            <w:shd w:val="clear" w:color="auto" w:fill="auto"/>
            <w:noWrap/>
            <w:vAlign w:val="bottom"/>
            <w:hideMark/>
          </w:tcPr>
          <w:p w14:paraId="7AE280DC"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0.20***</w:t>
            </w:r>
          </w:p>
        </w:tc>
        <w:tc>
          <w:tcPr>
            <w:tcW w:w="1154" w:type="pct"/>
            <w:tcBorders>
              <w:top w:val="nil"/>
              <w:left w:val="nil"/>
              <w:bottom w:val="nil"/>
              <w:right w:val="single" w:sz="4" w:space="0" w:color="FFFFFF"/>
            </w:tcBorders>
            <w:shd w:val="clear" w:color="auto" w:fill="auto"/>
            <w:noWrap/>
            <w:vAlign w:val="bottom"/>
            <w:hideMark/>
          </w:tcPr>
          <w:p w14:paraId="5E7667DD"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0.01</w:t>
            </w:r>
          </w:p>
        </w:tc>
      </w:tr>
      <w:tr w:rsidR="00D267F7" w:rsidRPr="00DE0337" w14:paraId="526D0812"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3DBE7B77"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w:t>
            </w:r>
          </w:p>
        </w:tc>
        <w:tc>
          <w:tcPr>
            <w:tcW w:w="1154" w:type="pct"/>
            <w:tcBorders>
              <w:top w:val="nil"/>
              <w:left w:val="single" w:sz="4" w:space="0" w:color="FFFFFF"/>
              <w:bottom w:val="nil"/>
              <w:right w:val="nil"/>
            </w:tcBorders>
            <w:shd w:val="clear" w:color="auto" w:fill="auto"/>
            <w:noWrap/>
            <w:vAlign w:val="bottom"/>
            <w:hideMark/>
          </w:tcPr>
          <w:p w14:paraId="4F936C28"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(4.1)</w:t>
            </w:r>
          </w:p>
        </w:tc>
        <w:tc>
          <w:tcPr>
            <w:tcW w:w="1154" w:type="pct"/>
            <w:tcBorders>
              <w:top w:val="nil"/>
              <w:left w:val="nil"/>
              <w:bottom w:val="nil"/>
              <w:right w:val="nil"/>
            </w:tcBorders>
            <w:shd w:val="clear" w:color="auto" w:fill="auto"/>
            <w:noWrap/>
            <w:vAlign w:val="bottom"/>
            <w:hideMark/>
          </w:tcPr>
          <w:p w14:paraId="65A911E5"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(4.9)</w:t>
            </w:r>
          </w:p>
        </w:tc>
        <w:tc>
          <w:tcPr>
            <w:tcW w:w="1154" w:type="pct"/>
            <w:tcBorders>
              <w:top w:val="nil"/>
              <w:left w:val="nil"/>
              <w:bottom w:val="nil"/>
              <w:right w:val="single" w:sz="4" w:space="0" w:color="FFFFFF"/>
            </w:tcBorders>
            <w:shd w:val="clear" w:color="auto" w:fill="auto"/>
            <w:noWrap/>
            <w:vAlign w:val="bottom"/>
            <w:hideMark/>
          </w:tcPr>
          <w:p w14:paraId="22207674"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(0.1)</w:t>
            </w:r>
          </w:p>
        </w:tc>
      </w:tr>
      <w:tr w:rsidR="00D267F7" w:rsidRPr="00DE0337" w14:paraId="1795BF9C"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3BDB82C4" w14:textId="77777777" w:rsidR="00D267F7" w:rsidRPr="00704916" w:rsidRDefault="00D267F7" w:rsidP="006631AF">
            <w:pPr>
              <w:rPr>
                <w:rFonts w:eastAsia="Times New Roman"/>
                <w:sz w:val="20"/>
                <w:szCs w:val="20"/>
                <w:lang w:val="en-US"/>
              </w:rPr>
            </w:pPr>
            <w:r w:rsidRPr="00704916">
              <w:rPr>
                <w:rFonts w:eastAsia="Times New Roman"/>
                <w:bCs/>
                <w:sz w:val="20"/>
                <w:szCs w:val="20"/>
                <w:lang w:val="en-US"/>
              </w:rPr>
              <w:t xml:space="preserve">   BB</w:t>
            </w:r>
          </w:p>
        </w:tc>
        <w:tc>
          <w:tcPr>
            <w:tcW w:w="1154" w:type="pct"/>
            <w:tcBorders>
              <w:top w:val="nil"/>
              <w:left w:val="single" w:sz="4" w:space="0" w:color="FFFFFF"/>
              <w:bottom w:val="nil"/>
              <w:right w:val="nil"/>
            </w:tcBorders>
            <w:shd w:val="clear" w:color="auto" w:fill="auto"/>
            <w:noWrap/>
            <w:vAlign w:val="bottom"/>
            <w:hideMark/>
          </w:tcPr>
          <w:p w14:paraId="6F346614"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0.15**</w:t>
            </w:r>
          </w:p>
        </w:tc>
        <w:tc>
          <w:tcPr>
            <w:tcW w:w="1154" w:type="pct"/>
            <w:tcBorders>
              <w:top w:val="nil"/>
              <w:left w:val="nil"/>
              <w:bottom w:val="nil"/>
              <w:right w:val="nil"/>
            </w:tcBorders>
            <w:shd w:val="clear" w:color="auto" w:fill="auto"/>
            <w:noWrap/>
            <w:vAlign w:val="bottom"/>
            <w:hideMark/>
          </w:tcPr>
          <w:p w14:paraId="483CF50B"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0.21***</w:t>
            </w:r>
          </w:p>
        </w:tc>
        <w:tc>
          <w:tcPr>
            <w:tcW w:w="1154" w:type="pct"/>
            <w:tcBorders>
              <w:top w:val="nil"/>
              <w:left w:val="nil"/>
              <w:bottom w:val="nil"/>
              <w:right w:val="single" w:sz="4" w:space="0" w:color="FFFFFF"/>
            </w:tcBorders>
            <w:shd w:val="clear" w:color="auto" w:fill="auto"/>
            <w:noWrap/>
            <w:vAlign w:val="bottom"/>
            <w:hideMark/>
          </w:tcPr>
          <w:p w14:paraId="65917080"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0.02</w:t>
            </w:r>
          </w:p>
        </w:tc>
      </w:tr>
      <w:tr w:rsidR="00D267F7" w:rsidRPr="00DE0337" w14:paraId="7738DB78"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66E486BB"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w:t>
            </w:r>
          </w:p>
        </w:tc>
        <w:tc>
          <w:tcPr>
            <w:tcW w:w="1154" w:type="pct"/>
            <w:tcBorders>
              <w:top w:val="nil"/>
              <w:left w:val="single" w:sz="4" w:space="0" w:color="FFFFFF"/>
              <w:bottom w:val="nil"/>
              <w:right w:val="nil"/>
            </w:tcBorders>
            <w:shd w:val="clear" w:color="auto" w:fill="auto"/>
            <w:noWrap/>
            <w:vAlign w:val="bottom"/>
            <w:hideMark/>
          </w:tcPr>
          <w:p w14:paraId="6811A393"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(2.4)</w:t>
            </w:r>
          </w:p>
        </w:tc>
        <w:tc>
          <w:tcPr>
            <w:tcW w:w="1154" w:type="pct"/>
            <w:tcBorders>
              <w:top w:val="nil"/>
              <w:left w:val="nil"/>
              <w:bottom w:val="nil"/>
              <w:right w:val="nil"/>
            </w:tcBorders>
            <w:shd w:val="clear" w:color="auto" w:fill="auto"/>
            <w:noWrap/>
            <w:vAlign w:val="bottom"/>
            <w:hideMark/>
          </w:tcPr>
          <w:p w14:paraId="07BD30F9"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(3.2)</w:t>
            </w:r>
          </w:p>
        </w:tc>
        <w:tc>
          <w:tcPr>
            <w:tcW w:w="1154" w:type="pct"/>
            <w:tcBorders>
              <w:top w:val="nil"/>
              <w:left w:val="nil"/>
              <w:bottom w:val="nil"/>
              <w:right w:val="single" w:sz="4" w:space="0" w:color="FFFFFF"/>
            </w:tcBorders>
            <w:shd w:val="clear" w:color="auto" w:fill="auto"/>
            <w:noWrap/>
            <w:vAlign w:val="bottom"/>
            <w:hideMark/>
          </w:tcPr>
          <w:p w14:paraId="000C6986"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(0.2)</w:t>
            </w:r>
          </w:p>
        </w:tc>
      </w:tr>
      <w:tr w:rsidR="00D267F7" w:rsidRPr="00DE0337" w14:paraId="04FCDA81"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5B4887B9"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xml:space="preserve">    B</w:t>
            </w:r>
          </w:p>
        </w:tc>
        <w:tc>
          <w:tcPr>
            <w:tcW w:w="1154" w:type="pct"/>
            <w:tcBorders>
              <w:top w:val="nil"/>
              <w:left w:val="single" w:sz="4" w:space="0" w:color="FFFFFF"/>
              <w:bottom w:val="nil"/>
              <w:right w:val="nil"/>
            </w:tcBorders>
            <w:shd w:val="clear" w:color="auto" w:fill="auto"/>
            <w:noWrap/>
            <w:vAlign w:val="bottom"/>
            <w:hideMark/>
          </w:tcPr>
          <w:p w14:paraId="088BB8E0"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0.04</w:t>
            </w:r>
          </w:p>
        </w:tc>
        <w:tc>
          <w:tcPr>
            <w:tcW w:w="1154" w:type="pct"/>
            <w:tcBorders>
              <w:top w:val="nil"/>
              <w:left w:val="nil"/>
              <w:bottom w:val="nil"/>
              <w:right w:val="nil"/>
            </w:tcBorders>
            <w:shd w:val="clear" w:color="auto" w:fill="auto"/>
            <w:noWrap/>
            <w:vAlign w:val="bottom"/>
            <w:hideMark/>
          </w:tcPr>
          <w:p w14:paraId="734015BB"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0.11**</w:t>
            </w:r>
          </w:p>
        </w:tc>
        <w:tc>
          <w:tcPr>
            <w:tcW w:w="1154" w:type="pct"/>
            <w:tcBorders>
              <w:top w:val="nil"/>
              <w:left w:val="nil"/>
              <w:bottom w:val="nil"/>
              <w:right w:val="single" w:sz="4" w:space="0" w:color="FFFFFF"/>
            </w:tcBorders>
            <w:shd w:val="clear" w:color="auto" w:fill="auto"/>
            <w:noWrap/>
            <w:vAlign w:val="bottom"/>
            <w:hideMark/>
          </w:tcPr>
          <w:p w14:paraId="7C8E9526"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0.00</w:t>
            </w:r>
          </w:p>
        </w:tc>
      </w:tr>
      <w:tr w:rsidR="00D267F7" w:rsidRPr="00DE0337" w14:paraId="3EDF7386" w14:textId="77777777" w:rsidTr="00D267F7">
        <w:trPr>
          <w:trHeight w:val="280"/>
          <w:jc w:val="center"/>
        </w:trPr>
        <w:tc>
          <w:tcPr>
            <w:tcW w:w="1538" w:type="pct"/>
            <w:tcBorders>
              <w:top w:val="nil"/>
              <w:left w:val="nil"/>
              <w:bottom w:val="nil"/>
              <w:right w:val="single" w:sz="4" w:space="0" w:color="FFFFFF"/>
            </w:tcBorders>
            <w:shd w:val="clear" w:color="auto" w:fill="auto"/>
            <w:noWrap/>
            <w:vAlign w:val="bottom"/>
            <w:hideMark/>
          </w:tcPr>
          <w:p w14:paraId="7357388A"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w:t>
            </w:r>
          </w:p>
        </w:tc>
        <w:tc>
          <w:tcPr>
            <w:tcW w:w="1154" w:type="pct"/>
            <w:tcBorders>
              <w:top w:val="nil"/>
              <w:left w:val="single" w:sz="4" w:space="0" w:color="FFFFFF"/>
              <w:bottom w:val="nil"/>
              <w:right w:val="nil"/>
            </w:tcBorders>
            <w:shd w:val="clear" w:color="auto" w:fill="auto"/>
            <w:noWrap/>
            <w:vAlign w:val="bottom"/>
            <w:hideMark/>
          </w:tcPr>
          <w:p w14:paraId="7420F061"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(1.1)</w:t>
            </w:r>
          </w:p>
        </w:tc>
        <w:tc>
          <w:tcPr>
            <w:tcW w:w="1154" w:type="pct"/>
            <w:tcBorders>
              <w:top w:val="nil"/>
              <w:left w:val="nil"/>
              <w:bottom w:val="nil"/>
              <w:right w:val="nil"/>
            </w:tcBorders>
            <w:shd w:val="clear" w:color="auto" w:fill="auto"/>
            <w:noWrap/>
            <w:vAlign w:val="bottom"/>
            <w:hideMark/>
          </w:tcPr>
          <w:p w14:paraId="2EB2A8F5"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(2.5)</w:t>
            </w:r>
          </w:p>
        </w:tc>
        <w:tc>
          <w:tcPr>
            <w:tcW w:w="1154" w:type="pct"/>
            <w:tcBorders>
              <w:top w:val="nil"/>
              <w:left w:val="nil"/>
              <w:bottom w:val="nil"/>
              <w:right w:val="single" w:sz="4" w:space="0" w:color="FFFFFF"/>
            </w:tcBorders>
            <w:shd w:val="clear" w:color="auto" w:fill="auto"/>
            <w:noWrap/>
            <w:vAlign w:val="bottom"/>
            <w:hideMark/>
          </w:tcPr>
          <w:p w14:paraId="17089241"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(0.0)</w:t>
            </w:r>
          </w:p>
        </w:tc>
      </w:tr>
      <w:tr w:rsidR="00D267F7" w:rsidRPr="00DE0337" w14:paraId="20F2479F" w14:textId="77777777" w:rsidTr="00D267F7">
        <w:trPr>
          <w:trHeight w:val="279"/>
          <w:jc w:val="center"/>
        </w:trPr>
        <w:tc>
          <w:tcPr>
            <w:tcW w:w="1538" w:type="pct"/>
            <w:tcBorders>
              <w:top w:val="nil"/>
              <w:left w:val="nil"/>
              <w:right w:val="single" w:sz="4" w:space="0" w:color="FFFFFF"/>
            </w:tcBorders>
            <w:shd w:val="clear" w:color="auto" w:fill="auto"/>
            <w:noWrap/>
            <w:vAlign w:val="bottom"/>
            <w:hideMark/>
          </w:tcPr>
          <w:p w14:paraId="1D5FA017" w14:textId="77777777" w:rsidR="00D267F7" w:rsidRPr="00704916" w:rsidRDefault="00D267F7" w:rsidP="006631AF">
            <w:pPr>
              <w:rPr>
                <w:rFonts w:eastAsia="Times New Roman"/>
                <w:bCs/>
                <w:sz w:val="20"/>
                <w:szCs w:val="20"/>
                <w:lang w:val="en-US"/>
              </w:rPr>
            </w:pPr>
            <w:r w:rsidRPr="00704916">
              <w:rPr>
                <w:rFonts w:eastAsia="Times New Roman"/>
                <w:bCs/>
                <w:sz w:val="20"/>
                <w:szCs w:val="20"/>
                <w:lang w:val="en-US"/>
              </w:rPr>
              <w:t>Vacancy</w:t>
            </w:r>
          </w:p>
        </w:tc>
        <w:tc>
          <w:tcPr>
            <w:tcW w:w="1154" w:type="pct"/>
            <w:tcBorders>
              <w:top w:val="nil"/>
              <w:left w:val="single" w:sz="4" w:space="0" w:color="FFFFFF"/>
              <w:right w:val="nil"/>
            </w:tcBorders>
            <w:shd w:val="clear" w:color="auto" w:fill="auto"/>
            <w:noWrap/>
            <w:vAlign w:val="bottom"/>
            <w:hideMark/>
          </w:tcPr>
          <w:p w14:paraId="788D65F9"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0.0</w:t>
            </w:r>
          </w:p>
        </w:tc>
        <w:tc>
          <w:tcPr>
            <w:tcW w:w="1154" w:type="pct"/>
            <w:tcBorders>
              <w:top w:val="nil"/>
              <w:left w:val="nil"/>
              <w:right w:val="nil"/>
            </w:tcBorders>
            <w:shd w:val="clear" w:color="auto" w:fill="auto"/>
            <w:noWrap/>
            <w:vAlign w:val="bottom"/>
            <w:hideMark/>
          </w:tcPr>
          <w:p w14:paraId="638DF691"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0.00</w:t>
            </w:r>
          </w:p>
        </w:tc>
        <w:tc>
          <w:tcPr>
            <w:tcW w:w="1154" w:type="pct"/>
            <w:tcBorders>
              <w:top w:val="nil"/>
              <w:left w:val="nil"/>
              <w:right w:val="single" w:sz="4" w:space="0" w:color="FFFFFF"/>
            </w:tcBorders>
            <w:shd w:val="clear" w:color="auto" w:fill="auto"/>
            <w:noWrap/>
            <w:vAlign w:val="bottom"/>
            <w:hideMark/>
          </w:tcPr>
          <w:p w14:paraId="58391548"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0.00</w:t>
            </w:r>
          </w:p>
        </w:tc>
      </w:tr>
      <w:tr w:rsidR="00D267F7" w:rsidRPr="00DE0337" w14:paraId="529E3ECE" w14:textId="77777777" w:rsidTr="00D267F7">
        <w:trPr>
          <w:trHeight w:val="280"/>
          <w:jc w:val="center"/>
        </w:trPr>
        <w:tc>
          <w:tcPr>
            <w:tcW w:w="1538" w:type="pct"/>
            <w:tcBorders>
              <w:top w:val="nil"/>
              <w:left w:val="nil"/>
              <w:bottom w:val="single" w:sz="4" w:space="0" w:color="FFFFFF" w:themeColor="background1"/>
              <w:right w:val="single" w:sz="4" w:space="0" w:color="FFFFFF"/>
            </w:tcBorders>
            <w:shd w:val="clear" w:color="auto" w:fill="auto"/>
            <w:noWrap/>
            <w:vAlign w:val="bottom"/>
            <w:hideMark/>
          </w:tcPr>
          <w:p w14:paraId="09B257C9" w14:textId="77777777" w:rsidR="00D267F7" w:rsidRPr="00704916" w:rsidRDefault="00D267F7" w:rsidP="006631AF">
            <w:pPr>
              <w:rPr>
                <w:rFonts w:eastAsia="Times New Roman"/>
                <w:sz w:val="20"/>
                <w:szCs w:val="20"/>
                <w:lang w:val="en-US"/>
              </w:rPr>
            </w:pPr>
            <w:r w:rsidRPr="00704916">
              <w:rPr>
                <w:rFonts w:eastAsia="Times New Roman"/>
                <w:sz w:val="20"/>
                <w:szCs w:val="20"/>
                <w:lang w:val="en-US"/>
              </w:rPr>
              <w:t> </w:t>
            </w:r>
          </w:p>
        </w:tc>
        <w:tc>
          <w:tcPr>
            <w:tcW w:w="1154" w:type="pct"/>
            <w:tcBorders>
              <w:top w:val="nil"/>
              <w:left w:val="single" w:sz="4" w:space="0" w:color="FFFFFF"/>
              <w:bottom w:val="single" w:sz="4" w:space="0" w:color="FFFFFF" w:themeColor="background1"/>
            </w:tcBorders>
            <w:shd w:val="clear" w:color="auto" w:fill="auto"/>
            <w:noWrap/>
            <w:vAlign w:val="bottom"/>
            <w:hideMark/>
          </w:tcPr>
          <w:p w14:paraId="19DE7644"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(1.0)</w:t>
            </w:r>
          </w:p>
        </w:tc>
        <w:tc>
          <w:tcPr>
            <w:tcW w:w="1154" w:type="pct"/>
            <w:tcBorders>
              <w:top w:val="nil"/>
              <w:bottom w:val="single" w:sz="4" w:space="0" w:color="FFFFFF" w:themeColor="background1"/>
            </w:tcBorders>
            <w:shd w:val="clear" w:color="auto" w:fill="auto"/>
            <w:noWrap/>
            <w:vAlign w:val="bottom"/>
            <w:hideMark/>
          </w:tcPr>
          <w:p w14:paraId="066BC3AE"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(0.4)</w:t>
            </w:r>
          </w:p>
        </w:tc>
        <w:tc>
          <w:tcPr>
            <w:tcW w:w="1154" w:type="pct"/>
            <w:tcBorders>
              <w:top w:val="nil"/>
              <w:bottom w:val="single" w:sz="4" w:space="0" w:color="FFFFFF" w:themeColor="background1"/>
              <w:right w:val="single" w:sz="4" w:space="0" w:color="FFFFFF"/>
            </w:tcBorders>
            <w:shd w:val="clear" w:color="auto" w:fill="auto"/>
            <w:noWrap/>
            <w:vAlign w:val="bottom"/>
            <w:hideMark/>
          </w:tcPr>
          <w:p w14:paraId="6F3EADCB" w14:textId="77777777" w:rsidR="00D267F7" w:rsidRPr="00704916" w:rsidRDefault="00D267F7" w:rsidP="006631AF">
            <w:pPr>
              <w:jc w:val="center"/>
              <w:rPr>
                <w:rFonts w:eastAsia="Times New Roman"/>
                <w:sz w:val="20"/>
                <w:szCs w:val="20"/>
                <w:lang w:val="en-US"/>
              </w:rPr>
            </w:pPr>
            <w:r w:rsidRPr="00704916">
              <w:rPr>
                <w:rFonts w:eastAsia="Times New Roman"/>
                <w:sz w:val="20"/>
                <w:szCs w:val="20"/>
                <w:lang w:val="en-US"/>
              </w:rPr>
              <w:t>(0.7)</w:t>
            </w:r>
          </w:p>
        </w:tc>
      </w:tr>
      <w:tr w:rsidR="00D267F7" w:rsidRPr="00DE0337" w14:paraId="7A8DA702" w14:textId="77777777" w:rsidTr="00D267F7">
        <w:trPr>
          <w:trHeight w:val="280"/>
          <w:jc w:val="center"/>
        </w:trPr>
        <w:tc>
          <w:tcPr>
            <w:tcW w:w="1538" w:type="pct"/>
            <w:tcBorders>
              <w:top w:val="single" w:sz="4" w:space="0" w:color="FFFFFF" w:themeColor="background1"/>
              <w:left w:val="nil"/>
              <w:right w:val="single" w:sz="4" w:space="0" w:color="FFFFFF"/>
            </w:tcBorders>
            <w:shd w:val="clear" w:color="auto" w:fill="auto"/>
            <w:noWrap/>
            <w:vAlign w:val="bottom"/>
          </w:tcPr>
          <w:p w14:paraId="1BDC3AA2" w14:textId="77777777" w:rsidR="00D267F7" w:rsidRPr="00704916" w:rsidRDefault="00D267F7" w:rsidP="006631AF">
            <w:pPr>
              <w:rPr>
                <w:rFonts w:eastAsia="Times New Roman"/>
                <w:sz w:val="20"/>
                <w:szCs w:val="20"/>
                <w:lang w:val="en-US"/>
              </w:rPr>
            </w:pPr>
            <w:r w:rsidRPr="00704916">
              <w:rPr>
                <w:sz w:val="20"/>
                <w:szCs w:val="20"/>
                <w:lang w:val="en-US"/>
              </w:rPr>
              <w:t>Vila Olimpia</w:t>
            </w:r>
          </w:p>
        </w:tc>
        <w:tc>
          <w:tcPr>
            <w:tcW w:w="1154" w:type="pct"/>
            <w:tcBorders>
              <w:top w:val="single" w:sz="4" w:space="0" w:color="FFFFFF" w:themeColor="background1"/>
              <w:left w:val="single" w:sz="4" w:space="0" w:color="FFFFFF"/>
            </w:tcBorders>
            <w:shd w:val="clear" w:color="auto" w:fill="auto"/>
            <w:noWrap/>
            <w:vAlign w:val="bottom"/>
          </w:tcPr>
          <w:p w14:paraId="6AC20B80" w14:textId="77777777" w:rsidR="00D267F7" w:rsidRPr="00704916" w:rsidRDefault="00D267F7" w:rsidP="006631AF">
            <w:pPr>
              <w:jc w:val="center"/>
              <w:rPr>
                <w:rFonts w:eastAsia="Times New Roman"/>
                <w:sz w:val="20"/>
                <w:szCs w:val="20"/>
                <w:lang w:val="en-US"/>
              </w:rPr>
            </w:pPr>
            <w:r w:rsidRPr="00704916">
              <w:rPr>
                <w:sz w:val="20"/>
                <w:szCs w:val="20"/>
                <w:lang w:val="en-US"/>
              </w:rPr>
              <w:t>-0.02***</w:t>
            </w:r>
          </w:p>
        </w:tc>
        <w:tc>
          <w:tcPr>
            <w:tcW w:w="1154" w:type="pct"/>
            <w:tcBorders>
              <w:top w:val="single" w:sz="4" w:space="0" w:color="FFFFFF" w:themeColor="background1"/>
            </w:tcBorders>
            <w:shd w:val="clear" w:color="auto" w:fill="auto"/>
            <w:noWrap/>
            <w:vAlign w:val="bottom"/>
          </w:tcPr>
          <w:p w14:paraId="3140259C" w14:textId="77777777" w:rsidR="00D267F7" w:rsidRPr="00704916" w:rsidRDefault="00D267F7" w:rsidP="006631AF">
            <w:pPr>
              <w:jc w:val="center"/>
              <w:rPr>
                <w:rFonts w:eastAsia="Times New Roman"/>
                <w:sz w:val="20"/>
                <w:szCs w:val="20"/>
                <w:lang w:val="en-US"/>
              </w:rPr>
            </w:pPr>
            <w:r w:rsidRPr="00704916">
              <w:rPr>
                <w:sz w:val="20"/>
                <w:szCs w:val="20"/>
                <w:lang w:val="en-US"/>
              </w:rPr>
              <w:t>-0.12***</w:t>
            </w:r>
          </w:p>
        </w:tc>
        <w:tc>
          <w:tcPr>
            <w:tcW w:w="1154" w:type="pct"/>
            <w:tcBorders>
              <w:top w:val="single" w:sz="4" w:space="0" w:color="FFFFFF" w:themeColor="background1"/>
              <w:right w:val="single" w:sz="4" w:space="0" w:color="FFFFFF"/>
            </w:tcBorders>
            <w:shd w:val="clear" w:color="auto" w:fill="auto"/>
            <w:noWrap/>
            <w:vAlign w:val="bottom"/>
          </w:tcPr>
          <w:p w14:paraId="04EFB209" w14:textId="77777777" w:rsidR="00D267F7" w:rsidRPr="00704916" w:rsidRDefault="00D267F7" w:rsidP="006631AF">
            <w:pPr>
              <w:jc w:val="center"/>
              <w:rPr>
                <w:rFonts w:eastAsia="Times New Roman"/>
                <w:sz w:val="20"/>
                <w:szCs w:val="20"/>
                <w:lang w:val="en-US"/>
              </w:rPr>
            </w:pPr>
            <w:r w:rsidRPr="00704916">
              <w:rPr>
                <w:sz w:val="20"/>
                <w:szCs w:val="20"/>
                <w:lang w:val="en-US"/>
              </w:rPr>
              <w:t>-0.02</w:t>
            </w:r>
          </w:p>
        </w:tc>
      </w:tr>
      <w:tr w:rsidR="00D267F7" w:rsidRPr="00DE0337" w14:paraId="35B1857A" w14:textId="77777777" w:rsidTr="00D267F7">
        <w:trPr>
          <w:trHeight w:val="280"/>
          <w:jc w:val="center"/>
        </w:trPr>
        <w:tc>
          <w:tcPr>
            <w:tcW w:w="1538" w:type="pct"/>
            <w:tcBorders>
              <w:top w:val="nil"/>
              <w:left w:val="nil"/>
              <w:right w:val="single" w:sz="4" w:space="0" w:color="FFFFFF"/>
            </w:tcBorders>
            <w:shd w:val="clear" w:color="auto" w:fill="auto"/>
            <w:noWrap/>
            <w:vAlign w:val="bottom"/>
          </w:tcPr>
          <w:p w14:paraId="274CEA38" w14:textId="77777777" w:rsidR="00D267F7" w:rsidRPr="00704916" w:rsidRDefault="00D267F7" w:rsidP="006631AF">
            <w:pPr>
              <w:rPr>
                <w:rFonts w:eastAsia="Times New Roman"/>
                <w:sz w:val="20"/>
                <w:szCs w:val="20"/>
                <w:lang w:val="en-US"/>
              </w:rPr>
            </w:pPr>
          </w:p>
        </w:tc>
        <w:tc>
          <w:tcPr>
            <w:tcW w:w="1154" w:type="pct"/>
            <w:tcBorders>
              <w:top w:val="nil"/>
              <w:left w:val="single" w:sz="4" w:space="0" w:color="FFFFFF"/>
            </w:tcBorders>
            <w:shd w:val="clear" w:color="auto" w:fill="auto"/>
            <w:noWrap/>
            <w:vAlign w:val="bottom"/>
          </w:tcPr>
          <w:p w14:paraId="4CC22ECD" w14:textId="77777777" w:rsidR="00D267F7" w:rsidRPr="00704916" w:rsidRDefault="00D267F7" w:rsidP="006631AF">
            <w:pPr>
              <w:jc w:val="center"/>
              <w:rPr>
                <w:rFonts w:eastAsia="Times New Roman"/>
                <w:sz w:val="20"/>
                <w:szCs w:val="20"/>
                <w:lang w:val="en-US"/>
              </w:rPr>
            </w:pPr>
            <w:r w:rsidRPr="00704916">
              <w:rPr>
                <w:sz w:val="20"/>
                <w:szCs w:val="20"/>
                <w:lang w:val="en-US"/>
              </w:rPr>
              <w:t>(-3.2)</w:t>
            </w:r>
          </w:p>
        </w:tc>
        <w:tc>
          <w:tcPr>
            <w:tcW w:w="1154" w:type="pct"/>
            <w:tcBorders>
              <w:top w:val="nil"/>
            </w:tcBorders>
            <w:shd w:val="clear" w:color="auto" w:fill="auto"/>
            <w:noWrap/>
            <w:vAlign w:val="bottom"/>
          </w:tcPr>
          <w:p w14:paraId="508A3AC0" w14:textId="77777777" w:rsidR="00D267F7" w:rsidRPr="00704916" w:rsidRDefault="00D267F7" w:rsidP="006631AF">
            <w:pPr>
              <w:jc w:val="center"/>
              <w:rPr>
                <w:rFonts w:eastAsia="Times New Roman"/>
                <w:sz w:val="20"/>
                <w:szCs w:val="20"/>
                <w:lang w:val="en-US"/>
              </w:rPr>
            </w:pPr>
            <w:r w:rsidRPr="00704916">
              <w:rPr>
                <w:sz w:val="20"/>
                <w:szCs w:val="20"/>
                <w:lang w:val="en-US"/>
              </w:rPr>
              <w:t>(-14.0)</w:t>
            </w:r>
          </w:p>
        </w:tc>
        <w:tc>
          <w:tcPr>
            <w:tcW w:w="1154" w:type="pct"/>
            <w:tcBorders>
              <w:top w:val="nil"/>
              <w:right w:val="single" w:sz="4" w:space="0" w:color="FFFFFF"/>
            </w:tcBorders>
            <w:shd w:val="clear" w:color="auto" w:fill="auto"/>
            <w:noWrap/>
            <w:vAlign w:val="bottom"/>
          </w:tcPr>
          <w:p w14:paraId="61FCAE24" w14:textId="77777777" w:rsidR="00D267F7" w:rsidRPr="00704916" w:rsidRDefault="00D267F7" w:rsidP="006631AF">
            <w:pPr>
              <w:jc w:val="center"/>
              <w:rPr>
                <w:rFonts w:eastAsia="Times New Roman"/>
                <w:sz w:val="20"/>
                <w:szCs w:val="20"/>
                <w:lang w:val="en-US"/>
              </w:rPr>
            </w:pPr>
            <w:r w:rsidRPr="00704916">
              <w:rPr>
                <w:sz w:val="20"/>
                <w:szCs w:val="20"/>
                <w:lang w:val="en-US"/>
              </w:rPr>
              <w:t>(-1.5)</w:t>
            </w:r>
          </w:p>
        </w:tc>
      </w:tr>
      <w:tr w:rsidR="00D267F7" w:rsidRPr="00DE0337" w14:paraId="64105CAB" w14:textId="77777777" w:rsidTr="00D267F7">
        <w:trPr>
          <w:trHeight w:val="280"/>
          <w:jc w:val="center"/>
        </w:trPr>
        <w:tc>
          <w:tcPr>
            <w:tcW w:w="1538" w:type="pct"/>
            <w:tcBorders>
              <w:left w:val="nil"/>
              <w:right w:val="single" w:sz="4" w:space="0" w:color="FFFFFF"/>
            </w:tcBorders>
            <w:shd w:val="clear" w:color="auto" w:fill="auto"/>
            <w:noWrap/>
            <w:vAlign w:val="bottom"/>
          </w:tcPr>
          <w:p w14:paraId="765A7075" w14:textId="77777777" w:rsidR="00D267F7" w:rsidRPr="00704916" w:rsidRDefault="00D267F7" w:rsidP="006631AF">
            <w:pPr>
              <w:rPr>
                <w:rFonts w:eastAsia="Times New Roman"/>
                <w:sz w:val="20"/>
                <w:szCs w:val="20"/>
                <w:lang w:val="en-US"/>
              </w:rPr>
            </w:pPr>
            <w:r w:rsidRPr="00704916">
              <w:rPr>
                <w:sz w:val="20"/>
                <w:szCs w:val="20"/>
                <w:lang w:val="en-US"/>
              </w:rPr>
              <w:t>Saude and Jabaquara</w:t>
            </w:r>
          </w:p>
        </w:tc>
        <w:tc>
          <w:tcPr>
            <w:tcW w:w="1154" w:type="pct"/>
            <w:tcBorders>
              <w:left w:val="single" w:sz="4" w:space="0" w:color="FFFFFF"/>
            </w:tcBorders>
            <w:shd w:val="clear" w:color="auto" w:fill="auto"/>
            <w:noWrap/>
            <w:vAlign w:val="bottom"/>
          </w:tcPr>
          <w:p w14:paraId="0699423A" w14:textId="77777777" w:rsidR="00D267F7" w:rsidRPr="00704916" w:rsidRDefault="00D267F7" w:rsidP="006631AF">
            <w:pPr>
              <w:jc w:val="center"/>
              <w:rPr>
                <w:rFonts w:eastAsia="Times New Roman"/>
                <w:sz w:val="20"/>
                <w:szCs w:val="20"/>
                <w:lang w:val="en-US"/>
              </w:rPr>
            </w:pPr>
            <w:r w:rsidRPr="00704916">
              <w:rPr>
                <w:sz w:val="20"/>
                <w:szCs w:val="20"/>
                <w:lang w:val="en-US"/>
              </w:rPr>
              <w:t>-0.36***</w:t>
            </w:r>
          </w:p>
        </w:tc>
        <w:tc>
          <w:tcPr>
            <w:tcW w:w="1154" w:type="pct"/>
            <w:shd w:val="clear" w:color="auto" w:fill="auto"/>
            <w:noWrap/>
            <w:vAlign w:val="bottom"/>
          </w:tcPr>
          <w:p w14:paraId="408E5927" w14:textId="77777777" w:rsidR="00D267F7" w:rsidRPr="00704916" w:rsidRDefault="00D267F7" w:rsidP="006631AF">
            <w:pPr>
              <w:jc w:val="center"/>
              <w:rPr>
                <w:rFonts w:eastAsia="Times New Roman"/>
                <w:sz w:val="20"/>
                <w:szCs w:val="20"/>
                <w:lang w:val="en-US"/>
              </w:rPr>
            </w:pPr>
            <w:r w:rsidRPr="00704916">
              <w:rPr>
                <w:sz w:val="20"/>
                <w:szCs w:val="20"/>
                <w:lang w:val="en-US"/>
              </w:rPr>
              <w:t>-0.22***</w:t>
            </w:r>
          </w:p>
        </w:tc>
        <w:tc>
          <w:tcPr>
            <w:tcW w:w="1154" w:type="pct"/>
            <w:tcBorders>
              <w:right w:val="single" w:sz="4" w:space="0" w:color="FFFFFF"/>
            </w:tcBorders>
            <w:shd w:val="clear" w:color="auto" w:fill="auto"/>
            <w:noWrap/>
            <w:vAlign w:val="bottom"/>
          </w:tcPr>
          <w:p w14:paraId="2FFEFBD8" w14:textId="77777777" w:rsidR="00D267F7" w:rsidRPr="00704916" w:rsidRDefault="00D267F7" w:rsidP="006631AF">
            <w:pPr>
              <w:jc w:val="center"/>
              <w:rPr>
                <w:rFonts w:eastAsia="Times New Roman"/>
                <w:sz w:val="20"/>
                <w:szCs w:val="20"/>
                <w:lang w:val="en-US"/>
              </w:rPr>
            </w:pPr>
            <w:r w:rsidRPr="00704916">
              <w:rPr>
                <w:sz w:val="20"/>
                <w:szCs w:val="20"/>
                <w:lang w:val="en-US"/>
              </w:rPr>
              <w:t>-0.26***</w:t>
            </w:r>
          </w:p>
        </w:tc>
      </w:tr>
      <w:tr w:rsidR="00D267F7" w:rsidRPr="00DE0337" w14:paraId="2A68402B" w14:textId="77777777" w:rsidTr="00D267F7">
        <w:trPr>
          <w:trHeight w:val="280"/>
          <w:jc w:val="center"/>
        </w:trPr>
        <w:tc>
          <w:tcPr>
            <w:tcW w:w="1538" w:type="pct"/>
            <w:tcBorders>
              <w:left w:val="nil"/>
              <w:right w:val="single" w:sz="4" w:space="0" w:color="FFFFFF"/>
            </w:tcBorders>
            <w:shd w:val="clear" w:color="auto" w:fill="auto"/>
            <w:noWrap/>
            <w:vAlign w:val="bottom"/>
          </w:tcPr>
          <w:p w14:paraId="62BFE5BC" w14:textId="77777777" w:rsidR="00D267F7" w:rsidRPr="00704916" w:rsidRDefault="00D267F7" w:rsidP="006631AF">
            <w:pPr>
              <w:rPr>
                <w:rFonts w:eastAsia="Times New Roman"/>
                <w:sz w:val="20"/>
                <w:szCs w:val="20"/>
                <w:lang w:val="en-US"/>
              </w:rPr>
            </w:pPr>
          </w:p>
        </w:tc>
        <w:tc>
          <w:tcPr>
            <w:tcW w:w="1154" w:type="pct"/>
            <w:tcBorders>
              <w:left w:val="single" w:sz="4" w:space="0" w:color="FFFFFF"/>
            </w:tcBorders>
            <w:shd w:val="clear" w:color="auto" w:fill="auto"/>
            <w:noWrap/>
            <w:vAlign w:val="bottom"/>
          </w:tcPr>
          <w:p w14:paraId="76DD406D" w14:textId="77777777" w:rsidR="00D267F7" w:rsidRPr="00704916" w:rsidRDefault="00D267F7" w:rsidP="006631AF">
            <w:pPr>
              <w:jc w:val="center"/>
              <w:rPr>
                <w:rFonts w:eastAsia="Times New Roman"/>
                <w:sz w:val="20"/>
                <w:szCs w:val="20"/>
                <w:lang w:val="en-US"/>
              </w:rPr>
            </w:pPr>
            <w:r w:rsidRPr="00704916">
              <w:rPr>
                <w:sz w:val="20"/>
                <w:szCs w:val="20"/>
                <w:lang w:val="en-US"/>
              </w:rPr>
              <w:t>(-25.9)</w:t>
            </w:r>
          </w:p>
        </w:tc>
        <w:tc>
          <w:tcPr>
            <w:tcW w:w="1154" w:type="pct"/>
            <w:shd w:val="clear" w:color="auto" w:fill="auto"/>
            <w:noWrap/>
            <w:vAlign w:val="bottom"/>
          </w:tcPr>
          <w:p w14:paraId="20FD7B5A" w14:textId="77777777" w:rsidR="00D267F7" w:rsidRPr="00704916" w:rsidRDefault="00D267F7" w:rsidP="006631AF">
            <w:pPr>
              <w:jc w:val="center"/>
              <w:rPr>
                <w:rFonts w:eastAsia="Times New Roman"/>
                <w:sz w:val="20"/>
                <w:szCs w:val="20"/>
                <w:lang w:val="en-US"/>
              </w:rPr>
            </w:pPr>
            <w:r w:rsidRPr="00704916">
              <w:rPr>
                <w:sz w:val="20"/>
                <w:szCs w:val="20"/>
                <w:lang w:val="en-US"/>
              </w:rPr>
              <w:t>(-9.9)</w:t>
            </w:r>
          </w:p>
        </w:tc>
        <w:tc>
          <w:tcPr>
            <w:tcW w:w="1154" w:type="pct"/>
            <w:tcBorders>
              <w:right w:val="single" w:sz="4" w:space="0" w:color="FFFFFF"/>
            </w:tcBorders>
            <w:shd w:val="clear" w:color="auto" w:fill="auto"/>
            <w:noWrap/>
            <w:vAlign w:val="bottom"/>
          </w:tcPr>
          <w:p w14:paraId="3771F8F2" w14:textId="77777777" w:rsidR="00D267F7" w:rsidRPr="00704916" w:rsidRDefault="00D267F7" w:rsidP="006631AF">
            <w:pPr>
              <w:jc w:val="center"/>
              <w:rPr>
                <w:rFonts w:eastAsia="Times New Roman"/>
                <w:sz w:val="20"/>
                <w:szCs w:val="20"/>
                <w:lang w:val="en-US"/>
              </w:rPr>
            </w:pPr>
            <w:r w:rsidRPr="00704916">
              <w:rPr>
                <w:sz w:val="20"/>
                <w:szCs w:val="20"/>
                <w:lang w:val="en-US"/>
              </w:rPr>
              <w:t>(-17.3)</w:t>
            </w:r>
          </w:p>
        </w:tc>
      </w:tr>
      <w:tr w:rsidR="00D267F7" w:rsidRPr="00DE0337" w14:paraId="0103C8AE" w14:textId="77777777" w:rsidTr="00D267F7">
        <w:trPr>
          <w:trHeight w:val="280"/>
          <w:jc w:val="center"/>
        </w:trPr>
        <w:tc>
          <w:tcPr>
            <w:tcW w:w="1538" w:type="pct"/>
            <w:tcBorders>
              <w:left w:val="nil"/>
              <w:right w:val="single" w:sz="4" w:space="0" w:color="FFFFFF"/>
            </w:tcBorders>
            <w:shd w:val="clear" w:color="auto" w:fill="auto"/>
            <w:noWrap/>
            <w:vAlign w:val="bottom"/>
          </w:tcPr>
          <w:p w14:paraId="7C728CCE" w14:textId="77777777" w:rsidR="00D267F7" w:rsidRPr="00704916" w:rsidRDefault="00D267F7" w:rsidP="006631AF">
            <w:pPr>
              <w:rPr>
                <w:rFonts w:eastAsia="Times New Roman"/>
                <w:sz w:val="20"/>
                <w:szCs w:val="20"/>
                <w:lang w:val="en-US"/>
              </w:rPr>
            </w:pPr>
            <w:r w:rsidRPr="00704916">
              <w:rPr>
                <w:sz w:val="20"/>
                <w:szCs w:val="20"/>
                <w:lang w:val="en-US"/>
              </w:rPr>
              <w:t>Santo Amaro</w:t>
            </w:r>
          </w:p>
        </w:tc>
        <w:tc>
          <w:tcPr>
            <w:tcW w:w="1154" w:type="pct"/>
            <w:tcBorders>
              <w:left w:val="single" w:sz="4" w:space="0" w:color="FFFFFF"/>
            </w:tcBorders>
            <w:shd w:val="clear" w:color="auto" w:fill="auto"/>
            <w:noWrap/>
            <w:vAlign w:val="bottom"/>
          </w:tcPr>
          <w:p w14:paraId="5190BD36" w14:textId="77777777" w:rsidR="00D267F7" w:rsidRPr="00704916" w:rsidRDefault="00D267F7" w:rsidP="006631AF">
            <w:pPr>
              <w:jc w:val="center"/>
              <w:rPr>
                <w:sz w:val="20"/>
                <w:szCs w:val="20"/>
                <w:lang w:val="en-US"/>
              </w:rPr>
            </w:pPr>
            <w:r w:rsidRPr="00704916">
              <w:rPr>
                <w:sz w:val="20"/>
                <w:szCs w:val="20"/>
                <w:lang w:val="en-US"/>
              </w:rPr>
              <w:t>-0.34***</w:t>
            </w:r>
          </w:p>
        </w:tc>
        <w:tc>
          <w:tcPr>
            <w:tcW w:w="1154" w:type="pct"/>
            <w:shd w:val="clear" w:color="auto" w:fill="auto"/>
            <w:noWrap/>
            <w:vAlign w:val="bottom"/>
          </w:tcPr>
          <w:p w14:paraId="38B79C8E" w14:textId="77777777" w:rsidR="00D267F7" w:rsidRPr="00704916" w:rsidRDefault="00D267F7" w:rsidP="006631AF">
            <w:pPr>
              <w:jc w:val="center"/>
              <w:rPr>
                <w:sz w:val="20"/>
                <w:szCs w:val="20"/>
                <w:lang w:val="en-US"/>
              </w:rPr>
            </w:pPr>
            <w:r w:rsidRPr="00704916">
              <w:rPr>
                <w:sz w:val="20"/>
                <w:szCs w:val="20"/>
                <w:lang w:val="en-US"/>
              </w:rPr>
              <w:t>-0.55***</w:t>
            </w:r>
          </w:p>
        </w:tc>
        <w:tc>
          <w:tcPr>
            <w:tcW w:w="1154" w:type="pct"/>
            <w:tcBorders>
              <w:right w:val="single" w:sz="4" w:space="0" w:color="FFFFFF"/>
            </w:tcBorders>
            <w:shd w:val="clear" w:color="auto" w:fill="auto"/>
            <w:noWrap/>
            <w:vAlign w:val="bottom"/>
          </w:tcPr>
          <w:p w14:paraId="76FDC88D" w14:textId="77777777" w:rsidR="00D267F7" w:rsidRPr="00704916" w:rsidRDefault="00D267F7" w:rsidP="006631AF">
            <w:pPr>
              <w:jc w:val="center"/>
              <w:rPr>
                <w:sz w:val="20"/>
                <w:szCs w:val="20"/>
                <w:lang w:val="en-US"/>
              </w:rPr>
            </w:pPr>
            <w:r w:rsidRPr="00704916">
              <w:rPr>
                <w:sz w:val="20"/>
                <w:szCs w:val="20"/>
                <w:lang w:val="en-US"/>
              </w:rPr>
              <w:t>-0.21***</w:t>
            </w:r>
          </w:p>
        </w:tc>
      </w:tr>
      <w:tr w:rsidR="00D267F7" w:rsidRPr="00DE0337" w14:paraId="7CBA3365" w14:textId="77777777" w:rsidTr="00D267F7">
        <w:trPr>
          <w:trHeight w:val="280"/>
          <w:jc w:val="center"/>
        </w:trPr>
        <w:tc>
          <w:tcPr>
            <w:tcW w:w="1538" w:type="pct"/>
            <w:tcBorders>
              <w:left w:val="nil"/>
              <w:right w:val="single" w:sz="4" w:space="0" w:color="FFFFFF"/>
            </w:tcBorders>
            <w:shd w:val="clear" w:color="auto" w:fill="auto"/>
            <w:noWrap/>
            <w:vAlign w:val="bottom"/>
          </w:tcPr>
          <w:p w14:paraId="09366DA4" w14:textId="77777777" w:rsidR="00D267F7" w:rsidRPr="00704916" w:rsidRDefault="00D267F7" w:rsidP="006631AF">
            <w:pPr>
              <w:rPr>
                <w:rFonts w:eastAsia="Times New Roman"/>
                <w:sz w:val="20"/>
                <w:szCs w:val="20"/>
                <w:lang w:val="en-US"/>
              </w:rPr>
            </w:pPr>
          </w:p>
        </w:tc>
        <w:tc>
          <w:tcPr>
            <w:tcW w:w="1154" w:type="pct"/>
            <w:tcBorders>
              <w:left w:val="single" w:sz="4" w:space="0" w:color="FFFFFF"/>
            </w:tcBorders>
            <w:shd w:val="clear" w:color="auto" w:fill="auto"/>
            <w:noWrap/>
            <w:vAlign w:val="bottom"/>
          </w:tcPr>
          <w:p w14:paraId="0818E96D" w14:textId="77777777" w:rsidR="00D267F7" w:rsidRPr="00704916" w:rsidRDefault="00D267F7" w:rsidP="006631AF">
            <w:pPr>
              <w:jc w:val="center"/>
              <w:rPr>
                <w:sz w:val="20"/>
                <w:szCs w:val="20"/>
                <w:lang w:val="en-US"/>
              </w:rPr>
            </w:pPr>
            <w:r w:rsidRPr="00704916">
              <w:rPr>
                <w:sz w:val="20"/>
                <w:szCs w:val="20"/>
                <w:lang w:val="en-US"/>
              </w:rPr>
              <w:t>(-66.2)</w:t>
            </w:r>
          </w:p>
        </w:tc>
        <w:tc>
          <w:tcPr>
            <w:tcW w:w="1154" w:type="pct"/>
            <w:shd w:val="clear" w:color="auto" w:fill="auto"/>
            <w:noWrap/>
            <w:vAlign w:val="bottom"/>
          </w:tcPr>
          <w:p w14:paraId="3EBFA618" w14:textId="77777777" w:rsidR="00D267F7" w:rsidRPr="00704916" w:rsidRDefault="00D267F7" w:rsidP="006631AF">
            <w:pPr>
              <w:jc w:val="center"/>
              <w:rPr>
                <w:sz w:val="20"/>
                <w:szCs w:val="20"/>
                <w:lang w:val="en-US"/>
              </w:rPr>
            </w:pPr>
            <w:r w:rsidRPr="00704916">
              <w:rPr>
                <w:sz w:val="20"/>
                <w:szCs w:val="20"/>
                <w:lang w:val="en-US"/>
              </w:rPr>
              <w:t>(-42.1)</w:t>
            </w:r>
          </w:p>
        </w:tc>
        <w:tc>
          <w:tcPr>
            <w:tcW w:w="1154" w:type="pct"/>
            <w:tcBorders>
              <w:right w:val="single" w:sz="4" w:space="0" w:color="FFFFFF"/>
            </w:tcBorders>
            <w:shd w:val="clear" w:color="auto" w:fill="auto"/>
            <w:noWrap/>
            <w:vAlign w:val="bottom"/>
          </w:tcPr>
          <w:p w14:paraId="5953BE59" w14:textId="77777777" w:rsidR="00D267F7" w:rsidRPr="00704916" w:rsidRDefault="00D267F7" w:rsidP="006631AF">
            <w:pPr>
              <w:jc w:val="center"/>
              <w:rPr>
                <w:sz w:val="20"/>
                <w:szCs w:val="20"/>
                <w:lang w:val="en-US"/>
              </w:rPr>
            </w:pPr>
            <w:r w:rsidRPr="00704916">
              <w:rPr>
                <w:sz w:val="20"/>
                <w:szCs w:val="20"/>
                <w:lang w:val="en-US"/>
              </w:rPr>
              <w:t>(-18.2)</w:t>
            </w:r>
          </w:p>
        </w:tc>
      </w:tr>
      <w:tr w:rsidR="00D267F7" w:rsidRPr="00DE0337" w14:paraId="1FF5107B" w14:textId="77777777" w:rsidTr="00D267F7">
        <w:trPr>
          <w:trHeight w:val="280"/>
          <w:jc w:val="center"/>
        </w:trPr>
        <w:tc>
          <w:tcPr>
            <w:tcW w:w="1538" w:type="pct"/>
            <w:tcBorders>
              <w:left w:val="nil"/>
              <w:right w:val="single" w:sz="4" w:space="0" w:color="FFFFFF"/>
            </w:tcBorders>
            <w:shd w:val="clear" w:color="auto" w:fill="auto"/>
            <w:noWrap/>
            <w:vAlign w:val="bottom"/>
          </w:tcPr>
          <w:p w14:paraId="0E52AC72" w14:textId="77777777" w:rsidR="00D267F7" w:rsidRPr="00704916" w:rsidRDefault="00D267F7" w:rsidP="006631AF">
            <w:pPr>
              <w:rPr>
                <w:rFonts w:eastAsia="Times New Roman"/>
                <w:sz w:val="20"/>
                <w:szCs w:val="20"/>
                <w:lang w:val="en-US"/>
              </w:rPr>
            </w:pPr>
            <w:r w:rsidRPr="00704916">
              <w:rPr>
                <w:sz w:val="20"/>
                <w:szCs w:val="20"/>
                <w:lang w:val="en-US"/>
              </w:rPr>
              <w:t>Chacara Santo Antonio</w:t>
            </w:r>
          </w:p>
        </w:tc>
        <w:tc>
          <w:tcPr>
            <w:tcW w:w="1154" w:type="pct"/>
            <w:tcBorders>
              <w:left w:val="single" w:sz="4" w:space="0" w:color="FFFFFF"/>
            </w:tcBorders>
            <w:shd w:val="clear" w:color="auto" w:fill="auto"/>
            <w:noWrap/>
            <w:vAlign w:val="bottom"/>
          </w:tcPr>
          <w:p w14:paraId="14AE438B" w14:textId="77777777" w:rsidR="00D267F7" w:rsidRPr="00704916" w:rsidRDefault="00D267F7" w:rsidP="006631AF">
            <w:pPr>
              <w:jc w:val="center"/>
              <w:rPr>
                <w:sz w:val="20"/>
                <w:szCs w:val="20"/>
                <w:lang w:val="en-US"/>
              </w:rPr>
            </w:pPr>
            <w:r w:rsidRPr="00704916">
              <w:rPr>
                <w:sz w:val="20"/>
                <w:szCs w:val="20"/>
                <w:lang w:val="en-US"/>
              </w:rPr>
              <w:t>-0.24***</w:t>
            </w:r>
          </w:p>
        </w:tc>
        <w:tc>
          <w:tcPr>
            <w:tcW w:w="1154" w:type="pct"/>
            <w:shd w:val="clear" w:color="auto" w:fill="auto"/>
            <w:noWrap/>
            <w:vAlign w:val="bottom"/>
          </w:tcPr>
          <w:p w14:paraId="7C61F2D3" w14:textId="77777777" w:rsidR="00D267F7" w:rsidRPr="00704916" w:rsidRDefault="00D267F7" w:rsidP="006631AF">
            <w:pPr>
              <w:jc w:val="center"/>
              <w:rPr>
                <w:sz w:val="20"/>
                <w:szCs w:val="20"/>
                <w:lang w:val="en-US"/>
              </w:rPr>
            </w:pPr>
            <w:r w:rsidRPr="00704916">
              <w:rPr>
                <w:sz w:val="20"/>
                <w:szCs w:val="20"/>
                <w:lang w:val="en-US"/>
              </w:rPr>
              <w:t>-0.27***</w:t>
            </w:r>
          </w:p>
        </w:tc>
        <w:tc>
          <w:tcPr>
            <w:tcW w:w="1154" w:type="pct"/>
            <w:tcBorders>
              <w:right w:val="single" w:sz="4" w:space="0" w:color="FFFFFF"/>
            </w:tcBorders>
            <w:shd w:val="clear" w:color="auto" w:fill="auto"/>
            <w:noWrap/>
            <w:vAlign w:val="bottom"/>
          </w:tcPr>
          <w:p w14:paraId="54AD85DB" w14:textId="77777777" w:rsidR="00D267F7" w:rsidRPr="00704916" w:rsidRDefault="00D267F7" w:rsidP="006631AF">
            <w:pPr>
              <w:jc w:val="center"/>
              <w:rPr>
                <w:sz w:val="20"/>
                <w:szCs w:val="20"/>
                <w:lang w:val="en-US"/>
              </w:rPr>
            </w:pPr>
            <w:r w:rsidRPr="00704916">
              <w:rPr>
                <w:sz w:val="20"/>
                <w:szCs w:val="20"/>
                <w:lang w:val="en-US"/>
              </w:rPr>
              <w:t>-0.27***</w:t>
            </w:r>
          </w:p>
        </w:tc>
      </w:tr>
      <w:tr w:rsidR="00D267F7" w:rsidRPr="00DE0337" w14:paraId="1AE6925D" w14:textId="77777777" w:rsidTr="00D267F7">
        <w:trPr>
          <w:trHeight w:val="280"/>
          <w:jc w:val="center"/>
        </w:trPr>
        <w:tc>
          <w:tcPr>
            <w:tcW w:w="1538" w:type="pct"/>
            <w:tcBorders>
              <w:left w:val="nil"/>
              <w:right w:val="single" w:sz="4" w:space="0" w:color="FFFFFF"/>
            </w:tcBorders>
            <w:shd w:val="clear" w:color="auto" w:fill="auto"/>
            <w:noWrap/>
            <w:vAlign w:val="bottom"/>
          </w:tcPr>
          <w:p w14:paraId="17860412" w14:textId="77777777" w:rsidR="00D267F7" w:rsidRPr="00704916" w:rsidRDefault="00D267F7" w:rsidP="006631AF">
            <w:pPr>
              <w:rPr>
                <w:rFonts w:eastAsia="Times New Roman"/>
                <w:sz w:val="20"/>
                <w:szCs w:val="20"/>
                <w:lang w:val="en-US"/>
              </w:rPr>
            </w:pPr>
          </w:p>
        </w:tc>
        <w:tc>
          <w:tcPr>
            <w:tcW w:w="1154" w:type="pct"/>
            <w:tcBorders>
              <w:left w:val="single" w:sz="4" w:space="0" w:color="FFFFFF"/>
            </w:tcBorders>
            <w:shd w:val="clear" w:color="auto" w:fill="auto"/>
            <w:noWrap/>
            <w:vAlign w:val="bottom"/>
          </w:tcPr>
          <w:p w14:paraId="0B56E1A9" w14:textId="77777777" w:rsidR="00D267F7" w:rsidRPr="00704916" w:rsidRDefault="00D267F7" w:rsidP="006631AF">
            <w:pPr>
              <w:jc w:val="center"/>
              <w:rPr>
                <w:sz w:val="20"/>
                <w:szCs w:val="20"/>
                <w:lang w:val="en-US"/>
              </w:rPr>
            </w:pPr>
            <w:r w:rsidRPr="00704916">
              <w:rPr>
                <w:sz w:val="20"/>
                <w:szCs w:val="20"/>
                <w:lang w:val="en-US"/>
              </w:rPr>
              <w:t>(-32.5)</w:t>
            </w:r>
          </w:p>
        </w:tc>
        <w:tc>
          <w:tcPr>
            <w:tcW w:w="1154" w:type="pct"/>
            <w:shd w:val="clear" w:color="auto" w:fill="auto"/>
            <w:noWrap/>
            <w:vAlign w:val="bottom"/>
          </w:tcPr>
          <w:p w14:paraId="1F1BCFF0" w14:textId="77777777" w:rsidR="00D267F7" w:rsidRPr="00704916" w:rsidRDefault="00D267F7" w:rsidP="006631AF">
            <w:pPr>
              <w:jc w:val="center"/>
              <w:rPr>
                <w:sz w:val="20"/>
                <w:szCs w:val="20"/>
                <w:lang w:val="en-US"/>
              </w:rPr>
            </w:pPr>
            <w:r w:rsidRPr="00704916">
              <w:rPr>
                <w:sz w:val="20"/>
                <w:szCs w:val="20"/>
                <w:lang w:val="en-US"/>
              </w:rPr>
              <w:t>(-26.0)</w:t>
            </w:r>
          </w:p>
        </w:tc>
        <w:tc>
          <w:tcPr>
            <w:tcW w:w="1154" w:type="pct"/>
            <w:tcBorders>
              <w:right w:val="single" w:sz="4" w:space="0" w:color="FFFFFF"/>
            </w:tcBorders>
            <w:shd w:val="clear" w:color="auto" w:fill="auto"/>
            <w:noWrap/>
            <w:vAlign w:val="bottom"/>
          </w:tcPr>
          <w:p w14:paraId="0904DEDE" w14:textId="77777777" w:rsidR="00D267F7" w:rsidRPr="00704916" w:rsidRDefault="00D267F7" w:rsidP="006631AF">
            <w:pPr>
              <w:jc w:val="center"/>
              <w:rPr>
                <w:sz w:val="20"/>
                <w:szCs w:val="20"/>
                <w:lang w:val="en-US"/>
              </w:rPr>
            </w:pPr>
            <w:r w:rsidRPr="00704916">
              <w:rPr>
                <w:sz w:val="20"/>
                <w:szCs w:val="20"/>
                <w:lang w:val="en-US"/>
              </w:rPr>
              <w:t>(-29.2)</w:t>
            </w:r>
          </w:p>
        </w:tc>
      </w:tr>
      <w:tr w:rsidR="00D267F7" w:rsidRPr="00DE0337" w14:paraId="5404D051" w14:textId="77777777" w:rsidTr="00D267F7">
        <w:trPr>
          <w:trHeight w:val="280"/>
          <w:jc w:val="center"/>
        </w:trPr>
        <w:tc>
          <w:tcPr>
            <w:tcW w:w="1538" w:type="pct"/>
            <w:tcBorders>
              <w:left w:val="nil"/>
              <w:right w:val="single" w:sz="4" w:space="0" w:color="FFFFFF"/>
            </w:tcBorders>
            <w:shd w:val="clear" w:color="auto" w:fill="auto"/>
            <w:noWrap/>
            <w:vAlign w:val="bottom"/>
          </w:tcPr>
          <w:p w14:paraId="1A89B79B" w14:textId="77777777" w:rsidR="00D267F7" w:rsidRPr="00704916" w:rsidRDefault="00D267F7" w:rsidP="006631AF">
            <w:pPr>
              <w:rPr>
                <w:rFonts w:eastAsia="Times New Roman"/>
                <w:sz w:val="20"/>
                <w:szCs w:val="20"/>
                <w:lang w:val="en-US"/>
              </w:rPr>
            </w:pPr>
            <w:r w:rsidRPr="00704916">
              <w:rPr>
                <w:sz w:val="20"/>
                <w:szCs w:val="20"/>
                <w:lang w:val="en-US"/>
              </w:rPr>
              <w:t>Morumbi/Jd Sao Luis</w:t>
            </w:r>
          </w:p>
        </w:tc>
        <w:tc>
          <w:tcPr>
            <w:tcW w:w="1154" w:type="pct"/>
            <w:tcBorders>
              <w:left w:val="single" w:sz="4" w:space="0" w:color="FFFFFF"/>
            </w:tcBorders>
            <w:shd w:val="clear" w:color="auto" w:fill="auto"/>
            <w:noWrap/>
            <w:vAlign w:val="bottom"/>
          </w:tcPr>
          <w:p w14:paraId="3055632A" w14:textId="77777777" w:rsidR="00D267F7" w:rsidRPr="00704916" w:rsidRDefault="00D267F7" w:rsidP="006631AF">
            <w:pPr>
              <w:jc w:val="center"/>
              <w:rPr>
                <w:sz w:val="20"/>
                <w:szCs w:val="20"/>
                <w:lang w:val="en-US"/>
              </w:rPr>
            </w:pPr>
            <w:r w:rsidRPr="00704916">
              <w:rPr>
                <w:sz w:val="20"/>
                <w:szCs w:val="20"/>
                <w:lang w:val="en-US"/>
              </w:rPr>
              <w:t>-0.35***</w:t>
            </w:r>
          </w:p>
        </w:tc>
        <w:tc>
          <w:tcPr>
            <w:tcW w:w="1154" w:type="pct"/>
            <w:shd w:val="clear" w:color="auto" w:fill="auto"/>
            <w:noWrap/>
            <w:vAlign w:val="bottom"/>
          </w:tcPr>
          <w:p w14:paraId="56CA2264" w14:textId="77777777" w:rsidR="00D267F7" w:rsidRPr="00704916" w:rsidRDefault="00D267F7" w:rsidP="006631AF">
            <w:pPr>
              <w:jc w:val="center"/>
              <w:rPr>
                <w:sz w:val="20"/>
                <w:szCs w:val="20"/>
                <w:lang w:val="en-US"/>
              </w:rPr>
            </w:pPr>
            <w:r w:rsidRPr="00704916">
              <w:rPr>
                <w:sz w:val="20"/>
                <w:szCs w:val="20"/>
                <w:lang w:val="en-US"/>
              </w:rPr>
              <w:t>-0.50***</w:t>
            </w:r>
          </w:p>
        </w:tc>
        <w:tc>
          <w:tcPr>
            <w:tcW w:w="1154" w:type="pct"/>
            <w:tcBorders>
              <w:right w:val="single" w:sz="4" w:space="0" w:color="FFFFFF"/>
            </w:tcBorders>
            <w:shd w:val="clear" w:color="auto" w:fill="auto"/>
            <w:noWrap/>
            <w:vAlign w:val="bottom"/>
          </w:tcPr>
          <w:p w14:paraId="239631E4" w14:textId="77777777" w:rsidR="00D267F7" w:rsidRPr="00704916" w:rsidRDefault="00D267F7" w:rsidP="006631AF">
            <w:pPr>
              <w:jc w:val="center"/>
              <w:rPr>
                <w:sz w:val="20"/>
                <w:szCs w:val="20"/>
                <w:lang w:val="en-US"/>
              </w:rPr>
            </w:pPr>
            <w:r w:rsidRPr="00704916">
              <w:rPr>
                <w:sz w:val="20"/>
                <w:szCs w:val="20"/>
                <w:lang w:val="en-US"/>
              </w:rPr>
              <w:t>-0.18***</w:t>
            </w:r>
          </w:p>
        </w:tc>
      </w:tr>
      <w:tr w:rsidR="00D267F7" w:rsidRPr="00DE0337" w14:paraId="05D4F000" w14:textId="77777777" w:rsidTr="00D267F7">
        <w:trPr>
          <w:trHeight w:val="280"/>
          <w:jc w:val="center"/>
        </w:trPr>
        <w:tc>
          <w:tcPr>
            <w:tcW w:w="1538" w:type="pct"/>
            <w:tcBorders>
              <w:left w:val="nil"/>
              <w:right w:val="single" w:sz="4" w:space="0" w:color="FFFFFF"/>
            </w:tcBorders>
            <w:shd w:val="clear" w:color="auto" w:fill="auto"/>
            <w:noWrap/>
            <w:vAlign w:val="bottom"/>
          </w:tcPr>
          <w:p w14:paraId="57B8A11F" w14:textId="77777777" w:rsidR="00D267F7" w:rsidRPr="00704916" w:rsidRDefault="00D267F7" w:rsidP="006631AF">
            <w:pPr>
              <w:rPr>
                <w:rFonts w:eastAsia="Times New Roman"/>
                <w:sz w:val="20"/>
                <w:szCs w:val="20"/>
                <w:lang w:val="en-US"/>
              </w:rPr>
            </w:pPr>
          </w:p>
        </w:tc>
        <w:tc>
          <w:tcPr>
            <w:tcW w:w="1154" w:type="pct"/>
            <w:tcBorders>
              <w:left w:val="single" w:sz="4" w:space="0" w:color="FFFFFF"/>
            </w:tcBorders>
            <w:shd w:val="clear" w:color="auto" w:fill="auto"/>
            <w:noWrap/>
            <w:vAlign w:val="bottom"/>
          </w:tcPr>
          <w:p w14:paraId="6109F91A" w14:textId="77777777" w:rsidR="00D267F7" w:rsidRPr="00704916" w:rsidRDefault="00D267F7" w:rsidP="006631AF">
            <w:pPr>
              <w:jc w:val="center"/>
              <w:rPr>
                <w:sz w:val="20"/>
                <w:szCs w:val="20"/>
                <w:lang w:val="en-US"/>
              </w:rPr>
            </w:pPr>
            <w:r w:rsidRPr="00704916">
              <w:rPr>
                <w:sz w:val="20"/>
                <w:szCs w:val="20"/>
                <w:lang w:val="en-US"/>
              </w:rPr>
              <w:t>(-36.0)</w:t>
            </w:r>
          </w:p>
        </w:tc>
        <w:tc>
          <w:tcPr>
            <w:tcW w:w="1154" w:type="pct"/>
            <w:shd w:val="clear" w:color="auto" w:fill="auto"/>
            <w:noWrap/>
            <w:vAlign w:val="bottom"/>
          </w:tcPr>
          <w:p w14:paraId="56A6484A" w14:textId="77777777" w:rsidR="00D267F7" w:rsidRPr="00704916" w:rsidRDefault="00D267F7" w:rsidP="006631AF">
            <w:pPr>
              <w:jc w:val="center"/>
              <w:rPr>
                <w:sz w:val="20"/>
                <w:szCs w:val="20"/>
                <w:lang w:val="en-US"/>
              </w:rPr>
            </w:pPr>
            <w:r w:rsidRPr="00704916">
              <w:rPr>
                <w:sz w:val="20"/>
                <w:szCs w:val="20"/>
                <w:lang w:val="en-US"/>
              </w:rPr>
              <w:t>(-26.2)</w:t>
            </w:r>
          </w:p>
        </w:tc>
        <w:tc>
          <w:tcPr>
            <w:tcW w:w="1154" w:type="pct"/>
            <w:tcBorders>
              <w:right w:val="single" w:sz="4" w:space="0" w:color="FFFFFF"/>
            </w:tcBorders>
            <w:shd w:val="clear" w:color="auto" w:fill="auto"/>
            <w:noWrap/>
            <w:vAlign w:val="bottom"/>
          </w:tcPr>
          <w:p w14:paraId="443023A9" w14:textId="77777777" w:rsidR="00D267F7" w:rsidRPr="00704916" w:rsidRDefault="00D267F7" w:rsidP="006631AF">
            <w:pPr>
              <w:jc w:val="center"/>
              <w:rPr>
                <w:sz w:val="20"/>
                <w:szCs w:val="20"/>
                <w:lang w:val="en-US"/>
              </w:rPr>
            </w:pPr>
            <w:r w:rsidRPr="00704916">
              <w:rPr>
                <w:sz w:val="20"/>
                <w:szCs w:val="20"/>
                <w:lang w:val="en-US"/>
              </w:rPr>
              <w:t>(-6.9)</w:t>
            </w:r>
          </w:p>
        </w:tc>
      </w:tr>
      <w:tr w:rsidR="00D267F7" w:rsidRPr="00DE0337" w14:paraId="5E8E58DC" w14:textId="77777777" w:rsidTr="00D267F7">
        <w:trPr>
          <w:trHeight w:val="280"/>
          <w:jc w:val="center"/>
        </w:trPr>
        <w:tc>
          <w:tcPr>
            <w:tcW w:w="1538" w:type="pct"/>
            <w:tcBorders>
              <w:left w:val="nil"/>
              <w:right w:val="single" w:sz="4" w:space="0" w:color="FFFFFF"/>
            </w:tcBorders>
            <w:shd w:val="clear" w:color="auto" w:fill="auto"/>
            <w:noWrap/>
            <w:vAlign w:val="bottom"/>
          </w:tcPr>
          <w:p w14:paraId="5507EF2A" w14:textId="77777777" w:rsidR="00D267F7" w:rsidRPr="00704916" w:rsidRDefault="00D267F7" w:rsidP="006631AF">
            <w:pPr>
              <w:rPr>
                <w:rFonts w:eastAsia="Times New Roman"/>
                <w:sz w:val="20"/>
                <w:szCs w:val="20"/>
                <w:lang w:val="en-US"/>
              </w:rPr>
            </w:pPr>
            <w:r w:rsidRPr="00704916">
              <w:rPr>
                <w:sz w:val="20"/>
                <w:szCs w:val="20"/>
                <w:lang w:val="en-US"/>
              </w:rPr>
              <w:t>Centro</w:t>
            </w:r>
          </w:p>
        </w:tc>
        <w:tc>
          <w:tcPr>
            <w:tcW w:w="1154" w:type="pct"/>
            <w:tcBorders>
              <w:left w:val="single" w:sz="4" w:space="0" w:color="FFFFFF"/>
            </w:tcBorders>
            <w:shd w:val="clear" w:color="auto" w:fill="auto"/>
            <w:noWrap/>
            <w:vAlign w:val="bottom"/>
          </w:tcPr>
          <w:p w14:paraId="2C6EFCD2" w14:textId="77777777" w:rsidR="00D267F7" w:rsidRPr="00704916" w:rsidRDefault="00D267F7" w:rsidP="006631AF">
            <w:pPr>
              <w:jc w:val="center"/>
              <w:rPr>
                <w:sz w:val="20"/>
                <w:szCs w:val="20"/>
                <w:lang w:val="en-US"/>
              </w:rPr>
            </w:pPr>
            <w:r w:rsidRPr="00704916">
              <w:rPr>
                <w:sz w:val="20"/>
                <w:szCs w:val="20"/>
                <w:lang w:val="en-US"/>
              </w:rPr>
              <w:t>-0.81***</w:t>
            </w:r>
          </w:p>
        </w:tc>
        <w:tc>
          <w:tcPr>
            <w:tcW w:w="1154" w:type="pct"/>
            <w:shd w:val="clear" w:color="auto" w:fill="auto"/>
            <w:noWrap/>
            <w:vAlign w:val="bottom"/>
          </w:tcPr>
          <w:p w14:paraId="38E5C09B" w14:textId="77777777" w:rsidR="00D267F7" w:rsidRPr="00704916" w:rsidRDefault="00D267F7" w:rsidP="006631AF">
            <w:pPr>
              <w:jc w:val="center"/>
              <w:rPr>
                <w:sz w:val="20"/>
                <w:szCs w:val="20"/>
                <w:lang w:val="en-US"/>
              </w:rPr>
            </w:pPr>
            <w:r w:rsidRPr="00704916">
              <w:rPr>
                <w:sz w:val="20"/>
                <w:szCs w:val="20"/>
                <w:lang w:val="en-US"/>
              </w:rPr>
              <w:t>-0.90***</w:t>
            </w:r>
          </w:p>
        </w:tc>
        <w:tc>
          <w:tcPr>
            <w:tcW w:w="1154" w:type="pct"/>
            <w:tcBorders>
              <w:right w:val="single" w:sz="4" w:space="0" w:color="FFFFFF"/>
            </w:tcBorders>
            <w:shd w:val="clear" w:color="auto" w:fill="auto"/>
            <w:noWrap/>
            <w:vAlign w:val="bottom"/>
          </w:tcPr>
          <w:p w14:paraId="611ADC9D" w14:textId="77777777" w:rsidR="00D267F7" w:rsidRPr="00704916" w:rsidRDefault="00D267F7" w:rsidP="006631AF">
            <w:pPr>
              <w:jc w:val="center"/>
              <w:rPr>
                <w:sz w:val="20"/>
                <w:szCs w:val="20"/>
                <w:lang w:val="en-US"/>
              </w:rPr>
            </w:pPr>
            <w:r w:rsidRPr="00704916">
              <w:rPr>
                <w:sz w:val="20"/>
                <w:szCs w:val="20"/>
                <w:lang w:val="en-US"/>
              </w:rPr>
              <w:t>-0.76***</w:t>
            </w:r>
          </w:p>
        </w:tc>
      </w:tr>
      <w:tr w:rsidR="00D267F7" w:rsidRPr="00DE0337" w14:paraId="47B77169" w14:textId="77777777" w:rsidTr="00D267F7">
        <w:trPr>
          <w:trHeight w:val="280"/>
          <w:jc w:val="center"/>
        </w:trPr>
        <w:tc>
          <w:tcPr>
            <w:tcW w:w="1538" w:type="pct"/>
            <w:tcBorders>
              <w:left w:val="nil"/>
              <w:right w:val="single" w:sz="4" w:space="0" w:color="FFFFFF"/>
            </w:tcBorders>
            <w:shd w:val="clear" w:color="auto" w:fill="auto"/>
            <w:noWrap/>
            <w:vAlign w:val="bottom"/>
          </w:tcPr>
          <w:p w14:paraId="15F3EA5C" w14:textId="77777777" w:rsidR="00D267F7" w:rsidRPr="00704916" w:rsidRDefault="00D267F7" w:rsidP="006631AF">
            <w:pPr>
              <w:rPr>
                <w:rFonts w:eastAsia="Times New Roman"/>
                <w:sz w:val="20"/>
                <w:szCs w:val="20"/>
                <w:lang w:val="en-US"/>
              </w:rPr>
            </w:pPr>
          </w:p>
        </w:tc>
        <w:tc>
          <w:tcPr>
            <w:tcW w:w="1154" w:type="pct"/>
            <w:tcBorders>
              <w:left w:val="single" w:sz="4" w:space="0" w:color="FFFFFF"/>
            </w:tcBorders>
            <w:shd w:val="clear" w:color="auto" w:fill="auto"/>
            <w:noWrap/>
            <w:vAlign w:val="bottom"/>
          </w:tcPr>
          <w:p w14:paraId="49727741" w14:textId="77777777" w:rsidR="00D267F7" w:rsidRPr="00704916" w:rsidRDefault="00D267F7" w:rsidP="006631AF">
            <w:pPr>
              <w:jc w:val="center"/>
              <w:rPr>
                <w:sz w:val="20"/>
                <w:szCs w:val="20"/>
                <w:lang w:val="en-US"/>
              </w:rPr>
            </w:pPr>
            <w:r w:rsidRPr="00704916">
              <w:rPr>
                <w:sz w:val="20"/>
                <w:szCs w:val="20"/>
                <w:lang w:val="en-US"/>
              </w:rPr>
              <w:t>(-42.6)</w:t>
            </w:r>
          </w:p>
        </w:tc>
        <w:tc>
          <w:tcPr>
            <w:tcW w:w="1154" w:type="pct"/>
            <w:shd w:val="clear" w:color="auto" w:fill="auto"/>
            <w:noWrap/>
            <w:vAlign w:val="bottom"/>
          </w:tcPr>
          <w:p w14:paraId="4755DC6B" w14:textId="77777777" w:rsidR="00D267F7" w:rsidRPr="00704916" w:rsidRDefault="00D267F7" w:rsidP="006631AF">
            <w:pPr>
              <w:jc w:val="center"/>
              <w:rPr>
                <w:sz w:val="20"/>
                <w:szCs w:val="20"/>
                <w:lang w:val="en-US"/>
              </w:rPr>
            </w:pPr>
            <w:r w:rsidRPr="00704916">
              <w:rPr>
                <w:sz w:val="20"/>
                <w:szCs w:val="20"/>
                <w:lang w:val="en-US"/>
              </w:rPr>
              <w:t>(-48.1)</w:t>
            </w:r>
          </w:p>
        </w:tc>
        <w:tc>
          <w:tcPr>
            <w:tcW w:w="1154" w:type="pct"/>
            <w:tcBorders>
              <w:right w:val="single" w:sz="4" w:space="0" w:color="FFFFFF"/>
            </w:tcBorders>
            <w:shd w:val="clear" w:color="auto" w:fill="auto"/>
            <w:noWrap/>
            <w:vAlign w:val="bottom"/>
          </w:tcPr>
          <w:p w14:paraId="43F5CC9D" w14:textId="77777777" w:rsidR="00D267F7" w:rsidRPr="00704916" w:rsidRDefault="00D267F7" w:rsidP="006631AF">
            <w:pPr>
              <w:jc w:val="center"/>
              <w:rPr>
                <w:sz w:val="20"/>
                <w:szCs w:val="20"/>
                <w:lang w:val="en-US"/>
              </w:rPr>
            </w:pPr>
            <w:r w:rsidRPr="00704916">
              <w:rPr>
                <w:sz w:val="20"/>
                <w:szCs w:val="20"/>
                <w:lang w:val="en-US"/>
              </w:rPr>
              <w:t>(-26.1)</w:t>
            </w:r>
          </w:p>
        </w:tc>
      </w:tr>
      <w:tr w:rsidR="00D267F7" w:rsidRPr="00DE0337" w14:paraId="7D1113B1" w14:textId="77777777" w:rsidTr="00D267F7">
        <w:trPr>
          <w:trHeight w:val="280"/>
          <w:jc w:val="center"/>
        </w:trPr>
        <w:tc>
          <w:tcPr>
            <w:tcW w:w="1538" w:type="pct"/>
            <w:tcBorders>
              <w:left w:val="nil"/>
              <w:right w:val="single" w:sz="4" w:space="0" w:color="FFFFFF"/>
            </w:tcBorders>
            <w:shd w:val="clear" w:color="auto" w:fill="auto"/>
            <w:noWrap/>
            <w:vAlign w:val="bottom"/>
          </w:tcPr>
          <w:p w14:paraId="6386A2D5" w14:textId="77777777" w:rsidR="00D267F7" w:rsidRPr="00704916" w:rsidRDefault="00D267F7" w:rsidP="006631AF">
            <w:pPr>
              <w:rPr>
                <w:rFonts w:eastAsia="Times New Roman"/>
                <w:sz w:val="20"/>
                <w:szCs w:val="20"/>
                <w:lang w:val="en-US"/>
              </w:rPr>
            </w:pPr>
            <w:r w:rsidRPr="00704916">
              <w:rPr>
                <w:sz w:val="20"/>
                <w:szCs w:val="20"/>
                <w:lang w:val="en-US"/>
              </w:rPr>
              <w:t>Marginal Pinheiros</w:t>
            </w:r>
          </w:p>
        </w:tc>
        <w:tc>
          <w:tcPr>
            <w:tcW w:w="1154" w:type="pct"/>
            <w:tcBorders>
              <w:left w:val="single" w:sz="4" w:space="0" w:color="FFFFFF"/>
            </w:tcBorders>
            <w:shd w:val="clear" w:color="auto" w:fill="auto"/>
            <w:noWrap/>
            <w:vAlign w:val="bottom"/>
          </w:tcPr>
          <w:p w14:paraId="3F21AF7A" w14:textId="77777777" w:rsidR="00D267F7" w:rsidRPr="00704916" w:rsidRDefault="00D267F7" w:rsidP="006631AF">
            <w:pPr>
              <w:jc w:val="center"/>
              <w:rPr>
                <w:sz w:val="20"/>
                <w:szCs w:val="20"/>
                <w:lang w:val="en-US"/>
              </w:rPr>
            </w:pPr>
            <w:r w:rsidRPr="00704916">
              <w:rPr>
                <w:sz w:val="20"/>
                <w:szCs w:val="20"/>
                <w:lang w:val="en-US"/>
              </w:rPr>
              <w:t>-0.09*</w:t>
            </w:r>
          </w:p>
        </w:tc>
        <w:tc>
          <w:tcPr>
            <w:tcW w:w="1154" w:type="pct"/>
            <w:shd w:val="clear" w:color="auto" w:fill="auto"/>
            <w:noWrap/>
            <w:vAlign w:val="bottom"/>
          </w:tcPr>
          <w:p w14:paraId="0A55BCF5" w14:textId="77777777" w:rsidR="00D267F7" w:rsidRPr="00704916" w:rsidRDefault="00D267F7" w:rsidP="006631AF">
            <w:pPr>
              <w:jc w:val="center"/>
              <w:rPr>
                <w:sz w:val="20"/>
                <w:szCs w:val="20"/>
                <w:lang w:val="en-US"/>
              </w:rPr>
            </w:pPr>
            <w:r w:rsidRPr="00704916">
              <w:rPr>
                <w:sz w:val="20"/>
                <w:szCs w:val="20"/>
                <w:lang w:val="en-US"/>
              </w:rPr>
              <w:t>-0.17***</w:t>
            </w:r>
          </w:p>
        </w:tc>
        <w:tc>
          <w:tcPr>
            <w:tcW w:w="1154" w:type="pct"/>
            <w:tcBorders>
              <w:right w:val="single" w:sz="4" w:space="0" w:color="FFFFFF"/>
            </w:tcBorders>
            <w:shd w:val="clear" w:color="auto" w:fill="auto"/>
            <w:noWrap/>
            <w:vAlign w:val="bottom"/>
          </w:tcPr>
          <w:p w14:paraId="163EAA1F" w14:textId="77777777" w:rsidR="00D267F7" w:rsidRPr="00704916" w:rsidRDefault="00D267F7" w:rsidP="006631AF">
            <w:pPr>
              <w:jc w:val="center"/>
              <w:rPr>
                <w:sz w:val="20"/>
                <w:szCs w:val="20"/>
                <w:lang w:val="en-US"/>
              </w:rPr>
            </w:pPr>
            <w:r w:rsidRPr="00704916">
              <w:rPr>
                <w:sz w:val="20"/>
                <w:szCs w:val="20"/>
                <w:lang w:val="en-US"/>
              </w:rPr>
              <w:t>-0.10</w:t>
            </w:r>
          </w:p>
        </w:tc>
      </w:tr>
      <w:tr w:rsidR="00D267F7" w:rsidRPr="00DE0337" w14:paraId="49BDF0C6" w14:textId="77777777" w:rsidTr="00D267F7">
        <w:trPr>
          <w:trHeight w:val="280"/>
          <w:jc w:val="center"/>
        </w:trPr>
        <w:tc>
          <w:tcPr>
            <w:tcW w:w="1538" w:type="pct"/>
            <w:tcBorders>
              <w:left w:val="nil"/>
              <w:right w:val="single" w:sz="4" w:space="0" w:color="FFFFFF"/>
            </w:tcBorders>
            <w:shd w:val="clear" w:color="auto" w:fill="auto"/>
            <w:noWrap/>
            <w:vAlign w:val="bottom"/>
          </w:tcPr>
          <w:p w14:paraId="132D627E" w14:textId="77777777" w:rsidR="00D267F7" w:rsidRPr="00704916" w:rsidRDefault="00D267F7" w:rsidP="006631AF">
            <w:pPr>
              <w:rPr>
                <w:rFonts w:eastAsia="Times New Roman"/>
                <w:sz w:val="20"/>
                <w:szCs w:val="20"/>
                <w:lang w:val="en-US"/>
              </w:rPr>
            </w:pPr>
          </w:p>
        </w:tc>
        <w:tc>
          <w:tcPr>
            <w:tcW w:w="1154" w:type="pct"/>
            <w:tcBorders>
              <w:left w:val="single" w:sz="4" w:space="0" w:color="FFFFFF"/>
            </w:tcBorders>
            <w:shd w:val="clear" w:color="auto" w:fill="auto"/>
            <w:noWrap/>
            <w:vAlign w:val="bottom"/>
          </w:tcPr>
          <w:p w14:paraId="4F28328C" w14:textId="77777777" w:rsidR="00D267F7" w:rsidRPr="00704916" w:rsidRDefault="00D267F7" w:rsidP="006631AF">
            <w:pPr>
              <w:jc w:val="center"/>
              <w:rPr>
                <w:sz w:val="20"/>
                <w:szCs w:val="20"/>
                <w:lang w:val="en-US"/>
              </w:rPr>
            </w:pPr>
            <w:r w:rsidRPr="00704916">
              <w:rPr>
                <w:sz w:val="20"/>
                <w:szCs w:val="20"/>
                <w:lang w:val="en-US"/>
              </w:rPr>
              <w:t>(-2.1)</w:t>
            </w:r>
          </w:p>
        </w:tc>
        <w:tc>
          <w:tcPr>
            <w:tcW w:w="1154" w:type="pct"/>
            <w:shd w:val="clear" w:color="auto" w:fill="auto"/>
            <w:noWrap/>
            <w:vAlign w:val="bottom"/>
          </w:tcPr>
          <w:p w14:paraId="5427F63B" w14:textId="77777777" w:rsidR="00D267F7" w:rsidRPr="00704916" w:rsidRDefault="00D267F7" w:rsidP="006631AF">
            <w:pPr>
              <w:jc w:val="center"/>
              <w:rPr>
                <w:sz w:val="20"/>
                <w:szCs w:val="20"/>
                <w:lang w:val="en-US"/>
              </w:rPr>
            </w:pPr>
            <w:r w:rsidRPr="00704916">
              <w:rPr>
                <w:sz w:val="20"/>
                <w:szCs w:val="20"/>
                <w:lang w:val="en-US"/>
              </w:rPr>
              <w:t>(-8.1)</w:t>
            </w:r>
          </w:p>
        </w:tc>
        <w:tc>
          <w:tcPr>
            <w:tcW w:w="1154" w:type="pct"/>
            <w:tcBorders>
              <w:right w:val="single" w:sz="4" w:space="0" w:color="FFFFFF"/>
            </w:tcBorders>
            <w:shd w:val="clear" w:color="auto" w:fill="auto"/>
            <w:noWrap/>
            <w:vAlign w:val="bottom"/>
          </w:tcPr>
          <w:p w14:paraId="1C1E1951" w14:textId="77777777" w:rsidR="00D267F7" w:rsidRPr="00704916" w:rsidRDefault="00D267F7" w:rsidP="006631AF">
            <w:pPr>
              <w:jc w:val="center"/>
              <w:rPr>
                <w:sz w:val="20"/>
                <w:szCs w:val="20"/>
                <w:lang w:val="en-US"/>
              </w:rPr>
            </w:pPr>
            <w:r w:rsidRPr="00704916">
              <w:rPr>
                <w:sz w:val="20"/>
                <w:szCs w:val="20"/>
                <w:lang w:val="en-US"/>
              </w:rPr>
              <w:t>(-1.0)</w:t>
            </w:r>
          </w:p>
        </w:tc>
      </w:tr>
      <w:tr w:rsidR="00D267F7" w:rsidRPr="00DE0337" w14:paraId="7B68DAA5" w14:textId="77777777" w:rsidTr="00D267F7">
        <w:trPr>
          <w:trHeight w:val="280"/>
          <w:jc w:val="center"/>
        </w:trPr>
        <w:tc>
          <w:tcPr>
            <w:tcW w:w="1538" w:type="pct"/>
            <w:tcBorders>
              <w:left w:val="nil"/>
              <w:right w:val="single" w:sz="4" w:space="0" w:color="FFFFFF"/>
            </w:tcBorders>
            <w:shd w:val="clear" w:color="auto" w:fill="auto"/>
            <w:noWrap/>
            <w:vAlign w:val="bottom"/>
          </w:tcPr>
          <w:p w14:paraId="16CAA630" w14:textId="77777777" w:rsidR="00D267F7" w:rsidRPr="00704916" w:rsidRDefault="00D267F7" w:rsidP="006631AF">
            <w:pPr>
              <w:rPr>
                <w:rFonts w:eastAsia="Times New Roman"/>
                <w:sz w:val="20"/>
                <w:szCs w:val="20"/>
                <w:lang w:val="en-US"/>
              </w:rPr>
            </w:pPr>
            <w:r w:rsidRPr="00704916">
              <w:rPr>
                <w:sz w:val="20"/>
                <w:szCs w:val="20"/>
                <w:lang w:val="en-US"/>
              </w:rPr>
              <w:t>Moema/Vila Mariana</w:t>
            </w:r>
          </w:p>
        </w:tc>
        <w:tc>
          <w:tcPr>
            <w:tcW w:w="1154" w:type="pct"/>
            <w:tcBorders>
              <w:left w:val="single" w:sz="4" w:space="0" w:color="FFFFFF"/>
            </w:tcBorders>
            <w:shd w:val="clear" w:color="auto" w:fill="auto"/>
            <w:noWrap/>
            <w:vAlign w:val="bottom"/>
          </w:tcPr>
          <w:p w14:paraId="77563323" w14:textId="77777777" w:rsidR="00D267F7" w:rsidRPr="00704916" w:rsidRDefault="00D267F7" w:rsidP="006631AF">
            <w:pPr>
              <w:jc w:val="center"/>
              <w:rPr>
                <w:sz w:val="20"/>
                <w:szCs w:val="20"/>
                <w:lang w:val="en-US"/>
              </w:rPr>
            </w:pPr>
            <w:r w:rsidRPr="00704916">
              <w:rPr>
                <w:sz w:val="20"/>
                <w:szCs w:val="20"/>
                <w:lang w:val="en-US"/>
              </w:rPr>
              <w:t>-0.20***</w:t>
            </w:r>
          </w:p>
        </w:tc>
        <w:tc>
          <w:tcPr>
            <w:tcW w:w="1154" w:type="pct"/>
            <w:shd w:val="clear" w:color="auto" w:fill="auto"/>
            <w:noWrap/>
            <w:vAlign w:val="bottom"/>
          </w:tcPr>
          <w:p w14:paraId="40F4AC4B" w14:textId="77777777" w:rsidR="00D267F7" w:rsidRPr="00704916" w:rsidRDefault="00D267F7" w:rsidP="006631AF">
            <w:pPr>
              <w:jc w:val="center"/>
              <w:rPr>
                <w:sz w:val="20"/>
                <w:szCs w:val="20"/>
                <w:lang w:val="en-US"/>
              </w:rPr>
            </w:pPr>
            <w:r w:rsidRPr="00704916">
              <w:rPr>
                <w:sz w:val="20"/>
                <w:szCs w:val="20"/>
                <w:lang w:val="en-US"/>
              </w:rPr>
              <w:t>-0.20***</w:t>
            </w:r>
          </w:p>
        </w:tc>
        <w:tc>
          <w:tcPr>
            <w:tcW w:w="1154" w:type="pct"/>
            <w:tcBorders>
              <w:right w:val="single" w:sz="4" w:space="0" w:color="FFFFFF"/>
            </w:tcBorders>
            <w:shd w:val="clear" w:color="auto" w:fill="auto"/>
            <w:noWrap/>
            <w:vAlign w:val="bottom"/>
          </w:tcPr>
          <w:p w14:paraId="0582865A" w14:textId="77777777" w:rsidR="00D267F7" w:rsidRPr="00704916" w:rsidRDefault="00D267F7" w:rsidP="006631AF">
            <w:pPr>
              <w:jc w:val="center"/>
              <w:rPr>
                <w:sz w:val="20"/>
                <w:szCs w:val="20"/>
                <w:lang w:val="en-US"/>
              </w:rPr>
            </w:pPr>
            <w:r w:rsidRPr="00704916">
              <w:rPr>
                <w:sz w:val="20"/>
                <w:szCs w:val="20"/>
                <w:lang w:val="en-US"/>
              </w:rPr>
              <w:t>-0.12***</w:t>
            </w:r>
          </w:p>
        </w:tc>
      </w:tr>
      <w:tr w:rsidR="00D267F7" w:rsidRPr="00DE0337" w14:paraId="08C13787" w14:textId="77777777" w:rsidTr="00D267F7">
        <w:trPr>
          <w:trHeight w:val="280"/>
          <w:jc w:val="center"/>
        </w:trPr>
        <w:tc>
          <w:tcPr>
            <w:tcW w:w="1538" w:type="pct"/>
            <w:tcBorders>
              <w:left w:val="nil"/>
              <w:right w:val="single" w:sz="4" w:space="0" w:color="FFFFFF"/>
            </w:tcBorders>
            <w:shd w:val="clear" w:color="auto" w:fill="auto"/>
            <w:noWrap/>
            <w:vAlign w:val="bottom"/>
          </w:tcPr>
          <w:p w14:paraId="0098F5BD" w14:textId="77777777" w:rsidR="00D267F7" w:rsidRPr="00704916" w:rsidRDefault="00D267F7" w:rsidP="006631AF">
            <w:pPr>
              <w:rPr>
                <w:rFonts w:eastAsia="Times New Roman"/>
                <w:sz w:val="20"/>
                <w:szCs w:val="20"/>
                <w:lang w:val="en-US"/>
              </w:rPr>
            </w:pPr>
          </w:p>
        </w:tc>
        <w:tc>
          <w:tcPr>
            <w:tcW w:w="1154" w:type="pct"/>
            <w:tcBorders>
              <w:left w:val="single" w:sz="4" w:space="0" w:color="FFFFFF"/>
            </w:tcBorders>
            <w:shd w:val="clear" w:color="auto" w:fill="auto"/>
            <w:noWrap/>
            <w:vAlign w:val="bottom"/>
          </w:tcPr>
          <w:p w14:paraId="071808A3" w14:textId="77777777" w:rsidR="00D267F7" w:rsidRPr="00704916" w:rsidRDefault="00D267F7" w:rsidP="006631AF">
            <w:pPr>
              <w:jc w:val="center"/>
              <w:rPr>
                <w:sz w:val="20"/>
                <w:szCs w:val="20"/>
                <w:lang w:val="en-US"/>
              </w:rPr>
            </w:pPr>
            <w:r w:rsidRPr="00704916">
              <w:rPr>
                <w:sz w:val="20"/>
                <w:szCs w:val="20"/>
                <w:lang w:val="en-US"/>
              </w:rPr>
              <w:t>(-18.2)</w:t>
            </w:r>
          </w:p>
        </w:tc>
        <w:tc>
          <w:tcPr>
            <w:tcW w:w="1154" w:type="pct"/>
            <w:shd w:val="clear" w:color="auto" w:fill="auto"/>
            <w:noWrap/>
            <w:vAlign w:val="bottom"/>
          </w:tcPr>
          <w:p w14:paraId="401018CD" w14:textId="77777777" w:rsidR="00D267F7" w:rsidRPr="00704916" w:rsidRDefault="00D267F7" w:rsidP="006631AF">
            <w:pPr>
              <w:jc w:val="center"/>
              <w:rPr>
                <w:sz w:val="20"/>
                <w:szCs w:val="20"/>
                <w:lang w:val="en-US"/>
              </w:rPr>
            </w:pPr>
            <w:r w:rsidRPr="00704916">
              <w:rPr>
                <w:sz w:val="20"/>
                <w:szCs w:val="20"/>
                <w:lang w:val="en-US"/>
              </w:rPr>
              <w:t>(-19.5)</w:t>
            </w:r>
          </w:p>
        </w:tc>
        <w:tc>
          <w:tcPr>
            <w:tcW w:w="1154" w:type="pct"/>
            <w:tcBorders>
              <w:right w:val="single" w:sz="4" w:space="0" w:color="FFFFFF"/>
            </w:tcBorders>
            <w:shd w:val="clear" w:color="auto" w:fill="auto"/>
            <w:noWrap/>
            <w:vAlign w:val="bottom"/>
          </w:tcPr>
          <w:p w14:paraId="44944FAB" w14:textId="77777777" w:rsidR="00D267F7" w:rsidRPr="00704916" w:rsidRDefault="00D267F7" w:rsidP="006631AF">
            <w:pPr>
              <w:jc w:val="center"/>
              <w:rPr>
                <w:sz w:val="20"/>
                <w:szCs w:val="20"/>
                <w:lang w:val="en-US"/>
              </w:rPr>
            </w:pPr>
            <w:r w:rsidRPr="00704916">
              <w:rPr>
                <w:sz w:val="20"/>
                <w:szCs w:val="20"/>
                <w:lang w:val="en-US"/>
              </w:rPr>
              <w:t>(-12.5)</w:t>
            </w:r>
          </w:p>
        </w:tc>
      </w:tr>
      <w:tr w:rsidR="00D267F7" w:rsidRPr="00DE0337" w14:paraId="174AEA57" w14:textId="77777777" w:rsidTr="00D267F7">
        <w:trPr>
          <w:trHeight w:val="280"/>
          <w:jc w:val="center"/>
        </w:trPr>
        <w:tc>
          <w:tcPr>
            <w:tcW w:w="1538" w:type="pct"/>
            <w:tcBorders>
              <w:left w:val="nil"/>
              <w:right w:val="single" w:sz="4" w:space="0" w:color="FFFFFF"/>
            </w:tcBorders>
            <w:shd w:val="clear" w:color="auto" w:fill="auto"/>
            <w:noWrap/>
            <w:vAlign w:val="bottom"/>
          </w:tcPr>
          <w:p w14:paraId="777BF8CD" w14:textId="77777777" w:rsidR="00D267F7" w:rsidRPr="00704916" w:rsidRDefault="00D267F7" w:rsidP="006631AF">
            <w:pPr>
              <w:rPr>
                <w:rFonts w:eastAsia="Times New Roman"/>
                <w:sz w:val="20"/>
                <w:szCs w:val="20"/>
                <w:lang w:val="en-US"/>
              </w:rPr>
            </w:pPr>
            <w:r w:rsidRPr="00704916">
              <w:rPr>
                <w:sz w:val="20"/>
                <w:szCs w:val="20"/>
                <w:lang w:val="en-US"/>
              </w:rPr>
              <w:t>Paulista</w:t>
            </w:r>
          </w:p>
        </w:tc>
        <w:tc>
          <w:tcPr>
            <w:tcW w:w="1154" w:type="pct"/>
            <w:tcBorders>
              <w:left w:val="single" w:sz="4" w:space="0" w:color="FFFFFF"/>
            </w:tcBorders>
            <w:shd w:val="clear" w:color="auto" w:fill="auto"/>
            <w:noWrap/>
            <w:vAlign w:val="bottom"/>
          </w:tcPr>
          <w:p w14:paraId="6A04CA9B" w14:textId="77777777" w:rsidR="00D267F7" w:rsidRPr="00704916" w:rsidRDefault="00D267F7" w:rsidP="006631AF">
            <w:pPr>
              <w:jc w:val="center"/>
              <w:rPr>
                <w:sz w:val="20"/>
                <w:szCs w:val="20"/>
                <w:lang w:val="en-US"/>
              </w:rPr>
            </w:pPr>
            <w:r w:rsidRPr="00704916">
              <w:rPr>
                <w:sz w:val="20"/>
                <w:szCs w:val="20"/>
                <w:lang w:val="en-US"/>
              </w:rPr>
              <w:t>-0.06***</w:t>
            </w:r>
          </w:p>
        </w:tc>
        <w:tc>
          <w:tcPr>
            <w:tcW w:w="1154" w:type="pct"/>
            <w:shd w:val="clear" w:color="auto" w:fill="auto"/>
            <w:noWrap/>
            <w:vAlign w:val="bottom"/>
          </w:tcPr>
          <w:p w14:paraId="54DD7925" w14:textId="77777777" w:rsidR="00D267F7" w:rsidRPr="00704916" w:rsidRDefault="00D267F7" w:rsidP="006631AF">
            <w:pPr>
              <w:jc w:val="center"/>
              <w:rPr>
                <w:sz w:val="20"/>
                <w:szCs w:val="20"/>
                <w:lang w:val="en-US"/>
              </w:rPr>
            </w:pPr>
            <w:r w:rsidRPr="00704916">
              <w:rPr>
                <w:sz w:val="20"/>
                <w:szCs w:val="20"/>
                <w:lang w:val="en-US"/>
              </w:rPr>
              <w:t>-0.03***</w:t>
            </w:r>
          </w:p>
        </w:tc>
        <w:tc>
          <w:tcPr>
            <w:tcW w:w="1154" w:type="pct"/>
            <w:tcBorders>
              <w:right w:val="single" w:sz="4" w:space="0" w:color="FFFFFF"/>
            </w:tcBorders>
            <w:shd w:val="clear" w:color="auto" w:fill="auto"/>
            <w:noWrap/>
            <w:vAlign w:val="bottom"/>
          </w:tcPr>
          <w:p w14:paraId="4F7D5C4E" w14:textId="77777777" w:rsidR="00D267F7" w:rsidRPr="00704916" w:rsidRDefault="00D267F7" w:rsidP="006631AF">
            <w:pPr>
              <w:jc w:val="center"/>
              <w:rPr>
                <w:sz w:val="20"/>
                <w:szCs w:val="20"/>
                <w:lang w:val="en-US"/>
              </w:rPr>
            </w:pPr>
            <w:r w:rsidRPr="00704916">
              <w:rPr>
                <w:sz w:val="20"/>
                <w:szCs w:val="20"/>
                <w:lang w:val="en-US"/>
              </w:rPr>
              <w:t>-0.05***</w:t>
            </w:r>
          </w:p>
        </w:tc>
      </w:tr>
      <w:tr w:rsidR="00D267F7" w:rsidRPr="00DE0337" w14:paraId="0B095D31" w14:textId="77777777" w:rsidTr="00D267F7">
        <w:trPr>
          <w:trHeight w:val="280"/>
          <w:jc w:val="center"/>
        </w:trPr>
        <w:tc>
          <w:tcPr>
            <w:tcW w:w="1538" w:type="pct"/>
            <w:tcBorders>
              <w:left w:val="nil"/>
              <w:right w:val="single" w:sz="4" w:space="0" w:color="FFFFFF"/>
            </w:tcBorders>
            <w:shd w:val="clear" w:color="auto" w:fill="auto"/>
            <w:noWrap/>
            <w:vAlign w:val="bottom"/>
          </w:tcPr>
          <w:p w14:paraId="300CC274" w14:textId="77777777" w:rsidR="00D267F7" w:rsidRPr="00704916" w:rsidRDefault="00D267F7" w:rsidP="006631AF">
            <w:pPr>
              <w:rPr>
                <w:rFonts w:eastAsia="Times New Roman"/>
                <w:sz w:val="20"/>
                <w:szCs w:val="20"/>
                <w:lang w:val="en-US"/>
              </w:rPr>
            </w:pPr>
          </w:p>
        </w:tc>
        <w:tc>
          <w:tcPr>
            <w:tcW w:w="1154" w:type="pct"/>
            <w:tcBorders>
              <w:left w:val="single" w:sz="4" w:space="0" w:color="FFFFFF"/>
            </w:tcBorders>
            <w:shd w:val="clear" w:color="auto" w:fill="auto"/>
            <w:noWrap/>
            <w:vAlign w:val="bottom"/>
          </w:tcPr>
          <w:p w14:paraId="748CB47A" w14:textId="77777777" w:rsidR="00D267F7" w:rsidRPr="00704916" w:rsidRDefault="00D267F7" w:rsidP="006631AF">
            <w:pPr>
              <w:jc w:val="center"/>
              <w:rPr>
                <w:sz w:val="20"/>
                <w:szCs w:val="20"/>
                <w:lang w:val="en-US"/>
              </w:rPr>
            </w:pPr>
            <w:r w:rsidRPr="00704916">
              <w:rPr>
                <w:sz w:val="20"/>
                <w:szCs w:val="20"/>
                <w:lang w:val="en-US"/>
              </w:rPr>
              <w:t>(-10.4)</w:t>
            </w:r>
          </w:p>
        </w:tc>
        <w:tc>
          <w:tcPr>
            <w:tcW w:w="1154" w:type="pct"/>
            <w:shd w:val="clear" w:color="auto" w:fill="auto"/>
            <w:noWrap/>
            <w:vAlign w:val="bottom"/>
          </w:tcPr>
          <w:p w14:paraId="54F4B271" w14:textId="77777777" w:rsidR="00D267F7" w:rsidRPr="00704916" w:rsidRDefault="00D267F7" w:rsidP="006631AF">
            <w:pPr>
              <w:jc w:val="center"/>
              <w:rPr>
                <w:sz w:val="20"/>
                <w:szCs w:val="20"/>
                <w:lang w:val="en-US"/>
              </w:rPr>
            </w:pPr>
            <w:r w:rsidRPr="00704916">
              <w:rPr>
                <w:sz w:val="20"/>
                <w:szCs w:val="20"/>
                <w:lang w:val="en-US"/>
              </w:rPr>
              <w:t>(-3.7)</w:t>
            </w:r>
          </w:p>
        </w:tc>
        <w:tc>
          <w:tcPr>
            <w:tcW w:w="1154" w:type="pct"/>
            <w:tcBorders>
              <w:right w:val="single" w:sz="4" w:space="0" w:color="FFFFFF"/>
            </w:tcBorders>
            <w:shd w:val="clear" w:color="auto" w:fill="auto"/>
            <w:noWrap/>
            <w:vAlign w:val="bottom"/>
          </w:tcPr>
          <w:p w14:paraId="4A6E7849" w14:textId="77777777" w:rsidR="00D267F7" w:rsidRPr="00704916" w:rsidRDefault="00D267F7" w:rsidP="006631AF">
            <w:pPr>
              <w:jc w:val="center"/>
              <w:rPr>
                <w:sz w:val="20"/>
                <w:szCs w:val="20"/>
                <w:lang w:val="en-US"/>
              </w:rPr>
            </w:pPr>
            <w:r w:rsidRPr="00704916">
              <w:rPr>
                <w:sz w:val="20"/>
                <w:szCs w:val="20"/>
                <w:lang w:val="en-US"/>
              </w:rPr>
              <w:t>(-10.7)</w:t>
            </w:r>
          </w:p>
        </w:tc>
      </w:tr>
      <w:tr w:rsidR="00D267F7" w:rsidRPr="00DE0337" w14:paraId="2DF757D9" w14:textId="77777777" w:rsidTr="00D267F7">
        <w:trPr>
          <w:trHeight w:val="280"/>
          <w:jc w:val="center"/>
        </w:trPr>
        <w:tc>
          <w:tcPr>
            <w:tcW w:w="1538" w:type="pct"/>
            <w:tcBorders>
              <w:left w:val="nil"/>
              <w:right w:val="single" w:sz="4" w:space="0" w:color="FFFFFF"/>
            </w:tcBorders>
            <w:shd w:val="clear" w:color="auto" w:fill="auto"/>
            <w:noWrap/>
            <w:vAlign w:val="bottom"/>
          </w:tcPr>
          <w:p w14:paraId="0148DE05" w14:textId="77777777" w:rsidR="00D267F7" w:rsidRPr="00704916" w:rsidRDefault="00D267F7" w:rsidP="006631AF">
            <w:pPr>
              <w:rPr>
                <w:rFonts w:eastAsia="Times New Roman"/>
                <w:sz w:val="20"/>
                <w:szCs w:val="20"/>
                <w:lang w:val="en-US"/>
              </w:rPr>
            </w:pPr>
            <w:r w:rsidRPr="00704916">
              <w:rPr>
                <w:sz w:val="20"/>
                <w:szCs w:val="20"/>
                <w:lang w:val="en-US"/>
              </w:rPr>
              <w:t>Pinheiros/Perdizes</w:t>
            </w:r>
          </w:p>
        </w:tc>
        <w:tc>
          <w:tcPr>
            <w:tcW w:w="1154" w:type="pct"/>
            <w:tcBorders>
              <w:left w:val="single" w:sz="4" w:space="0" w:color="FFFFFF"/>
            </w:tcBorders>
            <w:shd w:val="clear" w:color="auto" w:fill="auto"/>
            <w:noWrap/>
            <w:vAlign w:val="bottom"/>
          </w:tcPr>
          <w:p w14:paraId="637A28A7" w14:textId="77777777" w:rsidR="00D267F7" w:rsidRPr="00704916" w:rsidRDefault="00D267F7" w:rsidP="006631AF">
            <w:pPr>
              <w:jc w:val="center"/>
              <w:rPr>
                <w:sz w:val="20"/>
                <w:szCs w:val="20"/>
                <w:lang w:val="en-US"/>
              </w:rPr>
            </w:pPr>
            <w:r w:rsidRPr="00704916">
              <w:rPr>
                <w:sz w:val="20"/>
                <w:szCs w:val="20"/>
                <w:lang w:val="en-US"/>
              </w:rPr>
              <w:t>-0.29***</w:t>
            </w:r>
          </w:p>
        </w:tc>
        <w:tc>
          <w:tcPr>
            <w:tcW w:w="1154" w:type="pct"/>
            <w:shd w:val="clear" w:color="auto" w:fill="auto"/>
            <w:noWrap/>
            <w:vAlign w:val="bottom"/>
          </w:tcPr>
          <w:p w14:paraId="60766968" w14:textId="77777777" w:rsidR="00D267F7" w:rsidRPr="00704916" w:rsidRDefault="00D267F7" w:rsidP="006631AF">
            <w:pPr>
              <w:jc w:val="center"/>
              <w:rPr>
                <w:sz w:val="20"/>
                <w:szCs w:val="20"/>
                <w:lang w:val="en-US"/>
              </w:rPr>
            </w:pPr>
            <w:r w:rsidRPr="00704916">
              <w:rPr>
                <w:sz w:val="20"/>
                <w:szCs w:val="20"/>
                <w:lang w:val="en-US"/>
              </w:rPr>
              <w:t>-0.20***</w:t>
            </w:r>
          </w:p>
        </w:tc>
        <w:tc>
          <w:tcPr>
            <w:tcW w:w="1154" w:type="pct"/>
            <w:tcBorders>
              <w:right w:val="single" w:sz="4" w:space="0" w:color="FFFFFF"/>
            </w:tcBorders>
            <w:shd w:val="clear" w:color="auto" w:fill="auto"/>
            <w:noWrap/>
            <w:vAlign w:val="bottom"/>
          </w:tcPr>
          <w:p w14:paraId="39B69ED0" w14:textId="77777777" w:rsidR="00D267F7" w:rsidRPr="00704916" w:rsidRDefault="00D267F7" w:rsidP="006631AF">
            <w:pPr>
              <w:jc w:val="center"/>
              <w:rPr>
                <w:sz w:val="20"/>
                <w:szCs w:val="20"/>
                <w:lang w:val="en-US"/>
              </w:rPr>
            </w:pPr>
            <w:r w:rsidRPr="00704916">
              <w:rPr>
                <w:sz w:val="20"/>
                <w:szCs w:val="20"/>
                <w:lang w:val="en-US"/>
              </w:rPr>
              <w:t>-0.24***</w:t>
            </w:r>
          </w:p>
        </w:tc>
      </w:tr>
      <w:tr w:rsidR="00D267F7" w:rsidRPr="00DE0337" w14:paraId="7509D0C7" w14:textId="77777777" w:rsidTr="00D267F7">
        <w:trPr>
          <w:trHeight w:val="280"/>
          <w:jc w:val="center"/>
        </w:trPr>
        <w:tc>
          <w:tcPr>
            <w:tcW w:w="1538" w:type="pct"/>
            <w:tcBorders>
              <w:left w:val="nil"/>
              <w:right w:val="single" w:sz="4" w:space="0" w:color="FFFFFF"/>
            </w:tcBorders>
            <w:shd w:val="clear" w:color="auto" w:fill="auto"/>
            <w:noWrap/>
            <w:vAlign w:val="bottom"/>
          </w:tcPr>
          <w:p w14:paraId="04F1E1D9" w14:textId="77777777" w:rsidR="00D267F7" w:rsidRPr="00704916" w:rsidRDefault="00D267F7" w:rsidP="006631AF">
            <w:pPr>
              <w:rPr>
                <w:rFonts w:eastAsia="Times New Roman"/>
                <w:sz w:val="20"/>
                <w:szCs w:val="20"/>
                <w:lang w:val="en-US"/>
              </w:rPr>
            </w:pPr>
          </w:p>
        </w:tc>
        <w:tc>
          <w:tcPr>
            <w:tcW w:w="1154" w:type="pct"/>
            <w:tcBorders>
              <w:left w:val="single" w:sz="4" w:space="0" w:color="FFFFFF"/>
            </w:tcBorders>
            <w:shd w:val="clear" w:color="auto" w:fill="auto"/>
            <w:noWrap/>
            <w:vAlign w:val="bottom"/>
          </w:tcPr>
          <w:p w14:paraId="4E71F648" w14:textId="77777777" w:rsidR="00D267F7" w:rsidRPr="00704916" w:rsidRDefault="00D267F7" w:rsidP="006631AF">
            <w:pPr>
              <w:jc w:val="center"/>
              <w:rPr>
                <w:sz w:val="20"/>
                <w:szCs w:val="20"/>
                <w:lang w:val="en-US"/>
              </w:rPr>
            </w:pPr>
            <w:r w:rsidRPr="00704916">
              <w:rPr>
                <w:sz w:val="20"/>
                <w:szCs w:val="20"/>
                <w:lang w:val="en-US"/>
              </w:rPr>
              <w:t>(-18.2)</w:t>
            </w:r>
          </w:p>
        </w:tc>
        <w:tc>
          <w:tcPr>
            <w:tcW w:w="1154" w:type="pct"/>
            <w:shd w:val="clear" w:color="auto" w:fill="auto"/>
            <w:noWrap/>
            <w:vAlign w:val="bottom"/>
          </w:tcPr>
          <w:p w14:paraId="050207B2" w14:textId="77777777" w:rsidR="00D267F7" w:rsidRPr="00704916" w:rsidRDefault="00D267F7" w:rsidP="006631AF">
            <w:pPr>
              <w:jc w:val="center"/>
              <w:rPr>
                <w:sz w:val="20"/>
                <w:szCs w:val="20"/>
                <w:lang w:val="en-US"/>
              </w:rPr>
            </w:pPr>
            <w:r w:rsidRPr="00704916">
              <w:rPr>
                <w:sz w:val="20"/>
                <w:szCs w:val="20"/>
                <w:lang w:val="en-US"/>
              </w:rPr>
              <w:t>(-9.6)</w:t>
            </w:r>
          </w:p>
        </w:tc>
        <w:tc>
          <w:tcPr>
            <w:tcW w:w="1154" w:type="pct"/>
            <w:tcBorders>
              <w:right w:val="single" w:sz="4" w:space="0" w:color="FFFFFF"/>
            </w:tcBorders>
            <w:shd w:val="clear" w:color="auto" w:fill="auto"/>
            <w:noWrap/>
            <w:vAlign w:val="bottom"/>
          </w:tcPr>
          <w:p w14:paraId="39EDDB7B" w14:textId="77777777" w:rsidR="00D267F7" w:rsidRPr="00704916" w:rsidRDefault="00D267F7" w:rsidP="006631AF">
            <w:pPr>
              <w:jc w:val="center"/>
              <w:rPr>
                <w:sz w:val="20"/>
                <w:szCs w:val="20"/>
                <w:lang w:val="en-US"/>
              </w:rPr>
            </w:pPr>
            <w:r w:rsidRPr="00704916">
              <w:rPr>
                <w:sz w:val="20"/>
                <w:szCs w:val="20"/>
                <w:lang w:val="en-US"/>
              </w:rPr>
              <w:t>(-18.4)</w:t>
            </w:r>
          </w:p>
        </w:tc>
      </w:tr>
      <w:tr w:rsidR="00D267F7" w:rsidRPr="00DE0337" w14:paraId="00DF5E7C" w14:textId="77777777" w:rsidTr="00D267F7">
        <w:trPr>
          <w:trHeight w:val="280"/>
          <w:jc w:val="center"/>
        </w:trPr>
        <w:tc>
          <w:tcPr>
            <w:tcW w:w="1538" w:type="pct"/>
            <w:tcBorders>
              <w:left w:val="nil"/>
              <w:right w:val="single" w:sz="4" w:space="0" w:color="FFFFFF"/>
            </w:tcBorders>
            <w:shd w:val="clear" w:color="auto" w:fill="auto"/>
            <w:noWrap/>
            <w:vAlign w:val="bottom"/>
          </w:tcPr>
          <w:p w14:paraId="149B4CFE" w14:textId="77777777" w:rsidR="00D267F7" w:rsidRPr="00704916" w:rsidRDefault="00D267F7" w:rsidP="006631AF">
            <w:pPr>
              <w:rPr>
                <w:rFonts w:eastAsia="Times New Roman"/>
                <w:sz w:val="20"/>
                <w:szCs w:val="20"/>
                <w:lang w:val="en-US"/>
              </w:rPr>
            </w:pPr>
            <w:r w:rsidRPr="00704916">
              <w:rPr>
                <w:sz w:val="20"/>
                <w:szCs w:val="20"/>
                <w:lang w:val="en-US"/>
              </w:rPr>
              <w:t>Berrini</w:t>
            </w:r>
          </w:p>
        </w:tc>
        <w:tc>
          <w:tcPr>
            <w:tcW w:w="1154" w:type="pct"/>
            <w:tcBorders>
              <w:left w:val="single" w:sz="4" w:space="0" w:color="FFFFFF"/>
            </w:tcBorders>
            <w:shd w:val="clear" w:color="auto" w:fill="auto"/>
            <w:noWrap/>
            <w:vAlign w:val="bottom"/>
          </w:tcPr>
          <w:p w14:paraId="24E578ED" w14:textId="77777777" w:rsidR="00D267F7" w:rsidRPr="00704916" w:rsidRDefault="00D267F7" w:rsidP="006631AF">
            <w:pPr>
              <w:jc w:val="center"/>
              <w:rPr>
                <w:sz w:val="20"/>
                <w:szCs w:val="20"/>
                <w:lang w:val="en-US"/>
              </w:rPr>
            </w:pPr>
            <w:r w:rsidRPr="00704916">
              <w:rPr>
                <w:sz w:val="20"/>
                <w:szCs w:val="20"/>
                <w:lang w:val="en-US"/>
              </w:rPr>
              <w:t>-0.04***</w:t>
            </w:r>
          </w:p>
        </w:tc>
        <w:tc>
          <w:tcPr>
            <w:tcW w:w="1154" w:type="pct"/>
            <w:shd w:val="clear" w:color="auto" w:fill="auto"/>
            <w:noWrap/>
            <w:vAlign w:val="bottom"/>
          </w:tcPr>
          <w:p w14:paraId="125CEEF9" w14:textId="77777777" w:rsidR="00D267F7" w:rsidRPr="00704916" w:rsidRDefault="00D267F7" w:rsidP="006631AF">
            <w:pPr>
              <w:jc w:val="center"/>
              <w:rPr>
                <w:sz w:val="20"/>
                <w:szCs w:val="20"/>
                <w:lang w:val="en-US"/>
              </w:rPr>
            </w:pPr>
            <w:r w:rsidRPr="00704916">
              <w:rPr>
                <w:sz w:val="20"/>
                <w:szCs w:val="20"/>
                <w:lang w:val="en-US"/>
              </w:rPr>
              <w:t>-0.14***</w:t>
            </w:r>
          </w:p>
        </w:tc>
        <w:tc>
          <w:tcPr>
            <w:tcW w:w="1154" w:type="pct"/>
            <w:tcBorders>
              <w:right w:val="single" w:sz="4" w:space="0" w:color="FFFFFF"/>
            </w:tcBorders>
            <w:shd w:val="clear" w:color="auto" w:fill="auto"/>
            <w:noWrap/>
            <w:vAlign w:val="bottom"/>
          </w:tcPr>
          <w:p w14:paraId="124875E4" w14:textId="77777777" w:rsidR="00D267F7" w:rsidRPr="00704916" w:rsidRDefault="00D267F7" w:rsidP="006631AF">
            <w:pPr>
              <w:jc w:val="center"/>
              <w:rPr>
                <w:sz w:val="20"/>
                <w:szCs w:val="20"/>
                <w:lang w:val="en-US"/>
              </w:rPr>
            </w:pPr>
            <w:r w:rsidRPr="00704916">
              <w:rPr>
                <w:sz w:val="20"/>
                <w:szCs w:val="20"/>
                <w:lang w:val="en-US"/>
              </w:rPr>
              <w:t>0.06***</w:t>
            </w:r>
          </w:p>
        </w:tc>
      </w:tr>
      <w:tr w:rsidR="00D267F7" w:rsidRPr="00DE0337" w14:paraId="4DFD8665" w14:textId="77777777" w:rsidTr="00D267F7">
        <w:trPr>
          <w:trHeight w:val="280"/>
          <w:jc w:val="center"/>
        </w:trPr>
        <w:tc>
          <w:tcPr>
            <w:tcW w:w="1538" w:type="pct"/>
            <w:tcBorders>
              <w:left w:val="nil"/>
              <w:right w:val="single" w:sz="4" w:space="0" w:color="FFFFFF"/>
            </w:tcBorders>
            <w:shd w:val="clear" w:color="auto" w:fill="auto"/>
            <w:noWrap/>
            <w:vAlign w:val="bottom"/>
          </w:tcPr>
          <w:p w14:paraId="1438666F" w14:textId="77777777" w:rsidR="00D267F7" w:rsidRPr="00704916" w:rsidRDefault="00D267F7" w:rsidP="006631AF">
            <w:pPr>
              <w:rPr>
                <w:rFonts w:eastAsia="Times New Roman"/>
                <w:sz w:val="20"/>
                <w:szCs w:val="20"/>
                <w:lang w:val="en-US"/>
              </w:rPr>
            </w:pPr>
          </w:p>
        </w:tc>
        <w:tc>
          <w:tcPr>
            <w:tcW w:w="1154" w:type="pct"/>
            <w:tcBorders>
              <w:left w:val="single" w:sz="4" w:space="0" w:color="FFFFFF"/>
            </w:tcBorders>
            <w:shd w:val="clear" w:color="auto" w:fill="auto"/>
            <w:noWrap/>
            <w:vAlign w:val="bottom"/>
          </w:tcPr>
          <w:p w14:paraId="52BE6A52" w14:textId="77777777" w:rsidR="00D267F7" w:rsidRPr="00704916" w:rsidRDefault="00D267F7" w:rsidP="006631AF">
            <w:pPr>
              <w:jc w:val="center"/>
              <w:rPr>
                <w:sz w:val="20"/>
                <w:szCs w:val="20"/>
                <w:lang w:val="en-US"/>
              </w:rPr>
            </w:pPr>
            <w:r w:rsidRPr="00704916">
              <w:rPr>
                <w:sz w:val="20"/>
                <w:szCs w:val="20"/>
                <w:lang w:val="en-US"/>
              </w:rPr>
              <w:t>(-5.5)</w:t>
            </w:r>
          </w:p>
        </w:tc>
        <w:tc>
          <w:tcPr>
            <w:tcW w:w="1154" w:type="pct"/>
            <w:shd w:val="clear" w:color="auto" w:fill="auto"/>
            <w:noWrap/>
            <w:vAlign w:val="bottom"/>
          </w:tcPr>
          <w:p w14:paraId="6E01A164" w14:textId="77777777" w:rsidR="00D267F7" w:rsidRPr="00704916" w:rsidRDefault="00D267F7" w:rsidP="006631AF">
            <w:pPr>
              <w:jc w:val="center"/>
              <w:rPr>
                <w:sz w:val="20"/>
                <w:szCs w:val="20"/>
                <w:lang w:val="en-US"/>
              </w:rPr>
            </w:pPr>
            <w:r w:rsidRPr="00704916">
              <w:rPr>
                <w:sz w:val="20"/>
                <w:szCs w:val="20"/>
                <w:lang w:val="en-US"/>
              </w:rPr>
              <w:t>(-20.6)</w:t>
            </w:r>
          </w:p>
        </w:tc>
        <w:tc>
          <w:tcPr>
            <w:tcW w:w="1154" w:type="pct"/>
            <w:tcBorders>
              <w:right w:val="single" w:sz="4" w:space="0" w:color="FFFFFF"/>
            </w:tcBorders>
            <w:shd w:val="clear" w:color="auto" w:fill="auto"/>
            <w:noWrap/>
            <w:vAlign w:val="bottom"/>
          </w:tcPr>
          <w:p w14:paraId="4F997A81" w14:textId="77777777" w:rsidR="00D267F7" w:rsidRPr="00704916" w:rsidRDefault="00D267F7" w:rsidP="006631AF">
            <w:pPr>
              <w:jc w:val="center"/>
              <w:rPr>
                <w:sz w:val="20"/>
                <w:szCs w:val="20"/>
                <w:lang w:val="en-US"/>
              </w:rPr>
            </w:pPr>
            <w:r w:rsidRPr="00704916">
              <w:rPr>
                <w:sz w:val="20"/>
                <w:szCs w:val="20"/>
                <w:lang w:val="en-US"/>
              </w:rPr>
              <w:t>(4.2)</w:t>
            </w:r>
          </w:p>
        </w:tc>
      </w:tr>
      <w:tr w:rsidR="00D267F7" w:rsidRPr="00DE0337" w14:paraId="684433FF" w14:textId="77777777" w:rsidTr="00D267F7">
        <w:trPr>
          <w:trHeight w:val="280"/>
          <w:jc w:val="center"/>
        </w:trPr>
        <w:tc>
          <w:tcPr>
            <w:tcW w:w="1538" w:type="pct"/>
            <w:tcBorders>
              <w:left w:val="nil"/>
              <w:right w:val="single" w:sz="4" w:space="0" w:color="FFFFFF"/>
            </w:tcBorders>
            <w:shd w:val="clear" w:color="auto" w:fill="auto"/>
            <w:noWrap/>
            <w:vAlign w:val="bottom"/>
          </w:tcPr>
          <w:p w14:paraId="1219C13D" w14:textId="77777777" w:rsidR="00D267F7" w:rsidRPr="00704916" w:rsidRDefault="00D267F7" w:rsidP="006631AF">
            <w:pPr>
              <w:rPr>
                <w:rFonts w:eastAsia="Times New Roman"/>
                <w:sz w:val="20"/>
                <w:szCs w:val="20"/>
                <w:lang w:val="en-US"/>
              </w:rPr>
            </w:pPr>
            <w:r w:rsidRPr="00704916">
              <w:rPr>
                <w:sz w:val="20"/>
                <w:szCs w:val="20"/>
                <w:lang w:val="en-US"/>
              </w:rPr>
              <w:t>Barra Funda</w:t>
            </w:r>
          </w:p>
        </w:tc>
        <w:tc>
          <w:tcPr>
            <w:tcW w:w="1154" w:type="pct"/>
            <w:tcBorders>
              <w:left w:val="single" w:sz="4" w:space="0" w:color="FFFFFF"/>
            </w:tcBorders>
            <w:shd w:val="clear" w:color="auto" w:fill="auto"/>
            <w:noWrap/>
            <w:vAlign w:val="bottom"/>
          </w:tcPr>
          <w:p w14:paraId="0116EDE6" w14:textId="77777777" w:rsidR="00D267F7" w:rsidRPr="00704916" w:rsidRDefault="00D267F7" w:rsidP="006631AF">
            <w:pPr>
              <w:jc w:val="center"/>
              <w:rPr>
                <w:sz w:val="20"/>
                <w:szCs w:val="20"/>
                <w:lang w:val="en-US"/>
              </w:rPr>
            </w:pPr>
            <w:r w:rsidRPr="00704916">
              <w:rPr>
                <w:sz w:val="20"/>
                <w:szCs w:val="20"/>
                <w:lang w:val="en-US"/>
              </w:rPr>
              <w:t>-0.48***</w:t>
            </w:r>
          </w:p>
        </w:tc>
        <w:tc>
          <w:tcPr>
            <w:tcW w:w="1154" w:type="pct"/>
            <w:shd w:val="clear" w:color="auto" w:fill="auto"/>
            <w:noWrap/>
            <w:vAlign w:val="bottom"/>
          </w:tcPr>
          <w:p w14:paraId="67B12E86" w14:textId="77777777" w:rsidR="00D267F7" w:rsidRPr="00704916" w:rsidRDefault="00D267F7" w:rsidP="006631AF">
            <w:pPr>
              <w:jc w:val="center"/>
              <w:rPr>
                <w:sz w:val="20"/>
                <w:szCs w:val="20"/>
                <w:lang w:val="en-US"/>
              </w:rPr>
            </w:pPr>
            <w:r w:rsidRPr="00704916">
              <w:rPr>
                <w:sz w:val="20"/>
                <w:szCs w:val="20"/>
                <w:lang w:val="en-US"/>
              </w:rPr>
              <w:t>-0.52***</w:t>
            </w:r>
          </w:p>
        </w:tc>
        <w:tc>
          <w:tcPr>
            <w:tcW w:w="1154" w:type="pct"/>
            <w:tcBorders>
              <w:right w:val="single" w:sz="4" w:space="0" w:color="FFFFFF"/>
            </w:tcBorders>
            <w:shd w:val="clear" w:color="auto" w:fill="auto"/>
            <w:noWrap/>
            <w:vAlign w:val="bottom"/>
          </w:tcPr>
          <w:p w14:paraId="1352BDB3" w14:textId="77777777" w:rsidR="00D267F7" w:rsidRPr="00704916" w:rsidRDefault="00D267F7" w:rsidP="006631AF">
            <w:pPr>
              <w:jc w:val="center"/>
              <w:rPr>
                <w:sz w:val="20"/>
                <w:szCs w:val="20"/>
                <w:lang w:val="en-US"/>
              </w:rPr>
            </w:pPr>
            <w:r w:rsidRPr="00704916">
              <w:rPr>
                <w:sz w:val="20"/>
                <w:szCs w:val="20"/>
                <w:lang w:val="en-US"/>
              </w:rPr>
              <w:t>-0.41***</w:t>
            </w:r>
          </w:p>
        </w:tc>
      </w:tr>
      <w:tr w:rsidR="00D267F7" w:rsidRPr="00DE0337" w14:paraId="7A0459D0" w14:textId="77777777" w:rsidTr="00D267F7">
        <w:trPr>
          <w:trHeight w:val="280"/>
          <w:jc w:val="center"/>
        </w:trPr>
        <w:tc>
          <w:tcPr>
            <w:tcW w:w="1538" w:type="pct"/>
            <w:tcBorders>
              <w:left w:val="nil"/>
              <w:right w:val="single" w:sz="4" w:space="0" w:color="FFFFFF"/>
            </w:tcBorders>
            <w:shd w:val="clear" w:color="auto" w:fill="auto"/>
            <w:noWrap/>
            <w:vAlign w:val="bottom"/>
          </w:tcPr>
          <w:p w14:paraId="1B8BB1C7" w14:textId="77777777" w:rsidR="00D267F7" w:rsidRPr="00704916" w:rsidRDefault="00D267F7" w:rsidP="006631AF">
            <w:pPr>
              <w:rPr>
                <w:rFonts w:eastAsia="Times New Roman"/>
                <w:sz w:val="20"/>
                <w:szCs w:val="20"/>
                <w:lang w:val="en-US"/>
              </w:rPr>
            </w:pPr>
          </w:p>
        </w:tc>
        <w:tc>
          <w:tcPr>
            <w:tcW w:w="1154" w:type="pct"/>
            <w:tcBorders>
              <w:left w:val="single" w:sz="4" w:space="0" w:color="FFFFFF"/>
            </w:tcBorders>
            <w:shd w:val="clear" w:color="auto" w:fill="auto"/>
            <w:noWrap/>
            <w:vAlign w:val="bottom"/>
          </w:tcPr>
          <w:p w14:paraId="592FE799" w14:textId="77777777" w:rsidR="00D267F7" w:rsidRPr="00704916" w:rsidRDefault="00D267F7" w:rsidP="006631AF">
            <w:pPr>
              <w:jc w:val="center"/>
              <w:rPr>
                <w:sz w:val="20"/>
                <w:szCs w:val="20"/>
                <w:lang w:val="en-US"/>
              </w:rPr>
            </w:pPr>
            <w:r w:rsidRPr="00704916">
              <w:rPr>
                <w:sz w:val="20"/>
                <w:szCs w:val="20"/>
                <w:lang w:val="en-US"/>
              </w:rPr>
              <w:t>(-51.1)</w:t>
            </w:r>
          </w:p>
        </w:tc>
        <w:tc>
          <w:tcPr>
            <w:tcW w:w="1154" w:type="pct"/>
            <w:shd w:val="clear" w:color="auto" w:fill="auto"/>
            <w:noWrap/>
            <w:vAlign w:val="bottom"/>
          </w:tcPr>
          <w:p w14:paraId="1DD4BD4A" w14:textId="77777777" w:rsidR="00D267F7" w:rsidRPr="00704916" w:rsidRDefault="00D267F7" w:rsidP="006631AF">
            <w:pPr>
              <w:jc w:val="center"/>
              <w:rPr>
                <w:sz w:val="20"/>
                <w:szCs w:val="20"/>
                <w:lang w:val="en-US"/>
              </w:rPr>
            </w:pPr>
            <w:r w:rsidRPr="00704916">
              <w:rPr>
                <w:sz w:val="20"/>
                <w:szCs w:val="20"/>
                <w:lang w:val="en-US"/>
              </w:rPr>
              <w:t>(-41.0)</w:t>
            </w:r>
          </w:p>
        </w:tc>
        <w:tc>
          <w:tcPr>
            <w:tcW w:w="1154" w:type="pct"/>
            <w:tcBorders>
              <w:right w:val="single" w:sz="4" w:space="0" w:color="FFFFFF"/>
            </w:tcBorders>
            <w:shd w:val="clear" w:color="auto" w:fill="auto"/>
            <w:noWrap/>
            <w:vAlign w:val="bottom"/>
          </w:tcPr>
          <w:p w14:paraId="056E7828" w14:textId="77777777" w:rsidR="00D267F7" w:rsidRPr="00704916" w:rsidRDefault="00D267F7" w:rsidP="006631AF">
            <w:pPr>
              <w:jc w:val="center"/>
              <w:rPr>
                <w:sz w:val="20"/>
                <w:szCs w:val="20"/>
                <w:lang w:val="en-US"/>
              </w:rPr>
            </w:pPr>
            <w:r w:rsidRPr="00704916">
              <w:rPr>
                <w:sz w:val="20"/>
                <w:szCs w:val="20"/>
                <w:lang w:val="en-US"/>
              </w:rPr>
              <w:t>(-28.4)</w:t>
            </w:r>
          </w:p>
        </w:tc>
      </w:tr>
      <w:tr w:rsidR="00D267F7" w:rsidRPr="00DE0337" w14:paraId="789F6651" w14:textId="77777777" w:rsidTr="00D267F7">
        <w:trPr>
          <w:trHeight w:val="280"/>
          <w:jc w:val="center"/>
        </w:trPr>
        <w:tc>
          <w:tcPr>
            <w:tcW w:w="1538" w:type="pct"/>
            <w:tcBorders>
              <w:left w:val="nil"/>
              <w:right w:val="single" w:sz="4" w:space="0" w:color="FFFFFF"/>
            </w:tcBorders>
            <w:shd w:val="clear" w:color="auto" w:fill="auto"/>
            <w:noWrap/>
            <w:vAlign w:val="bottom"/>
          </w:tcPr>
          <w:p w14:paraId="13F6851D" w14:textId="77777777" w:rsidR="00D267F7" w:rsidRPr="00704916" w:rsidRDefault="00D267F7" w:rsidP="006631AF">
            <w:pPr>
              <w:rPr>
                <w:rFonts w:eastAsia="Times New Roman"/>
                <w:sz w:val="20"/>
                <w:szCs w:val="20"/>
                <w:lang w:val="en-US"/>
              </w:rPr>
            </w:pPr>
            <w:r w:rsidRPr="00704916">
              <w:rPr>
                <w:sz w:val="20"/>
                <w:szCs w:val="20"/>
                <w:lang w:val="en-US"/>
              </w:rPr>
              <w:t>Other</w:t>
            </w:r>
          </w:p>
        </w:tc>
        <w:tc>
          <w:tcPr>
            <w:tcW w:w="1154" w:type="pct"/>
            <w:tcBorders>
              <w:left w:val="single" w:sz="4" w:space="0" w:color="FFFFFF"/>
            </w:tcBorders>
            <w:shd w:val="clear" w:color="auto" w:fill="auto"/>
            <w:noWrap/>
            <w:vAlign w:val="bottom"/>
          </w:tcPr>
          <w:p w14:paraId="735D6972" w14:textId="77777777" w:rsidR="00D267F7" w:rsidRPr="00704916" w:rsidRDefault="00D267F7" w:rsidP="006631AF">
            <w:pPr>
              <w:jc w:val="center"/>
              <w:rPr>
                <w:sz w:val="20"/>
                <w:szCs w:val="20"/>
                <w:lang w:val="en-US"/>
              </w:rPr>
            </w:pPr>
            <w:r w:rsidRPr="00704916">
              <w:rPr>
                <w:sz w:val="20"/>
                <w:szCs w:val="20"/>
                <w:lang w:val="en-US"/>
              </w:rPr>
              <w:t>-0.55***</w:t>
            </w:r>
          </w:p>
        </w:tc>
        <w:tc>
          <w:tcPr>
            <w:tcW w:w="1154" w:type="pct"/>
            <w:shd w:val="clear" w:color="auto" w:fill="auto"/>
            <w:noWrap/>
            <w:vAlign w:val="bottom"/>
          </w:tcPr>
          <w:p w14:paraId="61A3384B" w14:textId="77777777" w:rsidR="00D267F7" w:rsidRPr="00704916" w:rsidRDefault="00D267F7" w:rsidP="006631AF">
            <w:pPr>
              <w:jc w:val="center"/>
              <w:rPr>
                <w:sz w:val="20"/>
                <w:szCs w:val="20"/>
                <w:lang w:val="en-US"/>
              </w:rPr>
            </w:pPr>
            <w:r w:rsidRPr="00704916">
              <w:rPr>
                <w:sz w:val="20"/>
                <w:szCs w:val="20"/>
                <w:lang w:val="en-US"/>
              </w:rPr>
              <w:t>-0.83***</w:t>
            </w:r>
          </w:p>
        </w:tc>
        <w:tc>
          <w:tcPr>
            <w:tcW w:w="1154" w:type="pct"/>
            <w:tcBorders>
              <w:right w:val="single" w:sz="4" w:space="0" w:color="FFFFFF"/>
            </w:tcBorders>
            <w:shd w:val="clear" w:color="auto" w:fill="auto"/>
            <w:noWrap/>
            <w:vAlign w:val="bottom"/>
          </w:tcPr>
          <w:p w14:paraId="4DB37514" w14:textId="77777777" w:rsidR="00D267F7" w:rsidRPr="00704916" w:rsidRDefault="00D267F7" w:rsidP="006631AF">
            <w:pPr>
              <w:jc w:val="center"/>
              <w:rPr>
                <w:sz w:val="20"/>
                <w:szCs w:val="20"/>
                <w:lang w:val="en-US"/>
              </w:rPr>
            </w:pPr>
            <w:r w:rsidRPr="00704916">
              <w:rPr>
                <w:sz w:val="20"/>
                <w:szCs w:val="20"/>
                <w:lang w:val="en-US"/>
              </w:rPr>
              <w:t>-0.42***</w:t>
            </w:r>
          </w:p>
        </w:tc>
      </w:tr>
      <w:tr w:rsidR="00D267F7" w:rsidRPr="00DE0337" w14:paraId="44D11DF4" w14:textId="77777777" w:rsidTr="00D267F7">
        <w:trPr>
          <w:trHeight w:val="280"/>
          <w:jc w:val="center"/>
        </w:trPr>
        <w:tc>
          <w:tcPr>
            <w:tcW w:w="1538" w:type="pct"/>
            <w:tcBorders>
              <w:left w:val="nil"/>
              <w:bottom w:val="single" w:sz="4" w:space="0" w:color="FFFFFF" w:themeColor="background1"/>
              <w:right w:val="single" w:sz="4" w:space="0" w:color="FFFFFF"/>
            </w:tcBorders>
            <w:shd w:val="clear" w:color="auto" w:fill="auto"/>
            <w:noWrap/>
            <w:vAlign w:val="bottom"/>
          </w:tcPr>
          <w:p w14:paraId="16251A67" w14:textId="77777777" w:rsidR="00D267F7" w:rsidRPr="00704916" w:rsidRDefault="00D267F7" w:rsidP="006631AF">
            <w:pPr>
              <w:rPr>
                <w:rFonts w:eastAsia="Times New Roman"/>
                <w:sz w:val="20"/>
                <w:szCs w:val="20"/>
                <w:lang w:val="en-US"/>
              </w:rPr>
            </w:pPr>
          </w:p>
        </w:tc>
        <w:tc>
          <w:tcPr>
            <w:tcW w:w="1154" w:type="pct"/>
            <w:tcBorders>
              <w:left w:val="single" w:sz="4" w:space="0" w:color="FFFFFF"/>
              <w:bottom w:val="single" w:sz="4" w:space="0" w:color="FFFFFF" w:themeColor="background1"/>
            </w:tcBorders>
            <w:shd w:val="clear" w:color="auto" w:fill="auto"/>
            <w:noWrap/>
            <w:vAlign w:val="bottom"/>
          </w:tcPr>
          <w:p w14:paraId="2872A754" w14:textId="77777777" w:rsidR="00D267F7" w:rsidRPr="00704916" w:rsidRDefault="00D267F7" w:rsidP="006631AF">
            <w:pPr>
              <w:jc w:val="center"/>
              <w:rPr>
                <w:sz w:val="20"/>
                <w:szCs w:val="20"/>
                <w:lang w:val="en-US"/>
              </w:rPr>
            </w:pPr>
            <w:r w:rsidRPr="00704916">
              <w:rPr>
                <w:sz w:val="20"/>
                <w:szCs w:val="20"/>
                <w:lang w:val="en-US"/>
              </w:rPr>
              <w:t>(-48.4)</w:t>
            </w:r>
          </w:p>
        </w:tc>
        <w:tc>
          <w:tcPr>
            <w:tcW w:w="1154" w:type="pct"/>
            <w:tcBorders>
              <w:bottom w:val="single" w:sz="4" w:space="0" w:color="FFFFFF" w:themeColor="background1"/>
            </w:tcBorders>
            <w:shd w:val="clear" w:color="auto" w:fill="auto"/>
            <w:noWrap/>
            <w:vAlign w:val="bottom"/>
          </w:tcPr>
          <w:p w14:paraId="518A070C" w14:textId="77777777" w:rsidR="00D267F7" w:rsidRPr="00704916" w:rsidRDefault="00D267F7" w:rsidP="006631AF">
            <w:pPr>
              <w:jc w:val="center"/>
              <w:rPr>
                <w:sz w:val="20"/>
                <w:szCs w:val="20"/>
                <w:lang w:val="en-US"/>
              </w:rPr>
            </w:pPr>
            <w:r w:rsidRPr="00704916">
              <w:rPr>
                <w:sz w:val="20"/>
                <w:szCs w:val="20"/>
                <w:lang w:val="en-US"/>
              </w:rPr>
              <w:t>(-68.0)</w:t>
            </w:r>
          </w:p>
        </w:tc>
        <w:tc>
          <w:tcPr>
            <w:tcW w:w="1154" w:type="pct"/>
            <w:tcBorders>
              <w:bottom w:val="single" w:sz="4" w:space="0" w:color="FFFFFF" w:themeColor="background1"/>
              <w:right w:val="single" w:sz="4" w:space="0" w:color="FFFFFF"/>
            </w:tcBorders>
            <w:shd w:val="clear" w:color="auto" w:fill="auto"/>
            <w:noWrap/>
            <w:vAlign w:val="bottom"/>
          </w:tcPr>
          <w:p w14:paraId="373D46C7" w14:textId="77777777" w:rsidR="00D267F7" w:rsidRPr="00704916" w:rsidRDefault="00D267F7" w:rsidP="006631AF">
            <w:pPr>
              <w:jc w:val="center"/>
              <w:rPr>
                <w:sz w:val="20"/>
                <w:szCs w:val="20"/>
                <w:lang w:val="en-US"/>
              </w:rPr>
            </w:pPr>
            <w:r w:rsidRPr="00704916">
              <w:rPr>
                <w:sz w:val="20"/>
                <w:szCs w:val="20"/>
                <w:lang w:val="en-US"/>
              </w:rPr>
              <w:t>(-36.9)</w:t>
            </w:r>
          </w:p>
        </w:tc>
      </w:tr>
      <w:tr w:rsidR="00D267F7" w:rsidRPr="00DE0337" w14:paraId="739D72B5" w14:textId="77777777" w:rsidTr="00D267F7">
        <w:trPr>
          <w:trHeight w:val="280"/>
          <w:jc w:val="center"/>
        </w:trPr>
        <w:tc>
          <w:tcPr>
            <w:tcW w:w="1538" w:type="pct"/>
            <w:tcBorders>
              <w:top w:val="single" w:sz="4" w:space="0" w:color="FFFFFF" w:themeColor="background1"/>
              <w:left w:val="nil"/>
              <w:right w:val="single" w:sz="4" w:space="0" w:color="FFFFFF"/>
            </w:tcBorders>
            <w:shd w:val="clear" w:color="auto" w:fill="auto"/>
            <w:vAlign w:val="bottom"/>
          </w:tcPr>
          <w:p w14:paraId="2576F56E" w14:textId="77777777" w:rsidR="00D267F7" w:rsidRPr="00704916" w:rsidRDefault="00D267F7" w:rsidP="006631AF">
            <w:pPr>
              <w:rPr>
                <w:rFonts w:eastAsia="Times New Roman"/>
                <w:bCs/>
                <w:sz w:val="20"/>
                <w:szCs w:val="20"/>
                <w:lang w:val="en-US"/>
              </w:rPr>
            </w:pPr>
            <w:r w:rsidRPr="00704916">
              <w:rPr>
                <w:rFonts w:eastAsia="Times New Roman"/>
                <w:bCs/>
                <w:sz w:val="20"/>
                <w:szCs w:val="20"/>
                <w:lang w:val="en-US"/>
              </w:rPr>
              <w:t>Time Dummies</w:t>
            </w:r>
          </w:p>
        </w:tc>
        <w:tc>
          <w:tcPr>
            <w:tcW w:w="1154" w:type="pct"/>
            <w:tcBorders>
              <w:top w:val="single" w:sz="4" w:space="0" w:color="FFFFFF" w:themeColor="background1"/>
              <w:left w:val="single" w:sz="4" w:space="0" w:color="FFFFFF"/>
              <w:bottom w:val="nil"/>
              <w:right w:val="nil"/>
            </w:tcBorders>
            <w:shd w:val="clear" w:color="auto" w:fill="auto"/>
            <w:vAlign w:val="bottom"/>
          </w:tcPr>
          <w:p w14:paraId="5FB243FE" w14:textId="77777777" w:rsidR="00D267F7" w:rsidRPr="00704916" w:rsidRDefault="00D267F7" w:rsidP="006631AF">
            <w:pPr>
              <w:jc w:val="center"/>
              <w:rPr>
                <w:rFonts w:eastAsia="Times New Roman"/>
                <w:bCs/>
                <w:sz w:val="20"/>
                <w:szCs w:val="20"/>
                <w:lang w:val="en-US"/>
              </w:rPr>
            </w:pPr>
            <w:r w:rsidRPr="00704916">
              <w:rPr>
                <w:rFonts w:eastAsia="Times New Roman"/>
                <w:bCs/>
                <w:sz w:val="20"/>
                <w:szCs w:val="20"/>
                <w:lang w:val="en-US"/>
              </w:rPr>
              <w:t>Yes</w:t>
            </w:r>
          </w:p>
        </w:tc>
        <w:tc>
          <w:tcPr>
            <w:tcW w:w="1154" w:type="pct"/>
            <w:tcBorders>
              <w:top w:val="single" w:sz="4" w:space="0" w:color="FFFFFF" w:themeColor="background1"/>
              <w:left w:val="nil"/>
              <w:bottom w:val="nil"/>
              <w:right w:val="nil"/>
            </w:tcBorders>
            <w:shd w:val="clear" w:color="auto" w:fill="auto"/>
            <w:vAlign w:val="bottom"/>
          </w:tcPr>
          <w:p w14:paraId="54E7489B" w14:textId="77777777" w:rsidR="00D267F7" w:rsidRPr="00704916" w:rsidRDefault="00D267F7" w:rsidP="006631AF">
            <w:pPr>
              <w:jc w:val="center"/>
              <w:rPr>
                <w:rFonts w:eastAsia="Times New Roman"/>
                <w:bCs/>
                <w:sz w:val="20"/>
                <w:szCs w:val="20"/>
                <w:lang w:val="en-US"/>
              </w:rPr>
            </w:pPr>
            <w:r w:rsidRPr="00704916">
              <w:rPr>
                <w:rFonts w:eastAsia="Times New Roman"/>
                <w:bCs/>
                <w:sz w:val="20"/>
                <w:szCs w:val="20"/>
                <w:lang w:val="en-US"/>
              </w:rPr>
              <w:t>Yes</w:t>
            </w:r>
          </w:p>
        </w:tc>
        <w:tc>
          <w:tcPr>
            <w:tcW w:w="1154" w:type="pct"/>
            <w:tcBorders>
              <w:top w:val="single" w:sz="4" w:space="0" w:color="FFFFFF" w:themeColor="background1"/>
              <w:left w:val="nil"/>
              <w:bottom w:val="nil"/>
              <w:right w:val="single" w:sz="4" w:space="0" w:color="FFFFFF"/>
            </w:tcBorders>
            <w:shd w:val="clear" w:color="auto" w:fill="auto"/>
            <w:vAlign w:val="bottom"/>
          </w:tcPr>
          <w:p w14:paraId="47D93A46" w14:textId="77777777" w:rsidR="00D267F7" w:rsidRPr="00704916" w:rsidRDefault="00D267F7" w:rsidP="006631AF">
            <w:pPr>
              <w:jc w:val="center"/>
              <w:rPr>
                <w:rFonts w:eastAsia="Times New Roman"/>
                <w:bCs/>
                <w:sz w:val="20"/>
                <w:szCs w:val="20"/>
                <w:lang w:val="en-US"/>
              </w:rPr>
            </w:pPr>
            <w:r w:rsidRPr="00704916">
              <w:rPr>
                <w:rFonts w:eastAsia="Times New Roman"/>
                <w:bCs/>
                <w:sz w:val="20"/>
                <w:szCs w:val="20"/>
                <w:lang w:val="en-US"/>
              </w:rPr>
              <w:t>Yes</w:t>
            </w:r>
          </w:p>
        </w:tc>
      </w:tr>
      <w:tr w:rsidR="00D267F7" w:rsidRPr="00DE0337" w14:paraId="21E94DDC" w14:textId="77777777" w:rsidTr="00D267F7">
        <w:trPr>
          <w:trHeight w:val="280"/>
          <w:jc w:val="center"/>
        </w:trPr>
        <w:tc>
          <w:tcPr>
            <w:tcW w:w="1538" w:type="pct"/>
            <w:tcBorders>
              <w:top w:val="single" w:sz="4" w:space="0" w:color="auto"/>
              <w:left w:val="nil"/>
              <w:right w:val="single" w:sz="4" w:space="0" w:color="FFFFFF"/>
            </w:tcBorders>
            <w:shd w:val="clear" w:color="auto" w:fill="auto"/>
            <w:vAlign w:val="bottom"/>
          </w:tcPr>
          <w:p w14:paraId="7A467D71" w14:textId="77777777" w:rsidR="00D267F7" w:rsidRPr="00704916" w:rsidRDefault="00D267F7" w:rsidP="006631AF">
            <w:pPr>
              <w:rPr>
                <w:rFonts w:eastAsia="Times New Roman"/>
                <w:bCs/>
                <w:sz w:val="20"/>
                <w:szCs w:val="20"/>
                <w:lang w:val="en-US"/>
              </w:rPr>
            </w:pPr>
            <w:r w:rsidRPr="00704916">
              <w:rPr>
                <w:rFonts w:eastAsia="Times New Roman"/>
                <w:bCs/>
                <w:sz w:val="20"/>
                <w:szCs w:val="20"/>
                <w:lang w:val="en-US"/>
              </w:rPr>
              <w:t>R-squared</w:t>
            </w:r>
          </w:p>
        </w:tc>
        <w:tc>
          <w:tcPr>
            <w:tcW w:w="1154" w:type="pct"/>
            <w:tcBorders>
              <w:top w:val="single" w:sz="4" w:space="0" w:color="auto"/>
              <w:left w:val="single" w:sz="4" w:space="0" w:color="FFFFFF"/>
              <w:bottom w:val="nil"/>
              <w:right w:val="nil"/>
            </w:tcBorders>
            <w:shd w:val="clear" w:color="auto" w:fill="auto"/>
            <w:vAlign w:val="bottom"/>
          </w:tcPr>
          <w:p w14:paraId="7D474345" w14:textId="77777777" w:rsidR="00D267F7" w:rsidRPr="00704916" w:rsidRDefault="00D267F7" w:rsidP="006631AF">
            <w:pPr>
              <w:jc w:val="center"/>
              <w:rPr>
                <w:rFonts w:eastAsia="Times New Roman"/>
                <w:bCs/>
                <w:sz w:val="20"/>
                <w:szCs w:val="20"/>
                <w:lang w:val="en-US"/>
              </w:rPr>
            </w:pPr>
            <w:r w:rsidRPr="00704916">
              <w:rPr>
                <w:rFonts w:eastAsia="Times New Roman"/>
                <w:bCs/>
                <w:sz w:val="20"/>
                <w:szCs w:val="20"/>
                <w:lang w:val="en-US"/>
              </w:rPr>
              <w:t>0.78</w:t>
            </w:r>
          </w:p>
        </w:tc>
        <w:tc>
          <w:tcPr>
            <w:tcW w:w="1154" w:type="pct"/>
            <w:tcBorders>
              <w:top w:val="single" w:sz="4" w:space="0" w:color="auto"/>
              <w:left w:val="nil"/>
              <w:bottom w:val="nil"/>
              <w:right w:val="nil"/>
            </w:tcBorders>
            <w:shd w:val="clear" w:color="auto" w:fill="auto"/>
            <w:vAlign w:val="bottom"/>
          </w:tcPr>
          <w:p w14:paraId="31ECAB93" w14:textId="77777777" w:rsidR="00D267F7" w:rsidRPr="00704916" w:rsidRDefault="00D267F7" w:rsidP="006631AF">
            <w:pPr>
              <w:jc w:val="center"/>
              <w:rPr>
                <w:rFonts w:eastAsia="Times New Roman"/>
                <w:bCs/>
                <w:sz w:val="20"/>
                <w:szCs w:val="20"/>
                <w:lang w:val="en-US"/>
              </w:rPr>
            </w:pPr>
            <w:r w:rsidRPr="00704916">
              <w:rPr>
                <w:rFonts w:eastAsia="Times New Roman"/>
                <w:bCs/>
                <w:sz w:val="20"/>
                <w:szCs w:val="20"/>
                <w:lang w:val="en-US"/>
              </w:rPr>
              <w:t>0.84</w:t>
            </w:r>
          </w:p>
        </w:tc>
        <w:tc>
          <w:tcPr>
            <w:tcW w:w="1154" w:type="pct"/>
            <w:tcBorders>
              <w:top w:val="single" w:sz="4" w:space="0" w:color="auto"/>
              <w:left w:val="nil"/>
              <w:bottom w:val="nil"/>
              <w:right w:val="single" w:sz="4" w:space="0" w:color="FFFFFF"/>
            </w:tcBorders>
            <w:shd w:val="clear" w:color="auto" w:fill="auto"/>
            <w:vAlign w:val="bottom"/>
          </w:tcPr>
          <w:p w14:paraId="5F7EE378" w14:textId="77777777" w:rsidR="00D267F7" w:rsidRPr="00704916" w:rsidRDefault="00D267F7" w:rsidP="006631AF">
            <w:pPr>
              <w:jc w:val="center"/>
              <w:rPr>
                <w:rFonts w:eastAsia="Times New Roman"/>
                <w:bCs/>
                <w:sz w:val="20"/>
                <w:szCs w:val="20"/>
                <w:lang w:val="en-US"/>
              </w:rPr>
            </w:pPr>
            <w:r w:rsidRPr="00704916">
              <w:rPr>
                <w:rFonts w:eastAsia="Times New Roman"/>
                <w:bCs/>
                <w:sz w:val="20"/>
                <w:szCs w:val="20"/>
                <w:lang w:val="en-US"/>
              </w:rPr>
              <w:t>0.75</w:t>
            </w:r>
          </w:p>
        </w:tc>
      </w:tr>
      <w:tr w:rsidR="00D267F7" w:rsidRPr="00DE0337" w14:paraId="188232FE" w14:textId="77777777" w:rsidTr="00D267F7">
        <w:trPr>
          <w:trHeight w:val="280"/>
          <w:jc w:val="center"/>
        </w:trPr>
        <w:tc>
          <w:tcPr>
            <w:tcW w:w="1538" w:type="pct"/>
            <w:tcBorders>
              <w:top w:val="nil"/>
              <w:left w:val="nil"/>
              <w:right w:val="single" w:sz="4" w:space="0" w:color="FFFFFF"/>
            </w:tcBorders>
            <w:shd w:val="clear" w:color="auto" w:fill="auto"/>
            <w:noWrap/>
            <w:vAlign w:val="bottom"/>
          </w:tcPr>
          <w:p w14:paraId="0E5CAD8B" w14:textId="77777777" w:rsidR="00D267F7" w:rsidRPr="00704916" w:rsidRDefault="00D267F7" w:rsidP="006631AF">
            <w:pPr>
              <w:rPr>
                <w:rFonts w:eastAsia="Times New Roman"/>
                <w:bCs/>
                <w:sz w:val="20"/>
                <w:szCs w:val="20"/>
                <w:lang w:val="en-US"/>
              </w:rPr>
            </w:pPr>
            <w:r w:rsidRPr="00704916">
              <w:rPr>
                <w:rFonts w:eastAsia="Times New Roman"/>
                <w:bCs/>
                <w:sz w:val="20"/>
                <w:szCs w:val="20"/>
                <w:lang w:val="en-US"/>
              </w:rPr>
              <w:t>Number of Properties</w:t>
            </w:r>
          </w:p>
        </w:tc>
        <w:tc>
          <w:tcPr>
            <w:tcW w:w="1154" w:type="pct"/>
            <w:tcBorders>
              <w:top w:val="nil"/>
              <w:left w:val="single" w:sz="4" w:space="0" w:color="FFFFFF"/>
              <w:right w:val="nil"/>
            </w:tcBorders>
            <w:shd w:val="clear" w:color="auto" w:fill="auto"/>
            <w:noWrap/>
            <w:vAlign w:val="center"/>
          </w:tcPr>
          <w:p w14:paraId="147A5EF4" w14:textId="77777777" w:rsidR="00D267F7" w:rsidRPr="00704916" w:rsidRDefault="00D267F7" w:rsidP="006631AF">
            <w:pPr>
              <w:jc w:val="center"/>
              <w:rPr>
                <w:rFonts w:eastAsia="Times New Roman"/>
                <w:bCs/>
                <w:sz w:val="20"/>
                <w:szCs w:val="20"/>
                <w:lang w:val="en-US"/>
              </w:rPr>
            </w:pPr>
            <w:r w:rsidRPr="00704916">
              <w:rPr>
                <w:rFonts w:eastAsia="Times New Roman"/>
                <w:bCs/>
                <w:sz w:val="20"/>
                <w:szCs w:val="20"/>
                <w:lang w:val="en-US"/>
              </w:rPr>
              <w:t>1,622</w:t>
            </w:r>
          </w:p>
        </w:tc>
        <w:tc>
          <w:tcPr>
            <w:tcW w:w="1154" w:type="pct"/>
            <w:tcBorders>
              <w:top w:val="nil"/>
              <w:left w:val="nil"/>
              <w:right w:val="nil"/>
            </w:tcBorders>
            <w:shd w:val="clear" w:color="auto" w:fill="auto"/>
            <w:noWrap/>
            <w:vAlign w:val="center"/>
          </w:tcPr>
          <w:p w14:paraId="3599659F" w14:textId="77777777" w:rsidR="00D267F7" w:rsidRPr="00704916" w:rsidRDefault="00D267F7" w:rsidP="006631AF">
            <w:pPr>
              <w:jc w:val="center"/>
              <w:rPr>
                <w:rFonts w:eastAsia="Times New Roman"/>
                <w:bCs/>
                <w:sz w:val="20"/>
                <w:szCs w:val="20"/>
                <w:lang w:val="en-US"/>
              </w:rPr>
            </w:pPr>
            <w:r w:rsidRPr="00704916">
              <w:rPr>
                <w:rFonts w:eastAsia="Times New Roman"/>
                <w:bCs/>
                <w:sz w:val="20"/>
                <w:szCs w:val="20"/>
                <w:lang w:val="en-US"/>
              </w:rPr>
              <w:t>747</w:t>
            </w:r>
          </w:p>
        </w:tc>
        <w:tc>
          <w:tcPr>
            <w:tcW w:w="1154" w:type="pct"/>
            <w:tcBorders>
              <w:top w:val="nil"/>
              <w:left w:val="nil"/>
              <w:right w:val="single" w:sz="4" w:space="0" w:color="FFFFFF"/>
            </w:tcBorders>
            <w:shd w:val="clear" w:color="auto" w:fill="auto"/>
            <w:noWrap/>
            <w:vAlign w:val="center"/>
          </w:tcPr>
          <w:p w14:paraId="58DC5A54" w14:textId="77777777" w:rsidR="00D267F7" w:rsidRPr="00704916" w:rsidRDefault="00D267F7" w:rsidP="006631AF">
            <w:pPr>
              <w:jc w:val="center"/>
              <w:rPr>
                <w:rFonts w:eastAsia="Times New Roman"/>
                <w:bCs/>
                <w:sz w:val="20"/>
                <w:szCs w:val="20"/>
                <w:lang w:val="en-US"/>
              </w:rPr>
            </w:pPr>
            <w:r w:rsidRPr="00704916">
              <w:rPr>
                <w:rFonts w:eastAsia="Times New Roman"/>
                <w:bCs/>
                <w:sz w:val="20"/>
                <w:szCs w:val="20"/>
                <w:lang w:val="en-US"/>
              </w:rPr>
              <w:t>875</w:t>
            </w:r>
          </w:p>
        </w:tc>
      </w:tr>
      <w:tr w:rsidR="00D267F7" w:rsidRPr="00DE0337" w14:paraId="5C989C8E" w14:textId="77777777" w:rsidTr="00D267F7">
        <w:trPr>
          <w:trHeight w:val="89"/>
          <w:jc w:val="center"/>
        </w:trPr>
        <w:tc>
          <w:tcPr>
            <w:tcW w:w="1538" w:type="pct"/>
            <w:tcBorders>
              <w:top w:val="nil"/>
              <w:left w:val="nil"/>
              <w:bottom w:val="single" w:sz="4" w:space="0" w:color="auto"/>
              <w:right w:val="single" w:sz="4" w:space="0" w:color="FFFFFF"/>
            </w:tcBorders>
            <w:shd w:val="clear" w:color="auto" w:fill="auto"/>
            <w:noWrap/>
            <w:vAlign w:val="bottom"/>
          </w:tcPr>
          <w:p w14:paraId="55EAF205" w14:textId="77777777" w:rsidR="00D267F7" w:rsidRPr="00704916" w:rsidRDefault="00D267F7" w:rsidP="006631AF">
            <w:pPr>
              <w:rPr>
                <w:rFonts w:eastAsia="Times New Roman"/>
                <w:bCs/>
                <w:sz w:val="20"/>
                <w:szCs w:val="20"/>
                <w:lang w:val="en-US"/>
              </w:rPr>
            </w:pPr>
            <w:r w:rsidRPr="00704916">
              <w:rPr>
                <w:rFonts w:eastAsia="Times New Roman"/>
                <w:bCs/>
                <w:sz w:val="20"/>
                <w:szCs w:val="20"/>
                <w:lang w:val="en-US"/>
              </w:rPr>
              <w:t>Observations</w:t>
            </w:r>
          </w:p>
        </w:tc>
        <w:tc>
          <w:tcPr>
            <w:tcW w:w="1154" w:type="pct"/>
            <w:tcBorders>
              <w:top w:val="nil"/>
              <w:left w:val="single" w:sz="4" w:space="0" w:color="FFFFFF"/>
              <w:bottom w:val="single" w:sz="4" w:space="0" w:color="auto"/>
            </w:tcBorders>
            <w:shd w:val="clear" w:color="auto" w:fill="auto"/>
            <w:noWrap/>
            <w:vAlign w:val="bottom"/>
          </w:tcPr>
          <w:p w14:paraId="3153890D" w14:textId="77777777" w:rsidR="00D267F7" w:rsidRPr="00704916" w:rsidRDefault="00D267F7" w:rsidP="006631AF">
            <w:pPr>
              <w:jc w:val="center"/>
              <w:rPr>
                <w:rFonts w:eastAsia="Times New Roman"/>
                <w:bCs/>
                <w:sz w:val="20"/>
                <w:szCs w:val="20"/>
                <w:lang w:val="en-US"/>
              </w:rPr>
            </w:pPr>
            <w:r w:rsidRPr="00704916">
              <w:rPr>
                <w:rFonts w:eastAsia="Times New Roman"/>
                <w:bCs/>
                <w:sz w:val="20"/>
                <w:szCs w:val="20"/>
                <w:lang w:val="en-US"/>
              </w:rPr>
              <w:t>20,562</w:t>
            </w:r>
          </w:p>
        </w:tc>
        <w:tc>
          <w:tcPr>
            <w:tcW w:w="1154" w:type="pct"/>
            <w:tcBorders>
              <w:top w:val="nil"/>
              <w:bottom w:val="single" w:sz="4" w:space="0" w:color="auto"/>
            </w:tcBorders>
            <w:shd w:val="clear" w:color="auto" w:fill="auto"/>
            <w:noWrap/>
            <w:vAlign w:val="bottom"/>
          </w:tcPr>
          <w:p w14:paraId="6CBD8C64" w14:textId="77777777" w:rsidR="00D267F7" w:rsidRPr="00704916" w:rsidRDefault="00D267F7" w:rsidP="006631AF">
            <w:pPr>
              <w:jc w:val="center"/>
              <w:rPr>
                <w:rFonts w:eastAsia="Times New Roman"/>
                <w:bCs/>
                <w:sz w:val="20"/>
                <w:szCs w:val="20"/>
                <w:lang w:val="en-US"/>
              </w:rPr>
            </w:pPr>
            <w:r w:rsidRPr="00704916">
              <w:rPr>
                <w:rFonts w:eastAsia="Times New Roman"/>
                <w:bCs/>
                <w:sz w:val="20"/>
                <w:szCs w:val="20"/>
                <w:lang w:val="en-US"/>
              </w:rPr>
              <w:t>8,141</w:t>
            </w:r>
          </w:p>
        </w:tc>
        <w:tc>
          <w:tcPr>
            <w:tcW w:w="1154" w:type="pct"/>
            <w:tcBorders>
              <w:top w:val="nil"/>
              <w:bottom w:val="single" w:sz="4" w:space="0" w:color="auto"/>
              <w:right w:val="single" w:sz="4" w:space="0" w:color="FFFFFF"/>
            </w:tcBorders>
            <w:shd w:val="clear" w:color="auto" w:fill="auto"/>
            <w:noWrap/>
            <w:vAlign w:val="bottom"/>
          </w:tcPr>
          <w:p w14:paraId="3EBFBBE9" w14:textId="77777777" w:rsidR="00D267F7" w:rsidRPr="00704916" w:rsidRDefault="00D267F7" w:rsidP="006631AF">
            <w:pPr>
              <w:jc w:val="center"/>
              <w:rPr>
                <w:rFonts w:eastAsia="Times New Roman"/>
                <w:bCs/>
                <w:sz w:val="20"/>
                <w:szCs w:val="20"/>
                <w:lang w:val="en-US"/>
              </w:rPr>
            </w:pPr>
            <w:r w:rsidRPr="00704916">
              <w:rPr>
                <w:rFonts w:eastAsia="Times New Roman"/>
                <w:bCs/>
                <w:sz w:val="20"/>
                <w:szCs w:val="20"/>
                <w:lang w:val="en-US"/>
              </w:rPr>
              <w:t>12,421</w:t>
            </w:r>
          </w:p>
        </w:tc>
      </w:tr>
    </w:tbl>
    <w:p w14:paraId="65BAD54A" w14:textId="77777777" w:rsidR="00B064C6" w:rsidRPr="00F0753B" w:rsidRDefault="00B064C6" w:rsidP="00B064C6">
      <w:pPr>
        <w:tabs>
          <w:tab w:val="left" w:pos="1701"/>
        </w:tabs>
        <w:jc w:val="both"/>
        <w:rPr>
          <w:sz w:val="20"/>
          <w:szCs w:val="20"/>
          <w:lang w:val="en-US"/>
        </w:rPr>
      </w:pPr>
      <w:r w:rsidRPr="00F0753B">
        <w:rPr>
          <w:rFonts w:eastAsiaTheme="minorEastAsia"/>
          <w:sz w:val="20"/>
          <w:szCs w:val="20"/>
          <w:lang w:val="en-US"/>
        </w:rPr>
        <w:t>Each model is a multivariate regression with a dependent variable of the natural log of rent per square meter on a Sao Paulo (Brazil) office building sample from</w:t>
      </w:r>
      <w:r w:rsidRPr="00F0753B">
        <w:rPr>
          <w:sz w:val="20"/>
          <w:szCs w:val="20"/>
          <w:lang w:val="en-US"/>
        </w:rPr>
        <w:t xml:space="preserve"> 20</w:t>
      </w:r>
      <w:r>
        <w:rPr>
          <w:sz w:val="20"/>
          <w:szCs w:val="20"/>
          <w:lang w:val="en-US"/>
        </w:rPr>
        <w:t>05</w:t>
      </w:r>
      <w:r w:rsidRPr="00F0753B">
        <w:rPr>
          <w:sz w:val="20"/>
          <w:szCs w:val="20"/>
          <w:lang w:val="en-US"/>
        </w:rPr>
        <w:t>:Q</w:t>
      </w:r>
      <w:r>
        <w:rPr>
          <w:sz w:val="20"/>
          <w:szCs w:val="20"/>
          <w:lang w:val="en-US"/>
        </w:rPr>
        <w:t>3</w:t>
      </w:r>
      <w:r w:rsidRPr="00F0753B">
        <w:rPr>
          <w:sz w:val="20"/>
          <w:szCs w:val="20"/>
          <w:lang w:val="en-US"/>
        </w:rPr>
        <w:t xml:space="preserve"> to 2014:Q3</w:t>
      </w:r>
      <w:r w:rsidRPr="00F0753B">
        <w:rPr>
          <w:rFonts w:eastAsiaTheme="minorEastAsia"/>
          <w:sz w:val="20"/>
          <w:szCs w:val="20"/>
          <w:lang w:val="en-US"/>
        </w:rPr>
        <w:t xml:space="preserve">, including appropriate time and submarket fixed effects and building attributes </w:t>
      </w:r>
      <w:r w:rsidRPr="00F0753B">
        <w:rPr>
          <w:sz w:val="20"/>
          <w:szCs w:val="20"/>
          <w:lang w:val="en-US"/>
        </w:rPr>
        <w:t>(see Table 1 for definition of variables)</w:t>
      </w:r>
      <w:r w:rsidRPr="00F0753B">
        <w:rPr>
          <w:rFonts w:eastAsiaTheme="minorEastAsia"/>
          <w:sz w:val="20"/>
          <w:szCs w:val="20"/>
          <w:lang w:val="en-US"/>
        </w:rPr>
        <w:t>. Model (</w:t>
      </w:r>
      <w:r>
        <w:rPr>
          <w:rFonts w:eastAsiaTheme="minorEastAsia"/>
          <w:sz w:val="20"/>
          <w:szCs w:val="20"/>
          <w:lang w:val="en-US"/>
        </w:rPr>
        <w:t xml:space="preserve">I) </w:t>
      </w:r>
      <w:r w:rsidRPr="00F0753B">
        <w:rPr>
          <w:rFonts w:eastAsiaTheme="minorEastAsia"/>
          <w:sz w:val="20"/>
          <w:szCs w:val="20"/>
          <w:lang w:val="en-US"/>
        </w:rPr>
        <w:t>show</w:t>
      </w:r>
      <w:r w:rsidR="00D267F7">
        <w:rPr>
          <w:rFonts w:eastAsiaTheme="minorEastAsia"/>
          <w:sz w:val="20"/>
          <w:szCs w:val="20"/>
          <w:lang w:val="en-US"/>
        </w:rPr>
        <w:t>s</w:t>
      </w:r>
      <w:r w:rsidRPr="00F0753B">
        <w:rPr>
          <w:rFonts w:eastAsiaTheme="minorEastAsia"/>
          <w:sz w:val="20"/>
          <w:szCs w:val="20"/>
          <w:lang w:val="en-US"/>
        </w:rPr>
        <w:t xml:space="preserve"> baseline results with no</w:t>
      </w:r>
      <w:r>
        <w:rPr>
          <w:rFonts w:eastAsiaTheme="minorEastAsia"/>
          <w:sz w:val="20"/>
          <w:szCs w:val="20"/>
          <w:lang w:val="en-US"/>
        </w:rPr>
        <w:t xml:space="preserve"> segmentation controls. Model (II) </w:t>
      </w:r>
      <w:r w:rsidRPr="00F0753B">
        <w:rPr>
          <w:rFonts w:eastAsiaTheme="minorEastAsia"/>
          <w:sz w:val="20"/>
          <w:szCs w:val="20"/>
          <w:lang w:val="en-US"/>
        </w:rPr>
        <w:t>test</w:t>
      </w:r>
      <w:r w:rsidR="00D267F7">
        <w:rPr>
          <w:rFonts w:eastAsiaTheme="minorEastAsia"/>
          <w:sz w:val="20"/>
          <w:szCs w:val="20"/>
          <w:lang w:val="en-US"/>
        </w:rPr>
        <w:t>s</w:t>
      </w:r>
      <w:r w:rsidRPr="00F0753B">
        <w:rPr>
          <w:rFonts w:eastAsiaTheme="minorEastAsia"/>
          <w:sz w:val="20"/>
          <w:szCs w:val="20"/>
          <w:lang w:val="en-US"/>
        </w:rPr>
        <w:t xml:space="preserve"> all buildings that belong to t</w:t>
      </w:r>
      <w:r>
        <w:rPr>
          <w:rFonts w:eastAsiaTheme="minorEastAsia"/>
          <w:sz w:val="20"/>
          <w:szCs w:val="20"/>
          <w:lang w:val="en-US"/>
        </w:rPr>
        <w:t xml:space="preserve">he corporate subsample. Model (III) </w:t>
      </w:r>
      <w:r w:rsidRPr="00F0753B">
        <w:rPr>
          <w:rFonts w:eastAsiaTheme="minorEastAsia"/>
          <w:sz w:val="20"/>
          <w:szCs w:val="20"/>
          <w:lang w:val="en-US"/>
        </w:rPr>
        <w:t>test</w:t>
      </w:r>
      <w:r w:rsidR="00D267F7">
        <w:rPr>
          <w:rFonts w:eastAsiaTheme="minorEastAsia"/>
          <w:sz w:val="20"/>
          <w:szCs w:val="20"/>
          <w:lang w:val="en-US"/>
        </w:rPr>
        <w:t>s</w:t>
      </w:r>
      <w:r w:rsidRPr="00F0753B">
        <w:rPr>
          <w:rFonts w:eastAsiaTheme="minorEastAsia"/>
          <w:sz w:val="20"/>
          <w:szCs w:val="20"/>
          <w:lang w:val="en-US"/>
        </w:rPr>
        <w:t xml:space="preserve"> all buildings that belong to the sma</w:t>
      </w:r>
      <w:r>
        <w:rPr>
          <w:rFonts w:eastAsiaTheme="minorEastAsia"/>
          <w:sz w:val="20"/>
          <w:szCs w:val="20"/>
          <w:lang w:val="en-US"/>
        </w:rPr>
        <w:t xml:space="preserve">ller tenant subsample. </w:t>
      </w:r>
      <w:r w:rsidRPr="00F0753B">
        <w:rPr>
          <w:rFonts w:eastAsiaTheme="minorEastAsia"/>
          <w:sz w:val="20"/>
          <w:szCs w:val="20"/>
          <w:lang w:val="en-US"/>
        </w:rPr>
        <w:t xml:space="preserve">T-statistics are reported in parenthesis. </w:t>
      </w:r>
      <w:r w:rsidRPr="00F0753B">
        <w:rPr>
          <w:sz w:val="20"/>
          <w:szCs w:val="20"/>
          <w:lang w:val="en-US"/>
        </w:rPr>
        <w:t>***, ** and * indicate whether coefficients are significant at 99%. 95% and 90% level, respectively. Standard errors ar</w:t>
      </w:r>
      <w:r w:rsidR="00D267F7">
        <w:rPr>
          <w:sz w:val="20"/>
          <w:szCs w:val="20"/>
          <w:lang w:val="en-US"/>
        </w:rPr>
        <w:t>e clustered at submarket level.</w:t>
      </w:r>
    </w:p>
    <w:p w14:paraId="4B9572B1" w14:textId="77777777" w:rsidR="00B064C6" w:rsidRDefault="00B064C6">
      <w:pPr>
        <w:rPr>
          <w:lang w:val="en-US"/>
        </w:rPr>
      </w:pPr>
    </w:p>
    <w:p w14:paraId="3F5DBEFA" w14:textId="77777777" w:rsidR="005019C3" w:rsidRDefault="005019C3">
      <w:pPr>
        <w:rPr>
          <w:lang w:val="en-US"/>
        </w:rPr>
      </w:pPr>
    </w:p>
    <w:p w14:paraId="0A744C06" w14:textId="77777777" w:rsidR="005019C3" w:rsidRDefault="005019C3">
      <w:pPr>
        <w:rPr>
          <w:lang w:val="en-US"/>
        </w:rPr>
      </w:pPr>
    </w:p>
    <w:p w14:paraId="2A95356F" w14:textId="77777777" w:rsidR="005019C3" w:rsidRDefault="005019C3">
      <w:pPr>
        <w:rPr>
          <w:lang w:val="en-US"/>
        </w:rPr>
      </w:pPr>
    </w:p>
    <w:p w14:paraId="392FA018" w14:textId="77777777" w:rsidR="005019C3" w:rsidRDefault="005019C3">
      <w:pPr>
        <w:rPr>
          <w:lang w:val="en-US"/>
        </w:rPr>
      </w:pPr>
    </w:p>
    <w:p w14:paraId="731D781B" w14:textId="77777777" w:rsidR="005019C3" w:rsidRDefault="005019C3">
      <w:pPr>
        <w:rPr>
          <w:lang w:val="en-US"/>
        </w:rPr>
      </w:pPr>
    </w:p>
    <w:p w14:paraId="4C959746" w14:textId="77777777" w:rsidR="005019C3" w:rsidRDefault="005019C3">
      <w:pPr>
        <w:rPr>
          <w:lang w:val="en-US"/>
        </w:rPr>
      </w:pPr>
    </w:p>
    <w:p w14:paraId="21D92ED3" w14:textId="77777777" w:rsidR="005019C3" w:rsidRDefault="005019C3">
      <w:pPr>
        <w:rPr>
          <w:lang w:val="en-US"/>
        </w:rPr>
      </w:pPr>
    </w:p>
    <w:p w14:paraId="23E618B0" w14:textId="77777777" w:rsidR="005019C3" w:rsidRDefault="005019C3">
      <w:pPr>
        <w:rPr>
          <w:lang w:val="en-US"/>
        </w:rPr>
      </w:pPr>
    </w:p>
    <w:p w14:paraId="4D4DEF14" w14:textId="77777777" w:rsidR="005019C3" w:rsidRDefault="005019C3">
      <w:pPr>
        <w:rPr>
          <w:lang w:val="en-US"/>
        </w:rPr>
      </w:pPr>
    </w:p>
    <w:p w14:paraId="41D9B59F" w14:textId="77777777" w:rsidR="005019C3" w:rsidRDefault="005019C3">
      <w:pPr>
        <w:rPr>
          <w:lang w:val="en-US"/>
        </w:rPr>
      </w:pPr>
    </w:p>
    <w:p w14:paraId="5819690E" w14:textId="77777777" w:rsidR="005019C3" w:rsidRDefault="005019C3">
      <w:pPr>
        <w:rPr>
          <w:lang w:val="en-US"/>
        </w:rPr>
      </w:pPr>
    </w:p>
    <w:p w14:paraId="61E0252F" w14:textId="77777777" w:rsidR="005019C3" w:rsidRDefault="005019C3">
      <w:pPr>
        <w:rPr>
          <w:lang w:val="en-US"/>
        </w:rPr>
      </w:pPr>
    </w:p>
    <w:p w14:paraId="6EFF79E0" w14:textId="77777777" w:rsidR="005019C3" w:rsidRDefault="005019C3">
      <w:pPr>
        <w:rPr>
          <w:lang w:val="en-US"/>
        </w:rPr>
      </w:pPr>
    </w:p>
    <w:p w14:paraId="59F3859A" w14:textId="77777777" w:rsidR="005019C3" w:rsidRDefault="005019C3">
      <w:pPr>
        <w:rPr>
          <w:lang w:val="en-US"/>
        </w:rPr>
      </w:pPr>
    </w:p>
    <w:p w14:paraId="6E594F44" w14:textId="77777777" w:rsidR="005019C3" w:rsidRDefault="005019C3">
      <w:pPr>
        <w:rPr>
          <w:lang w:val="en-US"/>
        </w:rPr>
      </w:pPr>
    </w:p>
    <w:p w14:paraId="7342DA3D" w14:textId="77777777" w:rsidR="005019C3" w:rsidRDefault="005019C3">
      <w:pPr>
        <w:rPr>
          <w:lang w:val="en-US"/>
        </w:rPr>
      </w:pPr>
    </w:p>
    <w:p w14:paraId="66BB3DC9" w14:textId="77777777" w:rsidR="005019C3" w:rsidRDefault="005019C3">
      <w:pPr>
        <w:rPr>
          <w:lang w:val="en-US"/>
        </w:rPr>
      </w:pPr>
    </w:p>
    <w:p w14:paraId="383E29F4" w14:textId="77777777" w:rsidR="005019C3" w:rsidRDefault="005019C3">
      <w:pPr>
        <w:rPr>
          <w:lang w:val="en-US"/>
        </w:rPr>
      </w:pPr>
    </w:p>
    <w:p w14:paraId="43DC38A0" w14:textId="77777777" w:rsidR="005019C3" w:rsidRDefault="005019C3">
      <w:pPr>
        <w:rPr>
          <w:lang w:val="en-US"/>
        </w:rPr>
      </w:pPr>
    </w:p>
    <w:p w14:paraId="72753ACC" w14:textId="77777777" w:rsidR="005019C3" w:rsidRDefault="005019C3">
      <w:pPr>
        <w:rPr>
          <w:lang w:val="en-US"/>
        </w:rPr>
      </w:pPr>
    </w:p>
    <w:p w14:paraId="165D9ACC" w14:textId="77777777" w:rsidR="005019C3" w:rsidRDefault="005019C3">
      <w:pPr>
        <w:rPr>
          <w:lang w:val="en-US"/>
        </w:rPr>
      </w:pPr>
    </w:p>
    <w:p w14:paraId="20085329" w14:textId="77777777" w:rsidR="005019C3" w:rsidRDefault="005019C3">
      <w:pPr>
        <w:rPr>
          <w:lang w:val="en-US"/>
        </w:rPr>
      </w:pPr>
    </w:p>
    <w:p w14:paraId="7A6B1792" w14:textId="77777777" w:rsidR="005019C3" w:rsidRDefault="005019C3">
      <w:pPr>
        <w:rPr>
          <w:lang w:val="en-US"/>
        </w:rPr>
      </w:pPr>
    </w:p>
    <w:p w14:paraId="79742768" w14:textId="77777777" w:rsidR="005019C3" w:rsidRDefault="005019C3">
      <w:pPr>
        <w:rPr>
          <w:lang w:val="en-US"/>
        </w:rPr>
      </w:pPr>
    </w:p>
    <w:p w14:paraId="7818CC38" w14:textId="77777777" w:rsidR="005019C3" w:rsidRDefault="005019C3">
      <w:pPr>
        <w:rPr>
          <w:lang w:val="en-US"/>
        </w:rPr>
      </w:pPr>
    </w:p>
    <w:p w14:paraId="6A5F81E4" w14:textId="77777777" w:rsidR="005019C3" w:rsidRDefault="005019C3">
      <w:pPr>
        <w:rPr>
          <w:lang w:val="en-US"/>
        </w:rPr>
      </w:pPr>
    </w:p>
    <w:p w14:paraId="6D070A47" w14:textId="6933CF17" w:rsidR="00B064C6" w:rsidRPr="00575594" w:rsidRDefault="00B064C6" w:rsidP="00B064C6">
      <w:pPr>
        <w:spacing w:before="120" w:after="120" w:line="360" w:lineRule="auto"/>
        <w:jc w:val="both"/>
        <w:rPr>
          <w:color w:val="000000" w:themeColor="text1"/>
          <w:sz w:val="20"/>
          <w:szCs w:val="20"/>
          <w:highlight w:val="yellow"/>
          <w:lang w:val="en-US"/>
        </w:rPr>
      </w:pPr>
      <w:r>
        <w:rPr>
          <w:b/>
          <w:sz w:val="20"/>
          <w:szCs w:val="20"/>
          <w:lang w:val="en-US"/>
        </w:rPr>
        <w:t xml:space="preserve">Figure </w:t>
      </w:r>
      <w:r w:rsidR="00FC436B" w:rsidRPr="00FC436B">
        <w:rPr>
          <w:b/>
          <w:color w:val="FF0000"/>
          <w:sz w:val="20"/>
          <w:szCs w:val="20"/>
          <w:lang w:val="en-US"/>
        </w:rPr>
        <w:t>2</w:t>
      </w:r>
      <w:r w:rsidRPr="007765AC">
        <w:rPr>
          <w:b/>
          <w:sz w:val="20"/>
          <w:szCs w:val="20"/>
          <w:lang w:val="en-US"/>
        </w:rPr>
        <w:t>: Hedonic</w:t>
      </w:r>
      <w:r w:rsidRPr="00575594">
        <w:rPr>
          <w:b/>
          <w:sz w:val="20"/>
          <w:szCs w:val="20"/>
          <w:lang w:val="en-US"/>
        </w:rPr>
        <w:t xml:space="preserve"> Trends by Property-type Segment</w:t>
      </w:r>
    </w:p>
    <w:p w14:paraId="422228B3" w14:textId="77777777" w:rsidR="00B064C6" w:rsidRPr="00DE0337" w:rsidRDefault="00B064C6" w:rsidP="00B064C6">
      <w:pPr>
        <w:tabs>
          <w:tab w:val="left" w:pos="709"/>
        </w:tabs>
        <w:jc w:val="center"/>
        <w:rPr>
          <w:color w:val="000000" w:themeColor="text1"/>
          <w:highlight w:val="yellow"/>
          <w:lang w:val="en-US"/>
        </w:rPr>
      </w:pPr>
      <w:r w:rsidRPr="00DE0337">
        <w:rPr>
          <w:noProof/>
          <w:color w:val="000000" w:themeColor="text1"/>
          <w:lang w:val="en-GB" w:eastAsia="en-GB"/>
        </w:rPr>
        <w:drawing>
          <wp:inline distT="0" distB="0" distL="0" distR="0" wp14:anchorId="18661776" wp14:editId="1F9ECA28">
            <wp:extent cx="4583860" cy="2928395"/>
            <wp:effectExtent l="0" t="0" r="7620"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41606" cy="2965286"/>
                    </a:xfrm>
                    <a:prstGeom prst="rect">
                      <a:avLst/>
                    </a:prstGeom>
                    <a:noFill/>
                  </pic:spPr>
                </pic:pic>
              </a:graphicData>
            </a:graphic>
          </wp:inline>
        </w:drawing>
      </w:r>
    </w:p>
    <w:p w14:paraId="33802BE0" w14:textId="77777777" w:rsidR="00B064C6" w:rsidRPr="00D267F7" w:rsidRDefault="00B064C6" w:rsidP="00B064C6">
      <w:pPr>
        <w:tabs>
          <w:tab w:val="left" w:pos="1701"/>
        </w:tabs>
        <w:jc w:val="both"/>
        <w:rPr>
          <w:rFonts w:eastAsiaTheme="minorEastAsia"/>
          <w:sz w:val="20"/>
          <w:szCs w:val="20"/>
          <w:lang w:val="en-US"/>
        </w:rPr>
      </w:pPr>
      <w:r w:rsidRPr="005F48FF">
        <w:rPr>
          <w:sz w:val="20"/>
          <w:szCs w:val="20"/>
          <w:lang w:val="en-US"/>
        </w:rPr>
        <w:t xml:space="preserve">Rent </w:t>
      </w:r>
      <w:r>
        <w:rPr>
          <w:sz w:val="20"/>
          <w:szCs w:val="20"/>
          <w:lang w:val="en-US"/>
        </w:rPr>
        <w:t>variation</w:t>
      </w:r>
      <w:r w:rsidRPr="005F48FF">
        <w:rPr>
          <w:sz w:val="20"/>
          <w:szCs w:val="20"/>
          <w:lang w:val="en-US"/>
        </w:rPr>
        <w:t xml:space="preserve"> derived from q</w:t>
      </w:r>
      <w:r>
        <w:rPr>
          <w:sz w:val="20"/>
          <w:szCs w:val="20"/>
          <w:lang w:val="en-US"/>
        </w:rPr>
        <w:t>uarter dummies in regressions (I), (II) and (III</w:t>
      </w:r>
      <w:r w:rsidRPr="005F48FF">
        <w:rPr>
          <w:sz w:val="20"/>
          <w:szCs w:val="20"/>
          <w:lang w:val="en-US"/>
        </w:rPr>
        <w:t>) after exponentiation</w:t>
      </w:r>
      <w:r>
        <w:rPr>
          <w:sz w:val="20"/>
          <w:szCs w:val="20"/>
          <w:lang w:val="en-US"/>
        </w:rPr>
        <w:t xml:space="preserve"> </w:t>
      </w:r>
      <w:r w:rsidRPr="005F48FF">
        <w:rPr>
          <w:sz w:val="20"/>
          <w:szCs w:val="20"/>
          <w:lang w:val="en-US"/>
        </w:rPr>
        <w:t>(for definition of these regressions, see Table 4)</w:t>
      </w:r>
      <w:r>
        <w:rPr>
          <w:sz w:val="20"/>
          <w:szCs w:val="20"/>
          <w:lang w:val="en-US"/>
        </w:rPr>
        <w:t xml:space="preserve">. The use of exponentiation </w:t>
      </w:r>
      <w:r>
        <w:rPr>
          <w:rFonts w:eastAsiaTheme="minorEastAsia"/>
          <w:sz w:val="20"/>
          <w:szCs w:val="20"/>
          <w:lang w:val="en-US"/>
        </w:rPr>
        <w:t xml:space="preserve">allows us to obtain the actual percent change for each period (instead of the logarithmic approximation). </w:t>
      </w:r>
      <w:r w:rsidRPr="005F48FF">
        <w:rPr>
          <w:rFonts w:eastAsiaTheme="minorEastAsia"/>
          <w:sz w:val="20"/>
          <w:szCs w:val="20"/>
          <w:lang w:val="en-US"/>
        </w:rPr>
        <w:t>All quarters are benchmarked against 2005:Q</w:t>
      </w:r>
      <w:r w:rsidR="00D267F7">
        <w:rPr>
          <w:rFonts w:eastAsiaTheme="minorEastAsia"/>
          <w:sz w:val="20"/>
          <w:szCs w:val="20"/>
          <w:lang w:val="en-US"/>
        </w:rPr>
        <w:t>3, which is normalized to 100%.</w:t>
      </w:r>
    </w:p>
    <w:p w14:paraId="572009D7" w14:textId="77777777" w:rsidR="00B064C6" w:rsidRDefault="00B064C6">
      <w:pPr>
        <w:rPr>
          <w:lang w:val="en-US"/>
        </w:rPr>
      </w:pPr>
    </w:p>
    <w:p w14:paraId="0326524E" w14:textId="77777777" w:rsidR="00E568BC" w:rsidRDefault="00E568BC">
      <w:pPr>
        <w:rPr>
          <w:lang w:val="en-US"/>
        </w:rPr>
      </w:pPr>
    </w:p>
    <w:p w14:paraId="70301B9A" w14:textId="77777777" w:rsidR="005019C3" w:rsidRDefault="005019C3">
      <w:pPr>
        <w:rPr>
          <w:lang w:val="en-US"/>
        </w:rPr>
      </w:pPr>
    </w:p>
    <w:p w14:paraId="009FD5AB" w14:textId="77777777" w:rsidR="005019C3" w:rsidRDefault="005019C3">
      <w:pPr>
        <w:rPr>
          <w:lang w:val="en-US"/>
        </w:rPr>
      </w:pPr>
    </w:p>
    <w:p w14:paraId="0ED4A8C3" w14:textId="77777777" w:rsidR="005019C3" w:rsidRDefault="005019C3">
      <w:pPr>
        <w:rPr>
          <w:lang w:val="en-US"/>
        </w:rPr>
      </w:pPr>
    </w:p>
    <w:p w14:paraId="0F5AF7B1" w14:textId="77777777" w:rsidR="005019C3" w:rsidRDefault="005019C3">
      <w:pPr>
        <w:rPr>
          <w:lang w:val="en-US"/>
        </w:rPr>
      </w:pPr>
    </w:p>
    <w:p w14:paraId="2FDCFEC8" w14:textId="77777777" w:rsidR="005019C3" w:rsidRDefault="005019C3">
      <w:pPr>
        <w:rPr>
          <w:lang w:val="en-US"/>
        </w:rPr>
      </w:pPr>
    </w:p>
    <w:p w14:paraId="4C2706B3" w14:textId="77777777" w:rsidR="005019C3" w:rsidRDefault="005019C3">
      <w:pPr>
        <w:rPr>
          <w:lang w:val="en-US"/>
        </w:rPr>
      </w:pPr>
    </w:p>
    <w:p w14:paraId="1038E087" w14:textId="77777777" w:rsidR="005019C3" w:rsidRDefault="005019C3">
      <w:pPr>
        <w:rPr>
          <w:lang w:val="en-US"/>
        </w:rPr>
      </w:pPr>
    </w:p>
    <w:p w14:paraId="710A4E97" w14:textId="77777777" w:rsidR="005019C3" w:rsidRDefault="005019C3">
      <w:pPr>
        <w:rPr>
          <w:lang w:val="en-US"/>
        </w:rPr>
      </w:pPr>
    </w:p>
    <w:p w14:paraId="3375F5DC" w14:textId="77777777" w:rsidR="005019C3" w:rsidRDefault="005019C3">
      <w:pPr>
        <w:rPr>
          <w:lang w:val="en-US"/>
        </w:rPr>
      </w:pPr>
    </w:p>
    <w:p w14:paraId="4F65CE44" w14:textId="77777777" w:rsidR="005019C3" w:rsidRDefault="005019C3">
      <w:pPr>
        <w:rPr>
          <w:lang w:val="en-US"/>
        </w:rPr>
      </w:pPr>
    </w:p>
    <w:p w14:paraId="0FA6DC46" w14:textId="77777777" w:rsidR="005019C3" w:rsidRDefault="005019C3">
      <w:pPr>
        <w:rPr>
          <w:lang w:val="en-US"/>
        </w:rPr>
      </w:pPr>
    </w:p>
    <w:p w14:paraId="0F5D2D8B" w14:textId="77777777" w:rsidR="005019C3" w:rsidRDefault="005019C3">
      <w:pPr>
        <w:rPr>
          <w:lang w:val="en-US"/>
        </w:rPr>
      </w:pPr>
    </w:p>
    <w:p w14:paraId="04A8E53F" w14:textId="77777777" w:rsidR="005019C3" w:rsidRDefault="005019C3">
      <w:pPr>
        <w:rPr>
          <w:lang w:val="en-US"/>
        </w:rPr>
      </w:pPr>
    </w:p>
    <w:p w14:paraId="5E6F5AC1" w14:textId="77777777" w:rsidR="005019C3" w:rsidRDefault="005019C3">
      <w:pPr>
        <w:rPr>
          <w:lang w:val="en-US"/>
        </w:rPr>
      </w:pPr>
    </w:p>
    <w:p w14:paraId="70F99925" w14:textId="77777777" w:rsidR="005019C3" w:rsidRDefault="005019C3">
      <w:pPr>
        <w:rPr>
          <w:lang w:val="en-US"/>
        </w:rPr>
      </w:pPr>
    </w:p>
    <w:p w14:paraId="32750406" w14:textId="77777777" w:rsidR="005019C3" w:rsidRDefault="005019C3">
      <w:pPr>
        <w:rPr>
          <w:lang w:val="en-US"/>
        </w:rPr>
      </w:pPr>
    </w:p>
    <w:p w14:paraId="4E281D17" w14:textId="77777777" w:rsidR="005019C3" w:rsidRDefault="005019C3">
      <w:pPr>
        <w:rPr>
          <w:lang w:val="en-US"/>
        </w:rPr>
      </w:pPr>
    </w:p>
    <w:p w14:paraId="73F0DD0F" w14:textId="77777777" w:rsidR="005019C3" w:rsidRDefault="005019C3">
      <w:pPr>
        <w:rPr>
          <w:lang w:val="en-US"/>
        </w:rPr>
      </w:pPr>
    </w:p>
    <w:p w14:paraId="7A5D8341" w14:textId="77777777" w:rsidR="005019C3" w:rsidRDefault="005019C3">
      <w:pPr>
        <w:rPr>
          <w:lang w:val="en-US"/>
        </w:rPr>
      </w:pPr>
    </w:p>
    <w:p w14:paraId="708149B9" w14:textId="77777777" w:rsidR="005019C3" w:rsidRDefault="005019C3">
      <w:pPr>
        <w:rPr>
          <w:lang w:val="en-US"/>
        </w:rPr>
      </w:pPr>
    </w:p>
    <w:p w14:paraId="2AF63AD0" w14:textId="77777777" w:rsidR="005019C3" w:rsidRDefault="005019C3">
      <w:pPr>
        <w:rPr>
          <w:lang w:val="en-US"/>
        </w:rPr>
      </w:pPr>
    </w:p>
    <w:p w14:paraId="433B1A19" w14:textId="77777777" w:rsidR="005019C3" w:rsidRDefault="005019C3">
      <w:pPr>
        <w:rPr>
          <w:lang w:val="en-US"/>
        </w:rPr>
      </w:pPr>
    </w:p>
    <w:p w14:paraId="4D65176F" w14:textId="77777777" w:rsidR="005019C3" w:rsidRDefault="005019C3">
      <w:pPr>
        <w:rPr>
          <w:lang w:val="en-US"/>
        </w:rPr>
      </w:pPr>
    </w:p>
    <w:p w14:paraId="3A40DBCF" w14:textId="77777777" w:rsidR="005019C3" w:rsidRDefault="005019C3">
      <w:pPr>
        <w:rPr>
          <w:lang w:val="en-US"/>
        </w:rPr>
      </w:pPr>
    </w:p>
    <w:p w14:paraId="653D6FE9" w14:textId="77777777" w:rsidR="00E568BC" w:rsidRDefault="00E568BC">
      <w:pPr>
        <w:rPr>
          <w:lang w:val="en-US"/>
        </w:rPr>
      </w:pPr>
    </w:p>
    <w:p w14:paraId="00FB2413" w14:textId="77777777" w:rsidR="00E568BC" w:rsidRDefault="00E568BC">
      <w:pPr>
        <w:rPr>
          <w:lang w:val="en-US"/>
        </w:rPr>
      </w:pPr>
    </w:p>
    <w:p w14:paraId="3DA3ABFE" w14:textId="77777777" w:rsidR="00B064C6" w:rsidRPr="000F76CE" w:rsidRDefault="00B064C6" w:rsidP="00B064C6">
      <w:pPr>
        <w:tabs>
          <w:tab w:val="left" w:pos="709"/>
        </w:tabs>
        <w:spacing w:before="120" w:after="120" w:line="360" w:lineRule="auto"/>
        <w:jc w:val="both"/>
        <w:rPr>
          <w:b/>
          <w:sz w:val="20"/>
          <w:szCs w:val="20"/>
          <w:lang w:val="en-US"/>
        </w:rPr>
      </w:pPr>
      <w:r w:rsidRPr="007765AC">
        <w:rPr>
          <w:b/>
          <w:sz w:val="20"/>
          <w:szCs w:val="20"/>
          <w:lang w:val="en-US"/>
        </w:rPr>
        <w:t>Table 5: Comparison of</w:t>
      </w:r>
      <w:r w:rsidRPr="00404339">
        <w:rPr>
          <w:b/>
          <w:sz w:val="20"/>
          <w:szCs w:val="20"/>
          <w:lang w:val="en-US"/>
        </w:rPr>
        <w:t xml:space="preserve"> Individual Coef</w:t>
      </w:r>
      <w:r>
        <w:rPr>
          <w:b/>
          <w:sz w:val="20"/>
          <w:szCs w:val="20"/>
          <w:lang w:val="en-US"/>
        </w:rPr>
        <w:t>ficients across Office Segments</w:t>
      </w:r>
    </w:p>
    <w:tbl>
      <w:tblPr>
        <w:tblW w:w="4253" w:type="pct"/>
        <w:jc w:val="center"/>
        <w:tblLook w:val="04A0" w:firstRow="1" w:lastRow="0" w:firstColumn="1" w:lastColumn="0" w:noHBand="0" w:noVBand="1"/>
      </w:tblPr>
      <w:tblGrid>
        <w:gridCol w:w="2097"/>
        <w:gridCol w:w="1710"/>
        <w:gridCol w:w="856"/>
        <w:gridCol w:w="854"/>
        <w:gridCol w:w="1712"/>
      </w:tblGrid>
      <w:tr w:rsidR="00D267F7" w:rsidRPr="00DE0337" w14:paraId="09131C55" w14:textId="77777777" w:rsidTr="00D267F7">
        <w:trPr>
          <w:trHeight w:val="81"/>
          <w:jc w:val="center"/>
        </w:trPr>
        <w:tc>
          <w:tcPr>
            <w:tcW w:w="1450" w:type="pct"/>
            <w:vMerge w:val="restart"/>
            <w:tcBorders>
              <w:top w:val="single" w:sz="4" w:space="0" w:color="auto"/>
              <w:left w:val="nil"/>
              <w:right w:val="single" w:sz="4" w:space="0" w:color="FFFFFF" w:themeColor="background1"/>
            </w:tcBorders>
            <w:shd w:val="clear" w:color="auto" w:fill="auto"/>
            <w:noWrap/>
            <w:vAlign w:val="bottom"/>
            <w:hideMark/>
          </w:tcPr>
          <w:p w14:paraId="4B0A06DE"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Regression</w:t>
            </w:r>
          </w:p>
        </w:tc>
        <w:tc>
          <w:tcPr>
            <w:tcW w:w="1183" w:type="pct"/>
            <w:tcBorders>
              <w:top w:val="single" w:sz="4" w:space="0" w:color="auto"/>
              <w:left w:val="single" w:sz="4" w:space="0" w:color="FFFFFF" w:themeColor="background1"/>
              <w:bottom w:val="single" w:sz="4" w:space="0" w:color="auto"/>
              <w:right w:val="nil"/>
            </w:tcBorders>
            <w:shd w:val="clear" w:color="auto" w:fill="auto"/>
            <w:noWrap/>
            <w:vAlign w:val="center"/>
            <w:hideMark/>
          </w:tcPr>
          <w:p w14:paraId="5AB63E8D" w14:textId="77777777" w:rsidR="00D267F7" w:rsidRPr="00704916" w:rsidRDefault="00D267F7" w:rsidP="006631AF">
            <w:pPr>
              <w:jc w:val="center"/>
              <w:rPr>
                <w:rFonts w:eastAsia="Times New Roman"/>
                <w:bCs/>
                <w:color w:val="000000"/>
                <w:sz w:val="20"/>
                <w:szCs w:val="20"/>
                <w:lang w:val="en-US"/>
              </w:rPr>
            </w:pPr>
            <w:r>
              <w:rPr>
                <w:rFonts w:eastAsia="Times New Roman"/>
                <w:bCs/>
                <w:color w:val="000000"/>
                <w:sz w:val="20"/>
                <w:szCs w:val="20"/>
                <w:lang w:val="en-US"/>
              </w:rPr>
              <w:t>(II</w:t>
            </w:r>
            <w:r w:rsidRPr="00704916">
              <w:rPr>
                <w:rFonts w:eastAsia="Times New Roman"/>
                <w:bCs/>
                <w:color w:val="000000"/>
                <w:sz w:val="20"/>
                <w:szCs w:val="20"/>
                <w:lang w:val="en-US"/>
              </w:rPr>
              <w:t>)</w:t>
            </w:r>
          </w:p>
        </w:tc>
        <w:tc>
          <w:tcPr>
            <w:tcW w:w="1183" w:type="pct"/>
            <w:gridSpan w:val="2"/>
            <w:tcBorders>
              <w:top w:val="single" w:sz="4" w:space="0" w:color="auto"/>
              <w:left w:val="nil"/>
              <w:bottom w:val="single" w:sz="4" w:space="0" w:color="auto"/>
              <w:right w:val="nil"/>
            </w:tcBorders>
            <w:shd w:val="clear" w:color="auto" w:fill="auto"/>
            <w:noWrap/>
            <w:vAlign w:val="center"/>
            <w:hideMark/>
          </w:tcPr>
          <w:p w14:paraId="1C8A8124" w14:textId="77777777" w:rsidR="00D267F7" w:rsidRPr="00704916" w:rsidRDefault="00D267F7" w:rsidP="006631AF">
            <w:pPr>
              <w:jc w:val="center"/>
              <w:rPr>
                <w:rFonts w:eastAsia="Times New Roman"/>
                <w:bCs/>
                <w:color w:val="000000"/>
                <w:sz w:val="20"/>
                <w:szCs w:val="20"/>
                <w:lang w:val="en-US"/>
              </w:rPr>
            </w:pPr>
            <w:r>
              <w:rPr>
                <w:rFonts w:eastAsia="Times New Roman"/>
                <w:bCs/>
                <w:color w:val="000000"/>
                <w:sz w:val="20"/>
                <w:szCs w:val="20"/>
                <w:lang w:val="en-US"/>
              </w:rPr>
              <w:t>(III</w:t>
            </w:r>
            <w:r w:rsidRPr="00704916">
              <w:rPr>
                <w:rFonts w:eastAsia="Times New Roman"/>
                <w:bCs/>
                <w:color w:val="000000"/>
                <w:sz w:val="20"/>
                <w:szCs w:val="20"/>
                <w:lang w:val="en-US"/>
              </w:rPr>
              <w:t>)</w:t>
            </w:r>
          </w:p>
        </w:tc>
        <w:tc>
          <w:tcPr>
            <w:tcW w:w="1183" w:type="pct"/>
            <w:tcBorders>
              <w:top w:val="single" w:sz="4" w:space="0" w:color="auto"/>
              <w:left w:val="nil"/>
              <w:bottom w:val="single" w:sz="4" w:space="0" w:color="auto"/>
              <w:right w:val="single" w:sz="4" w:space="0" w:color="FFFFFF" w:themeColor="background1"/>
            </w:tcBorders>
            <w:shd w:val="clear" w:color="auto" w:fill="auto"/>
            <w:noWrap/>
            <w:vAlign w:val="bottom"/>
            <w:hideMark/>
          </w:tcPr>
          <w:p w14:paraId="0888F45C" w14:textId="77777777" w:rsidR="00D267F7" w:rsidRPr="00704916" w:rsidRDefault="00D267F7" w:rsidP="006631AF">
            <w:pPr>
              <w:jc w:val="right"/>
              <w:rPr>
                <w:rFonts w:eastAsia="Times New Roman"/>
                <w:color w:val="000000"/>
                <w:sz w:val="20"/>
                <w:szCs w:val="20"/>
                <w:lang w:val="en-US"/>
              </w:rPr>
            </w:pPr>
            <w:r w:rsidRPr="00704916">
              <w:rPr>
                <w:rFonts w:eastAsia="Times New Roman"/>
                <w:color w:val="000000"/>
                <w:sz w:val="20"/>
                <w:szCs w:val="20"/>
                <w:lang w:val="en-US"/>
              </w:rPr>
              <w:t> </w:t>
            </w:r>
          </w:p>
        </w:tc>
      </w:tr>
      <w:tr w:rsidR="00D267F7" w:rsidRPr="00DE0337" w14:paraId="469B62F6" w14:textId="77777777" w:rsidTr="00D267F7">
        <w:trPr>
          <w:trHeight w:val="64"/>
          <w:jc w:val="center"/>
        </w:trPr>
        <w:tc>
          <w:tcPr>
            <w:tcW w:w="1450" w:type="pct"/>
            <w:vMerge/>
            <w:tcBorders>
              <w:left w:val="nil"/>
              <w:bottom w:val="single" w:sz="4" w:space="0" w:color="auto"/>
              <w:right w:val="single" w:sz="4" w:space="0" w:color="FFFFFF" w:themeColor="background1"/>
            </w:tcBorders>
            <w:shd w:val="clear" w:color="auto" w:fill="auto"/>
            <w:noWrap/>
            <w:vAlign w:val="bottom"/>
          </w:tcPr>
          <w:p w14:paraId="3D32911E" w14:textId="77777777" w:rsidR="00D267F7" w:rsidRPr="00704916" w:rsidRDefault="00D267F7" w:rsidP="006631AF">
            <w:pPr>
              <w:rPr>
                <w:rFonts w:eastAsia="Times New Roman"/>
                <w:bCs/>
                <w:color w:val="000000"/>
                <w:sz w:val="20"/>
                <w:szCs w:val="20"/>
                <w:lang w:val="en-US"/>
              </w:rPr>
            </w:pPr>
          </w:p>
        </w:tc>
        <w:tc>
          <w:tcPr>
            <w:tcW w:w="1775" w:type="pct"/>
            <w:gridSpan w:val="2"/>
            <w:tcBorders>
              <w:top w:val="single" w:sz="4" w:space="0" w:color="auto"/>
              <w:left w:val="single" w:sz="4" w:space="0" w:color="FFFFFF" w:themeColor="background1"/>
              <w:bottom w:val="single" w:sz="4" w:space="0" w:color="auto"/>
              <w:right w:val="nil"/>
            </w:tcBorders>
            <w:shd w:val="clear" w:color="auto" w:fill="auto"/>
            <w:vAlign w:val="center"/>
          </w:tcPr>
          <w:p w14:paraId="57F5F421" w14:textId="77777777" w:rsidR="00D267F7" w:rsidRPr="00704916" w:rsidRDefault="00D267F7" w:rsidP="006631AF">
            <w:pPr>
              <w:jc w:val="center"/>
              <w:rPr>
                <w:rFonts w:eastAsia="Times New Roman"/>
                <w:bCs/>
                <w:color w:val="000000"/>
                <w:sz w:val="20"/>
                <w:szCs w:val="20"/>
                <w:lang w:val="en-US"/>
              </w:rPr>
            </w:pPr>
            <w:r w:rsidRPr="00704916">
              <w:rPr>
                <w:rFonts w:eastAsia="Times New Roman"/>
                <w:bCs/>
                <w:color w:val="000000"/>
                <w:sz w:val="20"/>
                <w:szCs w:val="20"/>
                <w:lang w:val="en-US"/>
              </w:rPr>
              <w:t>Coefficients</w:t>
            </w:r>
          </w:p>
        </w:tc>
        <w:tc>
          <w:tcPr>
            <w:tcW w:w="1775" w:type="pct"/>
            <w:gridSpan w:val="2"/>
            <w:tcBorders>
              <w:top w:val="single" w:sz="4" w:space="0" w:color="auto"/>
              <w:left w:val="nil"/>
              <w:right w:val="single" w:sz="4" w:space="0" w:color="FFFFFF" w:themeColor="background1"/>
            </w:tcBorders>
            <w:shd w:val="clear" w:color="auto" w:fill="auto"/>
            <w:vAlign w:val="center"/>
          </w:tcPr>
          <w:p w14:paraId="11A373BA" w14:textId="77777777" w:rsidR="00D267F7" w:rsidRPr="00704916" w:rsidRDefault="00D267F7" w:rsidP="006631AF">
            <w:pPr>
              <w:jc w:val="center"/>
              <w:rPr>
                <w:rFonts w:eastAsia="Times New Roman"/>
                <w:bCs/>
                <w:color w:val="000000"/>
                <w:sz w:val="20"/>
                <w:szCs w:val="20"/>
                <w:lang w:val="en-US"/>
              </w:rPr>
            </w:pPr>
          </w:p>
        </w:tc>
      </w:tr>
      <w:tr w:rsidR="00D267F7" w:rsidRPr="00DE0337" w14:paraId="6BC1A63D" w14:textId="77777777" w:rsidTr="00D267F7">
        <w:trPr>
          <w:trHeight w:val="993"/>
          <w:jc w:val="center"/>
        </w:trPr>
        <w:tc>
          <w:tcPr>
            <w:tcW w:w="1450" w:type="pct"/>
            <w:tcBorders>
              <w:top w:val="nil"/>
              <w:left w:val="nil"/>
              <w:bottom w:val="single" w:sz="4" w:space="0" w:color="auto"/>
              <w:right w:val="single" w:sz="4" w:space="0" w:color="FFFFFF" w:themeColor="background1"/>
            </w:tcBorders>
            <w:shd w:val="clear" w:color="auto" w:fill="auto"/>
            <w:noWrap/>
            <w:vAlign w:val="bottom"/>
            <w:hideMark/>
          </w:tcPr>
          <w:p w14:paraId="523060A4"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Variables</w:t>
            </w:r>
          </w:p>
        </w:tc>
        <w:tc>
          <w:tcPr>
            <w:tcW w:w="1183" w:type="pct"/>
            <w:tcBorders>
              <w:top w:val="nil"/>
              <w:left w:val="single" w:sz="4" w:space="0" w:color="FFFFFF" w:themeColor="background1"/>
              <w:bottom w:val="single" w:sz="4" w:space="0" w:color="auto"/>
              <w:right w:val="nil"/>
            </w:tcBorders>
            <w:shd w:val="clear" w:color="auto" w:fill="auto"/>
            <w:vAlign w:val="center"/>
            <w:hideMark/>
          </w:tcPr>
          <w:p w14:paraId="24F85549" w14:textId="77777777" w:rsidR="00D267F7" w:rsidRDefault="00D267F7" w:rsidP="006631AF">
            <w:pPr>
              <w:jc w:val="center"/>
              <w:rPr>
                <w:rFonts w:eastAsia="Times New Roman"/>
                <w:bCs/>
                <w:color w:val="000000"/>
                <w:sz w:val="20"/>
                <w:szCs w:val="20"/>
                <w:lang w:val="en-US"/>
              </w:rPr>
            </w:pPr>
            <w:r w:rsidRPr="00704916">
              <w:rPr>
                <w:rFonts w:eastAsia="Times New Roman"/>
                <w:bCs/>
                <w:color w:val="000000"/>
                <w:sz w:val="20"/>
                <w:szCs w:val="20"/>
                <w:lang w:val="en-US"/>
              </w:rPr>
              <w:t xml:space="preserve">Corporate </w:t>
            </w:r>
          </w:p>
          <w:p w14:paraId="65ECA5F6" w14:textId="77777777" w:rsidR="00D267F7" w:rsidRPr="00704916" w:rsidRDefault="00D267F7" w:rsidP="006631AF">
            <w:pPr>
              <w:jc w:val="center"/>
              <w:rPr>
                <w:rFonts w:eastAsia="Times New Roman"/>
                <w:bCs/>
                <w:color w:val="000000"/>
                <w:sz w:val="20"/>
                <w:szCs w:val="20"/>
                <w:lang w:val="en-US"/>
              </w:rPr>
            </w:pPr>
            <w:r w:rsidRPr="00704916">
              <w:rPr>
                <w:rFonts w:eastAsia="Times New Roman"/>
                <w:bCs/>
                <w:color w:val="000000"/>
                <w:sz w:val="20"/>
                <w:szCs w:val="20"/>
                <w:lang w:val="en-US"/>
              </w:rPr>
              <w:t>Sample</w:t>
            </w:r>
          </w:p>
        </w:tc>
        <w:tc>
          <w:tcPr>
            <w:tcW w:w="1183" w:type="pct"/>
            <w:gridSpan w:val="2"/>
            <w:tcBorders>
              <w:top w:val="nil"/>
              <w:left w:val="nil"/>
              <w:bottom w:val="single" w:sz="4" w:space="0" w:color="auto"/>
              <w:right w:val="nil"/>
            </w:tcBorders>
            <w:shd w:val="clear" w:color="auto" w:fill="auto"/>
            <w:vAlign w:val="center"/>
            <w:hideMark/>
          </w:tcPr>
          <w:p w14:paraId="42A7C368" w14:textId="77777777" w:rsidR="00D267F7" w:rsidRPr="00704916" w:rsidRDefault="00D267F7" w:rsidP="006631AF">
            <w:pPr>
              <w:jc w:val="center"/>
              <w:rPr>
                <w:rFonts w:eastAsia="Times New Roman"/>
                <w:bCs/>
                <w:color w:val="000000"/>
                <w:sz w:val="20"/>
                <w:szCs w:val="20"/>
                <w:lang w:val="en-US"/>
              </w:rPr>
            </w:pPr>
            <w:r w:rsidRPr="00704916">
              <w:rPr>
                <w:rFonts w:eastAsia="Times New Roman"/>
                <w:bCs/>
                <w:color w:val="000000"/>
                <w:sz w:val="20"/>
                <w:szCs w:val="20"/>
                <w:lang w:val="en-US"/>
              </w:rPr>
              <w:t>Smaller Occupier Sample</w:t>
            </w:r>
          </w:p>
        </w:tc>
        <w:tc>
          <w:tcPr>
            <w:tcW w:w="1183" w:type="pct"/>
            <w:tcBorders>
              <w:top w:val="nil"/>
              <w:left w:val="nil"/>
              <w:bottom w:val="single" w:sz="4" w:space="0" w:color="auto"/>
              <w:right w:val="single" w:sz="4" w:space="0" w:color="FFFFFF" w:themeColor="background1"/>
            </w:tcBorders>
            <w:shd w:val="clear" w:color="auto" w:fill="auto"/>
            <w:vAlign w:val="center"/>
            <w:hideMark/>
          </w:tcPr>
          <w:p w14:paraId="39003BFB" w14:textId="77777777" w:rsidR="00D267F7" w:rsidRPr="00704916" w:rsidRDefault="00D267F7" w:rsidP="006631AF">
            <w:pPr>
              <w:jc w:val="center"/>
              <w:rPr>
                <w:rFonts w:eastAsia="Times New Roman"/>
                <w:bCs/>
                <w:color w:val="000000"/>
                <w:sz w:val="20"/>
                <w:szCs w:val="20"/>
                <w:lang w:val="en-US"/>
              </w:rPr>
            </w:pPr>
            <w:r w:rsidRPr="00704916">
              <w:rPr>
                <w:rFonts w:eastAsia="Times New Roman"/>
                <w:bCs/>
                <w:color w:val="000000"/>
                <w:sz w:val="20"/>
                <w:szCs w:val="20"/>
                <w:lang w:val="en-US"/>
              </w:rPr>
              <w:t xml:space="preserve">Wald </w:t>
            </w:r>
          </w:p>
          <w:p w14:paraId="5909E5CC" w14:textId="77777777" w:rsidR="00D267F7" w:rsidRPr="00704916" w:rsidRDefault="00D267F7" w:rsidP="006631AF">
            <w:pPr>
              <w:jc w:val="center"/>
              <w:rPr>
                <w:rFonts w:eastAsia="Times New Roman"/>
                <w:bCs/>
                <w:color w:val="000000"/>
                <w:sz w:val="20"/>
                <w:szCs w:val="20"/>
                <w:lang w:val="en-US"/>
              </w:rPr>
            </w:pPr>
            <w:r w:rsidRPr="00704916">
              <w:rPr>
                <w:rFonts w:eastAsia="Times New Roman"/>
                <w:bCs/>
                <w:color w:val="000000"/>
                <w:sz w:val="20"/>
                <w:szCs w:val="20"/>
                <w:lang w:val="en-US"/>
              </w:rPr>
              <w:t>Chi-Square Statistic</w:t>
            </w:r>
          </w:p>
        </w:tc>
      </w:tr>
      <w:tr w:rsidR="00D267F7" w:rsidRPr="00DE0337" w14:paraId="356E28AA" w14:textId="77777777" w:rsidTr="00D267F7">
        <w:trPr>
          <w:trHeight w:val="64"/>
          <w:jc w:val="center"/>
        </w:trPr>
        <w:tc>
          <w:tcPr>
            <w:tcW w:w="1450" w:type="pct"/>
            <w:tcBorders>
              <w:top w:val="nil"/>
              <w:left w:val="nil"/>
              <w:bottom w:val="single" w:sz="4" w:space="0" w:color="FFFFFF"/>
              <w:right w:val="single" w:sz="4" w:space="0" w:color="FFFFFF" w:themeColor="background1"/>
            </w:tcBorders>
            <w:shd w:val="clear" w:color="auto" w:fill="auto"/>
            <w:noWrap/>
            <w:vAlign w:val="center"/>
            <w:hideMark/>
          </w:tcPr>
          <w:p w14:paraId="7F1357E9"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Constant</w:t>
            </w:r>
          </w:p>
        </w:tc>
        <w:tc>
          <w:tcPr>
            <w:tcW w:w="1183" w:type="pct"/>
            <w:tcBorders>
              <w:top w:val="nil"/>
              <w:left w:val="single" w:sz="4" w:space="0" w:color="FFFFFF" w:themeColor="background1"/>
              <w:bottom w:val="single" w:sz="4" w:space="0" w:color="FFFFFF"/>
              <w:right w:val="nil"/>
            </w:tcBorders>
            <w:shd w:val="clear" w:color="auto" w:fill="auto"/>
            <w:noWrap/>
            <w:vAlign w:val="center"/>
            <w:hideMark/>
          </w:tcPr>
          <w:p w14:paraId="24207943"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2.49</w:t>
            </w:r>
          </w:p>
        </w:tc>
        <w:tc>
          <w:tcPr>
            <w:tcW w:w="1183" w:type="pct"/>
            <w:gridSpan w:val="2"/>
            <w:tcBorders>
              <w:top w:val="nil"/>
              <w:left w:val="nil"/>
              <w:bottom w:val="single" w:sz="4" w:space="0" w:color="FFFFFF"/>
              <w:right w:val="nil"/>
            </w:tcBorders>
            <w:shd w:val="clear" w:color="auto" w:fill="auto"/>
            <w:noWrap/>
            <w:vAlign w:val="center"/>
            <w:hideMark/>
          </w:tcPr>
          <w:p w14:paraId="0CD8BD4F"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2.69</w:t>
            </w:r>
          </w:p>
        </w:tc>
        <w:tc>
          <w:tcPr>
            <w:tcW w:w="1183" w:type="pct"/>
            <w:tcBorders>
              <w:top w:val="nil"/>
              <w:left w:val="nil"/>
              <w:bottom w:val="single" w:sz="4" w:space="0" w:color="FFFFFF"/>
              <w:right w:val="single" w:sz="4" w:space="0" w:color="FFFFFF" w:themeColor="background1"/>
            </w:tcBorders>
            <w:shd w:val="clear" w:color="auto" w:fill="auto"/>
            <w:noWrap/>
            <w:vAlign w:val="center"/>
            <w:hideMark/>
          </w:tcPr>
          <w:p w14:paraId="71E33B7D"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0.29</w:t>
            </w:r>
          </w:p>
        </w:tc>
      </w:tr>
      <w:tr w:rsidR="00D267F7" w:rsidRPr="00DE0337" w14:paraId="3B98C028" w14:textId="77777777" w:rsidTr="00D267F7">
        <w:trPr>
          <w:trHeight w:val="64"/>
          <w:jc w:val="center"/>
        </w:trPr>
        <w:tc>
          <w:tcPr>
            <w:tcW w:w="1450" w:type="pct"/>
            <w:tcBorders>
              <w:top w:val="single" w:sz="4" w:space="0" w:color="FFFFFF"/>
              <w:left w:val="nil"/>
              <w:bottom w:val="single" w:sz="4" w:space="0" w:color="auto"/>
              <w:right w:val="single" w:sz="4" w:space="0" w:color="FFFFFF" w:themeColor="background1"/>
            </w:tcBorders>
            <w:shd w:val="clear" w:color="auto" w:fill="auto"/>
            <w:noWrap/>
            <w:vAlign w:val="center"/>
            <w:hideMark/>
          </w:tcPr>
          <w:p w14:paraId="5E1ADE25"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Building Attributes</w:t>
            </w:r>
          </w:p>
        </w:tc>
        <w:tc>
          <w:tcPr>
            <w:tcW w:w="1183" w:type="pct"/>
            <w:tcBorders>
              <w:top w:val="single" w:sz="4" w:space="0" w:color="FFFFFF"/>
              <w:left w:val="single" w:sz="4" w:space="0" w:color="FFFFFF" w:themeColor="background1"/>
              <w:bottom w:val="single" w:sz="4" w:space="0" w:color="auto"/>
              <w:right w:val="nil"/>
            </w:tcBorders>
            <w:shd w:val="clear" w:color="auto" w:fill="auto"/>
            <w:noWrap/>
            <w:vAlign w:val="center"/>
            <w:hideMark/>
          </w:tcPr>
          <w:p w14:paraId="47C909DB"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 </w:t>
            </w:r>
          </w:p>
        </w:tc>
        <w:tc>
          <w:tcPr>
            <w:tcW w:w="1183" w:type="pct"/>
            <w:gridSpan w:val="2"/>
            <w:tcBorders>
              <w:top w:val="single" w:sz="4" w:space="0" w:color="FFFFFF"/>
              <w:left w:val="nil"/>
              <w:bottom w:val="single" w:sz="4" w:space="0" w:color="auto"/>
              <w:right w:val="nil"/>
            </w:tcBorders>
            <w:shd w:val="clear" w:color="auto" w:fill="auto"/>
            <w:noWrap/>
            <w:vAlign w:val="center"/>
            <w:hideMark/>
          </w:tcPr>
          <w:p w14:paraId="068BFD4A"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 </w:t>
            </w:r>
          </w:p>
        </w:tc>
        <w:tc>
          <w:tcPr>
            <w:tcW w:w="1183" w:type="pct"/>
            <w:tcBorders>
              <w:top w:val="single" w:sz="4" w:space="0" w:color="FFFFFF"/>
              <w:left w:val="nil"/>
              <w:bottom w:val="single" w:sz="4" w:space="0" w:color="auto"/>
              <w:right w:val="single" w:sz="4" w:space="0" w:color="FFFFFF" w:themeColor="background1"/>
            </w:tcBorders>
            <w:shd w:val="clear" w:color="auto" w:fill="auto"/>
            <w:noWrap/>
            <w:vAlign w:val="center"/>
            <w:hideMark/>
          </w:tcPr>
          <w:p w14:paraId="4380B47C" w14:textId="77777777" w:rsidR="00D267F7" w:rsidRPr="00704916" w:rsidRDefault="00D267F7" w:rsidP="006631AF">
            <w:pPr>
              <w:jc w:val="center"/>
              <w:rPr>
                <w:rFonts w:eastAsia="Times New Roman"/>
                <w:color w:val="000000"/>
                <w:sz w:val="20"/>
                <w:szCs w:val="20"/>
                <w:lang w:val="en-US"/>
              </w:rPr>
            </w:pPr>
          </w:p>
        </w:tc>
      </w:tr>
      <w:tr w:rsidR="00D267F7" w:rsidRPr="00DE0337" w14:paraId="7868F86F" w14:textId="77777777" w:rsidTr="00D267F7">
        <w:trPr>
          <w:trHeight w:val="64"/>
          <w:jc w:val="center"/>
        </w:trPr>
        <w:tc>
          <w:tcPr>
            <w:tcW w:w="1450" w:type="pct"/>
            <w:tcBorders>
              <w:top w:val="nil"/>
              <w:left w:val="nil"/>
              <w:bottom w:val="nil"/>
              <w:right w:val="single" w:sz="4" w:space="0" w:color="FFFFFF" w:themeColor="background1"/>
            </w:tcBorders>
            <w:shd w:val="clear" w:color="auto" w:fill="auto"/>
            <w:noWrap/>
            <w:vAlign w:val="center"/>
            <w:hideMark/>
          </w:tcPr>
          <w:p w14:paraId="6E108077" w14:textId="77777777" w:rsidR="00D267F7" w:rsidRPr="00704916" w:rsidRDefault="00D267F7" w:rsidP="006631AF">
            <w:pPr>
              <w:rPr>
                <w:rFonts w:eastAsia="Times New Roman"/>
                <w:color w:val="000000"/>
                <w:sz w:val="20"/>
                <w:szCs w:val="20"/>
                <w:lang w:val="en-US"/>
              </w:rPr>
            </w:pPr>
            <w:r w:rsidRPr="00704916">
              <w:rPr>
                <w:rFonts w:eastAsia="Times New Roman"/>
                <w:color w:val="000000"/>
                <w:sz w:val="20"/>
                <w:szCs w:val="20"/>
                <w:lang w:val="en-US"/>
              </w:rPr>
              <w:t>ln (Size)</w:t>
            </w:r>
          </w:p>
        </w:tc>
        <w:tc>
          <w:tcPr>
            <w:tcW w:w="1183" w:type="pct"/>
            <w:tcBorders>
              <w:top w:val="nil"/>
              <w:left w:val="single" w:sz="4" w:space="0" w:color="FFFFFF" w:themeColor="background1"/>
              <w:bottom w:val="nil"/>
              <w:right w:val="nil"/>
            </w:tcBorders>
            <w:shd w:val="clear" w:color="auto" w:fill="auto"/>
            <w:noWrap/>
            <w:vAlign w:val="center"/>
            <w:hideMark/>
          </w:tcPr>
          <w:p w14:paraId="0A1D4F71"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0.14</w:t>
            </w:r>
          </w:p>
        </w:tc>
        <w:tc>
          <w:tcPr>
            <w:tcW w:w="1183" w:type="pct"/>
            <w:gridSpan w:val="2"/>
            <w:tcBorders>
              <w:top w:val="nil"/>
              <w:left w:val="nil"/>
              <w:bottom w:val="nil"/>
              <w:right w:val="nil"/>
            </w:tcBorders>
            <w:shd w:val="clear" w:color="auto" w:fill="auto"/>
            <w:noWrap/>
            <w:vAlign w:val="center"/>
            <w:hideMark/>
          </w:tcPr>
          <w:p w14:paraId="217D5F6B" w14:textId="77777777" w:rsidR="00D267F7" w:rsidRPr="00704916" w:rsidRDefault="00D267F7" w:rsidP="006631AF">
            <w:pPr>
              <w:jc w:val="center"/>
              <w:rPr>
                <w:rFonts w:eastAsia="Times New Roman"/>
                <w:color w:val="000000"/>
                <w:sz w:val="20"/>
                <w:szCs w:val="20"/>
                <w:lang w:val="en-US"/>
              </w:rPr>
            </w:pPr>
            <w:r>
              <w:rPr>
                <w:color w:val="000000"/>
                <w:sz w:val="20"/>
                <w:szCs w:val="20"/>
                <w:lang w:val="en-US"/>
              </w:rPr>
              <w:t xml:space="preserve"> </w:t>
            </w:r>
            <w:r w:rsidRPr="00704916">
              <w:rPr>
                <w:color w:val="000000"/>
                <w:sz w:val="20"/>
                <w:szCs w:val="20"/>
                <w:lang w:val="en-US"/>
              </w:rPr>
              <w:t>0.09</w:t>
            </w:r>
          </w:p>
        </w:tc>
        <w:tc>
          <w:tcPr>
            <w:tcW w:w="1183" w:type="pct"/>
            <w:tcBorders>
              <w:top w:val="nil"/>
              <w:left w:val="nil"/>
              <w:bottom w:val="nil"/>
              <w:right w:val="single" w:sz="4" w:space="0" w:color="FFFFFF" w:themeColor="background1"/>
            </w:tcBorders>
            <w:shd w:val="clear" w:color="auto" w:fill="auto"/>
            <w:noWrap/>
            <w:vAlign w:val="center"/>
            <w:hideMark/>
          </w:tcPr>
          <w:p w14:paraId="61C25CA4"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1.01</w:t>
            </w:r>
          </w:p>
        </w:tc>
      </w:tr>
      <w:tr w:rsidR="00D267F7" w:rsidRPr="00DE0337" w14:paraId="4B7B4E17" w14:textId="77777777" w:rsidTr="00D267F7">
        <w:trPr>
          <w:trHeight w:val="139"/>
          <w:jc w:val="center"/>
        </w:trPr>
        <w:tc>
          <w:tcPr>
            <w:tcW w:w="1450" w:type="pct"/>
            <w:tcBorders>
              <w:top w:val="nil"/>
              <w:left w:val="nil"/>
              <w:bottom w:val="nil"/>
              <w:right w:val="single" w:sz="4" w:space="0" w:color="FFFFFF" w:themeColor="background1"/>
            </w:tcBorders>
            <w:shd w:val="clear" w:color="auto" w:fill="auto"/>
            <w:noWrap/>
            <w:vAlign w:val="center"/>
            <w:hideMark/>
          </w:tcPr>
          <w:p w14:paraId="6E0FBA00" w14:textId="77777777" w:rsidR="00D267F7" w:rsidRPr="00704916" w:rsidRDefault="00D267F7" w:rsidP="006631AF">
            <w:pPr>
              <w:rPr>
                <w:rFonts w:eastAsia="Times New Roman"/>
                <w:color w:val="000000"/>
                <w:sz w:val="20"/>
                <w:szCs w:val="20"/>
                <w:lang w:val="en-US"/>
              </w:rPr>
            </w:pPr>
            <w:r w:rsidRPr="00704916">
              <w:rPr>
                <w:rFonts w:eastAsia="Times New Roman"/>
                <w:color w:val="000000"/>
                <w:sz w:val="20"/>
                <w:szCs w:val="20"/>
                <w:lang w:val="en-US"/>
              </w:rPr>
              <w:t xml:space="preserve">   5 to 9 </w:t>
            </w:r>
          </w:p>
        </w:tc>
        <w:tc>
          <w:tcPr>
            <w:tcW w:w="1183" w:type="pct"/>
            <w:tcBorders>
              <w:top w:val="nil"/>
              <w:left w:val="single" w:sz="4" w:space="0" w:color="FFFFFF" w:themeColor="background1"/>
              <w:bottom w:val="nil"/>
              <w:right w:val="nil"/>
            </w:tcBorders>
            <w:shd w:val="clear" w:color="auto" w:fill="auto"/>
            <w:noWrap/>
            <w:vAlign w:val="center"/>
            <w:hideMark/>
          </w:tcPr>
          <w:p w14:paraId="6C5F7F9E"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-0.08</w:t>
            </w:r>
          </w:p>
        </w:tc>
        <w:tc>
          <w:tcPr>
            <w:tcW w:w="1183" w:type="pct"/>
            <w:gridSpan w:val="2"/>
            <w:tcBorders>
              <w:top w:val="nil"/>
              <w:left w:val="nil"/>
              <w:bottom w:val="nil"/>
              <w:right w:val="nil"/>
            </w:tcBorders>
            <w:shd w:val="clear" w:color="auto" w:fill="auto"/>
            <w:noWrap/>
            <w:vAlign w:val="center"/>
            <w:hideMark/>
          </w:tcPr>
          <w:p w14:paraId="26AFC6B6"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-0.09</w:t>
            </w:r>
          </w:p>
        </w:tc>
        <w:tc>
          <w:tcPr>
            <w:tcW w:w="1183" w:type="pct"/>
            <w:tcBorders>
              <w:top w:val="nil"/>
              <w:left w:val="nil"/>
              <w:bottom w:val="nil"/>
              <w:right w:val="single" w:sz="4" w:space="0" w:color="FFFFFF" w:themeColor="background1"/>
            </w:tcBorders>
            <w:shd w:val="clear" w:color="auto" w:fill="auto"/>
            <w:noWrap/>
            <w:vAlign w:val="center"/>
            <w:hideMark/>
          </w:tcPr>
          <w:p w14:paraId="406706C3"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0.01</w:t>
            </w:r>
          </w:p>
        </w:tc>
      </w:tr>
      <w:tr w:rsidR="00D267F7" w:rsidRPr="00DE0337" w14:paraId="05BB6659" w14:textId="77777777" w:rsidTr="00D267F7">
        <w:trPr>
          <w:trHeight w:val="129"/>
          <w:jc w:val="center"/>
        </w:trPr>
        <w:tc>
          <w:tcPr>
            <w:tcW w:w="1450" w:type="pct"/>
            <w:tcBorders>
              <w:top w:val="nil"/>
              <w:left w:val="nil"/>
              <w:bottom w:val="nil"/>
              <w:right w:val="single" w:sz="4" w:space="0" w:color="FFFFFF" w:themeColor="background1"/>
            </w:tcBorders>
            <w:shd w:val="clear" w:color="auto" w:fill="auto"/>
            <w:noWrap/>
            <w:vAlign w:val="center"/>
            <w:hideMark/>
          </w:tcPr>
          <w:p w14:paraId="546FADBC" w14:textId="77777777" w:rsidR="00D267F7" w:rsidRPr="00704916" w:rsidRDefault="00D267F7" w:rsidP="006631AF">
            <w:pPr>
              <w:rPr>
                <w:rFonts w:eastAsia="Times New Roman"/>
                <w:color w:val="000000"/>
                <w:sz w:val="20"/>
                <w:szCs w:val="20"/>
                <w:lang w:val="en-US"/>
              </w:rPr>
            </w:pPr>
            <w:r w:rsidRPr="00704916">
              <w:rPr>
                <w:rFonts w:eastAsia="Times New Roman"/>
                <w:color w:val="000000"/>
                <w:sz w:val="20"/>
                <w:szCs w:val="20"/>
                <w:lang w:val="en-US"/>
              </w:rPr>
              <w:t xml:space="preserve">   10 to 14</w:t>
            </w:r>
          </w:p>
        </w:tc>
        <w:tc>
          <w:tcPr>
            <w:tcW w:w="1183" w:type="pct"/>
            <w:tcBorders>
              <w:top w:val="nil"/>
              <w:left w:val="single" w:sz="4" w:space="0" w:color="FFFFFF" w:themeColor="background1"/>
              <w:bottom w:val="nil"/>
              <w:right w:val="nil"/>
            </w:tcBorders>
            <w:shd w:val="clear" w:color="auto" w:fill="auto"/>
            <w:noWrap/>
            <w:vAlign w:val="center"/>
            <w:hideMark/>
          </w:tcPr>
          <w:p w14:paraId="5B68D5EB"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-0.22</w:t>
            </w:r>
          </w:p>
        </w:tc>
        <w:tc>
          <w:tcPr>
            <w:tcW w:w="1183" w:type="pct"/>
            <w:gridSpan w:val="2"/>
            <w:tcBorders>
              <w:top w:val="nil"/>
              <w:left w:val="nil"/>
              <w:bottom w:val="nil"/>
              <w:right w:val="nil"/>
            </w:tcBorders>
            <w:shd w:val="clear" w:color="auto" w:fill="auto"/>
            <w:noWrap/>
            <w:vAlign w:val="center"/>
            <w:hideMark/>
          </w:tcPr>
          <w:p w14:paraId="5FE3834B"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-0.21</w:t>
            </w:r>
          </w:p>
        </w:tc>
        <w:tc>
          <w:tcPr>
            <w:tcW w:w="1183" w:type="pct"/>
            <w:tcBorders>
              <w:top w:val="nil"/>
              <w:left w:val="nil"/>
              <w:bottom w:val="nil"/>
              <w:right w:val="single" w:sz="4" w:space="0" w:color="FFFFFF" w:themeColor="background1"/>
            </w:tcBorders>
            <w:shd w:val="clear" w:color="auto" w:fill="auto"/>
            <w:noWrap/>
            <w:vAlign w:val="center"/>
            <w:hideMark/>
          </w:tcPr>
          <w:p w14:paraId="3630B5CE"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0.01</w:t>
            </w:r>
          </w:p>
        </w:tc>
      </w:tr>
      <w:tr w:rsidR="00D267F7" w:rsidRPr="00DE0337" w14:paraId="048504AC" w14:textId="77777777" w:rsidTr="00D267F7">
        <w:trPr>
          <w:trHeight w:val="105"/>
          <w:jc w:val="center"/>
        </w:trPr>
        <w:tc>
          <w:tcPr>
            <w:tcW w:w="1450" w:type="pct"/>
            <w:tcBorders>
              <w:top w:val="nil"/>
              <w:left w:val="nil"/>
              <w:bottom w:val="nil"/>
              <w:right w:val="single" w:sz="4" w:space="0" w:color="FFFFFF" w:themeColor="background1"/>
            </w:tcBorders>
            <w:shd w:val="clear" w:color="auto" w:fill="auto"/>
            <w:noWrap/>
            <w:vAlign w:val="center"/>
            <w:hideMark/>
          </w:tcPr>
          <w:p w14:paraId="015214E4" w14:textId="77777777" w:rsidR="00D267F7" w:rsidRPr="00704916" w:rsidRDefault="00D267F7" w:rsidP="006631AF">
            <w:pPr>
              <w:rPr>
                <w:rFonts w:eastAsia="Times New Roman"/>
                <w:color w:val="000000"/>
                <w:sz w:val="20"/>
                <w:szCs w:val="20"/>
                <w:lang w:val="en-US"/>
              </w:rPr>
            </w:pPr>
            <w:r w:rsidRPr="00704916">
              <w:rPr>
                <w:rFonts w:eastAsia="Times New Roman"/>
                <w:color w:val="000000"/>
                <w:sz w:val="20"/>
                <w:szCs w:val="20"/>
                <w:lang w:val="en-US"/>
              </w:rPr>
              <w:t xml:space="preserve">   15 to 19</w:t>
            </w:r>
          </w:p>
        </w:tc>
        <w:tc>
          <w:tcPr>
            <w:tcW w:w="1183" w:type="pct"/>
            <w:tcBorders>
              <w:top w:val="nil"/>
              <w:left w:val="single" w:sz="4" w:space="0" w:color="FFFFFF" w:themeColor="background1"/>
              <w:bottom w:val="nil"/>
              <w:right w:val="nil"/>
            </w:tcBorders>
            <w:shd w:val="clear" w:color="auto" w:fill="auto"/>
            <w:noWrap/>
            <w:vAlign w:val="center"/>
            <w:hideMark/>
          </w:tcPr>
          <w:p w14:paraId="44F816EA"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-0.34</w:t>
            </w:r>
          </w:p>
        </w:tc>
        <w:tc>
          <w:tcPr>
            <w:tcW w:w="1183" w:type="pct"/>
            <w:gridSpan w:val="2"/>
            <w:tcBorders>
              <w:top w:val="nil"/>
              <w:left w:val="nil"/>
              <w:bottom w:val="nil"/>
              <w:right w:val="nil"/>
            </w:tcBorders>
            <w:shd w:val="clear" w:color="auto" w:fill="auto"/>
            <w:noWrap/>
            <w:vAlign w:val="center"/>
            <w:hideMark/>
          </w:tcPr>
          <w:p w14:paraId="7C93EFAA"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-0.31</w:t>
            </w:r>
          </w:p>
        </w:tc>
        <w:tc>
          <w:tcPr>
            <w:tcW w:w="1183" w:type="pct"/>
            <w:tcBorders>
              <w:top w:val="nil"/>
              <w:left w:val="nil"/>
              <w:bottom w:val="nil"/>
              <w:right w:val="single" w:sz="4" w:space="0" w:color="FFFFFF" w:themeColor="background1"/>
            </w:tcBorders>
            <w:shd w:val="clear" w:color="auto" w:fill="auto"/>
            <w:noWrap/>
            <w:vAlign w:val="center"/>
            <w:hideMark/>
          </w:tcPr>
          <w:p w14:paraId="525E3E33"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0.31</w:t>
            </w:r>
          </w:p>
        </w:tc>
      </w:tr>
      <w:tr w:rsidR="00D267F7" w:rsidRPr="00DE0337" w14:paraId="21797D8C" w14:textId="77777777" w:rsidTr="00D267F7">
        <w:trPr>
          <w:trHeight w:val="96"/>
          <w:jc w:val="center"/>
        </w:trPr>
        <w:tc>
          <w:tcPr>
            <w:tcW w:w="1450" w:type="pct"/>
            <w:tcBorders>
              <w:top w:val="nil"/>
              <w:left w:val="nil"/>
              <w:bottom w:val="nil"/>
              <w:right w:val="single" w:sz="4" w:space="0" w:color="FFFFFF" w:themeColor="background1"/>
            </w:tcBorders>
            <w:shd w:val="clear" w:color="auto" w:fill="auto"/>
            <w:noWrap/>
            <w:vAlign w:val="center"/>
            <w:hideMark/>
          </w:tcPr>
          <w:p w14:paraId="7E10DB4D" w14:textId="77777777" w:rsidR="00D267F7" w:rsidRPr="00704916" w:rsidRDefault="00D267F7" w:rsidP="006631AF">
            <w:pPr>
              <w:rPr>
                <w:rFonts w:eastAsia="Times New Roman"/>
                <w:color w:val="000000"/>
                <w:sz w:val="20"/>
                <w:szCs w:val="20"/>
                <w:lang w:val="en-US"/>
              </w:rPr>
            </w:pPr>
            <w:r w:rsidRPr="00704916">
              <w:rPr>
                <w:rFonts w:eastAsia="Times New Roman"/>
                <w:color w:val="000000"/>
                <w:sz w:val="20"/>
                <w:szCs w:val="20"/>
                <w:lang w:val="en-US"/>
              </w:rPr>
              <w:t xml:space="preserve">   20 to 24</w:t>
            </w:r>
          </w:p>
        </w:tc>
        <w:tc>
          <w:tcPr>
            <w:tcW w:w="1183" w:type="pct"/>
            <w:tcBorders>
              <w:top w:val="nil"/>
              <w:left w:val="single" w:sz="4" w:space="0" w:color="FFFFFF" w:themeColor="background1"/>
              <w:bottom w:val="nil"/>
              <w:right w:val="nil"/>
            </w:tcBorders>
            <w:shd w:val="clear" w:color="auto" w:fill="auto"/>
            <w:noWrap/>
            <w:vAlign w:val="center"/>
            <w:hideMark/>
          </w:tcPr>
          <w:p w14:paraId="67BA083D"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-0.46</w:t>
            </w:r>
          </w:p>
        </w:tc>
        <w:tc>
          <w:tcPr>
            <w:tcW w:w="1183" w:type="pct"/>
            <w:gridSpan w:val="2"/>
            <w:tcBorders>
              <w:top w:val="nil"/>
              <w:left w:val="nil"/>
              <w:bottom w:val="nil"/>
              <w:right w:val="nil"/>
            </w:tcBorders>
            <w:shd w:val="clear" w:color="auto" w:fill="auto"/>
            <w:noWrap/>
            <w:vAlign w:val="center"/>
            <w:hideMark/>
          </w:tcPr>
          <w:p w14:paraId="66DB0252"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-0.33</w:t>
            </w:r>
          </w:p>
        </w:tc>
        <w:tc>
          <w:tcPr>
            <w:tcW w:w="1183" w:type="pct"/>
            <w:tcBorders>
              <w:top w:val="nil"/>
              <w:left w:val="nil"/>
              <w:bottom w:val="nil"/>
              <w:right w:val="single" w:sz="4" w:space="0" w:color="FFFFFF" w:themeColor="background1"/>
            </w:tcBorders>
            <w:shd w:val="clear" w:color="auto" w:fill="auto"/>
            <w:noWrap/>
            <w:vAlign w:val="center"/>
            <w:hideMark/>
          </w:tcPr>
          <w:p w14:paraId="7AF4EEC9"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7.37***</w:t>
            </w:r>
          </w:p>
        </w:tc>
      </w:tr>
      <w:tr w:rsidR="00D267F7" w:rsidRPr="00DE0337" w14:paraId="32A537B6" w14:textId="77777777" w:rsidTr="00D267F7">
        <w:trPr>
          <w:trHeight w:val="85"/>
          <w:jc w:val="center"/>
        </w:trPr>
        <w:tc>
          <w:tcPr>
            <w:tcW w:w="1450" w:type="pct"/>
            <w:tcBorders>
              <w:top w:val="nil"/>
              <w:left w:val="nil"/>
              <w:bottom w:val="nil"/>
              <w:right w:val="single" w:sz="4" w:space="0" w:color="FFFFFF" w:themeColor="background1"/>
            </w:tcBorders>
            <w:shd w:val="clear" w:color="auto" w:fill="auto"/>
            <w:noWrap/>
            <w:vAlign w:val="center"/>
            <w:hideMark/>
          </w:tcPr>
          <w:p w14:paraId="4CD22652" w14:textId="77777777" w:rsidR="00D267F7" w:rsidRPr="00704916" w:rsidRDefault="00D267F7" w:rsidP="006631AF">
            <w:pPr>
              <w:rPr>
                <w:rFonts w:eastAsia="Times New Roman"/>
                <w:color w:val="000000"/>
                <w:sz w:val="20"/>
                <w:szCs w:val="20"/>
                <w:lang w:val="en-US"/>
              </w:rPr>
            </w:pPr>
            <w:r w:rsidRPr="00704916">
              <w:rPr>
                <w:rFonts w:eastAsia="Times New Roman"/>
                <w:color w:val="000000"/>
                <w:sz w:val="20"/>
                <w:szCs w:val="20"/>
                <w:lang w:val="en-US"/>
              </w:rPr>
              <w:t xml:space="preserve">   25to29</w:t>
            </w:r>
          </w:p>
        </w:tc>
        <w:tc>
          <w:tcPr>
            <w:tcW w:w="1183" w:type="pct"/>
            <w:tcBorders>
              <w:top w:val="nil"/>
              <w:left w:val="single" w:sz="4" w:space="0" w:color="FFFFFF" w:themeColor="background1"/>
              <w:bottom w:val="nil"/>
              <w:right w:val="nil"/>
            </w:tcBorders>
            <w:shd w:val="clear" w:color="auto" w:fill="auto"/>
            <w:noWrap/>
            <w:vAlign w:val="center"/>
            <w:hideMark/>
          </w:tcPr>
          <w:p w14:paraId="3514F60D"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-0.54</w:t>
            </w:r>
          </w:p>
        </w:tc>
        <w:tc>
          <w:tcPr>
            <w:tcW w:w="1183" w:type="pct"/>
            <w:gridSpan w:val="2"/>
            <w:tcBorders>
              <w:top w:val="nil"/>
              <w:left w:val="nil"/>
              <w:bottom w:val="nil"/>
              <w:right w:val="nil"/>
            </w:tcBorders>
            <w:shd w:val="clear" w:color="auto" w:fill="auto"/>
            <w:noWrap/>
            <w:vAlign w:val="center"/>
            <w:hideMark/>
          </w:tcPr>
          <w:p w14:paraId="00301789"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-0.41</w:t>
            </w:r>
          </w:p>
        </w:tc>
        <w:tc>
          <w:tcPr>
            <w:tcW w:w="1183" w:type="pct"/>
            <w:tcBorders>
              <w:top w:val="nil"/>
              <w:left w:val="nil"/>
              <w:bottom w:val="nil"/>
              <w:right w:val="single" w:sz="4" w:space="0" w:color="FFFFFF" w:themeColor="background1"/>
            </w:tcBorders>
            <w:shd w:val="clear" w:color="auto" w:fill="auto"/>
            <w:noWrap/>
            <w:vAlign w:val="center"/>
            <w:hideMark/>
          </w:tcPr>
          <w:p w14:paraId="500388D5"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3.10*</w:t>
            </w:r>
          </w:p>
        </w:tc>
      </w:tr>
      <w:tr w:rsidR="00D267F7" w:rsidRPr="00DE0337" w14:paraId="121A0F9A" w14:textId="77777777" w:rsidTr="00D267F7">
        <w:trPr>
          <w:trHeight w:val="74"/>
          <w:jc w:val="center"/>
        </w:trPr>
        <w:tc>
          <w:tcPr>
            <w:tcW w:w="1450" w:type="pct"/>
            <w:tcBorders>
              <w:top w:val="nil"/>
              <w:left w:val="nil"/>
              <w:bottom w:val="nil"/>
              <w:right w:val="single" w:sz="4" w:space="0" w:color="FFFFFF" w:themeColor="background1"/>
            </w:tcBorders>
            <w:shd w:val="clear" w:color="auto" w:fill="auto"/>
            <w:noWrap/>
            <w:vAlign w:val="center"/>
            <w:hideMark/>
          </w:tcPr>
          <w:p w14:paraId="07570B4D" w14:textId="77777777" w:rsidR="00D267F7" w:rsidRPr="00704916" w:rsidRDefault="00D267F7" w:rsidP="006631AF">
            <w:pPr>
              <w:rPr>
                <w:rFonts w:eastAsia="Times New Roman"/>
                <w:color w:val="000000"/>
                <w:sz w:val="20"/>
                <w:szCs w:val="20"/>
                <w:lang w:val="en-US"/>
              </w:rPr>
            </w:pPr>
            <w:r w:rsidRPr="00704916">
              <w:rPr>
                <w:rFonts w:eastAsia="Times New Roman"/>
                <w:color w:val="000000"/>
                <w:sz w:val="20"/>
                <w:szCs w:val="20"/>
                <w:lang w:val="en-US"/>
              </w:rPr>
              <w:t xml:space="preserve">   30+</w:t>
            </w:r>
          </w:p>
        </w:tc>
        <w:tc>
          <w:tcPr>
            <w:tcW w:w="1183" w:type="pct"/>
            <w:tcBorders>
              <w:top w:val="nil"/>
              <w:left w:val="single" w:sz="4" w:space="0" w:color="FFFFFF" w:themeColor="background1"/>
              <w:bottom w:val="nil"/>
              <w:right w:val="nil"/>
            </w:tcBorders>
            <w:shd w:val="clear" w:color="auto" w:fill="auto"/>
            <w:noWrap/>
            <w:vAlign w:val="center"/>
            <w:hideMark/>
          </w:tcPr>
          <w:p w14:paraId="315935B5"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-0.64</w:t>
            </w:r>
          </w:p>
        </w:tc>
        <w:tc>
          <w:tcPr>
            <w:tcW w:w="1183" w:type="pct"/>
            <w:gridSpan w:val="2"/>
            <w:tcBorders>
              <w:top w:val="nil"/>
              <w:left w:val="nil"/>
              <w:bottom w:val="nil"/>
              <w:right w:val="nil"/>
            </w:tcBorders>
            <w:shd w:val="clear" w:color="auto" w:fill="auto"/>
            <w:noWrap/>
            <w:vAlign w:val="center"/>
            <w:hideMark/>
          </w:tcPr>
          <w:p w14:paraId="466E2517"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-0.45</w:t>
            </w:r>
          </w:p>
        </w:tc>
        <w:tc>
          <w:tcPr>
            <w:tcW w:w="1183" w:type="pct"/>
            <w:tcBorders>
              <w:top w:val="nil"/>
              <w:left w:val="nil"/>
              <w:bottom w:val="nil"/>
              <w:right w:val="single" w:sz="4" w:space="0" w:color="FFFFFF" w:themeColor="background1"/>
            </w:tcBorders>
            <w:shd w:val="clear" w:color="auto" w:fill="auto"/>
            <w:noWrap/>
            <w:vAlign w:val="center"/>
            <w:hideMark/>
          </w:tcPr>
          <w:p w14:paraId="0A91B003"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16.74***</w:t>
            </w:r>
          </w:p>
        </w:tc>
      </w:tr>
      <w:tr w:rsidR="00D267F7" w:rsidRPr="00DE0337" w14:paraId="227D06F2" w14:textId="77777777" w:rsidTr="00D267F7">
        <w:trPr>
          <w:trHeight w:val="74"/>
          <w:jc w:val="center"/>
        </w:trPr>
        <w:tc>
          <w:tcPr>
            <w:tcW w:w="1450" w:type="pct"/>
            <w:tcBorders>
              <w:top w:val="nil"/>
              <w:left w:val="nil"/>
              <w:bottom w:val="nil"/>
              <w:right w:val="single" w:sz="4" w:space="0" w:color="FFFFFF" w:themeColor="background1"/>
            </w:tcBorders>
            <w:shd w:val="clear" w:color="auto" w:fill="auto"/>
            <w:noWrap/>
            <w:vAlign w:val="center"/>
            <w:hideMark/>
          </w:tcPr>
          <w:p w14:paraId="0CD53661" w14:textId="77777777" w:rsidR="00D267F7" w:rsidRPr="00704916" w:rsidRDefault="00D267F7" w:rsidP="006631AF">
            <w:pPr>
              <w:rPr>
                <w:rFonts w:eastAsia="Times New Roman"/>
                <w:color w:val="000000"/>
                <w:sz w:val="20"/>
                <w:szCs w:val="20"/>
                <w:lang w:val="en-US"/>
              </w:rPr>
            </w:pPr>
            <w:r w:rsidRPr="00704916">
              <w:rPr>
                <w:rFonts w:eastAsia="Times New Roman"/>
                <w:color w:val="000000"/>
                <w:sz w:val="20"/>
                <w:szCs w:val="20"/>
                <w:lang w:val="en-US"/>
              </w:rPr>
              <w:t xml:space="preserve">    AA</w:t>
            </w:r>
          </w:p>
        </w:tc>
        <w:tc>
          <w:tcPr>
            <w:tcW w:w="1183" w:type="pct"/>
            <w:tcBorders>
              <w:top w:val="nil"/>
              <w:left w:val="single" w:sz="4" w:space="0" w:color="FFFFFF" w:themeColor="background1"/>
              <w:bottom w:val="nil"/>
              <w:right w:val="nil"/>
            </w:tcBorders>
            <w:shd w:val="clear" w:color="auto" w:fill="auto"/>
            <w:noWrap/>
            <w:vAlign w:val="center"/>
            <w:hideMark/>
          </w:tcPr>
          <w:p w14:paraId="6A93D9E3"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0.30</w:t>
            </w:r>
          </w:p>
        </w:tc>
        <w:tc>
          <w:tcPr>
            <w:tcW w:w="1183" w:type="pct"/>
            <w:gridSpan w:val="2"/>
            <w:tcBorders>
              <w:top w:val="nil"/>
              <w:left w:val="nil"/>
              <w:bottom w:val="nil"/>
              <w:right w:val="nil"/>
            </w:tcBorders>
            <w:shd w:val="clear" w:color="auto" w:fill="auto"/>
            <w:noWrap/>
            <w:vAlign w:val="center"/>
            <w:hideMark/>
          </w:tcPr>
          <w:p w14:paraId="451AD193"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-0.04</w:t>
            </w:r>
          </w:p>
        </w:tc>
        <w:tc>
          <w:tcPr>
            <w:tcW w:w="1183" w:type="pct"/>
            <w:tcBorders>
              <w:top w:val="nil"/>
              <w:left w:val="nil"/>
              <w:bottom w:val="nil"/>
              <w:right w:val="single" w:sz="4" w:space="0" w:color="FFFFFF" w:themeColor="background1"/>
            </w:tcBorders>
            <w:shd w:val="clear" w:color="auto" w:fill="auto"/>
            <w:noWrap/>
            <w:vAlign w:val="center"/>
            <w:hideMark/>
          </w:tcPr>
          <w:p w14:paraId="30E6D4C3"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2.19</w:t>
            </w:r>
          </w:p>
        </w:tc>
      </w:tr>
      <w:tr w:rsidR="00D267F7" w:rsidRPr="00DE0337" w14:paraId="5C32D9BD" w14:textId="77777777" w:rsidTr="00D267F7">
        <w:trPr>
          <w:trHeight w:val="74"/>
          <w:jc w:val="center"/>
        </w:trPr>
        <w:tc>
          <w:tcPr>
            <w:tcW w:w="1450" w:type="pct"/>
            <w:tcBorders>
              <w:top w:val="nil"/>
              <w:left w:val="nil"/>
              <w:bottom w:val="nil"/>
              <w:right w:val="single" w:sz="4" w:space="0" w:color="FFFFFF" w:themeColor="background1"/>
            </w:tcBorders>
            <w:shd w:val="clear" w:color="auto" w:fill="auto"/>
            <w:noWrap/>
            <w:vAlign w:val="center"/>
            <w:hideMark/>
          </w:tcPr>
          <w:p w14:paraId="31803E0B" w14:textId="77777777" w:rsidR="00D267F7" w:rsidRPr="00704916" w:rsidRDefault="00D267F7" w:rsidP="006631AF">
            <w:pPr>
              <w:rPr>
                <w:rFonts w:eastAsia="Times New Roman"/>
                <w:color w:val="000000"/>
                <w:sz w:val="20"/>
                <w:szCs w:val="20"/>
                <w:lang w:val="en-US"/>
              </w:rPr>
            </w:pPr>
            <w:r w:rsidRPr="00704916">
              <w:rPr>
                <w:rFonts w:eastAsia="Times New Roman"/>
                <w:color w:val="000000"/>
                <w:sz w:val="20"/>
                <w:szCs w:val="20"/>
                <w:lang w:val="en-US"/>
              </w:rPr>
              <w:t xml:space="preserve">    A</w:t>
            </w:r>
          </w:p>
        </w:tc>
        <w:tc>
          <w:tcPr>
            <w:tcW w:w="1183" w:type="pct"/>
            <w:tcBorders>
              <w:top w:val="nil"/>
              <w:left w:val="single" w:sz="4" w:space="0" w:color="FFFFFF" w:themeColor="background1"/>
              <w:bottom w:val="nil"/>
              <w:right w:val="nil"/>
            </w:tcBorders>
            <w:shd w:val="clear" w:color="auto" w:fill="auto"/>
            <w:noWrap/>
            <w:vAlign w:val="center"/>
            <w:hideMark/>
          </w:tcPr>
          <w:p w14:paraId="1FD8F474"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0.20</w:t>
            </w:r>
          </w:p>
        </w:tc>
        <w:tc>
          <w:tcPr>
            <w:tcW w:w="1183" w:type="pct"/>
            <w:gridSpan w:val="2"/>
            <w:tcBorders>
              <w:top w:val="nil"/>
              <w:left w:val="nil"/>
              <w:bottom w:val="nil"/>
              <w:right w:val="nil"/>
            </w:tcBorders>
            <w:shd w:val="clear" w:color="auto" w:fill="auto"/>
            <w:noWrap/>
            <w:vAlign w:val="center"/>
            <w:hideMark/>
          </w:tcPr>
          <w:p w14:paraId="6126D26A"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0.00</w:t>
            </w:r>
          </w:p>
        </w:tc>
        <w:tc>
          <w:tcPr>
            <w:tcW w:w="1183" w:type="pct"/>
            <w:tcBorders>
              <w:top w:val="nil"/>
              <w:left w:val="nil"/>
              <w:bottom w:val="nil"/>
              <w:right w:val="single" w:sz="4" w:space="0" w:color="FFFFFF" w:themeColor="background1"/>
            </w:tcBorders>
            <w:shd w:val="clear" w:color="auto" w:fill="auto"/>
            <w:noWrap/>
            <w:vAlign w:val="center"/>
            <w:hideMark/>
          </w:tcPr>
          <w:p w14:paraId="29632944"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3.89**</w:t>
            </w:r>
          </w:p>
        </w:tc>
      </w:tr>
      <w:tr w:rsidR="00D267F7" w:rsidRPr="00DE0337" w14:paraId="6FA9BEE9" w14:textId="77777777" w:rsidTr="00D267F7">
        <w:trPr>
          <w:trHeight w:val="132"/>
          <w:jc w:val="center"/>
        </w:trPr>
        <w:tc>
          <w:tcPr>
            <w:tcW w:w="1450" w:type="pct"/>
            <w:tcBorders>
              <w:top w:val="nil"/>
              <w:left w:val="nil"/>
              <w:bottom w:val="nil"/>
              <w:right w:val="single" w:sz="4" w:space="0" w:color="FFFFFF" w:themeColor="background1"/>
            </w:tcBorders>
            <w:shd w:val="clear" w:color="auto" w:fill="auto"/>
            <w:noWrap/>
            <w:vAlign w:val="center"/>
            <w:hideMark/>
          </w:tcPr>
          <w:p w14:paraId="25D7FECE" w14:textId="77777777" w:rsidR="00D267F7" w:rsidRPr="00704916" w:rsidRDefault="00D267F7" w:rsidP="006631AF">
            <w:pPr>
              <w:rPr>
                <w:rFonts w:eastAsia="Times New Roman"/>
                <w:color w:val="000000"/>
                <w:sz w:val="20"/>
                <w:szCs w:val="20"/>
                <w:lang w:val="en-US"/>
              </w:rPr>
            </w:pPr>
            <w:r w:rsidRPr="00704916">
              <w:rPr>
                <w:rFonts w:eastAsia="Times New Roman"/>
                <w:color w:val="000000"/>
                <w:sz w:val="20"/>
                <w:szCs w:val="20"/>
                <w:lang w:val="en-US"/>
              </w:rPr>
              <w:t xml:space="preserve">   BB</w:t>
            </w:r>
          </w:p>
        </w:tc>
        <w:tc>
          <w:tcPr>
            <w:tcW w:w="1183" w:type="pct"/>
            <w:tcBorders>
              <w:top w:val="nil"/>
              <w:left w:val="single" w:sz="4" w:space="0" w:color="FFFFFF" w:themeColor="background1"/>
              <w:bottom w:val="nil"/>
              <w:right w:val="nil"/>
            </w:tcBorders>
            <w:shd w:val="clear" w:color="auto" w:fill="auto"/>
            <w:noWrap/>
            <w:vAlign w:val="center"/>
            <w:hideMark/>
          </w:tcPr>
          <w:p w14:paraId="6A56E1D3"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0.21</w:t>
            </w:r>
          </w:p>
        </w:tc>
        <w:tc>
          <w:tcPr>
            <w:tcW w:w="1183" w:type="pct"/>
            <w:gridSpan w:val="2"/>
            <w:tcBorders>
              <w:top w:val="nil"/>
              <w:left w:val="nil"/>
              <w:bottom w:val="nil"/>
              <w:right w:val="nil"/>
            </w:tcBorders>
            <w:shd w:val="clear" w:color="auto" w:fill="auto"/>
            <w:noWrap/>
            <w:vAlign w:val="center"/>
            <w:hideMark/>
          </w:tcPr>
          <w:p w14:paraId="22225650"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0.02</w:t>
            </w:r>
          </w:p>
        </w:tc>
        <w:tc>
          <w:tcPr>
            <w:tcW w:w="1183" w:type="pct"/>
            <w:tcBorders>
              <w:top w:val="nil"/>
              <w:left w:val="nil"/>
              <w:bottom w:val="nil"/>
              <w:right w:val="single" w:sz="4" w:space="0" w:color="FFFFFF" w:themeColor="background1"/>
            </w:tcBorders>
            <w:shd w:val="clear" w:color="auto" w:fill="auto"/>
            <w:noWrap/>
            <w:vAlign w:val="center"/>
            <w:hideMark/>
          </w:tcPr>
          <w:p w14:paraId="1A55FBCE"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9.59***</w:t>
            </w:r>
          </w:p>
        </w:tc>
      </w:tr>
      <w:tr w:rsidR="00D267F7" w:rsidRPr="00DE0337" w14:paraId="15AAEF78" w14:textId="77777777" w:rsidTr="00D267F7">
        <w:trPr>
          <w:trHeight w:val="108"/>
          <w:jc w:val="center"/>
        </w:trPr>
        <w:tc>
          <w:tcPr>
            <w:tcW w:w="1450" w:type="pct"/>
            <w:tcBorders>
              <w:top w:val="nil"/>
              <w:left w:val="nil"/>
              <w:bottom w:val="nil"/>
              <w:right w:val="single" w:sz="4" w:space="0" w:color="FFFFFF" w:themeColor="background1"/>
            </w:tcBorders>
            <w:shd w:val="clear" w:color="auto" w:fill="auto"/>
            <w:noWrap/>
            <w:vAlign w:val="center"/>
            <w:hideMark/>
          </w:tcPr>
          <w:p w14:paraId="5E0DEFDF" w14:textId="77777777" w:rsidR="00D267F7" w:rsidRPr="00704916" w:rsidRDefault="00D267F7" w:rsidP="006631AF">
            <w:pPr>
              <w:rPr>
                <w:rFonts w:eastAsia="Times New Roman"/>
                <w:color w:val="000000"/>
                <w:sz w:val="20"/>
                <w:szCs w:val="20"/>
                <w:lang w:val="en-US"/>
              </w:rPr>
            </w:pPr>
            <w:r w:rsidRPr="00704916">
              <w:rPr>
                <w:rFonts w:eastAsia="Times New Roman"/>
                <w:color w:val="000000"/>
                <w:sz w:val="20"/>
                <w:szCs w:val="20"/>
                <w:lang w:val="en-US"/>
              </w:rPr>
              <w:t xml:space="preserve">    B</w:t>
            </w:r>
          </w:p>
        </w:tc>
        <w:tc>
          <w:tcPr>
            <w:tcW w:w="1183" w:type="pct"/>
            <w:tcBorders>
              <w:top w:val="nil"/>
              <w:left w:val="single" w:sz="4" w:space="0" w:color="FFFFFF" w:themeColor="background1"/>
              <w:bottom w:val="nil"/>
              <w:right w:val="nil"/>
            </w:tcBorders>
            <w:shd w:val="clear" w:color="auto" w:fill="auto"/>
            <w:noWrap/>
            <w:vAlign w:val="center"/>
            <w:hideMark/>
          </w:tcPr>
          <w:p w14:paraId="57B82855"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0.11</w:t>
            </w:r>
          </w:p>
        </w:tc>
        <w:tc>
          <w:tcPr>
            <w:tcW w:w="1183" w:type="pct"/>
            <w:gridSpan w:val="2"/>
            <w:tcBorders>
              <w:top w:val="nil"/>
              <w:left w:val="nil"/>
              <w:bottom w:val="nil"/>
              <w:right w:val="nil"/>
            </w:tcBorders>
            <w:shd w:val="clear" w:color="auto" w:fill="auto"/>
            <w:noWrap/>
            <w:vAlign w:val="center"/>
            <w:hideMark/>
          </w:tcPr>
          <w:p w14:paraId="4EF03B6A"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0.00</w:t>
            </w:r>
          </w:p>
        </w:tc>
        <w:tc>
          <w:tcPr>
            <w:tcW w:w="1183" w:type="pct"/>
            <w:tcBorders>
              <w:top w:val="nil"/>
              <w:left w:val="nil"/>
              <w:bottom w:val="nil"/>
              <w:right w:val="single" w:sz="4" w:space="0" w:color="FFFFFF" w:themeColor="background1"/>
            </w:tcBorders>
            <w:shd w:val="clear" w:color="auto" w:fill="auto"/>
            <w:noWrap/>
            <w:vAlign w:val="center"/>
            <w:hideMark/>
          </w:tcPr>
          <w:p w14:paraId="712438FB"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5.89**</w:t>
            </w:r>
          </w:p>
        </w:tc>
      </w:tr>
      <w:tr w:rsidR="00D267F7" w:rsidRPr="00DE0337" w14:paraId="0D91300D" w14:textId="77777777" w:rsidTr="00D267F7">
        <w:trPr>
          <w:trHeight w:val="99"/>
          <w:jc w:val="center"/>
        </w:trPr>
        <w:tc>
          <w:tcPr>
            <w:tcW w:w="1450" w:type="pct"/>
            <w:tcBorders>
              <w:top w:val="nil"/>
              <w:left w:val="nil"/>
              <w:bottom w:val="single" w:sz="4" w:space="0" w:color="FFFFFF"/>
              <w:right w:val="single" w:sz="4" w:space="0" w:color="FFFFFF" w:themeColor="background1"/>
            </w:tcBorders>
            <w:shd w:val="clear" w:color="auto" w:fill="auto"/>
            <w:noWrap/>
            <w:vAlign w:val="center"/>
            <w:hideMark/>
          </w:tcPr>
          <w:p w14:paraId="59B192DA" w14:textId="77777777" w:rsidR="00D267F7" w:rsidRPr="00704916" w:rsidRDefault="00D267F7" w:rsidP="006631AF">
            <w:pPr>
              <w:rPr>
                <w:rFonts w:eastAsia="Times New Roman"/>
                <w:color w:val="000000"/>
                <w:sz w:val="20"/>
                <w:szCs w:val="20"/>
                <w:lang w:val="en-US"/>
              </w:rPr>
            </w:pPr>
            <w:r w:rsidRPr="00704916">
              <w:rPr>
                <w:rFonts w:eastAsia="Times New Roman"/>
                <w:color w:val="000000"/>
                <w:sz w:val="20"/>
                <w:szCs w:val="20"/>
                <w:lang w:val="en-US"/>
              </w:rPr>
              <w:t>Vacancy</w:t>
            </w:r>
          </w:p>
        </w:tc>
        <w:tc>
          <w:tcPr>
            <w:tcW w:w="1183" w:type="pct"/>
            <w:tcBorders>
              <w:top w:val="nil"/>
              <w:left w:val="single" w:sz="4" w:space="0" w:color="FFFFFF" w:themeColor="background1"/>
              <w:bottom w:val="single" w:sz="4" w:space="0" w:color="FFFFFF"/>
              <w:right w:val="nil"/>
            </w:tcBorders>
            <w:shd w:val="clear" w:color="auto" w:fill="auto"/>
            <w:noWrap/>
            <w:vAlign w:val="center"/>
            <w:hideMark/>
          </w:tcPr>
          <w:p w14:paraId="0C5BA13F"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0.00</w:t>
            </w:r>
          </w:p>
        </w:tc>
        <w:tc>
          <w:tcPr>
            <w:tcW w:w="1183" w:type="pct"/>
            <w:gridSpan w:val="2"/>
            <w:tcBorders>
              <w:top w:val="nil"/>
              <w:left w:val="nil"/>
              <w:bottom w:val="single" w:sz="4" w:space="0" w:color="FFFFFF"/>
              <w:right w:val="nil"/>
            </w:tcBorders>
            <w:shd w:val="clear" w:color="auto" w:fill="auto"/>
            <w:noWrap/>
            <w:vAlign w:val="center"/>
            <w:hideMark/>
          </w:tcPr>
          <w:p w14:paraId="32459E84"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0.00</w:t>
            </w:r>
          </w:p>
        </w:tc>
        <w:tc>
          <w:tcPr>
            <w:tcW w:w="1183" w:type="pct"/>
            <w:tcBorders>
              <w:top w:val="nil"/>
              <w:left w:val="nil"/>
              <w:bottom w:val="single" w:sz="4" w:space="0" w:color="FFFFFF"/>
              <w:right w:val="single" w:sz="4" w:space="0" w:color="FFFFFF" w:themeColor="background1"/>
            </w:tcBorders>
            <w:shd w:val="clear" w:color="auto" w:fill="auto"/>
            <w:noWrap/>
            <w:vAlign w:val="center"/>
            <w:hideMark/>
          </w:tcPr>
          <w:p w14:paraId="33DF035F"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0.46</w:t>
            </w:r>
          </w:p>
        </w:tc>
      </w:tr>
      <w:tr w:rsidR="00D267F7" w:rsidRPr="00DE0337" w14:paraId="659E71F4" w14:textId="77777777" w:rsidTr="00D267F7">
        <w:trPr>
          <w:trHeight w:val="78"/>
          <w:jc w:val="center"/>
        </w:trPr>
        <w:tc>
          <w:tcPr>
            <w:tcW w:w="1450" w:type="pct"/>
            <w:tcBorders>
              <w:top w:val="single" w:sz="4" w:space="0" w:color="FFFFFF"/>
              <w:left w:val="nil"/>
              <w:bottom w:val="single" w:sz="4" w:space="0" w:color="auto"/>
              <w:right w:val="single" w:sz="4" w:space="0" w:color="FFFFFF" w:themeColor="background1"/>
            </w:tcBorders>
            <w:shd w:val="clear" w:color="auto" w:fill="auto"/>
            <w:noWrap/>
            <w:vAlign w:val="center"/>
            <w:hideMark/>
          </w:tcPr>
          <w:p w14:paraId="15ED22B7"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Submarkets</w:t>
            </w:r>
          </w:p>
        </w:tc>
        <w:tc>
          <w:tcPr>
            <w:tcW w:w="1183" w:type="pct"/>
            <w:tcBorders>
              <w:top w:val="single" w:sz="4" w:space="0" w:color="FFFFFF"/>
              <w:left w:val="single" w:sz="4" w:space="0" w:color="FFFFFF" w:themeColor="background1"/>
              <w:bottom w:val="single" w:sz="4" w:space="0" w:color="auto"/>
              <w:right w:val="nil"/>
            </w:tcBorders>
            <w:shd w:val="clear" w:color="auto" w:fill="auto"/>
            <w:noWrap/>
            <w:vAlign w:val="center"/>
            <w:hideMark/>
          </w:tcPr>
          <w:p w14:paraId="45597E9A"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 </w:t>
            </w:r>
          </w:p>
        </w:tc>
        <w:tc>
          <w:tcPr>
            <w:tcW w:w="1183" w:type="pct"/>
            <w:gridSpan w:val="2"/>
            <w:tcBorders>
              <w:top w:val="single" w:sz="4" w:space="0" w:color="FFFFFF"/>
              <w:left w:val="nil"/>
              <w:bottom w:val="single" w:sz="4" w:space="0" w:color="auto"/>
              <w:right w:val="nil"/>
            </w:tcBorders>
            <w:shd w:val="clear" w:color="auto" w:fill="auto"/>
            <w:noWrap/>
            <w:vAlign w:val="center"/>
            <w:hideMark/>
          </w:tcPr>
          <w:p w14:paraId="155AB5A9"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 </w:t>
            </w:r>
          </w:p>
        </w:tc>
        <w:tc>
          <w:tcPr>
            <w:tcW w:w="1183" w:type="pct"/>
            <w:tcBorders>
              <w:top w:val="single" w:sz="4" w:space="0" w:color="FFFFFF"/>
              <w:left w:val="nil"/>
              <w:bottom w:val="single" w:sz="4" w:space="0" w:color="auto"/>
              <w:right w:val="single" w:sz="4" w:space="0" w:color="FFFFFF" w:themeColor="background1"/>
            </w:tcBorders>
            <w:shd w:val="clear" w:color="auto" w:fill="auto"/>
            <w:noWrap/>
            <w:vAlign w:val="center"/>
            <w:hideMark/>
          </w:tcPr>
          <w:p w14:paraId="53F7D475" w14:textId="77777777" w:rsidR="00D267F7" w:rsidRPr="00704916" w:rsidRDefault="00D267F7" w:rsidP="006631AF">
            <w:pPr>
              <w:jc w:val="center"/>
              <w:rPr>
                <w:rFonts w:eastAsia="Times New Roman"/>
                <w:color w:val="000000"/>
                <w:sz w:val="20"/>
                <w:szCs w:val="20"/>
                <w:lang w:val="en-US"/>
              </w:rPr>
            </w:pPr>
          </w:p>
        </w:tc>
      </w:tr>
      <w:tr w:rsidR="00D267F7" w:rsidRPr="00DE0337" w14:paraId="01E3D6FA" w14:textId="77777777" w:rsidTr="00D267F7">
        <w:trPr>
          <w:trHeight w:val="110"/>
          <w:jc w:val="center"/>
        </w:trPr>
        <w:tc>
          <w:tcPr>
            <w:tcW w:w="1450" w:type="pct"/>
            <w:tcBorders>
              <w:top w:val="single" w:sz="4" w:space="0" w:color="auto"/>
              <w:left w:val="nil"/>
              <w:bottom w:val="nil"/>
              <w:right w:val="single" w:sz="4" w:space="0" w:color="FFFFFF" w:themeColor="background1"/>
            </w:tcBorders>
            <w:shd w:val="clear" w:color="auto" w:fill="auto"/>
            <w:noWrap/>
            <w:vAlign w:val="center"/>
            <w:hideMark/>
          </w:tcPr>
          <w:p w14:paraId="0A869B99"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Vila Olimpia</w:t>
            </w:r>
          </w:p>
        </w:tc>
        <w:tc>
          <w:tcPr>
            <w:tcW w:w="1183" w:type="pct"/>
            <w:tcBorders>
              <w:top w:val="nil"/>
              <w:left w:val="single" w:sz="4" w:space="0" w:color="FFFFFF" w:themeColor="background1"/>
              <w:bottom w:val="nil"/>
              <w:right w:val="nil"/>
            </w:tcBorders>
            <w:shd w:val="clear" w:color="auto" w:fill="auto"/>
            <w:noWrap/>
            <w:vAlign w:val="center"/>
            <w:hideMark/>
          </w:tcPr>
          <w:p w14:paraId="690BFD05"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-0.12</w:t>
            </w:r>
          </w:p>
        </w:tc>
        <w:tc>
          <w:tcPr>
            <w:tcW w:w="1183" w:type="pct"/>
            <w:gridSpan w:val="2"/>
            <w:tcBorders>
              <w:top w:val="nil"/>
              <w:left w:val="nil"/>
              <w:bottom w:val="nil"/>
              <w:right w:val="nil"/>
            </w:tcBorders>
            <w:shd w:val="clear" w:color="auto" w:fill="auto"/>
            <w:noWrap/>
            <w:vAlign w:val="center"/>
            <w:hideMark/>
          </w:tcPr>
          <w:p w14:paraId="0BF68AC0"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-0.02</w:t>
            </w:r>
          </w:p>
        </w:tc>
        <w:tc>
          <w:tcPr>
            <w:tcW w:w="1183" w:type="pct"/>
            <w:tcBorders>
              <w:top w:val="nil"/>
              <w:left w:val="nil"/>
              <w:bottom w:val="nil"/>
              <w:right w:val="single" w:sz="4" w:space="0" w:color="FFFFFF" w:themeColor="background1"/>
            </w:tcBorders>
            <w:shd w:val="clear" w:color="auto" w:fill="auto"/>
            <w:noWrap/>
            <w:vAlign w:val="center"/>
            <w:hideMark/>
          </w:tcPr>
          <w:p w14:paraId="0C35AABD"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43.81***</w:t>
            </w:r>
          </w:p>
        </w:tc>
      </w:tr>
      <w:tr w:rsidR="00D267F7" w:rsidRPr="00DE0337" w14:paraId="0C88AD52" w14:textId="77777777" w:rsidTr="00D267F7">
        <w:trPr>
          <w:trHeight w:val="74"/>
          <w:jc w:val="center"/>
        </w:trPr>
        <w:tc>
          <w:tcPr>
            <w:tcW w:w="1450" w:type="pct"/>
            <w:tcBorders>
              <w:top w:val="nil"/>
              <w:left w:val="nil"/>
              <w:bottom w:val="nil"/>
              <w:right w:val="single" w:sz="4" w:space="0" w:color="FFFFFF" w:themeColor="background1"/>
            </w:tcBorders>
            <w:shd w:val="clear" w:color="auto" w:fill="auto"/>
            <w:noWrap/>
            <w:vAlign w:val="center"/>
            <w:hideMark/>
          </w:tcPr>
          <w:p w14:paraId="1CBADEC8"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Saude and Jabaquara</w:t>
            </w:r>
          </w:p>
        </w:tc>
        <w:tc>
          <w:tcPr>
            <w:tcW w:w="1183" w:type="pct"/>
            <w:tcBorders>
              <w:top w:val="nil"/>
              <w:left w:val="single" w:sz="4" w:space="0" w:color="FFFFFF" w:themeColor="background1"/>
              <w:bottom w:val="nil"/>
              <w:right w:val="nil"/>
            </w:tcBorders>
            <w:shd w:val="clear" w:color="auto" w:fill="auto"/>
            <w:noWrap/>
            <w:vAlign w:val="center"/>
            <w:hideMark/>
          </w:tcPr>
          <w:p w14:paraId="48016DB5"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-0.22</w:t>
            </w:r>
          </w:p>
        </w:tc>
        <w:tc>
          <w:tcPr>
            <w:tcW w:w="1183" w:type="pct"/>
            <w:gridSpan w:val="2"/>
            <w:tcBorders>
              <w:top w:val="nil"/>
              <w:left w:val="nil"/>
              <w:bottom w:val="nil"/>
              <w:right w:val="nil"/>
            </w:tcBorders>
            <w:shd w:val="clear" w:color="auto" w:fill="auto"/>
            <w:noWrap/>
            <w:vAlign w:val="center"/>
            <w:hideMark/>
          </w:tcPr>
          <w:p w14:paraId="79DA9B6E"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-0.26</w:t>
            </w:r>
          </w:p>
        </w:tc>
        <w:tc>
          <w:tcPr>
            <w:tcW w:w="1183" w:type="pct"/>
            <w:tcBorders>
              <w:top w:val="nil"/>
              <w:left w:val="nil"/>
              <w:bottom w:val="nil"/>
              <w:right w:val="single" w:sz="4" w:space="0" w:color="FFFFFF" w:themeColor="background1"/>
            </w:tcBorders>
            <w:shd w:val="clear" w:color="auto" w:fill="auto"/>
            <w:noWrap/>
            <w:vAlign w:val="center"/>
            <w:hideMark/>
          </w:tcPr>
          <w:p w14:paraId="5289D3A1"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1.51</w:t>
            </w:r>
          </w:p>
        </w:tc>
      </w:tr>
      <w:tr w:rsidR="00D267F7" w:rsidRPr="00DE0337" w14:paraId="779E1A8F" w14:textId="77777777" w:rsidTr="00D267F7">
        <w:trPr>
          <w:trHeight w:val="74"/>
          <w:jc w:val="center"/>
        </w:trPr>
        <w:tc>
          <w:tcPr>
            <w:tcW w:w="1450" w:type="pct"/>
            <w:tcBorders>
              <w:top w:val="nil"/>
              <w:left w:val="nil"/>
              <w:bottom w:val="nil"/>
              <w:right w:val="single" w:sz="4" w:space="0" w:color="FFFFFF" w:themeColor="background1"/>
            </w:tcBorders>
            <w:shd w:val="clear" w:color="auto" w:fill="auto"/>
            <w:noWrap/>
            <w:vAlign w:val="center"/>
            <w:hideMark/>
          </w:tcPr>
          <w:p w14:paraId="726DD07E"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Santo Amaro</w:t>
            </w:r>
          </w:p>
        </w:tc>
        <w:tc>
          <w:tcPr>
            <w:tcW w:w="1183" w:type="pct"/>
            <w:tcBorders>
              <w:top w:val="nil"/>
              <w:left w:val="single" w:sz="4" w:space="0" w:color="FFFFFF" w:themeColor="background1"/>
              <w:bottom w:val="nil"/>
              <w:right w:val="nil"/>
            </w:tcBorders>
            <w:shd w:val="clear" w:color="auto" w:fill="auto"/>
            <w:noWrap/>
            <w:vAlign w:val="center"/>
            <w:hideMark/>
          </w:tcPr>
          <w:p w14:paraId="79E46A54"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-0.54</w:t>
            </w:r>
          </w:p>
        </w:tc>
        <w:tc>
          <w:tcPr>
            <w:tcW w:w="1183" w:type="pct"/>
            <w:gridSpan w:val="2"/>
            <w:tcBorders>
              <w:top w:val="nil"/>
              <w:left w:val="nil"/>
              <w:bottom w:val="nil"/>
              <w:right w:val="nil"/>
            </w:tcBorders>
            <w:shd w:val="clear" w:color="auto" w:fill="auto"/>
            <w:noWrap/>
            <w:vAlign w:val="center"/>
            <w:hideMark/>
          </w:tcPr>
          <w:p w14:paraId="4AD022C2"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-0.21</w:t>
            </w:r>
          </w:p>
        </w:tc>
        <w:tc>
          <w:tcPr>
            <w:tcW w:w="1183" w:type="pct"/>
            <w:tcBorders>
              <w:top w:val="nil"/>
              <w:left w:val="nil"/>
              <w:bottom w:val="nil"/>
              <w:right w:val="single" w:sz="4" w:space="0" w:color="FFFFFF" w:themeColor="background1"/>
            </w:tcBorders>
            <w:shd w:val="clear" w:color="auto" w:fill="auto"/>
            <w:noWrap/>
            <w:vAlign w:val="center"/>
            <w:hideMark/>
          </w:tcPr>
          <w:p w14:paraId="2DD24B43"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289.76***</w:t>
            </w:r>
          </w:p>
        </w:tc>
      </w:tr>
      <w:tr w:rsidR="00D267F7" w:rsidRPr="00DE0337" w14:paraId="5138908D" w14:textId="77777777" w:rsidTr="00D267F7">
        <w:trPr>
          <w:trHeight w:val="116"/>
          <w:jc w:val="center"/>
        </w:trPr>
        <w:tc>
          <w:tcPr>
            <w:tcW w:w="1450" w:type="pct"/>
            <w:tcBorders>
              <w:top w:val="nil"/>
              <w:left w:val="nil"/>
              <w:bottom w:val="nil"/>
              <w:right w:val="single" w:sz="4" w:space="0" w:color="FFFFFF" w:themeColor="background1"/>
            </w:tcBorders>
            <w:shd w:val="clear" w:color="auto" w:fill="auto"/>
            <w:noWrap/>
            <w:vAlign w:val="center"/>
            <w:hideMark/>
          </w:tcPr>
          <w:p w14:paraId="076DDC42"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Chacara Santo Antonio</w:t>
            </w:r>
          </w:p>
        </w:tc>
        <w:tc>
          <w:tcPr>
            <w:tcW w:w="1183" w:type="pct"/>
            <w:tcBorders>
              <w:top w:val="nil"/>
              <w:left w:val="single" w:sz="4" w:space="0" w:color="FFFFFF" w:themeColor="background1"/>
              <w:bottom w:val="nil"/>
              <w:right w:val="nil"/>
            </w:tcBorders>
            <w:shd w:val="clear" w:color="auto" w:fill="auto"/>
            <w:noWrap/>
            <w:vAlign w:val="center"/>
            <w:hideMark/>
          </w:tcPr>
          <w:p w14:paraId="1CA790A4"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-0.27</w:t>
            </w:r>
          </w:p>
        </w:tc>
        <w:tc>
          <w:tcPr>
            <w:tcW w:w="1183" w:type="pct"/>
            <w:gridSpan w:val="2"/>
            <w:tcBorders>
              <w:top w:val="nil"/>
              <w:left w:val="nil"/>
              <w:bottom w:val="nil"/>
              <w:right w:val="nil"/>
            </w:tcBorders>
            <w:shd w:val="clear" w:color="auto" w:fill="auto"/>
            <w:noWrap/>
            <w:vAlign w:val="center"/>
            <w:hideMark/>
          </w:tcPr>
          <w:p w14:paraId="6364B40D"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-0.28</w:t>
            </w:r>
          </w:p>
        </w:tc>
        <w:tc>
          <w:tcPr>
            <w:tcW w:w="1183" w:type="pct"/>
            <w:tcBorders>
              <w:top w:val="nil"/>
              <w:left w:val="nil"/>
              <w:bottom w:val="nil"/>
              <w:right w:val="single" w:sz="4" w:space="0" w:color="FFFFFF" w:themeColor="background1"/>
            </w:tcBorders>
            <w:shd w:val="clear" w:color="auto" w:fill="auto"/>
            <w:noWrap/>
            <w:vAlign w:val="center"/>
            <w:hideMark/>
          </w:tcPr>
          <w:p w14:paraId="295C33B6"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0.32</w:t>
            </w:r>
          </w:p>
        </w:tc>
      </w:tr>
      <w:tr w:rsidR="00D267F7" w:rsidRPr="00DE0337" w14:paraId="4CF2C52B" w14:textId="77777777" w:rsidTr="00D267F7">
        <w:trPr>
          <w:trHeight w:val="74"/>
          <w:jc w:val="center"/>
        </w:trPr>
        <w:tc>
          <w:tcPr>
            <w:tcW w:w="1450" w:type="pct"/>
            <w:tcBorders>
              <w:top w:val="nil"/>
              <w:left w:val="nil"/>
              <w:bottom w:val="nil"/>
              <w:right w:val="single" w:sz="4" w:space="0" w:color="FFFFFF" w:themeColor="background1"/>
            </w:tcBorders>
            <w:shd w:val="clear" w:color="auto" w:fill="auto"/>
            <w:noWrap/>
            <w:vAlign w:val="center"/>
            <w:hideMark/>
          </w:tcPr>
          <w:p w14:paraId="020E5D59"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Morumbi/Jd Sao Luis</w:t>
            </w:r>
          </w:p>
        </w:tc>
        <w:tc>
          <w:tcPr>
            <w:tcW w:w="1183" w:type="pct"/>
            <w:tcBorders>
              <w:top w:val="nil"/>
              <w:left w:val="single" w:sz="4" w:space="0" w:color="FFFFFF" w:themeColor="background1"/>
              <w:bottom w:val="nil"/>
              <w:right w:val="nil"/>
            </w:tcBorders>
            <w:shd w:val="clear" w:color="auto" w:fill="auto"/>
            <w:noWrap/>
            <w:vAlign w:val="center"/>
            <w:hideMark/>
          </w:tcPr>
          <w:p w14:paraId="7C1FD6ED"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-0.50</w:t>
            </w:r>
          </w:p>
        </w:tc>
        <w:tc>
          <w:tcPr>
            <w:tcW w:w="1183" w:type="pct"/>
            <w:gridSpan w:val="2"/>
            <w:tcBorders>
              <w:top w:val="nil"/>
              <w:left w:val="nil"/>
              <w:bottom w:val="nil"/>
              <w:right w:val="nil"/>
            </w:tcBorders>
            <w:shd w:val="clear" w:color="auto" w:fill="auto"/>
            <w:noWrap/>
            <w:vAlign w:val="center"/>
            <w:hideMark/>
          </w:tcPr>
          <w:p w14:paraId="6C8539C2"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-0.18</w:t>
            </w:r>
          </w:p>
        </w:tc>
        <w:tc>
          <w:tcPr>
            <w:tcW w:w="1183" w:type="pct"/>
            <w:tcBorders>
              <w:top w:val="nil"/>
              <w:left w:val="nil"/>
              <w:bottom w:val="nil"/>
              <w:right w:val="single" w:sz="4" w:space="0" w:color="FFFFFF" w:themeColor="background1"/>
            </w:tcBorders>
            <w:shd w:val="clear" w:color="auto" w:fill="auto"/>
            <w:noWrap/>
            <w:vAlign w:val="center"/>
            <w:hideMark/>
          </w:tcPr>
          <w:p w14:paraId="4E05BB64"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79.36***</w:t>
            </w:r>
          </w:p>
        </w:tc>
      </w:tr>
      <w:tr w:rsidR="00D267F7" w:rsidRPr="00DE0337" w14:paraId="512211D0" w14:textId="77777777" w:rsidTr="00D267F7">
        <w:trPr>
          <w:trHeight w:val="94"/>
          <w:jc w:val="center"/>
        </w:trPr>
        <w:tc>
          <w:tcPr>
            <w:tcW w:w="1450" w:type="pct"/>
            <w:tcBorders>
              <w:top w:val="nil"/>
              <w:left w:val="nil"/>
              <w:bottom w:val="nil"/>
              <w:right w:val="single" w:sz="4" w:space="0" w:color="FFFFFF" w:themeColor="background1"/>
            </w:tcBorders>
            <w:shd w:val="clear" w:color="auto" w:fill="auto"/>
            <w:noWrap/>
            <w:vAlign w:val="center"/>
            <w:hideMark/>
          </w:tcPr>
          <w:p w14:paraId="1882D44C"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Centro</w:t>
            </w:r>
          </w:p>
        </w:tc>
        <w:tc>
          <w:tcPr>
            <w:tcW w:w="1183" w:type="pct"/>
            <w:tcBorders>
              <w:top w:val="nil"/>
              <w:left w:val="single" w:sz="4" w:space="0" w:color="FFFFFF" w:themeColor="background1"/>
              <w:bottom w:val="nil"/>
              <w:right w:val="nil"/>
            </w:tcBorders>
            <w:shd w:val="clear" w:color="auto" w:fill="auto"/>
            <w:noWrap/>
            <w:vAlign w:val="center"/>
            <w:hideMark/>
          </w:tcPr>
          <w:p w14:paraId="6E171AA2"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-0.90</w:t>
            </w:r>
          </w:p>
        </w:tc>
        <w:tc>
          <w:tcPr>
            <w:tcW w:w="1183" w:type="pct"/>
            <w:gridSpan w:val="2"/>
            <w:tcBorders>
              <w:top w:val="nil"/>
              <w:left w:val="nil"/>
              <w:bottom w:val="nil"/>
              <w:right w:val="nil"/>
            </w:tcBorders>
            <w:shd w:val="clear" w:color="auto" w:fill="auto"/>
            <w:noWrap/>
            <w:vAlign w:val="center"/>
            <w:hideMark/>
          </w:tcPr>
          <w:p w14:paraId="0765AD72"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-0.76</w:t>
            </w:r>
          </w:p>
        </w:tc>
        <w:tc>
          <w:tcPr>
            <w:tcW w:w="1183" w:type="pct"/>
            <w:tcBorders>
              <w:top w:val="nil"/>
              <w:left w:val="nil"/>
              <w:bottom w:val="nil"/>
              <w:right w:val="single" w:sz="4" w:space="0" w:color="FFFFFF" w:themeColor="background1"/>
            </w:tcBorders>
            <w:shd w:val="clear" w:color="auto" w:fill="auto"/>
            <w:noWrap/>
            <w:vAlign w:val="center"/>
            <w:hideMark/>
          </w:tcPr>
          <w:p w14:paraId="62BB93CD"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15.18***</w:t>
            </w:r>
          </w:p>
        </w:tc>
      </w:tr>
      <w:tr w:rsidR="00D267F7" w:rsidRPr="00DE0337" w14:paraId="2BE5FA7A" w14:textId="77777777" w:rsidTr="00D267F7">
        <w:trPr>
          <w:trHeight w:val="153"/>
          <w:jc w:val="center"/>
        </w:trPr>
        <w:tc>
          <w:tcPr>
            <w:tcW w:w="1450" w:type="pct"/>
            <w:tcBorders>
              <w:top w:val="nil"/>
              <w:left w:val="nil"/>
              <w:bottom w:val="nil"/>
              <w:right w:val="single" w:sz="4" w:space="0" w:color="FFFFFF" w:themeColor="background1"/>
            </w:tcBorders>
            <w:shd w:val="clear" w:color="auto" w:fill="auto"/>
            <w:noWrap/>
            <w:vAlign w:val="center"/>
            <w:hideMark/>
          </w:tcPr>
          <w:p w14:paraId="23123972"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Marginal Pinheiros</w:t>
            </w:r>
          </w:p>
        </w:tc>
        <w:tc>
          <w:tcPr>
            <w:tcW w:w="1183" w:type="pct"/>
            <w:tcBorders>
              <w:top w:val="nil"/>
              <w:left w:val="single" w:sz="4" w:space="0" w:color="FFFFFF" w:themeColor="background1"/>
              <w:bottom w:val="nil"/>
              <w:right w:val="nil"/>
            </w:tcBorders>
            <w:shd w:val="clear" w:color="auto" w:fill="auto"/>
            <w:noWrap/>
            <w:vAlign w:val="center"/>
            <w:hideMark/>
          </w:tcPr>
          <w:p w14:paraId="0D329EF0"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-0.17</w:t>
            </w:r>
          </w:p>
        </w:tc>
        <w:tc>
          <w:tcPr>
            <w:tcW w:w="1183" w:type="pct"/>
            <w:gridSpan w:val="2"/>
            <w:tcBorders>
              <w:top w:val="nil"/>
              <w:left w:val="nil"/>
              <w:bottom w:val="nil"/>
              <w:right w:val="nil"/>
            </w:tcBorders>
            <w:shd w:val="clear" w:color="auto" w:fill="auto"/>
            <w:noWrap/>
            <w:vAlign w:val="center"/>
            <w:hideMark/>
          </w:tcPr>
          <w:p w14:paraId="6A080C77"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-0.10</w:t>
            </w:r>
          </w:p>
        </w:tc>
        <w:tc>
          <w:tcPr>
            <w:tcW w:w="1183" w:type="pct"/>
            <w:tcBorders>
              <w:top w:val="nil"/>
              <w:left w:val="nil"/>
              <w:bottom w:val="nil"/>
              <w:right w:val="single" w:sz="4" w:space="0" w:color="FFFFFF" w:themeColor="background1"/>
            </w:tcBorders>
            <w:shd w:val="clear" w:color="auto" w:fill="auto"/>
            <w:noWrap/>
            <w:vAlign w:val="center"/>
            <w:hideMark/>
          </w:tcPr>
          <w:p w14:paraId="51D322AC"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0.40</w:t>
            </w:r>
          </w:p>
        </w:tc>
      </w:tr>
      <w:tr w:rsidR="00D267F7" w:rsidRPr="00DE0337" w14:paraId="2D502DA9" w14:textId="77777777" w:rsidTr="00D267F7">
        <w:trPr>
          <w:trHeight w:val="199"/>
          <w:jc w:val="center"/>
        </w:trPr>
        <w:tc>
          <w:tcPr>
            <w:tcW w:w="1450" w:type="pct"/>
            <w:tcBorders>
              <w:top w:val="nil"/>
              <w:left w:val="nil"/>
              <w:bottom w:val="nil"/>
              <w:right w:val="single" w:sz="4" w:space="0" w:color="FFFFFF" w:themeColor="background1"/>
            </w:tcBorders>
            <w:shd w:val="clear" w:color="auto" w:fill="auto"/>
            <w:noWrap/>
            <w:vAlign w:val="center"/>
            <w:hideMark/>
          </w:tcPr>
          <w:p w14:paraId="30C6D391"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Moema/Vila Mariana</w:t>
            </w:r>
          </w:p>
        </w:tc>
        <w:tc>
          <w:tcPr>
            <w:tcW w:w="1183" w:type="pct"/>
            <w:tcBorders>
              <w:top w:val="nil"/>
              <w:left w:val="single" w:sz="4" w:space="0" w:color="FFFFFF" w:themeColor="background1"/>
              <w:bottom w:val="nil"/>
              <w:right w:val="nil"/>
            </w:tcBorders>
            <w:shd w:val="clear" w:color="auto" w:fill="auto"/>
            <w:noWrap/>
            <w:vAlign w:val="center"/>
            <w:hideMark/>
          </w:tcPr>
          <w:p w14:paraId="56AF32D2"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-0.20</w:t>
            </w:r>
          </w:p>
        </w:tc>
        <w:tc>
          <w:tcPr>
            <w:tcW w:w="1183" w:type="pct"/>
            <w:gridSpan w:val="2"/>
            <w:tcBorders>
              <w:top w:val="nil"/>
              <w:left w:val="nil"/>
              <w:bottom w:val="nil"/>
              <w:right w:val="nil"/>
            </w:tcBorders>
            <w:shd w:val="clear" w:color="auto" w:fill="auto"/>
            <w:noWrap/>
            <w:vAlign w:val="center"/>
            <w:hideMark/>
          </w:tcPr>
          <w:p w14:paraId="1A3D97A1"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-0.12</w:t>
            </w:r>
          </w:p>
        </w:tc>
        <w:tc>
          <w:tcPr>
            <w:tcW w:w="1183" w:type="pct"/>
            <w:tcBorders>
              <w:top w:val="nil"/>
              <w:left w:val="nil"/>
              <w:bottom w:val="nil"/>
              <w:right w:val="single" w:sz="4" w:space="0" w:color="FFFFFF" w:themeColor="background1"/>
            </w:tcBorders>
            <w:shd w:val="clear" w:color="auto" w:fill="auto"/>
            <w:noWrap/>
            <w:vAlign w:val="center"/>
            <w:hideMark/>
          </w:tcPr>
          <w:p w14:paraId="47EEC033"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23.77***</w:t>
            </w:r>
          </w:p>
        </w:tc>
      </w:tr>
      <w:tr w:rsidR="00D267F7" w:rsidRPr="00DE0337" w14:paraId="4BD2258B" w14:textId="77777777" w:rsidTr="00D267F7">
        <w:trPr>
          <w:trHeight w:val="117"/>
          <w:jc w:val="center"/>
        </w:trPr>
        <w:tc>
          <w:tcPr>
            <w:tcW w:w="1450" w:type="pct"/>
            <w:tcBorders>
              <w:top w:val="nil"/>
              <w:left w:val="nil"/>
              <w:bottom w:val="nil"/>
              <w:right w:val="single" w:sz="4" w:space="0" w:color="FFFFFF" w:themeColor="background1"/>
            </w:tcBorders>
            <w:shd w:val="clear" w:color="auto" w:fill="auto"/>
            <w:noWrap/>
            <w:vAlign w:val="center"/>
            <w:hideMark/>
          </w:tcPr>
          <w:p w14:paraId="77F46AA8"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Paulista</w:t>
            </w:r>
          </w:p>
        </w:tc>
        <w:tc>
          <w:tcPr>
            <w:tcW w:w="1183" w:type="pct"/>
            <w:tcBorders>
              <w:top w:val="nil"/>
              <w:left w:val="single" w:sz="4" w:space="0" w:color="FFFFFF" w:themeColor="background1"/>
              <w:bottom w:val="nil"/>
              <w:right w:val="nil"/>
            </w:tcBorders>
            <w:shd w:val="clear" w:color="auto" w:fill="auto"/>
            <w:noWrap/>
            <w:vAlign w:val="center"/>
            <w:hideMark/>
          </w:tcPr>
          <w:p w14:paraId="76ACAD0F"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-0.03</w:t>
            </w:r>
          </w:p>
        </w:tc>
        <w:tc>
          <w:tcPr>
            <w:tcW w:w="1183" w:type="pct"/>
            <w:gridSpan w:val="2"/>
            <w:tcBorders>
              <w:top w:val="nil"/>
              <w:left w:val="nil"/>
              <w:bottom w:val="nil"/>
              <w:right w:val="nil"/>
            </w:tcBorders>
            <w:shd w:val="clear" w:color="auto" w:fill="auto"/>
            <w:noWrap/>
            <w:vAlign w:val="center"/>
            <w:hideMark/>
          </w:tcPr>
          <w:p w14:paraId="5978065E"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-0.05</w:t>
            </w:r>
          </w:p>
        </w:tc>
        <w:tc>
          <w:tcPr>
            <w:tcW w:w="1183" w:type="pct"/>
            <w:tcBorders>
              <w:top w:val="nil"/>
              <w:left w:val="nil"/>
              <w:bottom w:val="nil"/>
              <w:right w:val="single" w:sz="4" w:space="0" w:color="FFFFFF" w:themeColor="background1"/>
            </w:tcBorders>
            <w:shd w:val="clear" w:color="auto" w:fill="auto"/>
            <w:noWrap/>
            <w:vAlign w:val="center"/>
            <w:hideMark/>
          </w:tcPr>
          <w:p w14:paraId="6C992FF8"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3.63*</w:t>
            </w:r>
          </w:p>
        </w:tc>
      </w:tr>
      <w:tr w:rsidR="00D267F7" w:rsidRPr="00DE0337" w14:paraId="504B59C2" w14:textId="77777777" w:rsidTr="00D267F7">
        <w:trPr>
          <w:trHeight w:val="74"/>
          <w:jc w:val="center"/>
        </w:trPr>
        <w:tc>
          <w:tcPr>
            <w:tcW w:w="1450" w:type="pct"/>
            <w:tcBorders>
              <w:top w:val="nil"/>
              <w:left w:val="nil"/>
              <w:bottom w:val="nil"/>
              <w:right w:val="single" w:sz="4" w:space="0" w:color="FFFFFF" w:themeColor="background1"/>
            </w:tcBorders>
            <w:shd w:val="clear" w:color="auto" w:fill="auto"/>
            <w:noWrap/>
            <w:vAlign w:val="center"/>
            <w:hideMark/>
          </w:tcPr>
          <w:p w14:paraId="57F7276D"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Pinheiros/Perdizes</w:t>
            </w:r>
          </w:p>
        </w:tc>
        <w:tc>
          <w:tcPr>
            <w:tcW w:w="1183" w:type="pct"/>
            <w:tcBorders>
              <w:top w:val="nil"/>
              <w:left w:val="single" w:sz="4" w:space="0" w:color="FFFFFF" w:themeColor="background1"/>
              <w:bottom w:val="nil"/>
              <w:right w:val="nil"/>
            </w:tcBorders>
            <w:shd w:val="clear" w:color="auto" w:fill="auto"/>
            <w:noWrap/>
            <w:vAlign w:val="center"/>
            <w:hideMark/>
          </w:tcPr>
          <w:p w14:paraId="3FB069F2"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-0.20</w:t>
            </w:r>
          </w:p>
        </w:tc>
        <w:tc>
          <w:tcPr>
            <w:tcW w:w="1183" w:type="pct"/>
            <w:gridSpan w:val="2"/>
            <w:tcBorders>
              <w:top w:val="nil"/>
              <w:left w:val="nil"/>
              <w:bottom w:val="nil"/>
              <w:right w:val="nil"/>
            </w:tcBorders>
            <w:shd w:val="clear" w:color="auto" w:fill="auto"/>
            <w:noWrap/>
            <w:vAlign w:val="center"/>
            <w:hideMark/>
          </w:tcPr>
          <w:p w14:paraId="6DDD5196"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-0.24</w:t>
            </w:r>
          </w:p>
        </w:tc>
        <w:tc>
          <w:tcPr>
            <w:tcW w:w="1183" w:type="pct"/>
            <w:tcBorders>
              <w:top w:val="nil"/>
              <w:left w:val="nil"/>
              <w:bottom w:val="nil"/>
              <w:right w:val="single" w:sz="4" w:space="0" w:color="FFFFFF" w:themeColor="background1"/>
            </w:tcBorders>
            <w:shd w:val="clear" w:color="auto" w:fill="auto"/>
            <w:noWrap/>
            <w:vAlign w:val="center"/>
            <w:hideMark/>
          </w:tcPr>
          <w:p w14:paraId="5E8FDE2D"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1.85</w:t>
            </w:r>
          </w:p>
        </w:tc>
      </w:tr>
      <w:tr w:rsidR="00D267F7" w:rsidRPr="00DE0337" w14:paraId="6A965EE7" w14:textId="77777777" w:rsidTr="00D267F7">
        <w:trPr>
          <w:trHeight w:val="74"/>
          <w:jc w:val="center"/>
        </w:trPr>
        <w:tc>
          <w:tcPr>
            <w:tcW w:w="1450" w:type="pct"/>
            <w:tcBorders>
              <w:top w:val="nil"/>
              <w:left w:val="nil"/>
              <w:bottom w:val="nil"/>
              <w:right w:val="single" w:sz="4" w:space="0" w:color="FFFFFF" w:themeColor="background1"/>
            </w:tcBorders>
            <w:shd w:val="clear" w:color="auto" w:fill="auto"/>
            <w:noWrap/>
            <w:vAlign w:val="center"/>
            <w:hideMark/>
          </w:tcPr>
          <w:p w14:paraId="75BF5984"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Berrini</w:t>
            </w:r>
          </w:p>
        </w:tc>
        <w:tc>
          <w:tcPr>
            <w:tcW w:w="1183" w:type="pct"/>
            <w:tcBorders>
              <w:top w:val="nil"/>
              <w:left w:val="single" w:sz="4" w:space="0" w:color="FFFFFF" w:themeColor="background1"/>
              <w:bottom w:val="nil"/>
              <w:right w:val="nil"/>
            </w:tcBorders>
            <w:shd w:val="clear" w:color="auto" w:fill="auto"/>
            <w:noWrap/>
            <w:vAlign w:val="center"/>
            <w:hideMark/>
          </w:tcPr>
          <w:p w14:paraId="48DA0853"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-0.14</w:t>
            </w:r>
          </w:p>
        </w:tc>
        <w:tc>
          <w:tcPr>
            <w:tcW w:w="1183" w:type="pct"/>
            <w:gridSpan w:val="2"/>
            <w:tcBorders>
              <w:top w:val="nil"/>
              <w:left w:val="nil"/>
              <w:bottom w:val="nil"/>
              <w:right w:val="nil"/>
            </w:tcBorders>
            <w:shd w:val="clear" w:color="auto" w:fill="auto"/>
            <w:noWrap/>
            <w:vAlign w:val="center"/>
            <w:hideMark/>
          </w:tcPr>
          <w:p w14:paraId="6F7E3D3A"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0.06</w:t>
            </w:r>
          </w:p>
        </w:tc>
        <w:tc>
          <w:tcPr>
            <w:tcW w:w="1183" w:type="pct"/>
            <w:tcBorders>
              <w:top w:val="nil"/>
              <w:left w:val="nil"/>
              <w:bottom w:val="nil"/>
              <w:right w:val="single" w:sz="4" w:space="0" w:color="FFFFFF" w:themeColor="background1"/>
            </w:tcBorders>
            <w:shd w:val="clear" w:color="auto" w:fill="auto"/>
            <w:noWrap/>
            <w:vAlign w:val="center"/>
            <w:hideMark/>
          </w:tcPr>
          <w:p w14:paraId="58FFDB8C"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152.24***</w:t>
            </w:r>
          </w:p>
        </w:tc>
      </w:tr>
      <w:tr w:rsidR="00D267F7" w:rsidRPr="00DE0337" w14:paraId="18E6FBB6" w14:textId="77777777" w:rsidTr="00D267F7">
        <w:trPr>
          <w:trHeight w:val="74"/>
          <w:jc w:val="center"/>
        </w:trPr>
        <w:tc>
          <w:tcPr>
            <w:tcW w:w="1450" w:type="pct"/>
            <w:tcBorders>
              <w:top w:val="nil"/>
              <w:left w:val="nil"/>
              <w:right w:val="single" w:sz="4" w:space="0" w:color="FFFFFF" w:themeColor="background1"/>
            </w:tcBorders>
            <w:shd w:val="clear" w:color="auto" w:fill="auto"/>
            <w:noWrap/>
            <w:vAlign w:val="center"/>
            <w:hideMark/>
          </w:tcPr>
          <w:p w14:paraId="25C3A3FA"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Barra Funda</w:t>
            </w:r>
          </w:p>
        </w:tc>
        <w:tc>
          <w:tcPr>
            <w:tcW w:w="1183" w:type="pct"/>
            <w:tcBorders>
              <w:top w:val="nil"/>
              <w:left w:val="single" w:sz="4" w:space="0" w:color="FFFFFF" w:themeColor="background1"/>
              <w:right w:val="nil"/>
            </w:tcBorders>
            <w:shd w:val="clear" w:color="auto" w:fill="auto"/>
            <w:noWrap/>
            <w:vAlign w:val="center"/>
            <w:hideMark/>
          </w:tcPr>
          <w:p w14:paraId="5D76826A"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-0.52</w:t>
            </w:r>
          </w:p>
        </w:tc>
        <w:tc>
          <w:tcPr>
            <w:tcW w:w="1183" w:type="pct"/>
            <w:gridSpan w:val="2"/>
            <w:tcBorders>
              <w:top w:val="nil"/>
              <w:left w:val="nil"/>
              <w:right w:val="nil"/>
            </w:tcBorders>
            <w:shd w:val="clear" w:color="auto" w:fill="auto"/>
            <w:noWrap/>
            <w:vAlign w:val="center"/>
            <w:hideMark/>
          </w:tcPr>
          <w:p w14:paraId="2675F91F"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-0.41</w:t>
            </w:r>
          </w:p>
        </w:tc>
        <w:tc>
          <w:tcPr>
            <w:tcW w:w="1183" w:type="pct"/>
            <w:tcBorders>
              <w:top w:val="nil"/>
              <w:left w:val="nil"/>
              <w:right w:val="single" w:sz="4" w:space="0" w:color="FFFFFF" w:themeColor="background1"/>
            </w:tcBorders>
            <w:shd w:val="clear" w:color="auto" w:fill="auto"/>
            <w:noWrap/>
            <w:vAlign w:val="center"/>
            <w:hideMark/>
          </w:tcPr>
          <w:p w14:paraId="16E2E139"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22.5***</w:t>
            </w:r>
          </w:p>
        </w:tc>
      </w:tr>
      <w:tr w:rsidR="00D267F7" w:rsidRPr="00DE0337" w14:paraId="2F66D7DD" w14:textId="77777777" w:rsidTr="00D267F7">
        <w:trPr>
          <w:trHeight w:val="74"/>
          <w:jc w:val="center"/>
        </w:trPr>
        <w:tc>
          <w:tcPr>
            <w:tcW w:w="1450" w:type="pct"/>
            <w:tcBorders>
              <w:top w:val="nil"/>
              <w:left w:val="nil"/>
              <w:bottom w:val="single" w:sz="4" w:space="0" w:color="auto"/>
              <w:right w:val="single" w:sz="4" w:space="0" w:color="FFFFFF" w:themeColor="background1"/>
            </w:tcBorders>
            <w:shd w:val="clear" w:color="auto" w:fill="auto"/>
            <w:noWrap/>
            <w:vAlign w:val="center"/>
            <w:hideMark/>
          </w:tcPr>
          <w:p w14:paraId="70532AD7" w14:textId="77777777" w:rsidR="00D267F7" w:rsidRPr="00704916" w:rsidRDefault="00D267F7" w:rsidP="006631AF">
            <w:pPr>
              <w:rPr>
                <w:rFonts w:eastAsia="Times New Roman"/>
                <w:bCs/>
                <w:color w:val="000000"/>
                <w:sz w:val="20"/>
                <w:szCs w:val="20"/>
                <w:lang w:val="en-US"/>
              </w:rPr>
            </w:pPr>
            <w:r w:rsidRPr="00704916">
              <w:rPr>
                <w:rFonts w:eastAsia="Times New Roman"/>
                <w:bCs/>
                <w:color w:val="000000"/>
                <w:sz w:val="20"/>
                <w:szCs w:val="20"/>
                <w:lang w:val="en-US"/>
              </w:rPr>
              <w:t>Other</w:t>
            </w:r>
          </w:p>
        </w:tc>
        <w:tc>
          <w:tcPr>
            <w:tcW w:w="1183" w:type="pct"/>
            <w:tcBorders>
              <w:top w:val="nil"/>
              <w:left w:val="single" w:sz="4" w:space="0" w:color="FFFFFF" w:themeColor="background1"/>
              <w:bottom w:val="single" w:sz="4" w:space="0" w:color="auto"/>
            </w:tcBorders>
            <w:shd w:val="clear" w:color="auto" w:fill="auto"/>
            <w:noWrap/>
            <w:vAlign w:val="center"/>
            <w:hideMark/>
          </w:tcPr>
          <w:p w14:paraId="419F5D03"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-0.83</w:t>
            </w:r>
          </w:p>
        </w:tc>
        <w:tc>
          <w:tcPr>
            <w:tcW w:w="1183" w:type="pct"/>
            <w:gridSpan w:val="2"/>
            <w:tcBorders>
              <w:top w:val="nil"/>
              <w:bottom w:val="single" w:sz="4" w:space="0" w:color="auto"/>
            </w:tcBorders>
            <w:shd w:val="clear" w:color="auto" w:fill="auto"/>
            <w:noWrap/>
            <w:vAlign w:val="center"/>
            <w:hideMark/>
          </w:tcPr>
          <w:p w14:paraId="19C00CF1"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-0.42</w:t>
            </w:r>
          </w:p>
        </w:tc>
        <w:tc>
          <w:tcPr>
            <w:tcW w:w="1183" w:type="pct"/>
            <w:tcBorders>
              <w:top w:val="nil"/>
              <w:bottom w:val="single" w:sz="4" w:space="0" w:color="auto"/>
              <w:right w:val="single" w:sz="4" w:space="0" w:color="FFFFFF" w:themeColor="background1"/>
            </w:tcBorders>
            <w:shd w:val="clear" w:color="auto" w:fill="auto"/>
            <w:noWrap/>
            <w:vAlign w:val="center"/>
            <w:hideMark/>
          </w:tcPr>
          <w:p w14:paraId="77BD2CA6" w14:textId="77777777" w:rsidR="00D267F7" w:rsidRPr="00704916" w:rsidRDefault="00D267F7" w:rsidP="006631AF">
            <w:pPr>
              <w:jc w:val="center"/>
              <w:rPr>
                <w:rFonts w:eastAsia="Times New Roman"/>
                <w:color w:val="000000"/>
                <w:sz w:val="20"/>
                <w:szCs w:val="20"/>
                <w:lang w:val="en-US"/>
              </w:rPr>
            </w:pPr>
            <w:r w:rsidRPr="00704916">
              <w:rPr>
                <w:color w:val="000000"/>
                <w:sz w:val="20"/>
                <w:szCs w:val="20"/>
                <w:lang w:val="en-US"/>
              </w:rPr>
              <w:t>471.57***</w:t>
            </w:r>
          </w:p>
        </w:tc>
      </w:tr>
    </w:tbl>
    <w:p w14:paraId="177400FF" w14:textId="77777777" w:rsidR="00B064C6" w:rsidRDefault="00B064C6" w:rsidP="00E568BC">
      <w:pPr>
        <w:tabs>
          <w:tab w:val="left" w:pos="1701"/>
        </w:tabs>
        <w:jc w:val="both"/>
        <w:rPr>
          <w:sz w:val="20"/>
          <w:szCs w:val="20"/>
          <w:lang w:val="en-US"/>
        </w:rPr>
      </w:pPr>
      <w:r w:rsidRPr="00B27E3D">
        <w:rPr>
          <w:sz w:val="20"/>
          <w:szCs w:val="20"/>
          <w:lang w:val="en-US"/>
        </w:rPr>
        <w:t xml:space="preserve">This table shows results of Wald’s chi-squared test of coefficient comparison across regressions </w:t>
      </w:r>
      <w:r>
        <w:rPr>
          <w:sz w:val="20"/>
          <w:szCs w:val="20"/>
          <w:lang w:val="en-US"/>
        </w:rPr>
        <w:t>(II)</w:t>
      </w:r>
      <w:r w:rsidRPr="00B27E3D">
        <w:rPr>
          <w:sz w:val="20"/>
          <w:szCs w:val="20"/>
          <w:lang w:val="en-US"/>
        </w:rPr>
        <w:t xml:space="preserve"> and </w:t>
      </w:r>
      <w:r>
        <w:rPr>
          <w:sz w:val="20"/>
          <w:szCs w:val="20"/>
          <w:lang w:val="en-US"/>
        </w:rPr>
        <w:t>(III)</w:t>
      </w:r>
      <w:r w:rsidRPr="00B27E3D">
        <w:rPr>
          <w:sz w:val="20"/>
          <w:szCs w:val="20"/>
          <w:lang w:val="en-US"/>
        </w:rPr>
        <w:t xml:space="preserve"> (for definition of these regressions, see Table 4). </w:t>
      </w:r>
      <w:r w:rsidRPr="00B27E3D">
        <w:rPr>
          <w:rFonts w:eastAsiaTheme="minorEastAsia"/>
          <w:sz w:val="20"/>
          <w:szCs w:val="20"/>
          <w:lang w:val="en-US"/>
        </w:rPr>
        <w:t xml:space="preserve">Chi square statistics are reported in parenthesis. </w:t>
      </w:r>
      <w:r w:rsidRPr="00B27E3D">
        <w:rPr>
          <w:sz w:val="20"/>
          <w:szCs w:val="20"/>
          <w:lang w:val="en-US"/>
        </w:rPr>
        <w:t xml:space="preserve">***, ** and * indicate whether differences among coefficient “i” in </w:t>
      </w:r>
      <w:r w:rsidR="00E568BC" w:rsidRPr="00B27E3D">
        <w:rPr>
          <w:sz w:val="20"/>
          <w:szCs w:val="20"/>
          <w:lang w:val="en-US"/>
        </w:rPr>
        <w:t>these regressions</w:t>
      </w:r>
      <w:r w:rsidRPr="00B27E3D">
        <w:rPr>
          <w:sz w:val="20"/>
          <w:szCs w:val="20"/>
          <w:lang w:val="en-US"/>
        </w:rPr>
        <w:t xml:space="preserve"> are significant at 99%. 95% and 90% level, respectively. All variables de</w:t>
      </w:r>
      <w:r w:rsidR="00E568BC">
        <w:rPr>
          <w:sz w:val="20"/>
          <w:szCs w:val="20"/>
          <w:lang w:val="en-US"/>
        </w:rPr>
        <w:t>fined in Table 1, respectively.</w:t>
      </w:r>
    </w:p>
    <w:p w14:paraId="5856E398" w14:textId="77777777" w:rsidR="00B064C6" w:rsidRPr="0053171D" w:rsidRDefault="00B064C6">
      <w:pPr>
        <w:rPr>
          <w:lang w:val="en-US"/>
        </w:rPr>
      </w:pPr>
    </w:p>
    <w:sectPr w:rsidR="00B064C6" w:rsidRPr="0053171D">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56B42F" w14:textId="77777777" w:rsidR="00B907DC" w:rsidRDefault="00B907DC" w:rsidP="0053171D">
      <w:r>
        <w:separator/>
      </w:r>
    </w:p>
  </w:endnote>
  <w:endnote w:type="continuationSeparator" w:id="0">
    <w:p w14:paraId="354C504D" w14:textId="77777777" w:rsidR="00B907DC" w:rsidRDefault="00B907DC" w:rsidP="005317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entury Schoolbook">
    <w:panose1 w:val="02040604050505020304"/>
    <w:charset w:val="00"/>
    <w:family w:val="roman"/>
    <w:pitch w:val="variable"/>
    <w:sig w:usb0="00000287" w:usb1="00000000" w:usb2="00000000" w:usb3="00000000" w:csb0="0000009F" w:csb1="00000000"/>
  </w:font>
  <w:font w:name="MS PMincho">
    <w:panose1 w:val="02020600040205080304"/>
    <w:charset w:val="80"/>
    <w:family w:val="roman"/>
    <w:pitch w:val="variable"/>
    <w:sig w:usb0="E00002FF" w:usb1="6AC7FDFB" w:usb2="00000012" w:usb3="00000000" w:csb0="0002009F" w:csb1="00000000"/>
  </w:font>
  <w:font w:name="HelveticaNeueLT Pro 45 Lt">
    <w:altName w:val="HelveticaNeueLT Pro 45 Lt"/>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64BBC9" w14:textId="77777777" w:rsidR="00B907DC" w:rsidRDefault="00B907DC" w:rsidP="0053171D">
      <w:r>
        <w:separator/>
      </w:r>
    </w:p>
  </w:footnote>
  <w:footnote w:type="continuationSeparator" w:id="0">
    <w:p w14:paraId="06D3D3B1" w14:textId="77777777" w:rsidR="00B907DC" w:rsidRDefault="00B907DC" w:rsidP="005317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35A24"/>
    <w:multiLevelType w:val="multilevel"/>
    <w:tmpl w:val="B6F6925A"/>
    <w:lvl w:ilvl="0">
      <w:start w:val="5"/>
      <w:numFmt w:val="decimal"/>
      <w:lvlText w:val="%1."/>
      <w:lvlJc w:val="left"/>
      <w:pPr>
        <w:ind w:left="360" w:hanging="360"/>
      </w:pPr>
      <w:rPr>
        <w:rFonts w:hint="default"/>
        <w:b/>
        <w:color w:val="auto"/>
      </w:rPr>
    </w:lvl>
    <w:lvl w:ilvl="1">
      <w:start w:val="1"/>
      <w:numFmt w:val="decimal"/>
      <w:lvlText w:val="%1.%2."/>
      <w:lvlJc w:val="left"/>
      <w:pPr>
        <w:ind w:left="360" w:hanging="360"/>
      </w:pPr>
      <w:rPr>
        <w:rFonts w:hint="default"/>
        <w:b/>
        <w:color w:val="auto"/>
      </w:rPr>
    </w:lvl>
    <w:lvl w:ilvl="2">
      <w:start w:val="1"/>
      <w:numFmt w:val="decimal"/>
      <w:lvlText w:val="%1.%2.%3."/>
      <w:lvlJc w:val="left"/>
      <w:pPr>
        <w:ind w:left="720" w:hanging="720"/>
      </w:pPr>
      <w:rPr>
        <w:rFonts w:hint="default"/>
        <w:b/>
        <w:color w:val="auto"/>
      </w:rPr>
    </w:lvl>
    <w:lvl w:ilvl="3">
      <w:start w:val="1"/>
      <w:numFmt w:val="decimal"/>
      <w:lvlText w:val="%1.%2.%3.%4."/>
      <w:lvlJc w:val="left"/>
      <w:pPr>
        <w:ind w:left="720" w:hanging="720"/>
      </w:pPr>
      <w:rPr>
        <w:rFonts w:hint="default"/>
        <w:b/>
        <w:color w:val="auto"/>
      </w:rPr>
    </w:lvl>
    <w:lvl w:ilvl="4">
      <w:start w:val="1"/>
      <w:numFmt w:val="decimal"/>
      <w:lvlText w:val="%1.%2.%3.%4.%5."/>
      <w:lvlJc w:val="left"/>
      <w:pPr>
        <w:ind w:left="1080" w:hanging="1080"/>
      </w:pPr>
      <w:rPr>
        <w:rFonts w:hint="default"/>
        <w:b/>
        <w:color w:val="auto"/>
      </w:rPr>
    </w:lvl>
    <w:lvl w:ilvl="5">
      <w:start w:val="1"/>
      <w:numFmt w:val="decimal"/>
      <w:lvlText w:val="%1.%2.%3.%4.%5.%6."/>
      <w:lvlJc w:val="left"/>
      <w:pPr>
        <w:ind w:left="1080" w:hanging="1080"/>
      </w:pPr>
      <w:rPr>
        <w:rFonts w:hint="default"/>
        <w:b/>
        <w:color w:val="auto"/>
      </w:rPr>
    </w:lvl>
    <w:lvl w:ilvl="6">
      <w:start w:val="1"/>
      <w:numFmt w:val="decimal"/>
      <w:lvlText w:val="%1.%2.%3.%4.%5.%6.%7."/>
      <w:lvlJc w:val="left"/>
      <w:pPr>
        <w:ind w:left="1440" w:hanging="1440"/>
      </w:pPr>
      <w:rPr>
        <w:rFonts w:hint="default"/>
        <w:b/>
        <w:color w:val="auto"/>
      </w:rPr>
    </w:lvl>
    <w:lvl w:ilvl="7">
      <w:start w:val="1"/>
      <w:numFmt w:val="decimal"/>
      <w:lvlText w:val="%1.%2.%3.%4.%5.%6.%7.%8."/>
      <w:lvlJc w:val="left"/>
      <w:pPr>
        <w:ind w:left="1440" w:hanging="1440"/>
      </w:pPr>
      <w:rPr>
        <w:rFonts w:hint="default"/>
        <w:b/>
        <w:color w:val="auto"/>
      </w:rPr>
    </w:lvl>
    <w:lvl w:ilvl="8">
      <w:start w:val="1"/>
      <w:numFmt w:val="decimal"/>
      <w:lvlText w:val="%1.%2.%3.%4.%5.%6.%7.%8.%9."/>
      <w:lvlJc w:val="left"/>
      <w:pPr>
        <w:ind w:left="1800" w:hanging="1800"/>
      </w:pPr>
      <w:rPr>
        <w:rFonts w:hint="default"/>
        <w:b/>
        <w:color w:val="auto"/>
      </w:rPr>
    </w:lvl>
  </w:abstractNum>
  <w:abstractNum w:abstractNumId="1" w15:restartNumberingAfterBreak="0">
    <w:nsid w:val="01A84820"/>
    <w:multiLevelType w:val="hybridMultilevel"/>
    <w:tmpl w:val="E96422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F846F4"/>
    <w:multiLevelType w:val="hybridMultilevel"/>
    <w:tmpl w:val="7598B398"/>
    <w:lvl w:ilvl="0" w:tplc="13088CF0">
      <w:start w:val="1"/>
      <w:numFmt w:val="decimal"/>
      <w:lvlText w:val="[%1]"/>
      <w:lvlJc w:val="left"/>
      <w:pPr>
        <w:ind w:left="720" w:hanging="360"/>
      </w:pPr>
      <w:rPr>
        <w:rFonts w:ascii="Times New Roman" w:hAnsi="Times New Roman" w:cs="Times New Roman" w:hint="default"/>
        <w:sz w:val="24"/>
        <w:szCs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0B0438E0"/>
    <w:multiLevelType w:val="hybridMultilevel"/>
    <w:tmpl w:val="077EC82E"/>
    <w:lvl w:ilvl="0" w:tplc="9476DF02">
      <w:start w:val="1"/>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4" w15:restartNumberingAfterBreak="0">
    <w:nsid w:val="0FE620A3"/>
    <w:multiLevelType w:val="hybridMultilevel"/>
    <w:tmpl w:val="AED4690A"/>
    <w:lvl w:ilvl="0" w:tplc="13088CF0">
      <w:start w:val="1"/>
      <w:numFmt w:val="decimal"/>
      <w:lvlText w:val="[%1]"/>
      <w:lvlJc w:val="left"/>
      <w:pPr>
        <w:ind w:left="720" w:hanging="360"/>
      </w:pPr>
      <w:rPr>
        <w:rFonts w:ascii="Times New Roman" w:hAnsi="Times New Roman" w:cs="Times New Roman" w:hint="default"/>
        <w:sz w:val="24"/>
        <w:szCs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134F7B85"/>
    <w:multiLevelType w:val="multilevel"/>
    <w:tmpl w:val="0EA65824"/>
    <w:styleLink w:val="Style1"/>
    <w:lvl w:ilvl="0">
      <w:start w:val="3"/>
      <w:numFmt w:val="decimal"/>
      <w:lvlText w:val="%1."/>
      <w:lvlJc w:val="left"/>
      <w:pPr>
        <w:ind w:left="360" w:hanging="360"/>
      </w:pPr>
      <w:rPr>
        <w:rFonts w:hint="default"/>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15CD11B8"/>
    <w:multiLevelType w:val="hybridMultilevel"/>
    <w:tmpl w:val="995011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734C97"/>
    <w:multiLevelType w:val="hybridMultilevel"/>
    <w:tmpl w:val="64AA3A96"/>
    <w:lvl w:ilvl="0" w:tplc="1BAC1B66">
      <w:start w:val="3"/>
      <w:numFmt w:val="bullet"/>
      <w:lvlText w:val="-"/>
      <w:lvlJc w:val="left"/>
      <w:pPr>
        <w:tabs>
          <w:tab w:val="num" w:pos="720"/>
        </w:tabs>
        <w:ind w:left="720" w:hanging="360"/>
      </w:pPr>
      <w:rPr>
        <w:rFonts w:ascii="Times New Roman" w:eastAsia="Batang" w:hAnsi="Times New Roman" w:cs="Times New Roman"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006FFF"/>
    <w:multiLevelType w:val="hybridMultilevel"/>
    <w:tmpl w:val="A17215B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15:restartNumberingAfterBreak="0">
    <w:nsid w:val="1F715FEA"/>
    <w:multiLevelType w:val="multilevel"/>
    <w:tmpl w:val="0EA65824"/>
    <w:numStyleLink w:val="Style1"/>
  </w:abstractNum>
  <w:abstractNum w:abstractNumId="10" w15:restartNumberingAfterBreak="0">
    <w:nsid w:val="205D466A"/>
    <w:multiLevelType w:val="hybridMultilevel"/>
    <w:tmpl w:val="61963542"/>
    <w:lvl w:ilvl="0" w:tplc="B61244D0">
      <w:start w:val="1"/>
      <w:numFmt w:val="decimal"/>
      <w:lvlText w:val="(%1)"/>
      <w:lvlJc w:val="left"/>
      <w:pPr>
        <w:ind w:left="1069" w:hanging="360"/>
      </w:pPr>
      <w:rPr>
        <w:rFonts w:hint="default"/>
        <w:b w:val="0"/>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1" w15:restartNumberingAfterBreak="0">
    <w:nsid w:val="22815E0E"/>
    <w:multiLevelType w:val="hybridMultilevel"/>
    <w:tmpl w:val="2BD6124A"/>
    <w:lvl w:ilvl="0" w:tplc="23F243EE">
      <w:start w:val="1"/>
      <w:numFmt w:val="bullet"/>
      <w:lvlText w:val="•"/>
      <w:lvlJc w:val="left"/>
      <w:pPr>
        <w:tabs>
          <w:tab w:val="num" w:pos="720"/>
        </w:tabs>
        <w:ind w:left="720" w:hanging="360"/>
      </w:pPr>
      <w:rPr>
        <w:rFonts w:ascii="Arial" w:hAnsi="Arial" w:hint="default"/>
      </w:rPr>
    </w:lvl>
    <w:lvl w:ilvl="1" w:tplc="905A6ACE" w:tentative="1">
      <w:start w:val="1"/>
      <w:numFmt w:val="bullet"/>
      <w:lvlText w:val="•"/>
      <w:lvlJc w:val="left"/>
      <w:pPr>
        <w:tabs>
          <w:tab w:val="num" w:pos="1440"/>
        </w:tabs>
        <w:ind w:left="1440" w:hanging="360"/>
      </w:pPr>
      <w:rPr>
        <w:rFonts w:ascii="Arial" w:hAnsi="Arial" w:hint="default"/>
      </w:rPr>
    </w:lvl>
    <w:lvl w:ilvl="2" w:tplc="D7183FA8" w:tentative="1">
      <w:start w:val="1"/>
      <w:numFmt w:val="bullet"/>
      <w:lvlText w:val="•"/>
      <w:lvlJc w:val="left"/>
      <w:pPr>
        <w:tabs>
          <w:tab w:val="num" w:pos="2160"/>
        </w:tabs>
        <w:ind w:left="2160" w:hanging="360"/>
      </w:pPr>
      <w:rPr>
        <w:rFonts w:ascii="Arial" w:hAnsi="Arial" w:hint="default"/>
      </w:rPr>
    </w:lvl>
    <w:lvl w:ilvl="3" w:tplc="9752B32E" w:tentative="1">
      <w:start w:val="1"/>
      <w:numFmt w:val="bullet"/>
      <w:lvlText w:val="•"/>
      <w:lvlJc w:val="left"/>
      <w:pPr>
        <w:tabs>
          <w:tab w:val="num" w:pos="2880"/>
        </w:tabs>
        <w:ind w:left="2880" w:hanging="360"/>
      </w:pPr>
      <w:rPr>
        <w:rFonts w:ascii="Arial" w:hAnsi="Arial" w:hint="default"/>
      </w:rPr>
    </w:lvl>
    <w:lvl w:ilvl="4" w:tplc="74ECFC80" w:tentative="1">
      <w:start w:val="1"/>
      <w:numFmt w:val="bullet"/>
      <w:lvlText w:val="•"/>
      <w:lvlJc w:val="left"/>
      <w:pPr>
        <w:tabs>
          <w:tab w:val="num" w:pos="3600"/>
        </w:tabs>
        <w:ind w:left="3600" w:hanging="360"/>
      </w:pPr>
      <w:rPr>
        <w:rFonts w:ascii="Arial" w:hAnsi="Arial" w:hint="default"/>
      </w:rPr>
    </w:lvl>
    <w:lvl w:ilvl="5" w:tplc="717AF05C" w:tentative="1">
      <w:start w:val="1"/>
      <w:numFmt w:val="bullet"/>
      <w:lvlText w:val="•"/>
      <w:lvlJc w:val="left"/>
      <w:pPr>
        <w:tabs>
          <w:tab w:val="num" w:pos="4320"/>
        </w:tabs>
        <w:ind w:left="4320" w:hanging="360"/>
      </w:pPr>
      <w:rPr>
        <w:rFonts w:ascii="Arial" w:hAnsi="Arial" w:hint="default"/>
      </w:rPr>
    </w:lvl>
    <w:lvl w:ilvl="6" w:tplc="BB6CCF8E" w:tentative="1">
      <w:start w:val="1"/>
      <w:numFmt w:val="bullet"/>
      <w:lvlText w:val="•"/>
      <w:lvlJc w:val="left"/>
      <w:pPr>
        <w:tabs>
          <w:tab w:val="num" w:pos="5040"/>
        </w:tabs>
        <w:ind w:left="5040" w:hanging="360"/>
      </w:pPr>
      <w:rPr>
        <w:rFonts w:ascii="Arial" w:hAnsi="Arial" w:hint="default"/>
      </w:rPr>
    </w:lvl>
    <w:lvl w:ilvl="7" w:tplc="02A61338" w:tentative="1">
      <w:start w:val="1"/>
      <w:numFmt w:val="bullet"/>
      <w:lvlText w:val="•"/>
      <w:lvlJc w:val="left"/>
      <w:pPr>
        <w:tabs>
          <w:tab w:val="num" w:pos="5760"/>
        </w:tabs>
        <w:ind w:left="5760" w:hanging="360"/>
      </w:pPr>
      <w:rPr>
        <w:rFonts w:ascii="Arial" w:hAnsi="Arial" w:hint="default"/>
      </w:rPr>
    </w:lvl>
    <w:lvl w:ilvl="8" w:tplc="C030ACF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4DB2DE4"/>
    <w:multiLevelType w:val="hybridMultilevel"/>
    <w:tmpl w:val="9FA056D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15:restartNumberingAfterBreak="0">
    <w:nsid w:val="26C761E6"/>
    <w:multiLevelType w:val="hybridMultilevel"/>
    <w:tmpl w:val="99EC986C"/>
    <w:lvl w:ilvl="0" w:tplc="E666730A">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6E566A5"/>
    <w:multiLevelType w:val="hybridMultilevel"/>
    <w:tmpl w:val="24E4C87A"/>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28D07AD2"/>
    <w:multiLevelType w:val="multilevel"/>
    <w:tmpl w:val="27FEC1E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B5E692D"/>
    <w:multiLevelType w:val="multilevel"/>
    <w:tmpl w:val="6542EA5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i w:val="0"/>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C4802EB"/>
    <w:multiLevelType w:val="hybridMultilevel"/>
    <w:tmpl w:val="62D4BA3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2CF205E2"/>
    <w:multiLevelType w:val="multilevel"/>
    <w:tmpl w:val="CCB281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CF871A3"/>
    <w:multiLevelType w:val="multilevel"/>
    <w:tmpl w:val="B3AA22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DF672AF"/>
    <w:multiLevelType w:val="hybridMultilevel"/>
    <w:tmpl w:val="04BCDF2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2EE0084D"/>
    <w:multiLevelType w:val="hybridMultilevel"/>
    <w:tmpl w:val="26388596"/>
    <w:lvl w:ilvl="0" w:tplc="57363196">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2" w15:restartNumberingAfterBreak="0">
    <w:nsid w:val="35163D63"/>
    <w:multiLevelType w:val="multilevel"/>
    <w:tmpl w:val="8730D4A2"/>
    <w:lvl w:ilvl="0">
      <w:start w:val="2"/>
      <w:numFmt w:val="decimal"/>
      <w:lvlText w:val="%1"/>
      <w:lvlJc w:val="left"/>
      <w:pPr>
        <w:ind w:left="480" w:hanging="480"/>
      </w:pPr>
      <w:rPr>
        <w:rFonts w:hint="default"/>
        <w:b/>
      </w:rPr>
    </w:lvl>
    <w:lvl w:ilvl="1">
      <w:start w:val="4"/>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3" w15:restartNumberingAfterBreak="0">
    <w:nsid w:val="372D7EBD"/>
    <w:multiLevelType w:val="multilevel"/>
    <w:tmpl w:val="FC0ACE3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B3C3134"/>
    <w:multiLevelType w:val="multilevel"/>
    <w:tmpl w:val="EA94C2E0"/>
    <w:styleLink w:val="Estilo1"/>
    <w:lvl w:ilvl="0">
      <w:start w:val="2"/>
      <w:numFmt w:val="decimal"/>
      <w:lvlText w:val="%1."/>
      <w:lvlJc w:val="left"/>
      <w:pPr>
        <w:ind w:left="360" w:hanging="360"/>
      </w:pPr>
      <w:rPr>
        <w:rFonts w:hint="default"/>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5" w15:restartNumberingAfterBreak="0">
    <w:nsid w:val="3BD51855"/>
    <w:multiLevelType w:val="multilevel"/>
    <w:tmpl w:val="0EA65824"/>
    <w:numStyleLink w:val="Style1"/>
  </w:abstractNum>
  <w:abstractNum w:abstractNumId="26" w15:restartNumberingAfterBreak="0">
    <w:nsid w:val="3D703EF2"/>
    <w:multiLevelType w:val="multilevel"/>
    <w:tmpl w:val="1AC8B9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3FB83539"/>
    <w:multiLevelType w:val="hybridMultilevel"/>
    <w:tmpl w:val="04405E20"/>
    <w:lvl w:ilvl="0" w:tplc="DCF2D6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37C29AF"/>
    <w:multiLevelType w:val="multilevel"/>
    <w:tmpl w:val="877ACE1C"/>
    <w:lvl w:ilvl="0">
      <w:start w:val="2"/>
      <w:numFmt w:val="decimal"/>
      <w:lvlText w:val="%1."/>
      <w:lvlJc w:val="left"/>
      <w:pPr>
        <w:ind w:left="360" w:hanging="360"/>
      </w:pPr>
      <w:rPr>
        <w:rFonts w:hint="default"/>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i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9" w15:restartNumberingAfterBreak="0">
    <w:nsid w:val="494C3817"/>
    <w:multiLevelType w:val="multilevel"/>
    <w:tmpl w:val="944218EA"/>
    <w:lvl w:ilvl="0">
      <w:start w:val="3"/>
      <w:numFmt w:val="decimal"/>
      <w:lvlText w:val="%1."/>
      <w:lvlJc w:val="left"/>
      <w:pPr>
        <w:ind w:left="360" w:hanging="360"/>
      </w:pPr>
      <w:rPr>
        <w:rFonts w:hint="default"/>
      </w:rPr>
    </w:lvl>
    <w:lvl w:ilvl="1">
      <w:start w:val="1"/>
      <w:numFmt w:val="decimal"/>
      <w:isLgl/>
      <w:lvlText w:val="%1.%2"/>
      <w:lvlJc w:val="left"/>
      <w:pPr>
        <w:ind w:left="1080" w:hanging="360"/>
      </w:pPr>
      <w:rPr>
        <w:rFonts w:hint="default"/>
        <w:b/>
        <w:color w:val="auto"/>
      </w:rPr>
    </w:lvl>
    <w:lvl w:ilvl="2">
      <w:start w:val="1"/>
      <w:numFmt w:val="decimal"/>
      <w:isLgl/>
      <w:lvlText w:val="%1.%2.%3"/>
      <w:lvlJc w:val="left"/>
      <w:pPr>
        <w:ind w:left="1800" w:hanging="720"/>
      </w:pPr>
      <w:rPr>
        <w:rFonts w:hint="default"/>
        <w:b/>
        <w:color w:val="auto"/>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0" w15:restartNumberingAfterBreak="0">
    <w:nsid w:val="4E862DFA"/>
    <w:multiLevelType w:val="hybridMultilevel"/>
    <w:tmpl w:val="97FE5DAE"/>
    <w:lvl w:ilvl="0" w:tplc="13088CF0">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1F44B4D"/>
    <w:multiLevelType w:val="hybridMultilevel"/>
    <w:tmpl w:val="99EC986C"/>
    <w:lvl w:ilvl="0" w:tplc="E666730A">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51D00BC"/>
    <w:multiLevelType w:val="multilevel"/>
    <w:tmpl w:val="EA94C2E0"/>
    <w:numStyleLink w:val="Estilo1"/>
  </w:abstractNum>
  <w:abstractNum w:abstractNumId="33" w15:restartNumberingAfterBreak="0">
    <w:nsid w:val="58AC7981"/>
    <w:multiLevelType w:val="hybridMultilevel"/>
    <w:tmpl w:val="492A32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0916349"/>
    <w:multiLevelType w:val="multilevel"/>
    <w:tmpl w:val="8250DCD4"/>
    <w:lvl w:ilvl="0">
      <w:start w:val="1"/>
      <w:numFmt w:val="decimal"/>
      <w:lvlText w:val="%1."/>
      <w:lvlJc w:val="left"/>
      <w:pPr>
        <w:ind w:left="720" w:hanging="360"/>
      </w:pPr>
      <w:rPr>
        <w:rFonts w:ascii="Times New Roman" w:hAnsi="Times New Roman" w:cs="Times New Roman" w:hint="default"/>
        <w:b/>
        <w:sz w:val="24"/>
        <w:szCs w:val="24"/>
      </w:rPr>
    </w:lvl>
    <w:lvl w:ilvl="1">
      <w:start w:val="1"/>
      <w:numFmt w:val="decimal"/>
      <w:isLgl/>
      <w:lvlText w:val="%1.%2"/>
      <w:lvlJc w:val="left"/>
      <w:pPr>
        <w:ind w:left="720" w:hanging="360"/>
      </w:pPr>
      <w:rPr>
        <w:rFonts w:ascii="Times New Roman" w:hAnsi="Times New Roman" w:cs="Times New Roman" w:hint="default"/>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2866B18"/>
    <w:multiLevelType w:val="multilevel"/>
    <w:tmpl w:val="8A0C9798"/>
    <w:lvl w:ilvl="0">
      <w:start w:val="2"/>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6" w15:restartNumberingAfterBreak="0">
    <w:nsid w:val="6C0E2B39"/>
    <w:multiLevelType w:val="hybridMultilevel"/>
    <w:tmpl w:val="DED08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D9B117D"/>
    <w:multiLevelType w:val="multilevel"/>
    <w:tmpl w:val="877ACE1C"/>
    <w:numStyleLink w:val="Estilo2"/>
  </w:abstractNum>
  <w:abstractNum w:abstractNumId="38" w15:restartNumberingAfterBreak="0">
    <w:nsid w:val="71976B7F"/>
    <w:multiLevelType w:val="multilevel"/>
    <w:tmpl w:val="877ACE1C"/>
    <w:styleLink w:val="Estilo2"/>
    <w:lvl w:ilvl="0">
      <w:start w:val="1"/>
      <w:numFmt w:val="decimal"/>
      <w:lvlText w:val="%1."/>
      <w:lvlJc w:val="left"/>
      <w:pPr>
        <w:ind w:left="360" w:hanging="360"/>
      </w:pPr>
      <w:rPr>
        <w:rFonts w:hint="default"/>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i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9" w15:restartNumberingAfterBreak="0">
    <w:nsid w:val="728E07D7"/>
    <w:multiLevelType w:val="hybridMultilevel"/>
    <w:tmpl w:val="5B7AF078"/>
    <w:lvl w:ilvl="0" w:tplc="F1165966">
      <w:start w:val="1"/>
      <w:numFmt w:val="decimal"/>
      <w:lvlText w:val="%1."/>
      <w:lvlJc w:val="left"/>
      <w:pPr>
        <w:ind w:left="720" w:hanging="360"/>
      </w:pPr>
      <w:rPr>
        <w:rFonts w:hint="default"/>
        <w:b/>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0" w15:restartNumberingAfterBreak="0">
    <w:nsid w:val="73CF2E44"/>
    <w:multiLevelType w:val="hybridMultilevel"/>
    <w:tmpl w:val="91C23160"/>
    <w:lvl w:ilvl="0" w:tplc="9C8AD908">
      <w:start w:val="1"/>
      <w:numFmt w:val="decimal"/>
      <w:lvlText w:val="%1."/>
      <w:lvlJc w:val="left"/>
      <w:pPr>
        <w:ind w:left="8724" w:hanging="360"/>
      </w:pPr>
      <w:rPr>
        <w:rFonts w:ascii="Times New Roman" w:hAnsi="Times New Roman" w:hint="default"/>
        <w:b/>
        <w:sz w:val="24"/>
      </w:rPr>
    </w:lvl>
    <w:lvl w:ilvl="1" w:tplc="04160019" w:tentative="1">
      <w:start w:val="1"/>
      <w:numFmt w:val="lowerLetter"/>
      <w:lvlText w:val="%2."/>
      <w:lvlJc w:val="left"/>
      <w:pPr>
        <w:ind w:left="9444" w:hanging="360"/>
      </w:pPr>
    </w:lvl>
    <w:lvl w:ilvl="2" w:tplc="0416001B" w:tentative="1">
      <w:start w:val="1"/>
      <w:numFmt w:val="lowerRoman"/>
      <w:lvlText w:val="%3."/>
      <w:lvlJc w:val="right"/>
      <w:pPr>
        <w:ind w:left="10164" w:hanging="180"/>
      </w:pPr>
    </w:lvl>
    <w:lvl w:ilvl="3" w:tplc="0416000F" w:tentative="1">
      <w:start w:val="1"/>
      <w:numFmt w:val="decimal"/>
      <w:lvlText w:val="%4."/>
      <w:lvlJc w:val="left"/>
      <w:pPr>
        <w:ind w:left="10884" w:hanging="360"/>
      </w:pPr>
    </w:lvl>
    <w:lvl w:ilvl="4" w:tplc="04160019" w:tentative="1">
      <w:start w:val="1"/>
      <w:numFmt w:val="lowerLetter"/>
      <w:lvlText w:val="%5."/>
      <w:lvlJc w:val="left"/>
      <w:pPr>
        <w:ind w:left="11604" w:hanging="360"/>
      </w:pPr>
    </w:lvl>
    <w:lvl w:ilvl="5" w:tplc="0416001B" w:tentative="1">
      <w:start w:val="1"/>
      <w:numFmt w:val="lowerRoman"/>
      <w:lvlText w:val="%6."/>
      <w:lvlJc w:val="right"/>
      <w:pPr>
        <w:ind w:left="12324" w:hanging="180"/>
      </w:pPr>
    </w:lvl>
    <w:lvl w:ilvl="6" w:tplc="0416000F" w:tentative="1">
      <w:start w:val="1"/>
      <w:numFmt w:val="decimal"/>
      <w:lvlText w:val="%7."/>
      <w:lvlJc w:val="left"/>
      <w:pPr>
        <w:ind w:left="13044" w:hanging="360"/>
      </w:pPr>
    </w:lvl>
    <w:lvl w:ilvl="7" w:tplc="04160019" w:tentative="1">
      <w:start w:val="1"/>
      <w:numFmt w:val="lowerLetter"/>
      <w:lvlText w:val="%8."/>
      <w:lvlJc w:val="left"/>
      <w:pPr>
        <w:ind w:left="13764" w:hanging="360"/>
      </w:pPr>
    </w:lvl>
    <w:lvl w:ilvl="8" w:tplc="0416001B" w:tentative="1">
      <w:start w:val="1"/>
      <w:numFmt w:val="lowerRoman"/>
      <w:lvlText w:val="%9."/>
      <w:lvlJc w:val="right"/>
      <w:pPr>
        <w:ind w:left="14484" w:hanging="180"/>
      </w:pPr>
    </w:lvl>
  </w:abstractNum>
  <w:abstractNum w:abstractNumId="41" w15:restartNumberingAfterBreak="0">
    <w:nsid w:val="780C306E"/>
    <w:multiLevelType w:val="multilevel"/>
    <w:tmpl w:val="46A4721A"/>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79807FF0"/>
    <w:multiLevelType w:val="hybridMultilevel"/>
    <w:tmpl w:val="A5124AD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D4767EE"/>
    <w:multiLevelType w:val="multilevel"/>
    <w:tmpl w:val="2A649CCA"/>
    <w:lvl w:ilvl="0">
      <w:start w:val="1"/>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b/>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DFC78F7"/>
    <w:multiLevelType w:val="hybridMultilevel"/>
    <w:tmpl w:val="9086CE40"/>
    <w:lvl w:ilvl="0" w:tplc="ECF87A24">
      <w:start w:val="1"/>
      <w:numFmt w:val="decimal"/>
      <w:lvlText w:val="[%1]"/>
      <w:lvlJc w:val="left"/>
      <w:pPr>
        <w:ind w:left="720" w:hanging="360"/>
      </w:pPr>
      <w:rPr>
        <w:rFonts w:ascii="Times New Roman" w:hAnsi="Times New Roman" w:cs="Times New Roman" w:hint="default"/>
        <w:i w:val="0"/>
        <w:color w:val="auto"/>
        <w:sz w:val="24"/>
        <w:szCs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7"/>
  </w:num>
  <w:num w:numId="2">
    <w:abstractNumId w:val="40"/>
  </w:num>
  <w:num w:numId="3">
    <w:abstractNumId w:val="37"/>
    <w:lvlOverride w:ilvl="1">
      <w:lvl w:ilvl="1">
        <w:start w:val="1"/>
        <w:numFmt w:val="decimal"/>
        <w:isLgl/>
        <w:lvlText w:val="%1.%2"/>
        <w:lvlJc w:val="left"/>
        <w:pPr>
          <w:ind w:left="1080" w:hanging="360"/>
        </w:pPr>
        <w:rPr>
          <w:rFonts w:hint="default"/>
          <w:b/>
          <w:i w:val="0"/>
        </w:rPr>
      </w:lvl>
    </w:lvlOverride>
    <w:lvlOverride w:ilvl="2">
      <w:lvl w:ilvl="2">
        <w:start w:val="1"/>
        <w:numFmt w:val="decimal"/>
        <w:isLgl/>
        <w:lvlText w:val="%1.%2.%3"/>
        <w:lvlJc w:val="left"/>
        <w:pPr>
          <w:ind w:left="1800" w:hanging="720"/>
        </w:pPr>
        <w:rPr>
          <w:rFonts w:hint="default"/>
          <w:b/>
          <w:i w:val="0"/>
        </w:rPr>
      </w:lvl>
    </w:lvlOverride>
  </w:num>
  <w:num w:numId="4">
    <w:abstractNumId w:val="25"/>
    <w:lvlOverride w:ilvl="0">
      <w:lvl w:ilvl="0">
        <w:start w:val="3"/>
        <w:numFmt w:val="decimal"/>
        <w:lvlText w:val="%1."/>
        <w:lvlJc w:val="left"/>
        <w:pPr>
          <w:ind w:left="360" w:hanging="360"/>
        </w:pPr>
        <w:rPr>
          <w:rFonts w:hint="default"/>
        </w:rPr>
      </w:lvl>
    </w:lvlOverride>
    <w:lvlOverride w:ilvl="1">
      <w:lvl w:ilvl="1">
        <w:start w:val="1"/>
        <w:numFmt w:val="decimal"/>
        <w:isLgl/>
        <w:lvlText w:val="2.%2"/>
        <w:lvlJc w:val="left"/>
        <w:pPr>
          <w:ind w:left="1080" w:hanging="360"/>
        </w:pPr>
        <w:rPr>
          <w:rFonts w:hint="default"/>
          <w:b/>
        </w:rPr>
      </w:lvl>
    </w:lvlOverride>
    <w:lvlOverride w:ilvl="2">
      <w:lvl w:ilvl="2">
        <w:start w:val="1"/>
        <w:numFmt w:val="decimal"/>
        <w:isLgl/>
        <w:lvlText w:val="%1.%2.%3"/>
        <w:lvlJc w:val="left"/>
        <w:pPr>
          <w:ind w:left="1800" w:hanging="720"/>
        </w:pPr>
        <w:rPr>
          <w:rFonts w:hint="default"/>
        </w:rPr>
      </w:lvl>
    </w:lvlOverride>
    <w:lvlOverride w:ilvl="3">
      <w:lvl w:ilvl="3">
        <w:start w:val="1"/>
        <w:numFmt w:val="decimal"/>
        <w:isLgl/>
        <w:lvlText w:val="%1.%2.%3.%4"/>
        <w:lvlJc w:val="left"/>
        <w:pPr>
          <w:ind w:left="2160" w:hanging="720"/>
        </w:pPr>
        <w:rPr>
          <w:rFonts w:hint="default"/>
        </w:rPr>
      </w:lvl>
    </w:lvlOverride>
    <w:lvlOverride w:ilvl="4">
      <w:lvl w:ilvl="4">
        <w:start w:val="1"/>
        <w:numFmt w:val="decimal"/>
        <w:isLgl/>
        <w:lvlText w:val="%1.%2.%3.%4.%5"/>
        <w:lvlJc w:val="left"/>
        <w:pPr>
          <w:ind w:left="2880" w:hanging="1080"/>
        </w:pPr>
        <w:rPr>
          <w:rFonts w:hint="default"/>
        </w:rPr>
      </w:lvl>
    </w:lvlOverride>
    <w:lvlOverride w:ilvl="5">
      <w:lvl w:ilvl="5">
        <w:start w:val="1"/>
        <w:numFmt w:val="decimal"/>
        <w:isLgl/>
        <w:lvlText w:val="%1.%2.%3.%4.%5.%6"/>
        <w:lvlJc w:val="left"/>
        <w:pPr>
          <w:ind w:left="3240" w:hanging="1080"/>
        </w:pPr>
        <w:rPr>
          <w:rFonts w:hint="default"/>
        </w:rPr>
      </w:lvl>
    </w:lvlOverride>
    <w:lvlOverride w:ilvl="6">
      <w:lvl w:ilvl="6">
        <w:start w:val="1"/>
        <w:numFmt w:val="decimal"/>
        <w:isLgl/>
        <w:lvlText w:val="%1.%2.%3.%4.%5.%6.%7"/>
        <w:lvlJc w:val="left"/>
        <w:pPr>
          <w:ind w:left="3960" w:hanging="1440"/>
        </w:pPr>
        <w:rPr>
          <w:rFonts w:hint="default"/>
        </w:rPr>
      </w:lvl>
    </w:lvlOverride>
    <w:lvlOverride w:ilvl="7">
      <w:lvl w:ilvl="7">
        <w:start w:val="1"/>
        <w:numFmt w:val="decimal"/>
        <w:isLgl/>
        <w:lvlText w:val="%1.%2.%3.%4.%5.%6.%7.%8"/>
        <w:lvlJc w:val="left"/>
        <w:pPr>
          <w:ind w:left="4320" w:hanging="1440"/>
        </w:pPr>
        <w:rPr>
          <w:rFonts w:hint="default"/>
        </w:rPr>
      </w:lvl>
    </w:lvlOverride>
    <w:lvlOverride w:ilvl="8">
      <w:lvl w:ilvl="8">
        <w:start w:val="1"/>
        <w:numFmt w:val="decimal"/>
        <w:isLgl/>
        <w:lvlText w:val="%1.%2.%3.%4.%5.%6.%7.%8.%9"/>
        <w:lvlJc w:val="left"/>
        <w:pPr>
          <w:ind w:left="5040" w:hanging="1800"/>
        </w:pPr>
        <w:rPr>
          <w:rFonts w:hint="default"/>
        </w:rPr>
      </w:lvl>
    </w:lvlOverride>
  </w:num>
  <w:num w:numId="5">
    <w:abstractNumId w:val="35"/>
  </w:num>
  <w:num w:numId="6">
    <w:abstractNumId w:val="5"/>
  </w:num>
  <w:num w:numId="7">
    <w:abstractNumId w:val="18"/>
  </w:num>
  <w:num w:numId="8">
    <w:abstractNumId w:val="27"/>
  </w:num>
  <w:num w:numId="9">
    <w:abstractNumId w:val="33"/>
  </w:num>
  <w:num w:numId="10">
    <w:abstractNumId w:val="43"/>
  </w:num>
  <w:num w:numId="11">
    <w:abstractNumId w:val="21"/>
  </w:num>
  <w:num w:numId="12">
    <w:abstractNumId w:val="42"/>
  </w:num>
  <w:num w:numId="13">
    <w:abstractNumId w:val="23"/>
  </w:num>
  <w:num w:numId="14">
    <w:abstractNumId w:val="41"/>
  </w:num>
  <w:num w:numId="15">
    <w:abstractNumId w:val="30"/>
  </w:num>
  <w:num w:numId="16">
    <w:abstractNumId w:val="22"/>
  </w:num>
  <w:num w:numId="17">
    <w:abstractNumId w:val="29"/>
  </w:num>
  <w:num w:numId="18">
    <w:abstractNumId w:val="36"/>
  </w:num>
  <w:num w:numId="19">
    <w:abstractNumId w:val="1"/>
  </w:num>
  <w:num w:numId="20">
    <w:abstractNumId w:val="26"/>
  </w:num>
  <w:num w:numId="21">
    <w:abstractNumId w:val="20"/>
  </w:num>
  <w:num w:numId="22">
    <w:abstractNumId w:val="34"/>
  </w:num>
  <w:num w:numId="23">
    <w:abstractNumId w:val="11"/>
  </w:num>
  <w:num w:numId="24">
    <w:abstractNumId w:val="3"/>
  </w:num>
  <w:num w:numId="25">
    <w:abstractNumId w:val="0"/>
  </w:num>
  <w:num w:numId="26">
    <w:abstractNumId w:val="8"/>
  </w:num>
  <w:num w:numId="27">
    <w:abstractNumId w:val="25"/>
    <w:lvlOverride w:ilvl="0">
      <w:lvl w:ilvl="0">
        <w:start w:val="3"/>
        <w:numFmt w:val="decimal"/>
        <w:lvlText w:val="%1."/>
        <w:lvlJc w:val="left"/>
        <w:pPr>
          <w:ind w:left="360" w:hanging="360"/>
        </w:pPr>
        <w:rPr>
          <w:rFonts w:hint="default"/>
          <w:b/>
        </w:rPr>
      </w:lvl>
    </w:lvlOverride>
    <w:lvlOverride w:ilvl="1">
      <w:lvl w:ilvl="1">
        <w:start w:val="1"/>
        <w:numFmt w:val="decimal"/>
        <w:isLgl/>
        <w:lvlText w:val="2.%2"/>
        <w:lvlJc w:val="left"/>
        <w:pPr>
          <w:ind w:left="360" w:hanging="360"/>
        </w:pPr>
        <w:rPr>
          <w:rFonts w:hint="default"/>
          <w:b/>
        </w:rPr>
      </w:lvl>
    </w:lvlOverride>
    <w:lvlOverride w:ilvl="2">
      <w:lvl w:ilvl="2">
        <w:start w:val="1"/>
        <w:numFmt w:val="decimal"/>
        <w:isLgl/>
        <w:lvlText w:val="%1.%2.%3"/>
        <w:lvlJc w:val="left"/>
        <w:pPr>
          <w:ind w:left="1800" w:hanging="720"/>
        </w:pPr>
        <w:rPr>
          <w:rFonts w:hint="default"/>
        </w:rPr>
      </w:lvl>
    </w:lvlOverride>
    <w:lvlOverride w:ilvl="3">
      <w:lvl w:ilvl="3">
        <w:start w:val="1"/>
        <w:numFmt w:val="decimal"/>
        <w:isLgl/>
        <w:lvlText w:val="%1.%2.%3.%4"/>
        <w:lvlJc w:val="left"/>
        <w:pPr>
          <w:ind w:left="2160" w:hanging="720"/>
        </w:pPr>
        <w:rPr>
          <w:rFonts w:hint="default"/>
        </w:rPr>
      </w:lvl>
    </w:lvlOverride>
    <w:lvlOverride w:ilvl="4">
      <w:lvl w:ilvl="4">
        <w:start w:val="1"/>
        <w:numFmt w:val="decimal"/>
        <w:isLgl/>
        <w:lvlText w:val="%1.%2.%3.%4.%5"/>
        <w:lvlJc w:val="left"/>
        <w:pPr>
          <w:ind w:left="2880" w:hanging="1080"/>
        </w:pPr>
        <w:rPr>
          <w:rFonts w:hint="default"/>
        </w:rPr>
      </w:lvl>
    </w:lvlOverride>
    <w:lvlOverride w:ilvl="5">
      <w:lvl w:ilvl="5">
        <w:start w:val="1"/>
        <w:numFmt w:val="decimal"/>
        <w:isLgl/>
        <w:lvlText w:val="%1.%2.%3.%4.%5.%6"/>
        <w:lvlJc w:val="left"/>
        <w:pPr>
          <w:ind w:left="3240" w:hanging="1080"/>
        </w:pPr>
        <w:rPr>
          <w:rFonts w:hint="default"/>
        </w:rPr>
      </w:lvl>
    </w:lvlOverride>
    <w:lvlOverride w:ilvl="6">
      <w:lvl w:ilvl="6">
        <w:start w:val="1"/>
        <w:numFmt w:val="decimal"/>
        <w:isLgl/>
        <w:lvlText w:val="%1.%2.%3.%4.%5.%6.%7"/>
        <w:lvlJc w:val="left"/>
        <w:pPr>
          <w:ind w:left="3960" w:hanging="1440"/>
        </w:pPr>
        <w:rPr>
          <w:rFonts w:hint="default"/>
        </w:rPr>
      </w:lvl>
    </w:lvlOverride>
    <w:lvlOverride w:ilvl="7">
      <w:lvl w:ilvl="7">
        <w:start w:val="1"/>
        <w:numFmt w:val="decimal"/>
        <w:isLgl/>
        <w:lvlText w:val="%1.%2.%3.%4.%5.%6.%7.%8"/>
        <w:lvlJc w:val="left"/>
        <w:pPr>
          <w:ind w:left="4320" w:hanging="1440"/>
        </w:pPr>
        <w:rPr>
          <w:rFonts w:hint="default"/>
        </w:rPr>
      </w:lvl>
    </w:lvlOverride>
    <w:lvlOverride w:ilvl="8">
      <w:lvl w:ilvl="8">
        <w:start w:val="1"/>
        <w:numFmt w:val="decimal"/>
        <w:isLgl/>
        <w:lvlText w:val="%1.%2.%3.%4.%5.%6.%7.%8.%9"/>
        <w:lvlJc w:val="left"/>
        <w:pPr>
          <w:ind w:left="5040" w:hanging="1800"/>
        </w:pPr>
        <w:rPr>
          <w:rFonts w:hint="default"/>
        </w:rPr>
      </w:lvl>
    </w:lvlOverride>
  </w:num>
  <w:num w:numId="28">
    <w:abstractNumId w:val="6"/>
  </w:num>
  <w:num w:numId="29">
    <w:abstractNumId w:val="15"/>
  </w:num>
  <w:num w:numId="30">
    <w:abstractNumId w:val="31"/>
  </w:num>
  <w:num w:numId="31">
    <w:abstractNumId w:val="13"/>
  </w:num>
  <w:num w:numId="32">
    <w:abstractNumId w:val="9"/>
  </w:num>
  <w:num w:numId="33">
    <w:abstractNumId w:val="32"/>
    <w:lvlOverride w:ilvl="1">
      <w:lvl w:ilvl="1">
        <w:start w:val="1"/>
        <w:numFmt w:val="decimal"/>
        <w:isLgl/>
        <w:lvlText w:val="%1.%2"/>
        <w:lvlJc w:val="left"/>
        <w:pPr>
          <w:ind w:left="1080" w:hanging="360"/>
        </w:pPr>
        <w:rPr>
          <w:rFonts w:hint="default"/>
          <w:b/>
        </w:rPr>
      </w:lvl>
    </w:lvlOverride>
  </w:num>
  <w:num w:numId="34">
    <w:abstractNumId w:val="24"/>
  </w:num>
  <w:num w:numId="35">
    <w:abstractNumId w:val="28"/>
  </w:num>
  <w:num w:numId="36">
    <w:abstractNumId w:val="16"/>
  </w:num>
  <w:num w:numId="37">
    <w:abstractNumId w:val="38"/>
  </w:num>
  <w:num w:numId="38">
    <w:abstractNumId w:val="4"/>
  </w:num>
  <w:num w:numId="39">
    <w:abstractNumId w:val="2"/>
  </w:num>
  <w:num w:numId="40">
    <w:abstractNumId w:val="44"/>
  </w:num>
  <w:num w:numId="41">
    <w:abstractNumId w:val="17"/>
  </w:num>
  <w:num w:numId="42">
    <w:abstractNumId w:val="14"/>
  </w:num>
  <w:num w:numId="43">
    <w:abstractNumId w:val="39"/>
  </w:num>
  <w:num w:numId="44">
    <w:abstractNumId w:val="10"/>
  </w:num>
  <w:num w:numId="45">
    <w:abstractNumId w:val="19"/>
  </w:num>
  <w:num w:numId="4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171D"/>
    <w:rsid w:val="000B6EF3"/>
    <w:rsid w:val="000D2B71"/>
    <w:rsid w:val="001073BE"/>
    <w:rsid w:val="001302AB"/>
    <w:rsid w:val="00172DD7"/>
    <w:rsid w:val="00193A79"/>
    <w:rsid w:val="00194959"/>
    <w:rsid w:val="001D3202"/>
    <w:rsid w:val="002220AC"/>
    <w:rsid w:val="00232642"/>
    <w:rsid w:val="00254F45"/>
    <w:rsid w:val="00265DB9"/>
    <w:rsid w:val="00293430"/>
    <w:rsid w:val="00296719"/>
    <w:rsid w:val="00301D1A"/>
    <w:rsid w:val="00306CB5"/>
    <w:rsid w:val="0032749C"/>
    <w:rsid w:val="00366005"/>
    <w:rsid w:val="0037501A"/>
    <w:rsid w:val="0037644C"/>
    <w:rsid w:val="00395863"/>
    <w:rsid w:val="003F209E"/>
    <w:rsid w:val="00416056"/>
    <w:rsid w:val="0044424F"/>
    <w:rsid w:val="00466220"/>
    <w:rsid w:val="005019C3"/>
    <w:rsid w:val="00517898"/>
    <w:rsid w:val="0053171D"/>
    <w:rsid w:val="00533228"/>
    <w:rsid w:val="0055527B"/>
    <w:rsid w:val="005B7392"/>
    <w:rsid w:val="005E047D"/>
    <w:rsid w:val="00661383"/>
    <w:rsid w:val="006631AF"/>
    <w:rsid w:val="006827D3"/>
    <w:rsid w:val="006970BA"/>
    <w:rsid w:val="006B709F"/>
    <w:rsid w:val="006E454E"/>
    <w:rsid w:val="006E4ADA"/>
    <w:rsid w:val="007210F4"/>
    <w:rsid w:val="00740AB9"/>
    <w:rsid w:val="00775C70"/>
    <w:rsid w:val="007A7E92"/>
    <w:rsid w:val="007C7104"/>
    <w:rsid w:val="007D6B53"/>
    <w:rsid w:val="007E241C"/>
    <w:rsid w:val="007F4AC7"/>
    <w:rsid w:val="0093048B"/>
    <w:rsid w:val="0094533D"/>
    <w:rsid w:val="009557EA"/>
    <w:rsid w:val="009A5780"/>
    <w:rsid w:val="009B09FF"/>
    <w:rsid w:val="00A36E21"/>
    <w:rsid w:val="00A518F5"/>
    <w:rsid w:val="00A66843"/>
    <w:rsid w:val="00A91B8F"/>
    <w:rsid w:val="00AD46F7"/>
    <w:rsid w:val="00AF4EA3"/>
    <w:rsid w:val="00B064C6"/>
    <w:rsid w:val="00B14BBF"/>
    <w:rsid w:val="00B76164"/>
    <w:rsid w:val="00B8734C"/>
    <w:rsid w:val="00B907DC"/>
    <w:rsid w:val="00CD7989"/>
    <w:rsid w:val="00CE6825"/>
    <w:rsid w:val="00CF076D"/>
    <w:rsid w:val="00D07FEB"/>
    <w:rsid w:val="00D10FB9"/>
    <w:rsid w:val="00D234B4"/>
    <w:rsid w:val="00D267F7"/>
    <w:rsid w:val="00D62B9D"/>
    <w:rsid w:val="00D65F76"/>
    <w:rsid w:val="00D826CF"/>
    <w:rsid w:val="00DC6C59"/>
    <w:rsid w:val="00DC75F9"/>
    <w:rsid w:val="00DE3705"/>
    <w:rsid w:val="00E40F6B"/>
    <w:rsid w:val="00E568BC"/>
    <w:rsid w:val="00E74508"/>
    <w:rsid w:val="00EB10FA"/>
    <w:rsid w:val="00EC17A6"/>
    <w:rsid w:val="00F56A38"/>
    <w:rsid w:val="00F90418"/>
    <w:rsid w:val="00F9097C"/>
    <w:rsid w:val="00FC30B5"/>
    <w:rsid w:val="00FC436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CA0870"/>
  <w15:chartTrackingRefBased/>
  <w15:docId w15:val="{3A6D0936-F1F8-41C7-9ADA-8B661DB00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3171D"/>
    <w:pPr>
      <w:spacing w:after="0" w:line="240" w:lineRule="auto"/>
    </w:pPr>
    <w:rPr>
      <w:rFonts w:ascii="Times New Roman" w:eastAsia="Batang" w:hAnsi="Times New Roman" w:cs="Times New Roman"/>
      <w:sz w:val="24"/>
      <w:szCs w:val="24"/>
      <w:lang w:eastAsia="ko-KR"/>
    </w:rPr>
  </w:style>
  <w:style w:type="paragraph" w:styleId="Heading1">
    <w:name w:val="heading 1"/>
    <w:basedOn w:val="Normal"/>
    <w:next w:val="Normal"/>
    <w:link w:val="Heading1Char"/>
    <w:qFormat/>
    <w:rsid w:val="0053171D"/>
    <w:pPr>
      <w:keepNext/>
      <w:spacing w:before="240" w:after="60"/>
      <w:outlineLvl w:val="0"/>
    </w:pPr>
    <w:rPr>
      <w:rFonts w:ascii="Arial" w:eastAsia="Times New Roman" w:hAnsi="Arial" w:cs="Arial"/>
      <w:b/>
      <w:bCs/>
      <w:kern w:val="32"/>
      <w:sz w:val="32"/>
      <w:szCs w:val="32"/>
      <w:lang w:eastAsia="pt-BR"/>
    </w:rPr>
  </w:style>
  <w:style w:type="paragraph" w:styleId="Heading2">
    <w:name w:val="heading 2"/>
    <w:basedOn w:val="Normal"/>
    <w:next w:val="Normal"/>
    <w:link w:val="Heading2Char"/>
    <w:uiPriority w:val="9"/>
    <w:semiHidden/>
    <w:unhideWhenUsed/>
    <w:qFormat/>
    <w:rsid w:val="0053171D"/>
    <w:pPr>
      <w:keepNext/>
      <w:keepLines/>
      <w:spacing w:before="200" w:line="276" w:lineRule="auto"/>
      <w:outlineLvl w:val="1"/>
    </w:pPr>
    <w:rPr>
      <w:rFonts w:asciiTheme="majorHAnsi" w:eastAsiaTheme="majorEastAsia" w:hAnsiTheme="majorHAnsi" w:cstheme="majorBidi"/>
      <w:b/>
      <w:bCs/>
      <w:color w:val="4472C4" w:themeColor="accent1"/>
      <w:sz w:val="26"/>
      <w:szCs w:val="26"/>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3171D"/>
    <w:rPr>
      <w:rFonts w:ascii="Arial" w:eastAsia="Times New Roman" w:hAnsi="Arial" w:cs="Arial"/>
      <w:b/>
      <w:bCs/>
      <w:kern w:val="32"/>
      <w:sz w:val="32"/>
      <w:szCs w:val="32"/>
      <w:lang w:eastAsia="pt-BR"/>
    </w:rPr>
  </w:style>
  <w:style w:type="character" w:customStyle="1" w:styleId="Heading2Char">
    <w:name w:val="Heading 2 Char"/>
    <w:basedOn w:val="DefaultParagraphFont"/>
    <w:link w:val="Heading2"/>
    <w:uiPriority w:val="9"/>
    <w:semiHidden/>
    <w:rsid w:val="0053171D"/>
    <w:rPr>
      <w:rFonts w:asciiTheme="majorHAnsi" w:eastAsiaTheme="majorEastAsia" w:hAnsiTheme="majorHAnsi" w:cstheme="majorBidi"/>
      <w:b/>
      <w:bCs/>
      <w:color w:val="4472C4" w:themeColor="accent1"/>
      <w:sz w:val="26"/>
      <w:szCs w:val="26"/>
      <w:lang w:val="en-US"/>
    </w:rPr>
  </w:style>
  <w:style w:type="paragraph" w:styleId="NormalWeb">
    <w:name w:val="Normal (Web)"/>
    <w:basedOn w:val="Normal"/>
    <w:uiPriority w:val="99"/>
    <w:rsid w:val="0053171D"/>
    <w:pPr>
      <w:spacing w:before="100" w:beforeAutospacing="1" w:after="100" w:afterAutospacing="1"/>
    </w:pPr>
    <w:rPr>
      <w:rFonts w:eastAsia="Times New Roman"/>
      <w:lang w:eastAsia="pt-BR"/>
    </w:rPr>
  </w:style>
  <w:style w:type="character" w:customStyle="1" w:styleId="foreign1">
    <w:name w:val="foreign1"/>
    <w:basedOn w:val="DefaultParagraphFont"/>
    <w:rsid w:val="0053171D"/>
    <w:rPr>
      <w:i/>
      <w:iCs/>
    </w:rPr>
  </w:style>
  <w:style w:type="character" w:customStyle="1" w:styleId="apple-converted-space">
    <w:name w:val="apple-converted-space"/>
    <w:basedOn w:val="DefaultParagraphFont"/>
    <w:rsid w:val="0053171D"/>
  </w:style>
  <w:style w:type="paragraph" w:customStyle="1" w:styleId="ecxmsonormal">
    <w:name w:val="ecxmsonormal"/>
    <w:basedOn w:val="Normal"/>
    <w:rsid w:val="0053171D"/>
    <w:pPr>
      <w:spacing w:before="100" w:beforeAutospacing="1" w:after="100" w:afterAutospacing="1"/>
    </w:pPr>
    <w:rPr>
      <w:rFonts w:eastAsia="Times New Roman"/>
      <w:noProof/>
      <w:lang w:val="en-US" w:eastAsia="pt-BR"/>
    </w:rPr>
  </w:style>
  <w:style w:type="paragraph" w:styleId="ListParagraph">
    <w:name w:val="List Paragraph"/>
    <w:basedOn w:val="Normal"/>
    <w:uiPriority w:val="34"/>
    <w:qFormat/>
    <w:rsid w:val="0053171D"/>
    <w:pPr>
      <w:spacing w:after="200" w:line="276" w:lineRule="auto"/>
      <w:ind w:left="720"/>
      <w:contextualSpacing/>
    </w:pPr>
    <w:rPr>
      <w:rFonts w:asciiTheme="minorHAnsi" w:eastAsiaTheme="minorHAnsi" w:hAnsiTheme="minorHAnsi" w:cstheme="minorBidi"/>
      <w:noProof/>
      <w:sz w:val="22"/>
      <w:szCs w:val="22"/>
      <w:lang w:val="en-US" w:eastAsia="en-US"/>
    </w:rPr>
  </w:style>
  <w:style w:type="paragraph" w:styleId="FootnoteText">
    <w:name w:val="footnote text"/>
    <w:basedOn w:val="Normal"/>
    <w:link w:val="FootnoteTextChar"/>
    <w:uiPriority w:val="99"/>
    <w:unhideWhenUsed/>
    <w:rsid w:val="0053171D"/>
    <w:rPr>
      <w:rFonts w:asciiTheme="minorHAnsi" w:eastAsiaTheme="minorHAnsi" w:hAnsiTheme="minorHAnsi" w:cstheme="minorBidi"/>
      <w:noProof/>
      <w:sz w:val="20"/>
      <w:szCs w:val="20"/>
      <w:lang w:val="en-US" w:eastAsia="en-US"/>
    </w:rPr>
  </w:style>
  <w:style w:type="character" w:customStyle="1" w:styleId="FootnoteTextChar">
    <w:name w:val="Footnote Text Char"/>
    <w:basedOn w:val="DefaultParagraphFont"/>
    <w:link w:val="FootnoteText"/>
    <w:uiPriority w:val="99"/>
    <w:rsid w:val="0053171D"/>
    <w:rPr>
      <w:noProof/>
      <w:sz w:val="20"/>
      <w:szCs w:val="20"/>
      <w:lang w:val="en-US"/>
    </w:rPr>
  </w:style>
  <w:style w:type="character" w:styleId="FootnoteReference">
    <w:name w:val="footnote reference"/>
    <w:basedOn w:val="DefaultParagraphFont"/>
    <w:uiPriority w:val="99"/>
    <w:unhideWhenUsed/>
    <w:rsid w:val="0053171D"/>
    <w:rPr>
      <w:vertAlign w:val="superscript"/>
    </w:rPr>
  </w:style>
  <w:style w:type="table" w:styleId="TableGrid">
    <w:name w:val="Table Grid"/>
    <w:basedOn w:val="TableNormal"/>
    <w:uiPriority w:val="59"/>
    <w:rsid w:val="005317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3171D"/>
    <w:rPr>
      <w:rFonts w:ascii="Tahoma" w:hAnsi="Tahoma" w:cs="Tahoma"/>
      <w:sz w:val="16"/>
      <w:szCs w:val="16"/>
    </w:rPr>
  </w:style>
  <w:style w:type="character" w:customStyle="1" w:styleId="BalloonTextChar">
    <w:name w:val="Balloon Text Char"/>
    <w:basedOn w:val="DefaultParagraphFont"/>
    <w:link w:val="BalloonText"/>
    <w:uiPriority w:val="99"/>
    <w:semiHidden/>
    <w:rsid w:val="0053171D"/>
    <w:rPr>
      <w:rFonts w:ascii="Tahoma" w:eastAsia="Batang" w:hAnsi="Tahoma" w:cs="Tahoma"/>
      <w:sz w:val="16"/>
      <w:szCs w:val="16"/>
      <w:lang w:eastAsia="ko-KR"/>
    </w:rPr>
  </w:style>
  <w:style w:type="paragraph" w:styleId="Header">
    <w:name w:val="header"/>
    <w:basedOn w:val="Normal"/>
    <w:link w:val="HeaderChar"/>
    <w:unhideWhenUsed/>
    <w:rsid w:val="0053171D"/>
    <w:pPr>
      <w:tabs>
        <w:tab w:val="center" w:pos="4680"/>
        <w:tab w:val="right" w:pos="9360"/>
      </w:tabs>
    </w:pPr>
  </w:style>
  <w:style w:type="character" w:customStyle="1" w:styleId="HeaderChar">
    <w:name w:val="Header Char"/>
    <w:basedOn w:val="DefaultParagraphFont"/>
    <w:link w:val="Header"/>
    <w:rsid w:val="0053171D"/>
    <w:rPr>
      <w:rFonts w:ascii="Times New Roman" w:eastAsia="Batang" w:hAnsi="Times New Roman" w:cs="Times New Roman"/>
      <w:sz w:val="24"/>
      <w:szCs w:val="24"/>
      <w:lang w:eastAsia="ko-KR"/>
    </w:rPr>
  </w:style>
  <w:style w:type="paragraph" w:styleId="Footer">
    <w:name w:val="footer"/>
    <w:basedOn w:val="Normal"/>
    <w:link w:val="FooterChar"/>
    <w:uiPriority w:val="99"/>
    <w:unhideWhenUsed/>
    <w:rsid w:val="0053171D"/>
    <w:pPr>
      <w:tabs>
        <w:tab w:val="center" w:pos="4680"/>
        <w:tab w:val="right" w:pos="9360"/>
      </w:tabs>
    </w:pPr>
  </w:style>
  <w:style w:type="character" w:customStyle="1" w:styleId="FooterChar">
    <w:name w:val="Footer Char"/>
    <w:basedOn w:val="DefaultParagraphFont"/>
    <w:link w:val="Footer"/>
    <w:uiPriority w:val="99"/>
    <w:rsid w:val="0053171D"/>
    <w:rPr>
      <w:rFonts w:ascii="Times New Roman" w:eastAsia="Batang" w:hAnsi="Times New Roman" w:cs="Times New Roman"/>
      <w:sz w:val="24"/>
      <w:szCs w:val="24"/>
      <w:lang w:eastAsia="ko-KR"/>
    </w:rPr>
  </w:style>
  <w:style w:type="character" w:styleId="Hyperlink">
    <w:name w:val="Hyperlink"/>
    <w:basedOn w:val="DefaultParagraphFont"/>
    <w:uiPriority w:val="99"/>
    <w:unhideWhenUsed/>
    <w:rsid w:val="0053171D"/>
    <w:rPr>
      <w:color w:val="0000FF"/>
      <w:u w:val="single"/>
    </w:rPr>
  </w:style>
  <w:style w:type="numbering" w:customStyle="1" w:styleId="Style1">
    <w:name w:val="Style1"/>
    <w:uiPriority w:val="99"/>
    <w:rsid w:val="0053171D"/>
    <w:pPr>
      <w:numPr>
        <w:numId w:val="6"/>
      </w:numPr>
    </w:pPr>
  </w:style>
  <w:style w:type="character" w:styleId="PlaceholderText">
    <w:name w:val="Placeholder Text"/>
    <w:basedOn w:val="DefaultParagraphFont"/>
    <w:uiPriority w:val="99"/>
    <w:semiHidden/>
    <w:rsid w:val="0053171D"/>
    <w:rPr>
      <w:color w:val="808080"/>
    </w:rPr>
  </w:style>
  <w:style w:type="character" w:styleId="Emphasis">
    <w:name w:val="Emphasis"/>
    <w:basedOn w:val="DefaultParagraphFont"/>
    <w:uiPriority w:val="20"/>
    <w:qFormat/>
    <w:rsid w:val="0053171D"/>
    <w:rPr>
      <w:i/>
      <w:iCs/>
    </w:rPr>
  </w:style>
  <w:style w:type="character" w:styleId="FollowedHyperlink">
    <w:name w:val="FollowedHyperlink"/>
    <w:basedOn w:val="DefaultParagraphFont"/>
    <w:uiPriority w:val="99"/>
    <w:semiHidden/>
    <w:unhideWhenUsed/>
    <w:rsid w:val="0053171D"/>
    <w:rPr>
      <w:color w:val="954F72" w:themeColor="followedHyperlink"/>
      <w:u w:val="single"/>
    </w:rPr>
  </w:style>
  <w:style w:type="paragraph" w:customStyle="1" w:styleId="xl63">
    <w:name w:val="xl63"/>
    <w:basedOn w:val="Normal"/>
    <w:rsid w:val="0053171D"/>
    <w:pPr>
      <w:shd w:val="clear" w:color="000000" w:fill="0070C0"/>
      <w:spacing w:before="100" w:beforeAutospacing="1" w:after="100" w:afterAutospacing="1"/>
    </w:pPr>
    <w:rPr>
      <w:rFonts w:eastAsia="Times New Roman"/>
      <w:lang w:eastAsia="pt-BR"/>
    </w:rPr>
  </w:style>
  <w:style w:type="paragraph" w:customStyle="1" w:styleId="xl64">
    <w:name w:val="xl64"/>
    <w:basedOn w:val="Normal"/>
    <w:rsid w:val="0053171D"/>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lang w:eastAsia="pt-BR"/>
    </w:rPr>
  </w:style>
  <w:style w:type="paragraph" w:customStyle="1" w:styleId="xl65">
    <w:name w:val="xl65"/>
    <w:basedOn w:val="Normal"/>
    <w:rsid w:val="0053171D"/>
    <w:pPr>
      <w:pBdr>
        <w:top w:val="single" w:sz="4" w:space="0" w:color="auto"/>
        <w:left w:val="single" w:sz="4" w:space="0" w:color="auto"/>
        <w:bottom w:val="single" w:sz="4" w:space="0" w:color="auto"/>
        <w:right w:val="single" w:sz="4" w:space="0" w:color="auto"/>
      </w:pBdr>
      <w:shd w:val="clear" w:color="000000" w:fill="F79646"/>
      <w:spacing w:before="100" w:beforeAutospacing="1" w:after="100" w:afterAutospacing="1"/>
    </w:pPr>
    <w:rPr>
      <w:rFonts w:eastAsia="Times New Roman"/>
      <w:lang w:eastAsia="pt-BR"/>
    </w:rPr>
  </w:style>
  <w:style w:type="paragraph" w:customStyle="1" w:styleId="xl66">
    <w:name w:val="xl66"/>
    <w:basedOn w:val="Normal"/>
    <w:rsid w:val="0053171D"/>
    <w:pPr>
      <w:pBdr>
        <w:top w:val="single" w:sz="4" w:space="0" w:color="auto"/>
        <w:left w:val="single" w:sz="8" w:space="0" w:color="auto"/>
        <w:bottom w:val="single" w:sz="8" w:space="0" w:color="auto"/>
        <w:right w:val="single" w:sz="4" w:space="0" w:color="auto"/>
      </w:pBdr>
      <w:spacing w:before="100" w:beforeAutospacing="1" w:after="100" w:afterAutospacing="1"/>
    </w:pPr>
    <w:rPr>
      <w:rFonts w:eastAsia="Times New Roman"/>
      <w:lang w:eastAsia="pt-BR"/>
    </w:rPr>
  </w:style>
  <w:style w:type="paragraph" w:customStyle="1" w:styleId="xl67">
    <w:name w:val="xl67"/>
    <w:basedOn w:val="Normal"/>
    <w:rsid w:val="0053171D"/>
    <w:pPr>
      <w:pBdr>
        <w:left w:val="single" w:sz="4" w:space="0" w:color="auto"/>
        <w:right w:val="single" w:sz="4" w:space="0" w:color="auto"/>
      </w:pBdr>
      <w:spacing w:before="100" w:beforeAutospacing="1" w:after="100" w:afterAutospacing="1"/>
    </w:pPr>
    <w:rPr>
      <w:rFonts w:eastAsia="Times New Roman"/>
      <w:lang w:eastAsia="pt-BR"/>
    </w:rPr>
  </w:style>
  <w:style w:type="paragraph" w:customStyle="1" w:styleId="xl68">
    <w:name w:val="xl68"/>
    <w:basedOn w:val="Normal"/>
    <w:rsid w:val="0053171D"/>
    <w:pPr>
      <w:pBdr>
        <w:top w:val="single" w:sz="8" w:space="0" w:color="auto"/>
        <w:left w:val="single" w:sz="4" w:space="0" w:color="auto"/>
        <w:bottom w:val="single" w:sz="4" w:space="0" w:color="auto"/>
        <w:right w:val="single" w:sz="4" w:space="0" w:color="auto"/>
      </w:pBdr>
      <w:spacing w:before="100" w:beforeAutospacing="1" w:after="100" w:afterAutospacing="1"/>
    </w:pPr>
    <w:rPr>
      <w:rFonts w:eastAsia="Times New Roman"/>
      <w:lang w:eastAsia="pt-BR"/>
    </w:rPr>
  </w:style>
  <w:style w:type="paragraph" w:customStyle="1" w:styleId="xl69">
    <w:name w:val="xl69"/>
    <w:basedOn w:val="Normal"/>
    <w:rsid w:val="0053171D"/>
    <w:pPr>
      <w:pBdr>
        <w:top w:val="single" w:sz="8" w:space="0" w:color="auto"/>
        <w:left w:val="single" w:sz="4" w:space="0" w:color="auto"/>
        <w:bottom w:val="single" w:sz="4" w:space="0" w:color="auto"/>
        <w:right w:val="single" w:sz="4" w:space="0" w:color="auto"/>
      </w:pBdr>
      <w:shd w:val="clear" w:color="000000" w:fill="0070C0"/>
      <w:spacing w:before="100" w:beforeAutospacing="1" w:after="100" w:afterAutospacing="1"/>
    </w:pPr>
    <w:rPr>
      <w:rFonts w:eastAsia="Times New Roman"/>
      <w:lang w:eastAsia="pt-BR"/>
    </w:rPr>
  </w:style>
  <w:style w:type="paragraph" w:customStyle="1" w:styleId="xl70">
    <w:name w:val="xl70"/>
    <w:basedOn w:val="Normal"/>
    <w:rsid w:val="0053171D"/>
    <w:pPr>
      <w:pBdr>
        <w:top w:val="single" w:sz="8" w:space="0" w:color="auto"/>
        <w:left w:val="single" w:sz="4" w:space="0" w:color="auto"/>
        <w:bottom w:val="single" w:sz="4" w:space="0" w:color="auto"/>
        <w:right w:val="single" w:sz="8" w:space="0" w:color="auto"/>
      </w:pBdr>
      <w:spacing w:before="100" w:beforeAutospacing="1" w:after="100" w:afterAutospacing="1"/>
    </w:pPr>
    <w:rPr>
      <w:rFonts w:eastAsia="Times New Roman"/>
      <w:lang w:eastAsia="pt-BR"/>
    </w:rPr>
  </w:style>
  <w:style w:type="paragraph" w:customStyle="1" w:styleId="xl71">
    <w:name w:val="xl71"/>
    <w:basedOn w:val="Normal"/>
    <w:rsid w:val="0053171D"/>
    <w:pPr>
      <w:pBdr>
        <w:top w:val="single" w:sz="4" w:space="0" w:color="auto"/>
        <w:left w:val="single" w:sz="8" w:space="0" w:color="auto"/>
        <w:bottom w:val="single" w:sz="4" w:space="0" w:color="auto"/>
        <w:right w:val="single" w:sz="4" w:space="0" w:color="auto"/>
      </w:pBdr>
      <w:spacing w:before="100" w:beforeAutospacing="1" w:after="100" w:afterAutospacing="1"/>
    </w:pPr>
    <w:rPr>
      <w:rFonts w:eastAsia="Times New Roman"/>
      <w:lang w:eastAsia="pt-BR"/>
    </w:rPr>
  </w:style>
  <w:style w:type="paragraph" w:customStyle="1" w:styleId="xl72">
    <w:name w:val="xl72"/>
    <w:basedOn w:val="Normal"/>
    <w:rsid w:val="0053171D"/>
    <w:pPr>
      <w:pBdr>
        <w:top w:val="single" w:sz="4" w:space="0" w:color="auto"/>
        <w:left w:val="single" w:sz="4" w:space="0" w:color="auto"/>
        <w:bottom w:val="single" w:sz="4" w:space="0" w:color="auto"/>
        <w:right w:val="single" w:sz="8" w:space="0" w:color="auto"/>
      </w:pBdr>
      <w:spacing w:before="100" w:beforeAutospacing="1" w:after="100" w:afterAutospacing="1"/>
    </w:pPr>
    <w:rPr>
      <w:rFonts w:eastAsia="Times New Roman"/>
      <w:lang w:eastAsia="pt-BR"/>
    </w:rPr>
  </w:style>
  <w:style w:type="paragraph" w:customStyle="1" w:styleId="xl73">
    <w:name w:val="xl73"/>
    <w:basedOn w:val="Normal"/>
    <w:rsid w:val="0053171D"/>
    <w:pPr>
      <w:pBdr>
        <w:top w:val="single" w:sz="4" w:space="0" w:color="auto"/>
        <w:left w:val="single" w:sz="4" w:space="0" w:color="auto"/>
        <w:bottom w:val="single" w:sz="8" w:space="0" w:color="auto"/>
        <w:right w:val="single" w:sz="4" w:space="0" w:color="auto"/>
      </w:pBdr>
      <w:spacing w:before="100" w:beforeAutospacing="1" w:after="100" w:afterAutospacing="1"/>
    </w:pPr>
    <w:rPr>
      <w:rFonts w:eastAsia="Times New Roman"/>
      <w:lang w:eastAsia="pt-BR"/>
    </w:rPr>
  </w:style>
  <w:style w:type="paragraph" w:customStyle="1" w:styleId="xl74">
    <w:name w:val="xl74"/>
    <w:basedOn w:val="Normal"/>
    <w:rsid w:val="0053171D"/>
    <w:pPr>
      <w:pBdr>
        <w:top w:val="single" w:sz="4" w:space="0" w:color="auto"/>
        <w:left w:val="single" w:sz="4" w:space="0" w:color="auto"/>
        <w:bottom w:val="single" w:sz="8" w:space="0" w:color="auto"/>
        <w:right w:val="single" w:sz="4" w:space="0" w:color="auto"/>
      </w:pBdr>
      <w:shd w:val="clear" w:color="000000" w:fill="F79646"/>
      <w:spacing w:before="100" w:beforeAutospacing="1" w:after="100" w:afterAutospacing="1"/>
    </w:pPr>
    <w:rPr>
      <w:rFonts w:eastAsia="Times New Roman"/>
      <w:lang w:eastAsia="pt-BR"/>
    </w:rPr>
  </w:style>
  <w:style w:type="paragraph" w:customStyle="1" w:styleId="xl75">
    <w:name w:val="xl75"/>
    <w:basedOn w:val="Normal"/>
    <w:rsid w:val="0053171D"/>
    <w:pPr>
      <w:pBdr>
        <w:top w:val="single" w:sz="4" w:space="0" w:color="auto"/>
        <w:left w:val="single" w:sz="4" w:space="0" w:color="auto"/>
        <w:bottom w:val="single" w:sz="8" w:space="0" w:color="auto"/>
        <w:right w:val="single" w:sz="8" w:space="0" w:color="auto"/>
      </w:pBdr>
      <w:spacing w:before="100" w:beforeAutospacing="1" w:after="100" w:afterAutospacing="1"/>
    </w:pPr>
    <w:rPr>
      <w:rFonts w:eastAsia="Times New Roman"/>
      <w:lang w:eastAsia="pt-BR"/>
    </w:rPr>
  </w:style>
  <w:style w:type="paragraph" w:customStyle="1" w:styleId="xl76">
    <w:name w:val="xl76"/>
    <w:basedOn w:val="Normal"/>
    <w:rsid w:val="0053171D"/>
    <w:pPr>
      <w:pBdr>
        <w:top w:val="single" w:sz="8" w:space="0" w:color="auto"/>
        <w:left w:val="single" w:sz="4" w:space="0" w:color="auto"/>
        <w:bottom w:val="single" w:sz="4" w:space="0" w:color="auto"/>
        <w:right w:val="single" w:sz="4" w:space="0" w:color="auto"/>
      </w:pBdr>
      <w:shd w:val="clear" w:color="000000" w:fill="0070C0"/>
      <w:spacing w:before="100" w:beforeAutospacing="1" w:after="100" w:afterAutospacing="1"/>
    </w:pPr>
    <w:rPr>
      <w:rFonts w:eastAsia="Times New Roman"/>
      <w:lang w:eastAsia="pt-BR"/>
    </w:rPr>
  </w:style>
  <w:style w:type="paragraph" w:customStyle="1" w:styleId="xl77">
    <w:name w:val="xl77"/>
    <w:basedOn w:val="Normal"/>
    <w:rsid w:val="0053171D"/>
    <w:pPr>
      <w:pBdr>
        <w:top w:val="single" w:sz="8" w:space="0" w:color="auto"/>
        <w:left w:val="single" w:sz="4" w:space="0" w:color="auto"/>
        <w:bottom w:val="single" w:sz="8" w:space="0" w:color="auto"/>
        <w:right w:val="single" w:sz="4" w:space="0" w:color="auto"/>
      </w:pBdr>
      <w:spacing w:before="100" w:beforeAutospacing="1" w:after="100" w:afterAutospacing="1"/>
    </w:pPr>
    <w:rPr>
      <w:rFonts w:eastAsia="Times New Roman"/>
      <w:lang w:eastAsia="pt-BR"/>
    </w:rPr>
  </w:style>
  <w:style w:type="paragraph" w:customStyle="1" w:styleId="xl78">
    <w:name w:val="xl78"/>
    <w:basedOn w:val="Normal"/>
    <w:rsid w:val="0053171D"/>
    <w:pPr>
      <w:pBdr>
        <w:top w:val="single" w:sz="8" w:space="0" w:color="auto"/>
        <w:left w:val="single" w:sz="4" w:space="0" w:color="auto"/>
        <w:bottom w:val="single" w:sz="8" w:space="0" w:color="auto"/>
        <w:right w:val="single" w:sz="8" w:space="0" w:color="auto"/>
      </w:pBdr>
      <w:shd w:val="clear" w:color="000000" w:fill="4F81BD"/>
      <w:spacing w:before="100" w:beforeAutospacing="1" w:after="100" w:afterAutospacing="1"/>
    </w:pPr>
    <w:rPr>
      <w:rFonts w:eastAsia="Times New Roman"/>
      <w:lang w:eastAsia="pt-BR"/>
    </w:rPr>
  </w:style>
  <w:style w:type="paragraph" w:customStyle="1" w:styleId="xl79">
    <w:name w:val="xl79"/>
    <w:basedOn w:val="Normal"/>
    <w:rsid w:val="0053171D"/>
    <w:pPr>
      <w:pBdr>
        <w:top w:val="single" w:sz="8" w:space="0" w:color="auto"/>
        <w:left w:val="single" w:sz="4" w:space="0" w:color="auto"/>
        <w:bottom w:val="single" w:sz="4" w:space="0" w:color="auto"/>
        <w:right w:val="single" w:sz="8" w:space="0" w:color="auto"/>
      </w:pBdr>
      <w:shd w:val="clear" w:color="000000" w:fill="0070C0"/>
      <w:spacing w:before="100" w:beforeAutospacing="1" w:after="100" w:afterAutospacing="1"/>
    </w:pPr>
    <w:rPr>
      <w:rFonts w:eastAsia="Times New Roman"/>
      <w:lang w:eastAsia="pt-BR"/>
    </w:rPr>
  </w:style>
  <w:style w:type="paragraph" w:customStyle="1" w:styleId="xl80">
    <w:name w:val="xl80"/>
    <w:basedOn w:val="Normal"/>
    <w:rsid w:val="0053171D"/>
    <w:pPr>
      <w:pBdr>
        <w:top w:val="single" w:sz="4" w:space="0" w:color="auto"/>
        <w:left w:val="single" w:sz="4" w:space="0" w:color="auto"/>
        <w:bottom w:val="single" w:sz="4" w:space="0" w:color="auto"/>
        <w:right w:val="single" w:sz="8" w:space="0" w:color="auto"/>
      </w:pBdr>
      <w:shd w:val="clear" w:color="000000" w:fill="F79646"/>
      <w:spacing w:before="100" w:beforeAutospacing="1" w:after="100" w:afterAutospacing="1"/>
    </w:pPr>
    <w:rPr>
      <w:rFonts w:eastAsia="Times New Roman"/>
      <w:lang w:eastAsia="pt-BR"/>
    </w:rPr>
  </w:style>
  <w:style w:type="paragraph" w:customStyle="1" w:styleId="xl81">
    <w:name w:val="xl81"/>
    <w:basedOn w:val="Normal"/>
    <w:rsid w:val="0053171D"/>
    <w:pPr>
      <w:pBdr>
        <w:top w:val="single" w:sz="8" w:space="0" w:color="auto"/>
        <w:left w:val="single" w:sz="4" w:space="0" w:color="auto"/>
        <w:bottom w:val="single" w:sz="4" w:space="0" w:color="auto"/>
        <w:right w:val="single" w:sz="8" w:space="0" w:color="auto"/>
      </w:pBdr>
      <w:spacing w:before="100" w:beforeAutospacing="1" w:after="100" w:afterAutospacing="1"/>
    </w:pPr>
    <w:rPr>
      <w:rFonts w:eastAsia="Times New Roman"/>
      <w:lang w:eastAsia="pt-BR"/>
    </w:rPr>
  </w:style>
  <w:style w:type="paragraph" w:customStyle="1" w:styleId="xl82">
    <w:name w:val="xl82"/>
    <w:basedOn w:val="Normal"/>
    <w:rsid w:val="0053171D"/>
    <w:pPr>
      <w:pBdr>
        <w:left w:val="single" w:sz="4" w:space="0" w:color="auto"/>
        <w:right w:val="single" w:sz="4" w:space="0" w:color="auto"/>
      </w:pBdr>
      <w:shd w:val="clear" w:color="000000" w:fill="F2F2F2"/>
      <w:spacing w:before="100" w:beforeAutospacing="1" w:after="100" w:afterAutospacing="1"/>
    </w:pPr>
    <w:rPr>
      <w:rFonts w:eastAsia="Times New Roman"/>
      <w:lang w:eastAsia="pt-BR"/>
    </w:rPr>
  </w:style>
  <w:style w:type="paragraph" w:customStyle="1" w:styleId="xl83">
    <w:name w:val="xl83"/>
    <w:basedOn w:val="Normal"/>
    <w:rsid w:val="0053171D"/>
    <w:pPr>
      <w:pBdr>
        <w:top w:val="single" w:sz="4" w:space="0" w:color="auto"/>
        <w:left w:val="single" w:sz="8" w:space="0" w:color="auto"/>
        <w:bottom w:val="single" w:sz="8" w:space="0" w:color="auto"/>
        <w:right w:val="single" w:sz="4" w:space="0" w:color="auto"/>
      </w:pBdr>
      <w:shd w:val="clear" w:color="000000" w:fill="F79646"/>
      <w:spacing w:before="100" w:beforeAutospacing="1" w:after="100" w:afterAutospacing="1"/>
    </w:pPr>
    <w:rPr>
      <w:rFonts w:eastAsia="Times New Roman"/>
      <w:lang w:eastAsia="pt-BR"/>
    </w:rPr>
  </w:style>
  <w:style w:type="paragraph" w:customStyle="1" w:styleId="xl84">
    <w:name w:val="xl84"/>
    <w:basedOn w:val="Normal"/>
    <w:rsid w:val="0053171D"/>
    <w:pPr>
      <w:pBdr>
        <w:top w:val="single" w:sz="4" w:space="0" w:color="auto"/>
        <w:left w:val="single" w:sz="4" w:space="0" w:color="auto"/>
        <w:bottom w:val="single" w:sz="8"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85">
    <w:name w:val="xl85"/>
    <w:basedOn w:val="Normal"/>
    <w:rsid w:val="0053171D"/>
    <w:pPr>
      <w:pBdr>
        <w:top w:val="single" w:sz="4" w:space="0" w:color="auto"/>
        <w:left w:val="single" w:sz="4" w:space="0" w:color="auto"/>
        <w:bottom w:val="single" w:sz="8" w:space="0" w:color="auto"/>
        <w:right w:val="single" w:sz="8" w:space="0" w:color="auto"/>
      </w:pBdr>
      <w:shd w:val="clear" w:color="000000" w:fill="F79646"/>
      <w:spacing w:before="100" w:beforeAutospacing="1" w:after="100" w:afterAutospacing="1"/>
      <w:jc w:val="center"/>
    </w:pPr>
    <w:rPr>
      <w:rFonts w:eastAsia="Times New Roman"/>
      <w:b/>
      <w:bCs/>
      <w:lang w:eastAsia="pt-BR"/>
    </w:rPr>
  </w:style>
  <w:style w:type="paragraph" w:customStyle="1" w:styleId="xl86">
    <w:name w:val="xl86"/>
    <w:basedOn w:val="Normal"/>
    <w:rsid w:val="0053171D"/>
    <w:pPr>
      <w:pBdr>
        <w:top w:val="single" w:sz="8" w:space="0" w:color="auto"/>
        <w:left w:val="single" w:sz="8" w:space="0" w:color="auto"/>
        <w:bottom w:val="single" w:sz="4" w:space="0" w:color="auto"/>
      </w:pBdr>
      <w:shd w:val="clear" w:color="000000" w:fill="F79646"/>
      <w:spacing w:before="100" w:beforeAutospacing="1" w:after="100" w:afterAutospacing="1"/>
    </w:pPr>
    <w:rPr>
      <w:rFonts w:eastAsia="Times New Roman"/>
      <w:b/>
      <w:bCs/>
      <w:lang w:eastAsia="pt-BR"/>
    </w:rPr>
  </w:style>
  <w:style w:type="paragraph" w:customStyle="1" w:styleId="xl87">
    <w:name w:val="xl87"/>
    <w:basedOn w:val="Normal"/>
    <w:rsid w:val="0053171D"/>
    <w:pPr>
      <w:pBdr>
        <w:top w:val="single" w:sz="4" w:space="0" w:color="auto"/>
        <w:left w:val="single" w:sz="8" w:space="0" w:color="auto"/>
        <w:bottom w:val="single" w:sz="4" w:space="0" w:color="auto"/>
      </w:pBdr>
      <w:shd w:val="clear" w:color="000000" w:fill="F79646"/>
      <w:spacing w:before="100" w:beforeAutospacing="1" w:after="100" w:afterAutospacing="1"/>
    </w:pPr>
    <w:rPr>
      <w:rFonts w:eastAsia="Times New Roman"/>
      <w:b/>
      <w:bCs/>
      <w:lang w:eastAsia="pt-BR"/>
    </w:rPr>
  </w:style>
  <w:style w:type="paragraph" w:customStyle="1" w:styleId="xl88">
    <w:name w:val="xl88"/>
    <w:basedOn w:val="Normal"/>
    <w:rsid w:val="0053171D"/>
    <w:pPr>
      <w:pBdr>
        <w:top w:val="single" w:sz="4" w:space="0" w:color="auto"/>
        <w:left w:val="single" w:sz="8" w:space="0" w:color="auto"/>
        <w:bottom w:val="single" w:sz="8" w:space="0" w:color="auto"/>
      </w:pBdr>
      <w:shd w:val="clear" w:color="000000" w:fill="F79646"/>
      <w:spacing w:before="100" w:beforeAutospacing="1" w:after="100" w:afterAutospacing="1"/>
    </w:pPr>
    <w:rPr>
      <w:rFonts w:eastAsia="Times New Roman"/>
      <w:lang w:eastAsia="pt-BR"/>
    </w:rPr>
  </w:style>
  <w:style w:type="paragraph" w:customStyle="1" w:styleId="xl89">
    <w:name w:val="xl89"/>
    <w:basedOn w:val="Normal"/>
    <w:rsid w:val="0053171D"/>
    <w:pPr>
      <w:pBdr>
        <w:left w:val="single" w:sz="4" w:space="0" w:color="auto"/>
      </w:pBdr>
      <w:shd w:val="clear" w:color="000000" w:fill="F2F2F2"/>
      <w:spacing w:before="100" w:beforeAutospacing="1" w:after="100" w:afterAutospacing="1"/>
    </w:pPr>
    <w:rPr>
      <w:rFonts w:eastAsia="Times New Roman"/>
      <w:lang w:eastAsia="pt-BR"/>
    </w:rPr>
  </w:style>
  <w:style w:type="paragraph" w:customStyle="1" w:styleId="xl90">
    <w:name w:val="xl90"/>
    <w:basedOn w:val="Normal"/>
    <w:rsid w:val="0053171D"/>
    <w:pPr>
      <w:pBdr>
        <w:top w:val="single" w:sz="8" w:space="0" w:color="auto"/>
        <w:left w:val="single" w:sz="8" w:space="0" w:color="auto"/>
        <w:bottom w:val="single" w:sz="4" w:space="0" w:color="auto"/>
      </w:pBdr>
      <w:spacing w:before="100" w:beforeAutospacing="1" w:after="100" w:afterAutospacing="1"/>
    </w:pPr>
    <w:rPr>
      <w:rFonts w:eastAsia="Times New Roman"/>
      <w:b/>
      <w:bCs/>
      <w:lang w:eastAsia="pt-BR"/>
    </w:rPr>
  </w:style>
  <w:style w:type="paragraph" w:customStyle="1" w:styleId="xl91">
    <w:name w:val="xl91"/>
    <w:basedOn w:val="Normal"/>
    <w:rsid w:val="0053171D"/>
    <w:pPr>
      <w:pBdr>
        <w:top w:val="single" w:sz="4" w:space="0" w:color="auto"/>
        <w:left w:val="single" w:sz="8" w:space="0" w:color="auto"/>
        <w:bottom w:val="single" w:sz="4" w:space="0" w:color="auto"/>
      </w:pBdr>
      <w:spacing w:before="100" w:beforeAutospacing="1" w:after="100" w:afterAutospacing="1"/>
    </w:pPr>
    <w:rPr>
      <w:rFonts w:eastAsia="Times New Roman"/>
      <w:lang w:eastAsia="pt-BR"/>
    </w:rPr>
  </w:style>
  <w:style w:type="paragraph" w:customStyle="1" w:styleId="xl92">
    <w:name w:val="xl92"/>
    <w:basedOn w:val="Normal"/>
    <w:rsid w:val="0053171D"/>
    <w:pPr>
      <w:pBdr>
        <w:top w:val="single" w:sz="4" w:space="0" w:color="auto"/>
        <w:left w:val="single" w:sz="8" w:space="0" w:color="auto"/>
        <w:bottom w:val="single" w:sz="8" w:space="0" w:color="auto"/>
      </w:pBdr>
      <w:spacing w:before="100" w:beforeAutospacing="1" w:after="100" w:afterAutospacing="1"/>
    </w:pPr>
    <w:rPr>
      <w:rFonts w:eastAsia="Times New Roman"/>
      <w:lang w:eastAsia="pt-BR"/>
    </w:rPr>
  </w:style>
  <w:style w:type="paragraph" w:customStyle="1" w:styleId="xl93">
    <w:name w:val="xl93"/>
    <w:basedOn w:val="Normal"/>
    <w:rsid w:val="0053171D"/>
    <w:pPr>
      <w:pBdr>
        <w:left w:val="single" w:sz="4" w:space="0" w:color="auto"/>
      </w:pBdr>
      <w:spacing w:before="100" w:beforeAutospacing="1" w:after="100" w:afterAutospacing="1"/>
    </w:pPr>
    <w:rPr>
      <w:rFonts w:eastAsia="Times New Roman"/>
      <w:lang w:eastAsia="pt-BR"/>
    </w:rPr>
  </w:style>
  <w:style w:type="paragraph" w:customStyle="1" w:styleId="xl94">
    <w:name w:val="xl94"/>
    <w:basedOn w:val="Normal"/>
    <w:rsid w:val="0053171D"/>
    <w:pPr>
      <w:pBdr>
        <w:top w:val="single" w:sz="8" w:space="0" w:color="auto"/>
        <w:left w:val="single" w:sz="8" w:space="0" w:color="auto"/>
        <w:bottom w:val="single" w:sz="8" w:space="0" w:color="auto"/>
      </w:pBdr>
      <w:spacing w:before="100" w:beforeAutospacing="1" w:after="100" w:afterAutospacing="1"/>
    </w:pPr>
    <w:rPr>
      <w:rFonts w:eastAsia="Times New Roman"/>
      <w:b/>
      <w:bCs/>
      <w:lang w:eastAsia="pt-BR"/>
    </w:rPr>
  </w:style>
  <w:style w:type="paragraph" w:customStyle="1" w:styleId="xl95">
    <w:name w:val="xl95"/>
    <w:basedOn w:val="Normal"/>
    <w:rsid w:val="0053171D"/>
    <w:pPr>
      <w:pBdr>
        <w:top w:val="single" w:sz="4" w:space="0" w:color="auto"/>
        <w:bottom w:val="single" w:sz="8"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96">
    <w:name w:val="xl96"/>
    <w:basedOn w:val="Normal"/>
    <w:rsid w:val="0053171D"/>
    <w:pPr>
      <w:pBdr>
        <w:right w:val="single" w:sz="4" w:space="0" w:color="auto"/>
      </w:pBdr>
      <w:shd w:val="clear" w:color="000000" w:fill="F2F2F2"/>
      <w:spacing w:before="100" w:beforeAutospacing="1" w:after="100" w:afterAutospacing="1"/>
    </w:pPr>
    <w:rPr>
      <w:rFonts w:eastAsia="Times New Roman"/>
      <w:lang w:eastAsia="pt-BR"/>
    </w:rPr>
  </w:style>
  <w:style w:type="paragraph" w:customStyle="1" w:styleId="xl97">
    <w:name w:val="xl97"/>
    <w:basedOn w:val="Normal"/>
    <w:rsid w:val="0053171D"/>
    <w:pPr>
      <w:pBdr>
        <w:top w:val="single" w:sz="8" w:space="0" w:color="auto"/>
        <w:bottom w:val="single" w:sz="4" w:space="0" w:color="auto"/>
        <w:right w:val="single" w:sz="4" w:space="0" w:color="auto"/>
      </w:pBdr>
      <w:shd w:val="clear" w:color="000000" w:fill="0070C0"/>
      <w:spacing w:before="100" w:beforeAutospacing="1" w:after="100" w:afterAutospacing="1"/>
    </w:pPr>
    <w:rPr>
      <w:rFonts w:eastAsia="Times New Roman"/>
      <w:lang w:eastAsia="pt-BR"/>
    </w:rPr>
  </w:style>
  <w:style w:type="paragraph" w:customStyle="1" w:styleId="xl98">
    <w:name w:val="xl98"/>
    <w:basedOn w:val="Normal"/>
    <w:rsid w:val="0053171D"/>
    <w:pPr>
      <w:pBdr>
        <w:top w:val="single" w:sz="4" w:space="0" w:color="auto"/>
        <w:bottom w:val="single" w:sz="4" w:space="0" w:color="auto"/>
        <w:right w:val="single" w:sz="4" w:space="0" w:color="auto"/>
      </w:pBdr>
      <w:shd w:val="clear" w:color="000000" w:fill="F79646"/>
      <w:spacing w:before="100" w:beforeAutospacing="1" w:after="100" w:afterAutospacing="1"/>
    </w:pPr>
    <w:rPr>
      <w:rFonts w:eastAsia="Times New Roman"/>
      <w:lang w:eastAsia="pt-BR"/>
    </w:rPr>
  </w:style>
  <w:style w:type="paragraph" w:customStyle="1" w:styleId="xl99">
    <w:name w:val="xl99"/>
    <w:basedOn w:val="Normal"/>
    <w:rsid w:val="0053171D"/>
    <w:pPr>
      <w:pBdr>
        <w:top w:val="single" w:sz="4" w:space="0" w:color="auto"/>
        <w:bottom w:val="single" w:sz="8" w:space="0" w:color="auto"/>
        <w:right w:val="single" w:sz="4" w:space="0" w:color="auto"/>
      </w:pBdr>
      <w:spacing w:before="100" w:beforeAutospacing="1" w:after="100" w:afterAutospacing="1"/>
    </w:pPr>
    <w:rPr>
      <w:rFonts w:eastAsia="Times New Roman"/>
      <w:lang w:eastAsia="pt-BR"/>
    </w:rPr>
  </w:style>
  <w:style w:type="paragraph" w:customStyle="1" w:styleId="xl100">
    <w:name w:val="xl100"/>
    <w:basedOn w:val="Normal"/>
    <w:rsid w:val="0053171D"/>
    <w:pPr>
      <w:pBdr>
        <w:right w:val="single" w:sz="4" w:space="0" w:color="auto"/>
      </w:pBdr>
      <w:spacing w:before="100" w:beforeAutospacing="1" w:after="100" w:afterAutospacing="1"/>
    </w:pPr>
    <w:rPr>
      <w:rFonts w:eastAsia="Times New Roman"/>
      <w:lang w:eastAsia="pt-BR"/>
    </w:rPr>
  </w:style>
  <w:style w:type="paragraph" w:customStyle="1" w:styleId="xl101">
    <w:name w:val="xl101"/>
    <w:basedOn w:val="Normal"/>
    <w:rsid w:val="0053171D"/>
    <w:pPr>
      <w:pBdr>
        <w:top w:val="single" w:sz="8" w:space="0" w:color="auto"/>
        <w:bottom w:val="single" w:sz="4" w:space="0" w:color="auto"/>
        <w:right w:val="single" w:sz="4" w:space="0" w:color="auto"/>
      </w:pBdr>
      <w:shd w:val="clear" w:color="000000" w:fill="0070C0"/>
      <w:spacing w:before="100" w:beforeAutospacing="1" w:after="100" w:afterAutospacing="1"/>
    </w:pPr>
    <w:rPr>
      <w:rFonts w:eastAsia="Times New Roman"/>
      <w:lang w:eastAsia="pt-BR"/>
    </w:rPr>
  </w:style>
  <w:style w:type="paragraph" w:customStyle="1" w:styleId="xl102">
    <w:name w:val="xl102"/>
    <w:basedOn w:val="Normal"/>
    <w:rsid w:val="0053171D"/>
    <w:pPr>
      <w:pBdr>
        <w:top w:val="single" w:sz="8" w:space="0" w:color="auto"/>
        <w:bottom w:val="single" w:sz="4" w:space="0" w:color="auto"/>
        <w:right w:val="single" w:sz="4" w:space="0" w:color="auto"/>
      </w:pBdr>
      <w:spacing w:before="100" w:beforeAutospacing="1" w:after="100" w:afterAutospacing="1"/>
    </w:pPr>
    <w:rPr>
      <w:rFonts w:eastAsia="Times New Roman"/>
      <w:lang w:eastAsia="pt-BR"/>
    </w:rPr>
  </w:style>
  <w:style w:type="paragraph" w:customStyle="1" w:styleId="xl103">
    <w:name w:val="xl103"/>
    <w:basedOn w:val="Normal"/>
    <w:rsid w:val="0053171D"/>
    <w:pPr>
      <w:pBdr>
        <w:top w:val="single" w:sz="4" w:space="0" w:color="auto"/>
        <w:bottom w:val="single" w:sz="4" w:space="0" w:color="auto"/>
        <w:right w:val="single" w:sz="4" w:space="0" w:color="auto"/>
      </w:pBdr>
      <w:spacing w:before="100" w:beforeAutospacing="1" w:after="100" w:afterAutospacing="1"/>
    </w:pPr>
    <w:rPr>
      <w:rFonts w:eastAsia="Times New Roman"/>
      <w:lang w:eastAsia="pt-BR"/>
    </w:rPr>
  </w:style>
  <w:style w:type="paragraph" w:customStyle="1" w:styleId="xl104">
    <w:name w:val="xl104"/>
    <w:basedOn w:val="Normal"/>
    <w:rsid w:val="0053171D"/>
    <w:pPr>
      <w:pBdr>
        <w:top w:val="single" w:sz="8" w:space="0" w:color="auto"/>
        <w:bottom w:val="single" w:sz="8" w:space="0" w:color="auto"/>
        <w:right w:val="single" w:sz="4" w:space="0" w:color="auto"/>
      </w:pBdr>
      <w:spacing w:before="100" w:beforeAutospacing="1" w:after="100" w:afterAutospacing="1"/>
    </w:pPr>
    <w:rPr>
      <w:rFonts w:eastAsia="Times New Roman"/>
      <w:lang w:eastAsia="pt-BR"/>
    </w:rPr>
  </w:style>
  <w:style w:type="paragraph" w:customStyle="1" w:styleId="xl105">
    <w:name w:val="xl105"/>
    <w:basedOn w:val="Normal"/>
    <w:rsid w:val="0053171D"/>
    <w:pPr>
      <w:pBdr>
        <w:top w:val="single" w:sz="4" w:space="0" w:color="auto"/>
        <w:left w:val="single" w:sz="8" w:space="0" w:color="auto"/>
        <w:bottom w:val="single" w:sz="8"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06">
    <w:name w:val="xl106"/>
    <w:basedOn w:val="Normal"/>
    <w:rsid w:val="0053171D"/>
    <w:pPr>
      <w:pBdr>
        <w:left w:val="single" w:sz="8" w:space="0" w:color="auto"/>
        <w:right w:val="single" w:sz="4" w:space="0" w:color="auto"/>
      </w:pBdr>
      <w:shd w:val="clear" w:color="000000" w:fill="F2F2F2"/>
      <w:spacing w:before="100" w:beforeAutospacing="1" w:after="100" w:afterAutospacing="1"/>
    </w:pPr>
    <w:rPr>
      <w:rFonts w:eastAsia="Times New Roman"/>
      <w:lang w:eastAsia="pt-BR"/>
    </w:rPr>
  </w:style>
  <w:style w:type="paragraph" w:customStyle="1" w:styleId="xl107">
    <w:name w:val="xl107"/>
    <w:basedOn w:val="Normal"/>
    <w:rsid w:val="0053171D"/>
    <w:pPr>
      <w:pBdr>
        <w:left w:val="single" w:sz="4" w:space="0" w:color="auto"/>
        <w:right w:val="single" w:sz="8" w:space="0" w:color="auto"/>
      </w:pBdr>
      <w:shd w:val="clear" w:color="000000" w:fill="F2F2F2"/>
      <w:spacing w:before="100" w:beforeAutospacing="1" w:after="100" w:afterAutospacing="1"/>
    </w:pPr>
    <w:rPr>
      <w:rFonts w:eastAsia="Times New Roman"/>
      <w:lang w:eastAsia="pt-BR"/>
    </w:rPr>
  </w:style>
  <w:style w:type="paragraph" w:customStyle="1" w:styleId="xl108">
    <w:name w:val="xl108"/>
    <w:basedOn w:val="Normal"/>
    <w:rsid w:val="0053171D"/>
    <w:pPr>
      <w:pBdr>
        <w:top w:val="single" w:sz="8" w:space="0" w:color="auto"/>
        <w:left w:val="single" w:sz="8" w:space="0" w:color="auto"/>
        <w:bottom w:val="single" w:sz="4" w:space="0" w:color="auto"/>
        <w:right w:val="single" w:sz="4" w:space="0" w:color="auto"/>
      </w:pBdr>
      <w:spacing w:before="100" w:beforeAutospacing="1" w:after="100" w:afterAutospacing="1"/>
    </w:pPr>
    <w:rPr>
      <w:rFonts w:eastAsia="Times New Roman"/>
      <w:lang w:eastAsia="pt-BR"/>
    </w:rPr>
  </w:style>
  <w:style w:type="paragraph" w:customStyle="1" w:styleId="xl109">
    <w:name w:val="xl109"/>
    <w:basedOn w:val="Normal"/>
    <w:rsid w:val="0053171D"/>
    <w:pPr>
      <w:pBdr>
        <w:left w:val="single" w:sz="8" w:space="0" w:color="auto"/>
        <w:right w:val="single" w:sz="4" w:space="0" w:color="auto"/>
      </w:pBdr>
      <w:spacing w:before="100" w:beforeAutospacing="1" w:after="100" w:afterAutospacing="1"/>
    </w:pPr>
    <w:rPr>
      <w:rFonts w:eastAsia="Times New Roman"/>
      <w:lang w:eastAsia="pt-BR"/>
    </w:rPr>
  </w:style>
  <w:style w:type="paragraph" w:customStyle="1" w:styleId="xl110">
    <w:name w:val="xl110"/>
    <w:basedOn w:val="Normal"/>
    <w:rsid w:val="0053171D"/>
    <w:pPr>
      <w:pBdr>
        <w:left w:val="single" w:sz="4" w:space="0" w:color="auto"/>
        <w:right w:val="single" w:sz="8" w:space="0" w:color="auto"/>
      </w:pBdr>
      <w:spacing w:before="100" w:beforeAutospacing="1" w:after="100" w:afterAutospacing="1"/>
    </w:pPr>
    <w:rPr>
      <w:rFonts w:eastAsia="Times New Roman"/>
      <w:lang w:eastAsia="pt-BR"/>
    </w:rPr>
  </w:style>
  <w:style w:type="paragraph" w:customStyle="1" w:styleId="xl111">
    <w:name w:val="xl111"/>
    <w:basedOn w:val="Normal"/>
    <w:rsid w:val="0053171D"/>
    <w:pPr>
      <w:pBdr>
        <w:top w:val="single" w:sz="8" w:space="0" w:color="auto"/>
        <w:left w:val="single" w:sz="8" w:space="0" w:color="auto"/>
        <w:bottom w:val="single" w:sz="4" w:space="0" w:color="auto"/>
        <w:right w:val="single" w:sz="4" w:space="0" w:color="auto"/>
      </w:pBdr>
      <w:shd w:val="clear" w:color="000000" w:fill="0070C0"/>
      <w:spacing w:before="100" w:beforeAutospacing="1" w:after="100" w:afterAutospacing="1"/>
    </w:pPr>
    <w:rPr>
      <w:rFonts w:eastAsia="Times New Roman"/>
      <w:lang w:eastAsia="pt-BR"/>
    </w:rPr>
  </w:style>
  <w:style w:type="paragraph" w:customStyle="1" w:styleId="xl112">
    <w:name w:val="xl112"/>
    <w:basedOn w:val="Normal"/>
    <w:rsid w:val="0053171D"/>
    <w:pPr>
      <w:pBdr>
        <w:top w:val="single" w:sz="8" w:space="0" w:color="auto"/>
        <w:left w:val="single" w:sz="4" w:space="0" w:color="auto"/>
        <w:bottom w:val="single" w:sz="4" w:space="0" w:color="auto"/>
        <w:right w:val="single" w:sz="8" w:space="0" w:color="auto"/>
      </w:pBdr>
      <w:shd w:val="clear" w:color="000000" w:fill="0070C0"/>
      <w:spacing w:before="100" w:beforeAutospacing="1" w:after="100" w:afterAutospacing="1"/>
    </w:pPr>
    <w:rPr>
      <w:rFonts w:eastAsia="Times New Roman"/>
      <w:lang w:eastAsia="pt-BR"/>
    </w:rPr>
  </w:style>
  <w:style w:type="paragraph" w:customStyle="1" w:styleId="xl113">
    <w:name w:val="xl113"/>
    <w:basedOn w:val="Normal"/>
    <w:rsid w:val="0053171D"/>
    <w:pPr>
      <w:pBdr>
        <w:top w:val="single" w:sz="4" w:space="0" w:color="auto"/>
        <w:left w:val="single" w:sz="8" w:space="0" w:color="auto"/>
        <w:bottom w:val="single" w:sz="4" w:space="0" w:color="auto"/>
        <w:right w:val="single" w:sz="4" w:space="0" w:color="auto"/>
      </w:pBdr>
      <w:shd w:val="clear" w:color="000000" w:fill="F79646"/>
      <w:spacing w:before="100" w:beforeAutospacing="1" w:after="100" w:afterAutospacing="1"/>
    </w:pPr>
    <w:rPr>
      <w:rFonts w:eastAsia="Times New Roman"/>
      <w:lang w:eastAsia="pt-BR"/>
    </w:rPr>
  </w:style>
  <w:style w:type="paragraph" w:customStyle="1" w:styleId="xl114">
    <w:name w:val="xl114"/>
    <w:basedOn w:val="Normal"/>
    <w:rsid w:val="0053171D"/>
    <w:pPr>
      <w:pBdr>
        <w:top w:val="single" w:sz="8" w:space="0" w:color="auto"/>
        <w:left w:val="single" w:sz="8" w:space="0" w:color="auto"/>
        <w:bottom w:val="single" w:sz="8" w:space="0" w:color="auto"/>
        <w:right w:val="single" w:sz="4" w:space="0" w:color="auto"/>
      </w:pBdr>
      <w:spacing w:before="100" w:beforeAutospacing="1" w:after="100" w:afterAutospacing="1"/>
    </w:pPr>
    <w:rPr>
      <w:rFonts w:eastAsia="Times New Roman"/>
      <w:lang w:eastAsia="pt-BR"/>
    </w:rPr>
  </w:style>
  <w:style w:type="paragraph" w:customStyle="1" w:styleId="xl115">
    <w:name w:val="xl115"/>
    <w:basedOn w:val="Normal"/>
    <w:rsid w:val="0053171D"/>
    <w:pPr>
      <w:pBdr>
        <w:top w:val="single" w:sz="8" w:space="0" w:color="auto"/>
        <w:left w:val="single" w:sz="4" w:space="0" w:color="auto"/>
        <w:bottom w:val="single" w:sz="8" w:space="0" w:color="auto"/>
        <w:right w:val="single" w:sz="8" w:space="0" w:color="auto"/>
      </w:pBdr>
      <w:spacing w:before="100" w:beforeAutospacing="1" w:after="100" w:afterAutospacing="1"/>
    </w:pPr>
    <w:rPr>
      <w:rFonts w:eastAsia="Times New Roman"/>
      <w:lang w:eastAsia="pt-BR"/>
    </w:rPr>
  </w:style>
  <w:style w:type="paragraph" w:customStyle="1" w:styleId="xl116">
    <w:name w:val="xl116"/>
    <w:basedOn w:val="Normal"/>
    <w:rsid w:val="0053171D"/>
    <w:pPr>
      <w:pBdr>
        <w:top w:val="single" w:sz="4" w:space="0" w:color="auto"/>
        <w:bottom w:val="single" w:sz="8" w:space="0" w:color="auto"/>
        <w:right w:val="single" w:sz="4" w:space="0" w:color="auto"/>
      </w:pBdr>
      <w:shd w:val="clear" w:color="000000" w:fill="F79646"/>
      <w:spacing w:before="100" w:beforeAutospacing="1" w:after="100" w:afterAutospacing="1"/>
    </w:pPr>
    <w:rPr>
      <w:rFonts w:eastAsia="Times New Roman"/>
      <w:lang w:eastAsia="pt-BR"/>
    </w:rPr>
  </w:style>
  <w:style w:type="paragraph" w:customStyle="1" w:styleId="xl117">
    <w:name w:val="xl117"/>
    <w:basedOn w:val="Normal"/>
    <w:rsid w:val="0053171D"/>
    <w:pPr>
      <w:pBdr>
        <w:top w:val="single" w:sz="8" w:space="0" w:color="auto"/>
        <w:left w:val="single" w:sz="8" w:space="0" w:color="auto"/>
        <w:bottom w:val="single" w:sz="4" w:space="0" w:color="auto"/>
        <w:right w:val="single" w:sz="4" w:space="0" w:color="auto"/>
      </w:pBdr>
      <w:shd w:val="clear" w:color="000000" w:fill="0070C0"/>
      <w:spacing w:before="100" w:beforeAutospacing="1" w:after="100" w:afterAutospacing="1"/>
    </w:pPr>
    <w:rPr>
      <w:rFonts w:eastAsia="Times New Roman"/>
      <w:lang w:eastAsia="pt-BR"/>
    </w:rPr>
  </w:style>
  <w:style w:type="paragraph" w:customStyle="1" w:styleId="xl118">
    <w:name w:val="xl118"/>
    <w:basedOn w:val="Normal"/>
    <w:rsid w:val="0053171D"/>
    <w:pPr>
      <w:pBdr>
        <w:top w:val="single" w:sz="4" w:space="0" w:color="auto"/>
        <w:left w:val="single" w:sz="4" w:space="0" w:color="auto"/>
        <w:bottom w:val="single" w:sz="8" w:space="0" w:color="auto"/>
        <w:right w:val="single" w:sz="8" w:space="0" w:color="auto"/>
      </w:pBdr>
      <w:shd w:val="clear" w:color="000000" w:fill="F79646"/>
      <w:spacing w:before="100" w:beforeAutospacing="1" w:after="100" w:afterAutospacing="1"/>
    </w:pPr>
    <w:rPr>
      <w:rFonts w:eastAsia="Times New Roman"/>
      <w:lang w:eastAsia="pt-BR"/>
    </w:rPr>
  </w:style>
  <w:style w:type="paragraph" w:customStyle="1" w:styleId="xl119">
    <w:name w:val="xl119"/>
    <w:basedOn w:val="Normal"/>
    <w:rsid w:val="0053171D"/>
    <w:pPr>
      <w:pBdr>
        <w:top w:val="single" w:sz="4" w:space="0" w:color="auto"/>
        <w:left w:val="single" w:sz="4" w:space="0" w:color="auto"/>
        <w:bottom w:val="single" w:sz="8"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20">
    <w:name w:val="xl120"/>
    <w:basedOn w:val="Normal"/>
    <w:rsid w:val="0053171D"/>
    <w:pPr>
      <w:pBdr>
        <w:top w:val="single" w:sz="8" w:space="0" w:color="auto"/>
        <w:left w:val="single" w:sz="4" w:space="0" w:color="auto"/>
        <w:bottom w:val="single" w:sz="4" w:space="0" w:color="auto"/>
      </w:pBdr>
      <w:spacing w:before="100" w:beforeAutospacing="1" w:after="100" w:afterAutospacing="1"/>
    </w:pPr>
    <w:rPr>
      <w:rFonts w:eastAsia="Times New Roman"/>
      <w:lang w:eastAsia="pt-BR"/>
    </w:rPr>
  </w:style>
  <w:style w:type="paragraph" w:customStyle="1" w:styleId="xl121">
    <w:name w:val="xl121"/>
    <w:basedOn w:val="Normal"/>
    <w:rsid w:val="0053171D"/>
    <w:pPr>
      <w:pBdr>
        <w:top w:val="single" w:sz="4" w:space="0" w:color="auto"/>
        <w:left w:val="single" w:sz="4" w:space="0" w:color="auto"/>
        <w:bottom w:val="single" w:sz="4" w:space="0" w:color="auto"/>
      </w:pBdr>
      <w:spacing w:before="100" w:beforeAutospacing="1" w:after="100" w:afterAutospacing="1"/>
    </w:pPr>
    <w:rPr>
      <w:rFonts w:eastAsia="Times New Roman"/>
      <w:lang w:eastAsia="pt-BR"/>
    </w:rPr>
  </w:style>
  <w:style w:type="paragraph" w:customStyle="1" w:styleId="xl122">
    <w:name w:val="xl122"/>
    <w:basedOn w:val="Normal"/>
    <w:rsid w:val="0053171D"/>
    <w:pPr>
      <w:pBdr>
        <w:top w:val="single" w:sz="4" w:space="0" w:color="auto"/>
        <w:left w:val="single" w:sz="4" w:space="0" w:color="auto"/>
        <w:bottom w:val="single" w:sz="8" w:space="0" w:color="auto"/>
      </w:pBdr>
      <w:spacing w:before="100" w:beforeAutospacing="1" w:after="100" w:afterAutospacing="1"/>
    </w:pPr>
    <w:rPr>
      <w:rFonts w:eastAsia="Times New Roman"/>
      <w:lang w:eastAsia="pt-BR"/>
    </w:rPr>
  </w:style>
  <w:style w:type="paragraph" w:customStyle="1" w:styleId="xl123">
    <w:name w:val="xl123"/>
    <w:basedOn w:val="Normal"/>
    <w:rsid w:val="0053171D"/>
    <w:pPr>
      <w:pBdr>
        <w:top w:val="single" w:sz="8" w:space="0" w:color="auto"/>
        <w:left w:val="single" w:sz="4" w:space="0" w:color="auto"/>
        <w:bottom w:val="single" w:sz="4" w:space="0" w:color="auto"/>
      </w:pBdr>
      <w:shd w:val="clear" w:color="000000" w:fill="0070C0"/>
      <w:spacing w:before="100" w:beforeAutospacing="1" w:after="100" w:afterAutospacing="1"/>
    </w:pPr>
    <w:rPr>
      <w:rFonts w:eastAsia="Times New Roman"/>
      <w:lang w:eastAsia="pt-BR"/>
    </w:rPr>
  </w:style>
  <w:style w:type="paragraph" w:customStyle="1" w:styleId="xl124">
    <w:name w:val="xl124"/>
    <w:basedOn w:val="Normal"/>
    <w:rsid w:val="0053171D"/>
    <w:pPr>
      <w:pBdr>
        <w:top w:val="single" w:sz="4" w:space="0" w:color="auto"/>
        <w:left w:val="single" w:sz="4" w:space="0" w:color="auto"/>
        <w:bottom w:val="single" w:sz="8" w:space="0" w:color="auto"/>
      </w:pBdr>
      <w:shd w:val="clear" w:color="000000" w:fill="F79646"/>
      <w:spacing w:before="100" w:beforeAutospacing="1" w:after="100" w:afterAutospacing="1"/>
    </w:pPr>
    <w:rPr>
      <w:rFonts w:eastAsia="Times New Roman"/>
      <w:lang w:eastAsia="pt-BR"/>
    </w:rPr>
  </w:style>
  <w:style w:type="paragraph" w:customStyle="1" w:styleId="xl125">
    <w:name w:val="xl125"/>
    <w:basedOn w:val="Normal"/>
    <w:rsid w:val="0053171D"/>
    <w:pPr>
      <w:pBdr>
        <w:top w:val="single" w:sz="8" w:space="0" w:color="auto"/>
        <w:left w:val="single" w:sz="4" w:space="0" w:color="auto"/>
        <w:bottom w:val="single" w:sz="4" w:space="0" w:color="auto"/>
      </w:pBdr>
      <w:shd w:val="clear" w:color="000000" w:fill="0070C0"/>
      <w:spacing w:before="100" w:beforeAutospacing="1" w:after="100" w:afterAutospacing="1"/>
    </w:pPr>
    <w:rPr>
      <w:rFonts w:eastAsia="Times New Roman"/>
      <w:lang w:eastAsia="pt-BR"/>
    </w:rPr>
  </w:style>
  <w:style w:type="paragraph" w:customStyle="1" w:styleId="xl126">
    <w:name w:val="xl126"/>
    <w:basedOn w:val="Normal"/>
    <w:rsid w:val="0053171D"/>
    <w:pPr>
      <w:pBdr>
        <w:top w:val="single" w:sz="4" w:space="0" w:color="auto"/>
        <w:left w:val="single" w:sz="4" w:space="0" w:color="auto"/>
        <w:bottom w:val="single" w:sz="4" w:space="0" w:color="auto"/>
      </w:pBdr>
      <w:shd w:val="clear" w:color="000000" w:fill="F79646"/>
      <w:spacing w:before="100" w:beforeAutospacing="1" w:after="100" w:afterAutospacing="1"/>
    </w:pPr>
    <w:rPr>
      <w:rFonts w:eastAsia="Times New Roman"/>
      <w:lang w:eastAsia="pt-BR"/>
    </w:rPr>
  </w:style>
  <w:style w:type="paragraph" w:customStyle="1" w:styleId="xl127">
    <w:name w:val="xl127"/>
    <w:basedOn w:val="Normal"/>
    <w:rsid w:val="0053171D"/>
    <w:pPr>
      <w:pBdr>
        <w:top w:val="single" w:sz="8" w:space="0" w:color="auto"/>
        <w:left w:val="single" w:sz="4" w:space="0" w:color="auto"/>
        <w:bottom w:val="single" w:sz="8" w:space="0" w:color="auto"/>
      </w:pBdr>
      <w:spacing w:before="100" w:beforeAutospacing="1" w:after="100" w:afterAutospacing="1"/>
    </w:pPr>
    <w:rPr>
      <w:rFonts w:eastAsia="Times New Roman"/>
      <w:lang w:eastAsia="pt-BR"/>
    </w:rPr>
  </w:style>
  <w:style w:type="paragraph" w:customStyle="1" w:styleId="xl128">
    <w:name w:val="xl128"/>
    <w:basedOn w:val="Normal"/>
    <w:rsid w:val="0053171D"/>
    <w:pPr>
      <w:pBdr>
        <w:top w:val="single" w:sz="4" w:space="0" w:color="auto"/>
        <w:bottom w:val="single" w:sz="4"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29">
    <w:name w:val="xl129"/>
    <w:basedOn w:val="Normal"/>
    <w:rsid w:val="0053171D"/>
    <w:pPr>
      <w:pBdr>
        <w:top w:val="single" w:sz="4" w:space="0" w:color="auto"/>
        <w:left w:val="single" w:sz="4" w:space="0" w:color="auto"/>
        <w:bottom w:val="single" w:sz="4"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0">
    <w:name w:val="xl130"/>
    <w:basedOn w:val="Normal"/>
    <w:rsid w:val="0053171D"/>
    <w:pPr>
      <w:pBdr>
        <w:top w:val="single" w:sz="4" w:space="0" w:color="auto"/>
        <w:left w:val="single" w:sz="4" w:space="0" w:color="auto"/>
        <w:bottom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1">
    <w:name w:val="xl131"/>
    <w:basedOn w:val="Normal"/>
    <w:rsid w:val="0053171D"/>
    <w:pPr>
      <w:pBdr>
        <w:top w:val="single" w:sz="4" w:space="0" w:color="auto"/>
        <w:left w:val="single" w:sz="8" w:space="0" w:color="auto"/>
        <w:bottom w:val="single" w:sz="4"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2">
    <w:name w:val="xl132"/>
    <w:basedOn w:val="Normal"/>
    <w:rsid w:val="0053171D"/>
    <w:pPr>
      <w:pBdr>
        <w:top w:val="single" w:sz="4" w:space="0" w:color="auto"/>
        <w:left w:val="single" w:sz="4" w:space="0" w:color="auto"/>
        <w:bottom w:val="single" w:sz="4" w:space="0" w:color="auto"/>
        <w:right w:val="single" w:sz="8"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3">
    <w:name w:val="xl133"/>
    <w:basedOn w:val="Normal"/>
    <w:rsid w:val="0053171D"/>
    <w:pPr>
      <w:pBdr>
        <w:top w:val="single" w:sz="8" w:space="0" w:color="auto"/>
        <w:left w:val="single" w:sz="8" w:space="0" w:color="auto"/>
        <w:bottom w:val="single" w:sz="4"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4">
    <w:name w:val="xl134"/>
    <w:basedOn w:val="Normal"/>
    <w:rsid w:val="0053171D"/>
    <w:pPr>
      <w:pBdr>
        <w:top w:val="single" w:sz="8" w:space="0" w:color="auto"/>
        <w:left w:val="single" w:sz="4" w:space="0" w:color="auto"/>
        <w:bottom w:val="single" w:sz="4"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5">
    <w:name w:val="xl135"/>
    <w:basedOn w:val="Normal"/>
    <w:rsid w:val="0053171D"/>
    <w:pPr>
      <w:pBdr>
        <w:top w:val="single" w:sz="8" w:space="0" w:color="auto"/>
        <w:left w:val="single" w:sz="4" w:space="0" w:color="auto"/>
        <w:bottom w:val="single" w:sz="4" w:space="0" w:color="auto"/>
        <w:right w:val="single" w:sz="8"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6">
    <w:name w:val="xl136"/>
    <w:basedOn w:val="Normal"/>
    <w:rsid w:val="0053171D"/>
    <w:pPr>
      <w:pBdr>
        <w:top w:val="single" w:sz="8" w:space="0" w:color="auto"/>
        <w:bottom w:val="single" w:sz="4"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7">
    <w:name w:val="xl137"/>
    <w:basedOn w:val="Normal"/>
    <w:rsid w:val="0053171D"/>
    <w:pPr>
      <w:pBdr>
        <w:top w:val="single" w:sz="8" w:space="0" w:color="auto"/>
        <w:left w:val="single" w:sz="4" w:space="0" w:color="auto"/>
        <w:bottom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8">
    <w:name w:val="xl138"/>
    <w:basedOn w:val="Normal"/>
    <w:rsid w:val="0053171D"/>
    <w:pPr>
      <w:spacing w:before="100" w:beforeAutospacing="1" w:after="100" w:afterAutospacing="1"/>
      <w:textAlignment w:val="center"/>
    </w:pPr>
    <w:rPr>
      <w:rFonts w:eastAsia="Times New Roman"/>
      <w:sz w:val="44"/>
      <w:szCs w:val="44"/>
      <w:lang w:eastAsia="pt-BR"/>
    </w:rPr>
  </w:style>
  <w:style w:type="character" w:styleId="CommentReference">
    <w:name w:val="annotation reference"/>
    <w:basedOn w:val="DefaultParagraphFont"/>
    <w:uiPriority w:val="99"/>
    <w:semiHidden/>
    <w:unhideWhenUsed/>
    <w:rsid w:val="0053171D"/>
    <w:rPr>
      <w:sz w:val="16"/>
      <w:szCs w:val="16"/>
    </w:rPr>
  </w:style>
  <w:style w:type="paragraph" w:styleId="CommentText">
    <w:name w:val="annotation text"/>
    <w:basedOn w:val="Normal"/>
    <w:link w:val="CommentTextChar"/>
    <w:uiPriority w:val="99"/>
    <w:semiHidden/>
    <w:unhideWhenUsed/>
    <w:rsid w:val="0053171D"/>
    <w:pPr>
      <w:spacing w:after="200"/>
    </w:pPr>
    <w:rPr>
      <w:rFonts w:asciiTheme="minorHAnsi" w:eastAsiaTheme="minorHAnsi" w:hAnsiTheme="minorHAnsi" w:cstheme="minorBidi"/>
      <w:sz w:val="20"/>
      <w:szCs w:val="20"/>
      <w:lang w:val="en-US" w:eastAsia="en-US"/>
    </w:rPr>
  </w:style>
  <w:style w:type="character" w:customStyle="1" w:styleId="CommentTextChar">
    <w:name w:val="Comment Text Char"/>
    <w:basedOn w:val="DefaultParagraphFont"/>
    <w:link w:val="CommentText"/>
    <w:uiPriority w:val="99"/>
    <w:semiHidden/>
    <w:rsid w:val="0053171D"/>
    <w:rPr>
      <w:sz w:val="20"/>
      <w:szCs w:val="20"/>
      <w:lang w:val="en-US"/>
    </w:rPr>
  </w:style>
  <w:style w:type="paragraph" w:styleId="CommentSubject">
    <w:name w:val="annotation subject"/>
    <w:basedOn w:val="CommentText"/>
    <w:next w:val="CommentText"/>
    <w:link w:val="CommentSubjectChar"/>
    <w:uiPriority w:val="99"/>
    <w:semiHidden/>
    <w:unhideWhenUsed/>
    <w:rsid w:val="0053171D"/>
    <w:rPr>
      <w:b/>
      <w:bCs/>
    </w:rPr>
  </w:style>
  <w:style w:type="character" w:customStyle="1" w:styleId="CommentSubjectChar">
    <w:name w:val="Comment Subject Char"/>
    <w:basedOn w:val="CommentTextChar"/>
    <w:link w:val="CommentSubject"/>
    <w:uiPriority w:val="99"/>
    <w:semiHidden/>
    <w:rsid w:val="0053171D"/>
    <w:rPr>
      <w:b/>
      <w:bCs/>
      <w:sz w:val="20"/>
      <w:szCs w:val="20"/>
      <w:lang w:val="en-US"/>
    </w:rPr>
  </w:style>
  <w:style w:type="paragraph" w:customStyle="1" w:styleId="Default">
    <w:name w:val="Default"/>
    <w:rsid w:val="0053171D"/>
    <w:pPr>
      <w:autoSpaceDE w:val="0"/>
      <w:autoSpaceDN w:val="0"/>
      <w:adjustRightInd w:val="0"/>
      <w:spacing w:after="0" w:line="240" w:lineRule="auto"/>
    </w:pPr>
    <w:rPr>
      <w:rFonts w:ascii="Century Schoolbook" w:hAnsi="Century Schoolbook" w:cs="Century Schoolbook"/>
      <w:color w:val="000000"/>
      <w:sz w:val="24"/>
      <w:szCs w:val="24"/>
      <w:lang w:val="en-US"/>
    </w:rPr>
  </w:style>
  <w:style w:type="character" w:customStyle="1" w:styleId="varspecific">
    <w:name w:val="varspecific"/>
    <w:basedOn w:val="DefaultParagraphFont"/>
    <w:rsid w:val="0053171D"/>
  </w:style>
  <w:style w:type="character" w:customStyle="1" w:styleId="cmd">
    <w:name w:val="cmd"/>
    <w:basedOn w:val="DefaultParagraphFont"/>
    <w:rsid w:val="0053171D"/>
  </w:style>
  <w:style w:type="character" w:customStyle="1" w:styleId="var">
    <w:name w:val="var"/>
    <w:basedOn w:val="DefaultParagraphFont"/>
    <w:rsid w:val="0053171D"/>
  </w:style>
  <w:style w:type="character" w:customStyle="1" w:styleId="nlmstring-name">
    <w:name w:val="nlm_string-name"/>
    <w:basedOn w:val="DefaultParagraphFont"/>
    <w:rsid w:val="0053171D"/>
  </w:style>
  <w:style w:type="character" w:customStyle="1" w:styleId="nlmyear">
    <w:name w:val="nlm_year"/>
    <w:basedOn w:val="DefaultParagraphFont"/>
    <w:rsid w:val="0053171D"/>
  </w:style>
  <w:style w:type="character" w:customStyle="1" w:styleId="nlmarticle-title">
    <w:name w:val="nlm_article-title"/>
    <w:basedOn w:val="DefaultParagraphFont"/>
    <w:rsid w:val="0053171D"/>
  </w:style>
  <w:style w:type="character" w:customStyle="1" w:styleId="nlmedition">
    <w:name w:val="nlm_edition"/>
    <w:basedOn w:val="DefaultParagraphFont"/>
    <w:rsid w:val="0053171D"/>
  </w:style>
  <w:style w:type="paragraph" w:styleId="TOCHeading">
    <w:name w:val="TOC Heading"/>
    <w:basedOn w:val="Heading1"/>
    <w:next w:val="Normal"/>
    <w:uiPriority w:val="39"/>
    <w:semiHidden/>
    <w:unhideWhenUsed/>
    <w:qFormat/>
    <w:rsid w:val="0053171D"/>
    <w:pPr>
      <w:keepLines/>
      <w:spacing w:before="480" w:after="0" w:line="276" w:lineRule="auto"/>
      <w:outlineLvl w:val="9"/>
    </w:pPr>
    <w:rPr>
      <w:rFonts w:asciiTheme="majorHAnsi" w:eastAsiaTheme="majorEastAsia" w:hAnsiTheme="majorHAnsi" w:cstheme="majorBidi"/>
      <w:color w:val="2F5496" w:themeColor="accent1" w:themeShade="BF"/>
      <w:kern w:val="0"/>
      <w:sz w:val="28"/>
      <w:szCs w:val="28"/>
      <w:lang w:val="en-US" w:eastAsia="ja-JP"/>
    </w:rPr>
  </w:style>
  <w:style w:type="paragraph" w:styleId="TOC1">
    <w:name w:val="toc 1"/>
    <w:basedOn w:val="Normal"/>
    <w:next w:val="Normal"/>
    <w:autoRedefine/>
    <w:uiPriority w:val="39"/>
    <w:unhideWhenUsed/>
    <w:qFormat/>
    <w:rsid w:val="0053171D"/>
    <w:pPr>
      <w:spacing w:before="240" w:after="120"/>
    </w:pPr>
    <w:rPr>
      <w:rFonts w:asciiTheme="minorHAnsi" w:hAnsiTheme="minorHAnsi"/>
      <w:b/>
      <w:bCs/>
      <w:sz w:val="20"/>
      <w:szCs w:val="20"/>
    </w:rPr>
  </w:style>
  <w:style w:type="paragraph" w:styleId="TOC2">
    <w:name w:val="toc 2"/>
    <w:basedOn w:val="Normal"/>
    <w:next w:val="Normal"/>
    <w:autoRedefine/>
    <w:uiPriority w:val="39"/>
    <w:unhideWhenUsed/>
    <w:qFormat/>
    <w:rsid w:val="0053171D"/>
    <w:pPr>
      <w:spacing w:before="120"/>
      <w:ind w:left="240"/>
    </w:pPr>
    <w:rPr>
      <w:rFonts w:asciiTheme="minorHAnsi" w:hAnsiTheme="minorHAnsi"/>
      <w:i/>
      <w:iCs/>
      <w:sz w:val="20"/>
      <w:szCs w:val="20"/>
    </w:rPr>
  </w:style>
  <w:style w:type="paragraph" w:styleId="TOC3">
    <w:name w:val="toc 3"/>
    <w:basedOn w:val="Normal"/>
    <w:next w:val="Normal"/>
    <w:autoRedefine/>
    <w:uiPriority w:val="39"/>
    <w:unhideWhenUsed/>
    <w:qFormat/>
    <w:rsid w:val="0053171D"/>
    <w:pPr>
      <w:ind w:left="480"/>
    </w:pPr>
    <w:rPr>
      <w:rFonts w:asciiTheme="minorHAnsi" w:hAnsiTheme="minorHAnsi"/>
      <w:sz w:val="20"/>
      <w:szCs w:val="20"/>
    </w:rPr>
  </w:style>
  <w:style w:type="paragraph" w:styleId="TOC4">
    <w:name w:val="toc 4"/>
    <w:basedOn w:val="Normal"/>
    <w:next w:val="Normal"/>
    <w:autoRedefine/>
    <w:uiPriority w:val="39"/>
    <w:unhideWhenUsed/>
    <w:rsid w:val="0053171D"/>
    <w:pPr>
      <w:ind w:left="720"/>
    </w:pPr>
    <w:rPr>
      <w:rFonts w:asciiTheme="minorHAnsi" w:hAnsiTheme="minorHAnsi"/>
      <w:sz w:val="20"/>
      <w:szCs w:val="20"/>
    </w:rPr>
  </w:style>
  <w:style w:type="paragraph" w:styleId="TOC5">
    <w:name w:val="toc 5"/>
    <w:basedOn w:val="Normal"/>
    <w:next w:val="Normal"/>
    <w:autoRedefine/>
    <w:uiPriority w:val="39"/>
    <w:unhideWhenUsed/>
    <w:rsid w:val="0053171D"/>
    <w:pPr>
      <w:ind w:left="960"/>
    </w:pPr>
    <w:rPr>
      <w:rFonts w:asciiTheme="minorHAnsi" w:hAnsiTheme="minorHAnsi"/>
      <w:sz w:val="20"/>
      <w:szCs w:val="20"/>
    </w:rPr>
  </w:style>
  <w:style w:type="paragraph" w:styleId="TOC6">
    <w:name w:val="toc 6"/>
    <w:basedOn w:val="Normal"/>
    <w:next w:val="Normal"/>
    <w:autoRedefine/>
    <w:uiPriority w:val="39"/>
    <w:unhideWhenUsed/>
    <w:rsid w:val="0053171D"/>
    <w:pPr>
      <w:ind w:left="1200"/>
    </w:pPr>
    <w:rPr>
      <w:rFonts w:asciiTheme="minorHAnsi" w:hAnsiTheme="minorHAnsi"/>
      <w:sz w:val="20"/>
      <w:szCs w:val="20"/>
    </w:rPr>
  </w:style>
  <w:style w:type="paragraph" w:styleId="TOC7">
    <w:name w:val="toc 7"/>
    <w:basedOn w:val="Normal"/>
    <w:next w:val="Normal"/>
    <w:autoRedefine/>
    <w:uiPriority w:val="39"/>
    <w:unhideWhenUsed/>
    <w:rsid w:val="0053171D"/>
    <w:pPr>
      <w:ind w:left="1440"/>
    </w:pPr>
    <w:rPr>
      <w:rFonts w:asciiTheme="minorHAnsi" w:hAnsiTheme="minorHAnsi"/>
      <w:sz w:val="20"/>
      <w:szCs w:val="20"/>
    </w:rPr>
  </w:style>
  <w:style w:type="paragraph" w:styleId="TOC8">
    <w:name w:val="toc 8"/>
    <w:basedOn w:val="Normal"/>
    <w:next w:val="Normal"/>
    <w:autoRedefine/>
    <w:uiPriority w:val="39"/>
    <w:unhideWhenUsed/>
    <w:rsid w:val="0053171D"/>
    <w:pPr>
      <w:ind w:left="1680"/>
    </w:pPr>
    <w:rPr>
      <w:rFonts w:asciiTheme="minorHAnsi" w:hAnsiTheme="minorHAnsi"/>
      <w:sz w:val="20"/>
      <w:szCs w:val="20"/>
    </w:rPr>
  </w:style>
  <w:style w:type="paragraph" w:styleId="TOC9">
    <w:name w:val="toc 9"/>
    <w:basedOn w:val="Normal"/>
    <w:next w:val="Normal"/>
    <w:autoRedefine/>
    <w:uiPriority w:val="39"/>
    <w:unhideWhenUsed/>
    <w:rsid w:val="0053171D"/>
    <w:pPr>
      <w:ind w:left="1920"/>
    </w:pPr>
    <w:rPr>
      <w:rFonts w:asciiTheme="minorHAnsi" w:hAnsiTheme="minorHAnsi"/>
      <w:sz w:val="20"/>
      <w:szCs w:val="20"/>
    </w:rPr>
  </w:style>
  <w:style w:type="character" w:customStyle="1" w:styleId="hps">
    <w:name w:val="hps"/>
    <w:basedOn w:val="DefaultParagraphFont"/>
    <w:rsid w:val="0053171D"/>
  </w:style>
  <w:style w:type="paragraph" w:styleId="Revision">
    <w:name w:val="Revision"/>
    <w:hidden/>
    <w:uiPriority w:val="99"/>
    <w:semiHidden/>
    <w:rsid w:val="0053171D"/>
    <w:pPr>
      <w:spacing w:after="0" w:line="240" w:lineRule="auto"/>
    </w:pPr>
    <w:rPr>
      <w:rFonts w:ascii="Times New Roman" w:eastAsia="Batang" w:hAnsi="Times New Roman" w:cs="Times New Roman"/>
      <w:sz w:val="24"/>
      <w:szCs w:val="24"/>
      <w:lang w:eastAsia="ko-KR"/>
    </w:rPr>
  </w:style>
  <w:style w:type="paragraph" w:customStyle="1" w:styleId="BodyText">
    <w:name w:val="テキスト体[Body Text]"/>
    <w:uiPriority w:val="99"/>
    <w:rsid w:val="0053171D"/>
    <w:pPr>
      <w:widowControl w:val="0"/>
      <w:autoSpaceDE w:val="0"/>
      <w:autoSpaceDN w:val="0"/>
      <w:adjustRightInd w:val="0"/>
      <w:spacing w:after="0" w:line="240" w:lineRule="auto"/>
    </w:pPr>
    <w:rPr>
      <w:rFonts w:ascii="MS PMincho" w:eastAsia="MS PMincho" w:hAnsi="Calibri" w:cs="MS PMincho"/>
      <w:sz w:val="24"/>
      <w:szCs w:val="24"/>
      <w:lang w:val="en-US" w:eastAsia="ja-JP"/>
    </w:rPr>
  </w:style>
  <w:style w:type="paragraph" w:styleId="EndnoteText">
    <w:name w:val="endnote text"/>
    <w:basedOn w:val="Normal"/>
    <w:link w:val="EndnoteTextChar"/>
    <w:uiPriority w:val="99"/>
    <w:unhideWhenUsed/>
    <w:rsid w:val="0053171D"/>
    <w:rPr>
      <w:sz w:val="20"/>
      <w:szCs w:val="20"/>
    </w:rPr>
  </w:style>
  <w:style w:type="character" w:customStyle="1" w:styleId="EndnoteTextChar">
    <w:name w:val="Endnote Text Char"/>
    <w:basedOn w:val="DefaultParagraphFont"/>
    <w:link w:val="EndnoteText"/>
    <w:uiPriority w:val="99"/>
    <w:rsid w:val="0053171D"/>
    <w:rPr>
      <w:rFonts w:ascii="Times New Roman" w:eastAsia="Batang" w:hAnsi="Times New Roman" w:cs="Times New Roman"/>
      <w:sz w:val="20"/>
      <w:szCs w:val="20"/>
      <w:lang w:eastAsia="ko-KR"/>
    </w:rPr>
  </w:style>
  <w:style w:type="character" w:styleId="EndnoteReference">
    <w:name w:val="endnote reference"/>
    <w:basedOn w:val="DefaultParagraphFont"/>
    <w:uiPriority w:val="99"/>
    <w:unhideWhenUsed/>
    <w:rsid w:val="0053171D"/>
    <w:rPr>
      <w:vertAlign w:val="superscript"/>
    </w:rPr>
  </w:style>
  <w:style w:type="paragraph" w:customStyle="1" w:styleId="LARESAddresses">
    <w:name w:val="LARES Addresses"/>
    <w:rsid w:val="0053171D"/>
    <w:pPr>
      <w:spacing w:after="120" w:line="240" w:lineRule="auto"/>
      <w:jc w:val="center"/>
    </w:pPr>
    <w:rPr>
      <w:rFonts w:ascii="Times New Roman" w:eastAsia="Times New Roman" w:hAnsi="Times New Roman" w:cs="Times New Roman"/>
      <w:sz w:val="20"/>
      <w:szCs w:val="20"/>
      <w:lang w:val="en-GB"/>
    </w:rPr>
  </w:style>
  <w:style w:type="numbering" w:customStyle="1" w:styleId="Estilo1">
    <w:name w:val="Estilo1"/>
    <w:uiPriority w:val="99"/>
    <w:rsid w:val="0053171D"/>
    <w:pPr>
      <w:numPr>
        <w:numId w:val="34"/>
      </w:numPr>
    </w:pPr>
  </w:style>
  <w:style w:type="numbering" w:customStyle="1" w:styleId="Estilo2">
    <w:name w:val="Estilo2"/>
    <w:uiPriority w:val="99"/>
    <w:rsid w:val="0053171D"/>
    <w:pPr>
      <w:numPr>
        <w:numId w:val="37"/>
      </w:numPr>
    </w:pPr>
  </w:style>
  <w:style w:type="character" w:customStyle="1" w:styleId="Meno1">
    <w:name w:val="Menção1"/>
    <w:basedOn w:val="DefaultParagraphFont"/>
    <w:uiPriority w:val="99"/>
    <w:semiHidden/>
    <w:unhideWhenUsed/>
    <w:rsid w:val="0053171D"/>
    <w:rPr>
      <w:color w:val="2B579A"/>
      <w:shd w:val="clear" w:color="auto" w:fill="E6E6E6"/>
    </w:rPr>
  </w:style>
  <w:style w:type="character" w:customStyle="1" w:styleId="hlfld-contribauthor">
    <w:name w:val="hlfld-contribauthor"/>
    <w:basedOn w:val="DefaultParagraphFont"/>
    <w:rsid w:val="00517898"/>
  </w:style>
  <w:style w:type="character" w:customStyle="1" w:styleId="nlmgiven-names">
    <w:name w:val="nlm_given-names"/>
    <w:basedOn w:val="DefaultParagraphFont"/>
    <w:rsid w:val="00517898"/>
  </w:style>
  <w:style w:type="character" w:customStyle="1" w:styleId="nlmpublisher-name">
    <w:name w:val="nlm_publisher-name"/>
    <w:basedOn w:val="DefaultParagraphFont"/>
    <w:rsid w:val="00517898"/>
  </w:style>
  <w:style w:type="character" w:customStyle="1" w:styleId="nlmpublisher-loc">
    <w:name w:val="nlm_publisher-loc"/>
    <w:basedOn w:val="DefaultParagraphFont"/>
    <w:rsid w:val="00517898"/>
  </w:style>
  <w:style w:type="character" w:customStyle="1" w:styleId="nlmfpage">
    <w:name w:val="nlm_fpage"/>
    <w:basedOn w:val="DefaultParagraphFont"/>
    <w:rsid w:val="00517898"/>
  </w:style>
  <w:style w:type="character" w:customStyle="1" w:styleId="nlmlpage">
    <w:name w:val="nlm_lpage"/>
    <w:basedOn w:val="DefaultParagraphFont"/>
    <w:rsid w:val="00517898"/>
  </w:style>
  <w:style w:type="character" w:customStyle="1" w:styleId="UnresolvedMention">
    <w:name w:val="Unresolved Mention"/>
    <w:basedOn w:val="DefaultParagraphFont"/>
    <w:uiPriority w:val="99"/>
    <w:semiHidden/>
    <w:unhideWhenUsed/>
    <w:rsid w:val="006E454E"/>
    <w:rPr>
      <w:color w:val="808080"/>
      <w:shd w:val="clear" w:color="auto" w:fill="E6E6E6"/>
    </w:rPr>
  </w:style>
  <w:style w:type="character" w:styleId="HTMLCite">
    <w:name w:val="HTML Cite"/>
    <w:basedOn w:val="DefaultParagraphFont"/>
    <w:uiPriority w:val="99"/>
    <w:semiHidden/>
    <w:unhideWhenUsed/>
    <w:rsid w:val="00232642"/>
    <w:rPr>
      <w:i/>
      <w:iCs/>
    </w:rPr>
  </w:style>
  <w:style w:type="character" w:customStyle="1" w:styleId="author">
    <w:name w:val="author"/>
    <w:basedOn w:val="DefaultParagraphFont"/>
    <w:rsid w:val="00232642"/>
  </w:style>
  <w:style w:type="character" w:customStyle="1" w:styleId="year">
    <w:name w:val="year"/>
    <w:basedOn w:val="DefaultParagraphFont"/>
    <w:rsid w:val="00232642"/>
  </w:style>
  <w:style w:type="character" w:customStyle="1" w:styleId="Ttulo1">
    <w:name w:val="Título1"/>
    <w:basedOn w:val="DefaultParagraphFont"/>
    <w:rsid w:val="00232642"/>
  </w:style>
  <w:style w:type="character" w:customStyle="1" w:styleId="journal">
    <w:name w:val="journal"/>
    <w:basedOn w:val="DefaultParagraphFont"/>
    <w:rsid w:val="00232642"/>
  </w:style>
  <w:style w:type="character" w:customStyle="1" w:styleId="vol">
    <w:name w:val="vol"/>
    <w:basedOn w:val="DefaultParagraphFont"/>
    <w:rsid w:val="00232642"/>
  </w:style>
  <w:style w:type="character" w:customStyle="1" w:styleId="pages">
    <w:name w:val="pages"/>
    <w:basedOn w:val="DefaultParagraphFont"/>
    <w:rsid w:val="002326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0549686">
      <w:bodyDiv w:val="1"/>
      <w:marLeft w:val="0"/>
      <w:marRight w:val="0"/>
      <w:marTop w:val="0"/>
      <w:marBottom w:val="0"/>
      <w:divBdr>
        <w:top w:val="none" w:sz="0" w:space="0" w:color="auto"/>
        <w:left w:val="none" w:sz="0" w:space="0" w:color="auto"/>
        <w:bottom w:val="none" w:sz="0" w:space="0" w:color="auto"/>
        <w:right w:val="none" w:sz="0" w:space="0" w:color="auto"/>
      </w:divBdr>
      <w:divsChild>
        <w:div w:id="329135456">
          <w:marLeft w:val="0"/>
          <w:marRight w:val="0"/>
          <w:marTop w:val="0"/>
          <w:marBottom w:val="0"/>
          <w:divBdr>
            <w:top w:val="none" w:sz="0" w:space="0" w:color="auto"/>
            <w:left w:val="none" w:sz="0" w:space="0" w:color="auto"/>
            <w:bottom w:val="none" w:sz="0" w:space="0" w:color="auto"/>
            <w:right w:val="none" w:sz="0" w:space="0" w:color="auto"/>
          </w:divBdr>
        </w:div>
        <w:div w:id="1169827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ED68BC-570D-4695-81E2-86B9471AD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9231</Words>
  <Characters>52622</Characters>
  <Application>Microsoft Office Word</Application>
  <DocSecurity>4</DocSecurity>
  <Lines>438</Lines>
  <Paragraphs>123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61730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Odilon Costa</dc:creator>
  <cp:keywords/>
  <dc:description/>
  <cp:lastModifiedBy>Franz Fuerst</cp:lastModifiedBy>
  <cp:revision>2</cp:revision>
  <dcterms:created xsi:type="dcterms:W3CDTF">2018-06-05T10:08:00Z</dcterms:created>
  <dcterms:modified xsi:type="dcterms:W3CDTF">2018-06-05T10:08:00Z</dcterms:modified>
</cp:coreProperties>
</file>