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C770E6" w14:textId="674A7190" w:rsidR="00605BAA" w:rsidRPr="00132D52" w:rsidRDefault="00835677" w:rsidP="006F5717">
      <w:pPr>
        <w:pStyle w:val="MDPI11articletype"/>
      </w:pPr>
      <w:r w:rsidRPr="00132D52">
        <w:t>Article</w:t>
      </w:r>
    </w:p>
    <w:p w14:paraId="3442E645" w14:textId="29C283DD" w:rsidR="00605BAA" w:rsidRPr="00132D52" w:rsidRDefault="00853167" w:rsidP="006F5717">
      <w:pPr>
        <w:pStyle w:val="MDPI12title"/>
      </w:pPr>
      <w:bookmarkStart w:id="0" w:name="_Hlk41721851"/>
      <w:bookmarkStart w:id="1" w:name="_Hlk41722080"/>
      <w:r w:rsidRPr="00132D52">
        <w:t>E</w:t>
      </w:r>
      <w:r w:rsidR="00835677" w:rsidRPr="00132D52">
        <w:t xml:space="preserve">xtraction </w:t>
      </w:r>
      <w:r w:rsidRPr="00132D52">
        <w:t xml:space="preserve">of </w:t>
      </w:r>
      <w:r w:rsidR="006F5717" w:rsidRPr="00132D52">
        <w:t>L</w:t>
      </w:r>
      <w:r w:rsidRPr="00132D52">
        <w:t>ipids from</w:t>
      </w:r>
      <w:r w:rsidR="00E23090" w:rsidRPr="00132D52">
        <w:t xml:space="preserve"> </w:t>
      </w:r>
      <w:r w:rsidR="006F5717" w:rsidRPr="00132D52">
        <w:t>L</w:t>
      </w:r>
      <w:r w:rsidR="00E23090" w:rsidRPr="00132D52">
        <w:t xml:space="preserve">iquid </w:t>
      </w:r>
      <w:r w:rsidR="006F5717" w:rsidRPr="00132D52">
        <w:t>B</w:t>
      </w:r>
      <w:r w:rsidR="00E23090" w:rsidRPr="00132D52">
        <w:t xml:space="preserve">iological </w:t>
      </w:r>
      <w:r w:rsidR="006F5717" w:rsidRPr="00132D52">
        <w:t>S</w:t>
      </w:r>
      <w:r w:rsidR="00E23090" w:rsidRPr="00132D52">
        <w:t xml:space="preserve">amples </w:t>
      </w:r>
      <w:r w:rsidR="00835677" w:rsidRPr="00132D52">
        <w:t xml:space="preserve">for </w:t>
      </w:r>
      <w:r w:rsidR="006F5717" w:rsidRPr="00132D52">
        <w:t>H</w:t>
      </w:r>
      <w:r w:rsidR="00835677" w:rsidRPr="00132D52">
        <w:t xml:space="preserve">igh </w:t>
      </w:r>
      <w:r w:rsidR="006F5717" w:rsidRPr="00132D52">
        <w:t>T</w:t>
      </w:r>
      <w:r w:rsidR="00835677" w:rsidRPr="00132D52">
        <w:t xml:space="preserve">hroughput </w:t>
      </w:r>
      <w:r w:rsidR="006F5717" w:rsidRPr="00132D52">
        <w:t>L</w:t>
      </w:r>
      <w:r w:rsidR="00835677" w:rsidRPr="00132D52">
        <w:t>ipidomics</w:t>
      </w:r>
      <w:bookmarkEnd w:id="0"/>
    </w:p>
    <w:bookmarkEnd w:id="1"/>
    <w:p w14:paraId="0588C02F" w14:textId="2E2382A0" w:rsidR="00605BAA" w:rsidRPr="00132D52" w:rsidRDefault="00835677" w:rsidP="006F5717">
      <w:pPr>
        <w:pStyle w:val="MDPI13authornames"/>
      </w:pPr>
      <w:commentRangeStart w:id="2"/>
      <w:r w:rsidRPr="00132D52">
        <w:rPr>
          <w:highlight w:val="yellow"/>
        </w:rPr>
        <w:t>Samuel Furse</w:t>
      </w:r>
      <w:r w:rsidR="00605BAA" w:rsidRPr="00132D52">
        <w:rPr>
          <w:highlight w:val="yellow"/>
        </w:rPr>
        <w:t xml:space="preserve"> </w:t>
      </w:r>
      <w:commentRangeEnd w:id="2"/>
      <w:r w:rsidR="00132D52">
        <w:rPr>
          <w:rStyle w:val="CommentReference"/>
          <w:rFonts w:ascii="Times New Roman" w:hAnsi="Times New Roman"/>
          <w:b w:val="0"/>
          <w:lang w:bidi="ar-SA"/>
        </w:rPr>
        <w:commentReference w:id="2"/>
      </w:r>
      <w:r w:rsidR="00605BAA" w:rsidRPr="00132D52">
        <w:rPr>
          <w:vertAlign w:val="superscript"/>
        </w:rPr>
        <w:t>1</w:t>
      </w:r>
      <w:r w:rsidRPr="00132D52">
        <w:rPr>
          <w:vertAlign w:val="superscript"/>
        </w:rPr>
        <w:t>,</w:t>
      </w:r>
      <w:r w:rsidRPr="00132D52">
        <w:t>*</w:t>
      </w:r>
      <w:r w:rsidR="00605BAA" w:rsidRPr="00132D52">
        <w:t xml:space="preserve">, </w:t>
      </w:r>
      <w:r w:rsidRPr="00132D52">
        <w:t>Adam J. Watkins</w:t>
      </w:r>
      <w:r w:rsidR="00605BAA" w:rsidRPr="00132D52">
        <w:t xml:space="preserve"> </w:t>
      </w:r>
      <w:r w:rsidR="00605BAA" w:rsidRPr="00132D52">
        <w:rPr>
          <w:vertAlign w:val="superscript"/>
        </w:rPr>
        <w:t>2</w:t>
      </w:r>
      <w:r w:rsidR="00605BAA" w:rsidRPr="00132D52">
        <w:t xml:space="preserve"> and </w:t>
      </w:r>
      <w:r w:rsidRPr="00132D52">
        <w:t>Albert Koulman</w:t>
      </w:r>
      <w:r w:rsidR="00605BAA" w:rsidRPr="00132D52">
        <w:t xml:space="preserve"> </w:t>
      </w:r>
      <w:r w:rsidRPr="00132D52">
        <w:rPr>
          <w:vertAlign w:val="superscript"/>
        </w:rPr>
        <w:t>1</w:t>
      </w:r>
      <w:r w:rsidR="00605BAA" w:rsidRPr="00132D52">
        <w:rPr>
          <w:vertAlign w:val="superscript"/>
        </w:rPr>
        <w:t>,</w:t>
      </w:r>
      <w:r w:rsidR="00605BAA" w:rsidRPr="00132D52">
        <w:t>*</w:t>
      </w:r>
    </w:p>
    <w:p w14:paraId="6A4179C1" w14:textId="3B0B49CA" w:rsidR="00605BAA" w:rsidRPr="00132D52" w:rsidRDefault="00605BAA" w:rsidP="006F5717">
      <w:pPr>
        <w:pStyle w:val="MDPI16affiliation"/>
      </w:pPr>
      <w:r w:rsidRPr="00132D52">
        <w:rPr>
          <w:vertAlign w:val="superscript"/>
        </w:rPr>
        <w:t>1</w:t>
      </w:r>
      <w:r w:rsidRPr="00132D52">
        <w:tab/>
      </w:r>
      <w:r w:rsidR="008F2EEE" w:rsidRPr="00132D52">
        <w:t xml:space="preserve">Core Metabolomics and Lipidomics Laboratory, Wellcome Trust-MRC Institute of Metabolic Science, University of Cambridge, Box 289, </w:t>
      </w:r>
      <w:r w:rsidR="008F2EEE" w:rsidRPr="00132D52">
        <w:rPr>
          <w:rFonts w:cs="VcyfywAdvTTb5929f4c"/>
        </w:rPr>
        <w:t>Cambridge Biomedical Campus, Hills Road, Cambridge CB2 0QQ, UK</w:t>
      </w:r>
    </w:p>
    <w:p w14:paraId="6CE8C12B" w14:textId="54914882" w:rsidR="00605BAA" w:rsidRPr="00132D52" w:rsidRDefault="00605BAA" w:rsidP="006F5717">
      <w:pPr>
        <w:pStyle w:val="MDPI16affiliation"/>
      </w:pPr>
      <w:r w:rsidRPr="00132D52">
        <w:rPr>
          <w:vertAlign w:val="superscript"/>
        </w:rPr>
        <w:t>2</w:t>
      </w:r>
      <w:r w:rsidRPr="00132D52">
        <w:tab/>
      </w:r>
      <w:r w:rsidR="00214689" w:rsidRPr="00132D52">
        <w:t xml:space="preserve">Division of Child Health, Obstetrics and Gynaecology, Faculty of Medicine, </w:t>
      </w:r>
      <w:commentRangeStart w:id="3"/>
      <w:r w:rsidR="00214689" w:rsidRPr="00132D52">
        <w:t>University of Nottingham</w:t>
      </w:r>
      <w:commentRangeEnd w:id="3"/>
      <w:r w:rsidR="006F5717" w:rsidRPr="00132D52">
        <w:rPr>
          <w:rStyle w:val="CommentReference"/>
          <w:rFonts w:ascii="Times New Roman" w:hAnsi="Times New Roman"/>
          <w:lang w:bidi="ar-SA"/>
        </w:rPr>
        <w:commentReference w:id="3"/>
      </w:r>
      <w:r w:rsidR="00214689" w:rsidRPr="00132D52">
        <w:t>, Nottingham, NG7 2UH, UK</w:t>
      </w:r>
      <w:r w:rsidR="006F5717" w:rsidRPr="00132D52">
        <w:t>; adam.watkins@nottingham.ac.uk</w:t>
      </w:r>
    </w:p>
    <w:p w14:paraId="40A88780" w14:textId="78113AE8" w:rsidR="008F2EEE" w:rsidRPr="00132D52" w:rsidRDefault="00605BAA" w:rsidP="006F5717">
      <w:pPr>
        <w:pStyle w:val="MDPI16affiliation"/>
      </w:pPr>
      <w:r w:rsidRPr="00132D52">
        <w:rPr>
          <w:b/>
          <w:vertAlign w:val="superscript"/>
        </w:rPr>
        <w:t>*</w:t>
      </w:r>
      <w:r w:rsidRPr="00132D52">
        <w:tab/>
        <w:t xml:space="preserve">Correspondence: </w:t>
      </w:r>
      <w:r w:rsidR="008F2EEE" w:rsidRPr="00132D52">
        <w:t>samuel@samuelfurse.com or sf615@cam.ac.uk</w:t>
      </w:r>
      <w:r w:rsidR="006F5717" w:rsidRPr="00132D52">
        <w:rPr>
          <w:rStyle w:val="Hyperlink"/>
        </w:rPr>
        <w:t xml:space="preserve"> (S.F.), </w:t>
      </w:r>
      <w:r w:rsidR="006F5717" w:rsidRPr="00132D52">
        <w:t>ak675@medschl.cam.ac.uk</w:t>
      </w:r>
      <w:r w:rsidR="006F5717" w:rsidRPr="00132D52">
        <w:rPr>
          <w:rStyle w:val="Hyperlink"/>
        </w:rPr>
        <w:t xml:space="preserve"> (A.K.)</w:t>
      </w:r>
      <w:r w:rsidR="008F2EEE" w:rsidRPr="00132D52">
        <w:t xml:space="preserve">; Tel.: 00 44 (0) 1223 </w:t>
      </w:r>
      <w:r w:rsidR="008F2EEE" w:rsidRPr="00132D52">
        <w:rPr>
          <w:shd w:val="clear" w:color="auto" w:fill="FFFFFF"/>
        </w:rPr>
        <w:t>76 9067</w:t>
      </w:r>
      <w:r w:rsidR="006F5717" w:rsidRPr="00132D52">
        <w:rPr>
          <w:shd w:val="clear" w:color="auto" w:fill="FFFFFF"/>
        </w:rPr>
        <w:t xml:space="preserve"> (S.F.), </w:t>
      </w:r>
      <w:r w:rsidR="008F2EEE" w:rsidRPr="00132D52">
        <w:rPr>
          <w:rFonts w:cs="Gentium Plus"/>
        </w:rPr>
        <w:t>00 44 (0) 1223 76 3202</w:t>
      </w:r>
      <w:r w:rsidR="006F5717" w:rsidRPr="00132D52">
        <w:rPr>
          <w:rFonts w:cs="Gentium Plus"/>
        </w:rPr>
        <w:t xml:space="preserve"> (A.K.)</w:t>
      </w:r>
    </w:p>
    <w:p w14:paraId="29428732" w14:textId="6DD601B1" w:rsidR="006F5717" w:rsidRPr="00132D52" w:rsidRDefault="006F5717" w:rsidP="006F5717">
      <w:pPr>
        <w:pStyle w:val="MDPI14history"/>
      </w:pPr>
      <w:r w:rsidRPr="00132D52">
        <w:t>Academic Editor: Jesus Simal-Gandara</w:t>
      </w:r>
    </w:p>
    <w:p w14:paraId="2B75CF74" w14:textId="448479D4" w:rsidR="00605BAA" w:rsidRPr="00132D52" w:rsidRDefault="00605BAA" w:rsidP="006F5717">
      <w:pPr>
        <w:pStyle w:val="MDPI14history"/>
      </w:pPr>
      <w:r w:rsidRPr="00132D52">
        <w:t xml:space="preserve">Received: </w:t>
      </w:r>
      <w:r w:rsidR="006F5717" w:rsidRPr="00132D52">
        <w:t>10 June 2020</w:t>
      </w:r>
      <w:r w:rsidRPr="00132D52">
        <w:t xml:space="preserve">; Accepted: </w:t>
      </w:r>
      <w:r w:rsidR="006F5717" w:rsidRPr="00132D52">
        <w:t>08 July 2020</w:t>
      </w:r>
      <w:r w:rsidRPr="00132D52">
        <w:t>; Published: date</w:t>
      </w:r>
    </w:p>
    <w:p w14:paraId="61A46310" w14:textId="745A0336" w:rsidR="00605BAA" w:rsidRPr="00132D52" w:rsidRDefault="00605BAA" w:rsidP="006F5717">
      <w:pPr>
        <w:pStyle w:val="MDPI17abstract"/>
        <w:rPr>
          <w:color w:val="auto"/>
        </w:rPr>
      </w:pPr>
      <w:r w:rsidRPr="00132D52">
        <w:rPr>
          <w:b/>
        </w:rPr>
        <w:t xml:space="preserve">Abstract: </w:t>
      </w:r>
      <w:r w:rsidR="00835677" w:rsidRPr="00132D52">
        <w:t xml:space="preserve">Extraction of the lipid fraction is a key part of </w:t>
      </w:r>
      <w:r w:rsidR="00EA3B9D" w:rsidRPr="00132D52">
        <w:t xml:space="preserve">acquiring </w:t>
      </w:r>
      <w:r w:rsidR="00835677" w:rsidRPr="00132D52">
        <w:t>lipidomics</w:t>
      </w:r>
      <w:r w:rsidR="00EA3B9D" w:rsidRPr="00132D52">
        <w:t xml:space="preserve"> data</w:t>
      </w:r>
      <w:r w:rsidR="00835677" w:rsidRPr="00132D52">
        <w:t xml:space="preserve">. </w:t>
      </w:r>
      <w:r w:rsidR="00EA3B9D" w:rsidRPr="00132D52">
        <w:t>H</w:t>
      </w:r>
      <w:r w:rsidR="00835677" w:rsidRPr="00132D52">
        <w:t>igh throughput lipidomics</w:t>
      </w:r>
      <w:r w:rsidR="00EA3B9D" w:rsidRPr="00132D52">
        <w:t>, the extraction of samples in 96w plates that are then run on 96 or 384w plates,</w:t>
      </w:r>
      <w:r w:rsidR="00835677" w:rsidRPr="00132D52">
        <w:t xml:space="preserve"> </w:t>
      </w:r>
      <w:r w:rsidR="00EA3B9D" w:rsidRPr="00132D52">
        <w:t>has particular requirements that mean</w:t>
      </w:r>
      <w:r w:rsidR="00835677" w:rsidRPr="00132D52">
        <w:t xml:space="preserve"> special development work </w:t>
      </w:r>
      <w:r w:rsidR="00EA3B9D" w:rsidRPr="00132D52">
        <w:t xml:space="preserve">is needed </w:t>
      </w:r>
      <w:r w:rsidR="00835677" w:rsidRPr="00132D52">
        <w:t xml:space="preserve">to </w:t>
      </w:r>
      <w:r w:rsidR="00EA3B9D" w:rsidRPr="00132D52">
        <w:t>fully optimise</w:t>
      </w:r>
      <w:r w:rsidR="00835677" w:rsidRPr="00132D52">
        <w:t xml:space="preserve"> a</w:t>
      </w:r>
      <w:r w:rsidR="00EA3B9D" w:rsidRPr="00132D52">
        <w:t>n extraction</w:t>
      </w:r>
      <w:r w:rsidR="00835677" w:rsidRPr="00132D52">
        <w:t xml:space="preserve"> method. Several methods have been published as suitable for </w:t>
      </w:r>
      <w:r w:rsidR="00EA3B9D" w:rsidRPr="00132D52">
        <w:t>it</w:t>
      </w:r>
      <w:r w:rsidR="00835677" w:rsidRPr="00132D52">
        <w:t xml:space="preserve">. Here, we test those methods using </w:t>
      </w:r>
      <w:r w:rsidR="00EA3B9D" w:rsidRPr="00132D52">
        <w:t xml:space="preserve">four liquid matrices: </w:t>
      </w:r>
      <w:r w:rsidR="00835677" w:rsidRPr="00132D52">
        <w:t>milk, human serum, homogenised mouse liver and homogenised mouse heart.</w:t>
      </w:r>
      <w:r w:rsidR="006F5717" w:rsidRPr="00132D52">
        <w:t xml:space="preserve"> </w:t>
      </w:r>
      <w:bookmarkStart w:id="4" w:name="_Hlk43756047"/>
      <w:r w:rsidR="005238BD" w:rsidRPr="00132D52">
        <w:t>In order to determine the difference in performance of the methods as objectively as possible, we used the number of lipid variables identified, the total signal strength and the coefficient of variance to quantify the performance of the methods.</w:t>
      </w:r>
      <w:r w:rsidR="006F5717" w:rsidRPr="00132D52">
        <w:t xml:space="preserve"> </w:t>
      </w:r>
      <w:bookmarkEnd w:id="4"/>
      <w:r w:rsidR="005238BD" w:rsidRPr="00132D52">
        <w:t xml:space="preserve">This showed </w:t>
      </w:r>
      <w:r w:rsidR="00835677" w:rsidRPr="00132D52">
        <w:t xml:space="preserve">that </w:t>
      </w:r>
      <w:r w:rsidR="00200F6E" w:rsidRPr="00132D52">
        <w:t xml:space="preserve">extraction </w:t>
      </w:r>
      <w:r w:rsidR="00835677" w:rsidRPr="00132D52">
        <w:t>methods with an aqueous component were generally better than those without for these matrices. However, methods without an aqueous fraction in the extraction were efficient for milk samples. Furthermore, a mixture containing a chlorinated solvent (dichloromethane) appears to be better than an ethereal solvent (</w:t>
      </w:r>
      <w:r w:rsidR="00835677" w:rsidRPr="00132D52">
        <w:rPr>
          <w:i/>
          <w:iCs/>
        </w:rPr>
        <w:t>tert-</w:t>
      </w:r>
      <w:r w:rsidR="00835677" w:rsidRPr="00132D52">
        <w:t>butyl methyl ether) for extracting lipids. This study suggests that a 3:1:0·005 mixture of dichloromethane, methanol</w:t>
      </w:r>
      <w:r w:rsidR="00EA3B9D" w:rsidRPr="00132D52">
        <w:t xml:space="preserve"> and triethylammonium chloride</w:t>
      </w:r>
      <w:r w:rsidR="00835677" w:rsidRPr="00132D52">
        <w:t xml:space="preserve">, with an aqueous wash, is the most efficient of the currently reported methods for high throughput lipid extraction and analysis. Further work is required to develop non-aqueous extraction methods </w:t>
      </w:r>
      <w:r w:rsidR="00EA3B9D" w:rsidRPr="00132D52">
        <w:t xml:space="preserve">that are both convenient and applicable to </w:t>
      </w:r>
      <w:r w:rsidR="00835677" w:rsidRPr="00132D52">
        <w:t>a broad range of sample types.</w:t>
      </w:r>
    </w:p>
    <w:p w14:paraId="7A79596A" w14:textId="01A58573" w:rsidR="00605BAA" w:rsidRPr="00132D52" w:rsidRDefault="00605BAA" w:rsidP="006F5717">
      <w:pPr>
        <w:pStyle w:val="MDPI18keywords"/>
      </w:pPr>
      <w:r w:rsidRPr="00132D52">
        <w:rPr>
          <w:b/>
        </w:rPr>
        <w:t xml:space="preserve">Keywords: </w:t>
      </w:r>
      <w:r w:rsidR="00835677" w:rsidRPr="00132D52">
        <w:t>lipidomics</w:t>
      </w:r>
      <w:r w:rsidRPr="00132D52">
        <w:t xml:space="preserve">; </w:t>
      </w:r>
      <w:r w:rsidR="00F60F9D" w:rsidRPr="00132D52">
        <w:t xml:space="preserve">lipid extraction; </w:t>
      </w:r>
      <w:r w:rsidR="00835677" w:rsidRPr="00132D52">
        <w:t>lipid metabolism</w:t>
      </w:r>
      <w:r w:rsidRPr="00132D52">
        <w:t>.</w:t>
      </w:r>
    </w:p>
    <w:p w14:paraId="1C683A56" w14:textId="77777777" w:rsidR="00605BAA" w:rsidRPr="00132D52" w:rsidRDefault="00605BAA" w:rsidP="006F5717">
      <w:pPr>
        <w:pStyle w:val="MDPI19line"/>
        <w:adjustRightInd w:val="0"/>
        <w:snapToGrid w:val="0"/>
      </w:pPr>
    </w:p>
    <w:p w14:paraId="102A169B" w14:textId="1A9925A5" w:rsidR="00605BAA" w:rsidRPr="00132D52" w:rsidRDefault="00605BAA" w:rsidP="006F5717">
      <w:pPr>
        <w:pStyle w:val="MDPI21heading1"/>
        <w:spacing w:before="480"/>
      </w:pPr>
      <w:r w:rsidRPr="00132D52">
        <w:rPr>
          <w:lang w:eastAsia="zh-CN"/>
        </w:rPr>
        <w:t xml:space="preserve">1. </w:t>
      </w:r>
      <w:r w:rsidRPr="00132D52">
        <w:t>Introduction</w:t>
      </w:r>
    </w:p>
    <w:p w14:paraId="0B276E4E" w14:textId="663F3014" w:rsidR="007E5B4B" w:rsidRPr="00132D52" w:rsidRDefault="008F2EEE" w:rsidP="006F5717">
      <w:pPr>
        <w:pStyle w:val="MDPI31text"/>
      </w:pPr>
      <w:bookmarkStart w:id="5" w:name="OLE_LINK1"/>
      <w:bookmarkStart w:id="6" w:name="OLE_LINK2"/>
      <w:r w:rsidRPr="00132D52">
        <w:t>Lipidomics is of increasing interest in metabolic and other biological studies.</w:t>
      </w:r>
      <w:r w:rsidR="006F5717" w:rsidRPr="00132D52">
        <w:t xml:space="preserve"> </w:t>
      </w:r>
      <w:r w:rsidRPr="00132D52">
        <w:t>Clinical studies comprising sizeable numbers of samples are now being attempted in order to provide sufficient statistical power to answer questions about human and animal metabolism and dysregulation of metabolism</w:t>
      </w:r>
      <w:r w:rsidR="00EA3B9D" w:rsidRPr="00132D52">
        <w:t xml:space="preserve"> and development</w:t>
      </w:r>
      <w:bookmarkStart w:id="7" w:name="EXISTREF1"/>
      <w:bookmarkStart w:id="8" w:name="EXISTREF2"/>
      <w:bookmarkStart w:id="9" w:name="EXISTREF3"/>
      <w:bookmarkStart w:id="10" w:name="EXISTREF4"/>
      <w:bookmarkStart w:id="11" w:name="EXISTREF5"/>
      <w:bookmarkStart w:id="12" w:name="EXISTREF6"/>
      <w:r w:rsidR="00EB66DB">
        <w:t xml:space="preserve"> </w:t>
      </w:r>
      <w:r w:rsidR="006F5717" w:rsidRPr="00132D52">
        <w:t>[1–6</w:t>
      </w:r>
      <w:r w:rsidR="005238BD" w:rsidRPr="00132D52">
        <w:t>]</w:t>
      </w:r>
      <w:bookmarkEnd w:id="7"/>
      <w:bookmarkEnd w:id="8"/>
      <w:bookmarkEnd w:id="9"/>
      <w:bookmarkEnd w:id="10"/>
      <w:bookmarkEnd w:id="11"/>
      <w:bookmarkEnd w:id="12"/>
      <w:r w:rsidR="005238BD" w:rsidRPr="00132D52">
        <w:t>, as well as in particular areas</w:t>
      </w:r>
      <w:bookmarkStart w:id="13" w:name="EXISTREF7"/>
      <w:r w:rsidR="00EB66DB">
        <w:t xml:space="preserve"> </w:t>
      </w:r>
      <w:r w:rsidR="005238BD" w:rsidRPr="00132D52">
        <w:t>[</w:t>
      </w:r>
      <w:r w:rsidR="002B04C7" w:rsidRPr="00132D52">
        <w:t>7</w:t>
      </w:r>
      <w:r w:rsidR="005238BD" w:rsidRPr="00132D52">
        <w:t>]</w:t>
      </w:r>
      <w:bookmarkEnd w:id="13"/>
      <w:r w:rsidRPr="00132D52">
        <w:t>.</w:t>
      </w:r>
      <w:r w:rsidR="006F5717" w:rsidRPr="00132D52">
        <w:t xml:space="preserve"> </w:t>
      </w:r>
      <w:r w:rsidR="007E5B4B" w:rsidRPr="00132D52">
        <w:t xml:space="preserve">This has encouraged research efforts </w:t>
      </w:r>
      <w:r w:rsidR="00F02AC6" w:rsidRPr="00132D52">
        <w:t xml:space="preserve">to overcome </w:t>
      </w:r>
      <w:r w:rsidR="007E5B4B" w:rsidRPr="00132D52">
        <w:t>the practical concerns that pertain to determining the lipid composition of biological samples (lipidomics).</w:t>
      </w:r>
      <w:r w:rsidR="006F5717" w:rsidRPr="00132D52">
        <w:t xml:space="preserve"> </w:t>
      </w:r>
      <w:r w:rsidR="00A85A32" w:rsidRPr="00132D52">
        <w:t>This comes against a background of i</w:t>
      </w:r>
      <w:r w:rsidR="007E5B4B" w:rsidRPr="00132D52">
        <w:t xml:space="preserve">nvestigations of a variety of sample formats </w:t>
      </w:r>
      <w:r w:rsidR="00A85A32" w:rsidRPr="00132D52">
        <w:t>and scales</w:t>
      </w:r>
      <w:r w:rsidR="007E5B4B" w:rsidRPr="00132D52">
        <w:t>, including mammalia</w:t>
      </w:r>
      <w:r w:rsidR="00F02AC6" w:rsidRPr="00132D52">
        <w:t>n</w:t>
      </w:r>
      <w:r w:rsidR="007E5B4B" w:rsidRPr="00132D52">
        <w:t xml:space="preserve"> plasma </w:t>
      </w:r>
      <w:bookmarkStart w:id="14" w:name="EXISTREF8"/>
      <w:bookmarkStart w:id="15" w:name="EXISTREF9"/>
      <w:bookmarkStart w:id="16" w:name="EXISTREF10"/>
      <w:bookmarkStart w:id="17" w:name="EXISTREF11"/>
      <w:bookmarkStart w:id="18" w:name="EXISTREF12"/>
      <w:bookmarkStart w:id="19" w:name="EXISTREF13"/>
      <w:r w:rsidR="006F5717" w:rsidRPr="00132D52">
        <w:t>[8–13</w:t>
      </w:r>
      <w:r w:rsidR="005238BD" w:rsidRPr="00132D52">
        <w:t>]</w:t>
      </w:r>
      <w:bookmarkEnd w:id="14"/>
      <w:bookmarkEnd w:id="15"/>
      <w:bookmarkEnd w:id="16"/>
      <w:bookmarkEnd w:id="17"/>
      <w:bookmarkEnd w:id="18"/>
      <w:bookmarkEnd w:id="19"/>
      <w:r w:rsidR="007E5B4B" w:rsidRPr="00132D52">
        <w:t xml:space="preserve">, fibrous tissues </w:t>
      </w:r>
      <w:bookmarkStart w:id="20" w:name="EXISTREF14"/>
      <w:bookmarkStart w:id="21" w:name="EXISTREF15"/>
      <w:bookmarkStart w:id="22" w:name="EXISTREF16"/>
      <w:r w:rsidR="006F5717" w:rsidRPr="00132D52">
        <w:t>[14–16</w:t>
      </w:r>
      <w:r w:rsidR="005238BD" w:rsidRPr="00132D52">
        <w:t>]</w:t>
      </w:r>
      <w:bookmarkEnd w:id="20"/>
      <w:bookmarkEnd w:id="21"/>
      <w:bookmarkEnd w:id="22"/>
      <w:r w:rsidR="007E5B4B" w:rsidRPr="00132D52">
        <w:t xml:space="preserve">, dried blood </w:t>
      </w:r>
      <w:r w:rsidR="007E5B4B" w:rsidRPr="006645F6">
        <w:t xml:space="preserve">spots </w:t>
      </w:r>
      <w:bookmarkStart w:id="23" w:name="EXISTREF17"/>
      <w:bookmarkStart w:id="24" w:name="EXISTREF18"/>
      <w:bookmarkStart w:id="25" w:name="EXISTREF19"/>
      <w:r w:rsidR="006F5717" w:rsidRPr="006645F6">
        <w:rPr>
          <w:rFonts w:ascii="Gentium Basic" w:hAnsi="Gentium Basic"/>
        </w:rPr>
        <w:t>[</w:t>
      </w:r>
      <w:r w:rsidR="006F5717" w:rsidRPr="006645F6">
        <w:t>17–19</w:t>
      </w:r>
      <w:r w:rsidR="005238BD" w:rsidRPr="006645F6">
        <w:t>]</w:t>
      </w:r>
      <w:bookmarkEnd w:id="23"/>
      <w:bookmarkEnd w:id="24"/>
      <w:bookmarkEnd w:id="25"/>
      <w:r w:rsidR="007E5B4B" w:rsidRPr="006645F6">
        <w:t xml:space="preserve"> and even milk </w:t>
      </w:r>
      <w:bookmarkStart w:id="26" w:name="EXISTREF20"/>
      <w:bookmarkStart w:id="27" w:name="EXISTREF21"/>
      <w:r w:rsidR="005238BD" w:rsidRPr="006645F6">
        <w:t>[</w:t>
      </w:r>
      <w:r w:rsidR="002B04C7" w:rsidRPr="006645F6">
        <w:t>20</w:t>
      </w:r>
      <w:r w:rsidR="005238BD" w:rsidRPr="006645F6">
        <w:t>,</w:t>
      </w:r>
      <w:r w:rsidR="002B04C7" w:rsidRPr="006645F6">
        <w:t>21</w:t>
      </w:r>
      <w:r w:rsidR="005238BD" w:rsidRPr="006645F6">
        <w:t>]</w:t>
      </w:r>
      <w:bookmarkEnd w:id="26"/>
      <w:bookmarkEnd w:id="27"/>
      <w:r w:rsidR="00F02AC6" w:rsidRPr="006645F6">
        <w:t>. General methods for isolating lipids for low- and medium throughput studies have</w:t>
      </w:r>
      <w:r w:rsidR="00F02AC6" w:rsidRPr="00132D52">
        <w:t xml:space="preserve"> also been reviewed</w:t>
      </w:r>
      <w:bookmarkStart w:id="28" w:name="EXISTREF22"/>
      <w:bookmarkStart w:id="29" w:name="EXISTREF23"/>
      <w:r w:rsidR="00EB66DB">
        <w:t xml:space="preserve"> </w:t>
      </w:r>
      <w:r w:rsidR="005238BD" w:rsidRPr="00132D52">
        <w:t>[</w:t>
      </w:r>
      <w:r w:rsidR="002B04C7" w:rsidRPr="00132D52">
        <w:t>22</w:t>
      </w:r>
      <w:r w:rsidR="005238BD" w:rsidRPr="00132D52">
        <w:t>,</w:t>
      </w:r>
      <w:r w:rsidR="002B04C7" w:rsidRPr="00132D52">
        <w:t>23</w:t>
      </w:r>
      <w:r w:rsidR="005238BD" w:rsidRPr="00132D52">
        <w:t>]</w:t>
      </w:r>
      <w:bookmarkEnd w:id="28"/>
      <w:bookmarkEnd w:id="29"/>
      <w:r w:rsidR="00F02AC6" w:rsidRPr="00132D52">
        <w:t>.</w:t>
      </w:r>
    </w:p>
    <w:p w14:paraId="49F1889A" w14:textId="69494F44" w:rsidR="008F2EEE" w:rsidRPr="00132D52" w:rsidRDefault="00A74BEB" w:rsidP="006F5717">
      <w:pPr>
        <w:pStyle w:val="MDPI31text"/>
      </w:pPr>
      <w:r w:rsidRPr="00132D52">
        <w:t>However, due to its relatively recent arrival</w:t>
      </w:r>
      <w:r w:rsidR="00A85A32" w:rsidRPr="00132D52">
        <w:t xml:space="preserve"> and particular needs</w:t>
      </w:r>
      <w:r w:rsidRPr="00132D52">
        <w:t xml:space="preserve">, high throughput lipidomics </w:t>
      </w:r>
      <w:r w:rsidR="00602A51" w:rsidRPr="00132D52">
        <w:t>and methods associated with it are</w:t>
      </w:r>
      <w:r w:rsidRPr="00132D52">
        <w:t xml:space="preserve"> less widely re</w:t>
      </w:r>
      <w:r w:rsidR="00602A51" w:rsidRPr="00132D52">
        <w:t>search</w:t>
      </w:r>
      <w:r w:rsidRPr="00132D52">
        <w:t>ed.</w:t>
      </w:r>
      <w:r w:rsidR="006F5717" w:rsidRPr="00132D52">
        <w:t xml:space="preserve"> </w:t>
      </w:r>
      <w:r w:rsidR="00602A51" w:rsidRPr="00132D52">
        <w:t xml:space="preserve">Despite that, considerable </w:t>
      </w:r>
      <w:r w:rsidR="008F2EEE" w:rsidRPr="00132D52">
        <w:t xml:space="preserve">progress has been made in recent years in laboratory infrastructure and methods for the high throughput </w:t>
      </w:r>
      <w:r w:rsidR="008F2EEE" w:rsidRPr="00132D52">
        <w:lastRenderedPageBreak/>
        <w:t xml:space="preserve">lipidomics required for </w:t>
      </w:r>
      <w:r w:rsidRPr="00132D52">
        <w:t>large human trials</w:t>
      </w:r>
      <w:r w:rsidR="008F2EEE" w:rsidRPr="00132D52">
        <w:t>.</w:t>
      </w:r>
      <w:r w:rsidR="006F5717" w:rsidRPr="00132D52">
        <w:t xml:space="preserve"> </w:t>
      </w:r>
      <w:r w:rsidR="008F2EEE" w:rsidRPr="00132D52">
        <w:t>Spectroscopic innovations such as Direct Infusion Mass Spectrometry (DI-MS)</w:t>
      </w:r>
      <w:r w:rsidR="00E9459D" w:rsidRPr="00132D52">
        <w:t xml:space="preserve"> </w:t>
      </w:r>
      <w:bookmarkStart w:id="30" w:name="EXISTREF24"/>
      <w:r w:rsidR="005238BD" w:rsidRPr="00132D52">
        <w:t>[</w:t>
      </w:r>
      <w:r w:rsidR="002B04C7" w:rsidRPr="00132D52">
        <w:t>21</w:t>
      </w:r>
      <w:r w:rsidR="005238BD" w:rsidRPr="00132D52">
        <w:t>,</w:t>
      </w:r>
      <w:r w:rsidR="002B04C7" w:rsidRPr="00132D52">
        <w:t>24</w:t>
      </w:r>
      <w:r w:rsidR="005238BD" w:rsidRPr="00132D52">
        <w:t>]</w:t>
      </w:r>
      <w:bookmarkEnd w:id="30"/>
      <w:r w:rsidR="008F2EEE" w:rsidRPr="00132D52">
        <w:t xml:space="preserve"> and dual spectroscopy</w:t>
      </w:r>
      <w:r w:rsidR="00E9459D" w:rsidRPr="00132D52">
        <w:t xml:space="preserve"> </w:t>
      </w:r>
      <w:r w:rsidR="005238BD" w:rsidRPr="00132D52">
        <w:t>[</w:t>
      </w:r>
      <w:r w:rsidR="002B04C7" w:rsidRPr="00132D52">
        <w:t>14</w:t>
      </w:r>
      <w:r w:rsidR="005238BD" w:rsidRPr="00132D52">
        <w:t>]</w:t>
      </w:r>
      <w:r w:rsidR="008F2EEE" w:rsidRPr="00132D52">
        <w:t xml:space="preserve"> have been published.</w:t>
      </w:r>
      <w:r w:rsidR="006F5717" w:rsidRPr="00132D52">
        <w:t xml:space="preserve"> </w:t>
      </w:r>
      <w:r w:rsidR="008F2EEE" w:rsidRPr="00132D52">
        <w:t xml:space="preserve">Lipid extraction methods for the particular challenges of high throughput lipidomics have also been developed, such as those </w:t>
      </w:r>
      <w:r w:rsidRPr="00132D52">
        <w:t xml:space="preserve">by Maytash </w:t>
      </w:r>
      <w:r w:rsidRPr="00132D52">
        <w:rPr>
          <w:iCs/>
        </w:rPr>
        <w:t xml:space="preserve">et al. </w:t>
      </w:r>
      <w:r w:rsidR="005238BD" w:rsidRPr="00132D52">
        <w:t>[</w:t>
      </w:r>
      <w:r w:rsidR="002B04C7" w:rsidRPr="00132D52">
        <w:t>8</w:t>
      </w:r>
      <w:r w:rsidR="005238BD" w:rsidRPr="00132D52">
        <w:t>]</w:t>
      </w:r>
      <w:r w:rsidRPr="00132D52">
        <w:rPr>
          <w:i/>
          <w:iCs/>
        </w:rPr>
        <w:t xml:space="preserve"> </w:t>
      </w:r>
      <w:r w:rsidRPr="00132D52">
        <w:t xml:space="preserve">and the Meikle group </w:t>
      </w:r>
      <w:r w:rsidR="005238BD" w:rsidRPr="00132D52">
        <w:t>[</w:t>
      </w:r>
      <w:r w:rsidR="002B04C7" w:rsidRPr="00132D52">
        <w:t>9</w:t>
      </w:r>
      <w:r w:rsidR="005238BD" w:rsidRPr="00132D52">
        <w:t>,</w:t>
      </w:r>
      <w:r w:rsidR="002B04C7" w:rsidRPr="00132D52">
        <w:t>10</w:t>
      </w:r>
      <w:r w:rsidR="005238BD" w:rsidRPr="00132D52">
        <w:t>]</w:t>
      </w:r>
      <w:r w:rsidRPr="00132D52">
        <w:t xml:space="preserve">, and </w:t>
      </w:r>
      <w:r w:rsidR="008F2EEE" w:rsidRPr="00132D52">
        <w:t>from our own laboratory</w:t>
      </w:r>
      <w:r w:rsidR="00EA3B9D" w:rsidRPr="00132D52">
        <w:t xml:space="preserve"> </w:t>
      </w:r>
      <w:bookmarkStart w:id="31" w:name="EXISTREF25"/>
      <w:r w:rsidR="005238BD" w:rsidRPr="00132D52">
        <w:t>[</w:t>
      </w:r>
      <w:r w:rsidR="002B04C7" w:rsidRPr="00132D52">
        <w:t>14</w:t>
      </w:r>
      <w:r w:rsidR="005238BD" w:rsidRPr="00132D52">
        <w:t>,</w:t>
      </w:r>
      <w:r w:rsidR="002B04C7" w:rsidRPr="00132D52">
        <w:t>25</w:t>
      </w:r>
      <w:r w:rsidR="005238BD" w:rsidRPr="00132D52">
        <w:t>]</w:t>
      </w:r>
      <w:bookmarkEnd w:id="31"/>
      <w:r w:rsidR="008F2EEE" w:rsidRPr="00132D52">
        <w:t>.</w:t>
      </w:r>
    </w:p>
    <w:p w14:paraId="0882D680" w14:textId="1A30ACE4" w:rsidR="008F2EEE" w:rsidRPr="00132D52" w:rsidRDefault="008F2EEE" w:rsidP="006F5717">
      <w:pPr>
        <w:pStyle w:val="MDPI31text"/>
      </w:pPr>
      <w:r w:rsidRPr="00132D52">
        <w:t>However, questions and challenges about high throughput lipidomics remain.</w:t>
      </w:r>
      <w:r w:rsidR="006F5717" w:rsidRPr="00132D52">
        <w:t xml:space="preserve"> </w:t>
      </w:r>
      <w:r w:rsidRPr="00132D52">
        <w:t>Some of these are general questions about sample handling and lipid extraction that have existed for some time</w:t>
      </w:r>
      <w:r w:rsidR="00E9459D" w:rsidRPr="00132D52">
        <w:t xml:space="preserve"> </w:t>
      </w:r>
      <w:r w:rsidR="005238BD" w:rsidRPr="00132D52">
        <w:t>[</w:t>
      </w:r>
      <w:r w:rsidR="002B04C7" w:rsidRPr="00132D52">
        <w:t>22</w:t>
      </w:r>
      <w:r w:rsidR="005238BD" w:rsidRPr="00132D52">
        <w:t>]</w:t>
      </w:r>
      <w:r w:rsidRPr="00132D52">
        <w:t>.</w:t>
      </w:r>
      <w:r w:rsidR="006F5717" w:rsidRPr="00132D52">
        <w:t xml:space="preserve"> </w:t>
      </w:r>
      <w:bookmarkStart w:id="32" w:name="_Hlk43757196"/>
      <w:r w:rsidR="00E2532F" w:rsidRPr="00132D52">
        <w:t xml:space="preserve">These include problems with the suitability of solvents for the lipid species of interest, chemical degradation associated with particular solvents and the activity of endogenous enzymes </w:t>
      </w:r>
      <w:r w:rsidR="00E2532F" w:rsidRPr="00132D52">
        <w:rPr>
          <w:i/>
          <w:iCs/>
        </w:rPr>
        <w:t>ex vivo.</w:t>
      </w:r>
      <w:r w:rsidR="006F5717" w:rsidRPr="00132D52">
        <w:rPr>
          <w:i/>
          <w:iCs/>
        </w:rPr>
        <w:t xml:space="preserve"> </w:t>
      </w:r>
      <w:bookmarkEnd w:id="32"/>
      <w:r w:rsidRPr="00132D52">
        <w:t>However, some questions are unique to high throughput lipidomics.</w:t>
      </w:r>
      <w:r w:rsidR="006F5717" w:rsidRPr="00132D52">
        <w:t xml:space="preserve"> </w:t>
      </w:r>
      <w:r w:rsidRPr="00132D52">
        <w:t xml:space="preserve">For example, there is a clear need to find a compromise between the practicalities of large numbers of simultaneous extractions of lipid material from small biological samples and the desire for thorough </w:t>
      </w:r>
      <w:r w:rsidR="00EA3B9D" w:rsidRPr="00132D52">
        <w:t xml:space="preserve">molecular </w:t>
      </w:r>
      <w:r w:rsidRPr="00132D52">
        <w:t>profiling.</w:t>
      </w:r>
      <w:r w:rsidR="006F5717" w:rsidRPr="00132D52">
        <w:t xml:space="preserve"> </w:t>
      </w:r>
      <w:bookmarkStart w:id="33" w:name="_Hlk43758179"/>
      <w:r w:rsidR="003C56C8" w:rsidRPr="00132D52">
        <w:t xml:space="preserve">Some of these problems have been solved by using glass-coated deep-well plates </w:t>
      </w:r>
      <w:r w:rsidR="00716EF1" w:rsidRPr="00132D52">
        <w:t>accompanied by 96 channel pipettes mounted on a movable platform</w:t>
      </w:r>
      <w:r w:rsidR="00967D15" w:rsidRPr="00132D52">
        <w:t xml:space="preserve"> for liquid transfer and mixing.</w:t>
      </w:r>
      <w:r w:rsidR="00716EF1" w:rsidRPr="00132D52">
        <w:t xml:space="preserve"> </w:t>
      </w:r>
      <w:r w:rsidR="00967D15" w:rsidRPr="00132D52">
        <w:t>However, t</w:t>
      </w:r>
      <w:r w:rsidRPr="00132D52">
        <w:t xml:space="preserve">he need to strike a compromise </w:t>
      </w:r>
      <w:r w:rsidR="00967D15" w:rsidRPr="00132D52">
        <w:t xml:space="preserve">between a large number of samples, analytical soundness and acquiring quantitative data relevant to hypotheses </w:t>
      </w:r>
      <w:r w:rsidRPr="00132D52">
        <w:t>has led to the development of at least four methods of extracting lipids for high throughput lipidomics using mass spectrometry.</w:t>
      </w:r>
      <w:bookmarkEnd w:id="33"/>
      <w:r w:rsidR="006F5717" w:rsidRPr="00132D52">
        <w:t xml:space="preserve"> </w:t>
      </w:r>
      <w:r w:rsidRPr="00132D52">
        <w:t>However, it is not clear how they perform when compared to one another.</w:t>
      </w:r>
      <w:r w:rsidR="006F5717" w:rsidRPr="00132D52">
        <w:t xml:space="preserve"> </w:t>
      </w:r>
      <w:r w:rsidRPr="00132D52">
        <w:t xml:space="preserve">This is </w:t>
      </w:r>
      <w:r w:rsidR="00602A51" w:rsidRPr="00132D52">
        <w:t xml:space="preserve">partly </w:t>
      </w:r>
      <w:r w:rsidR="00660A7E" w:rsidRPr="00132D52">
        <w:t xml:space="preserve">due to the lack of an objective means for measuring extraction efficiency </w:t>
      </w:r>
      <w:r w:rsidR="00602A51" w:rsidRPr="00132D52">
        <w:t xml:space="preserve">but </w:t>
      </w:r>
      <w:r w:rsidR="00660A7E" w:rsidRPr="00132D52">
        <w:t>also</w:t>
      </w:r>
      <w:r w:rsidRPr="00132D52">
        <w:t xml:space="preserve"> because the reported methods are distinct from one another.</w:t>
      </w:r>
      <w:r w:rsidR="006F5717" w:rsidRPr="00132D52">
        <w:t xml:space="preserve"> </w:t>
      </w:r>
      <w:r w:rsidRPr="00132D52">
        <w:t>For example, there are two categories of extraction, those that comprise an aqueous wash as part of the process and those that do not.</w:t>
      </w:r>
      <w:r w:rsidR="006F5717" w:rsidRPr="00132D52">
        <w:t xml:space="preserve"> </w:t>
      </w:r>
      <w:r w:rsidRPr="00132D52">
        <w:t xml:space="preserve">The </w:t>
      </w:r>
      <w:r w:rsidR="00660A7E" w:rsidRPr="00132D52">
        <w:t>absence</w:t>
      </w:r>
      <w:r w:rsidRPr="00132D52">
        <w:t xml:space="preserve"> of an aqueous wash is attractive in practical terms as it simplifies sample preparation for chromatography or infusion.</w:t>
      </w:r>
      <w:r w:rsidR="006F5717" w:rsidRPr="00132D52">
        <w:t xml:space="preserve"> </w:t>
      </w:r>
      <w:r w:rsidRPr="00132D52">
        <w:t>However, it is not clear whether this approach can be applied to more proteinaceous or more viscous sample matrices.</w:t>
      </w:r>
      <w:r w:rsidR="006F5717" w:rsidRPr="00132D52">
        <w:t xml:space="preserve"> </w:t>
      </w:r>
      <w:r w:rsidRPr="00132D52">
        <w:t>This led us to the hypothesis that a solvent-based extraction method that comprises a</w:t>
      </w:r>
      <w:r w:rsidR="00200F6E" w:rsidRPr="00132D52">
        <w:t xml:space="preserve">n aqueous </w:t>
      </w:r>
      <w:r w:rsidRPr="00132D52">
        <w:t>wash and the facility to dissolve lipid classes with a range of polarities works best for high throughput lipidomics.</w:t>
      </w:r>
    </w:p>
    <w:p w14:paraId="37EAB49B" w14:textId="7E82FE43" w:rsidR="00602A51" w:rsidRPr="00132D52" w:rsidRDefault="00134CDE" w:rsidP="006F5717">
      <w:pPr>
        <w:pStyle w:val="MDPI31text"/>
      </w:pPr>
      <w:r w:rsidRPr="00132D52">
        <w:t xml:space="preserve">In order to test this hypothesis, we </w:t>
      </w:r>
      <w:r w:rsidR="00660A7E" w:rsidRPr="00132D52">
        <w:t>investigat</w:t>
      </w:r>
      <w:r w:rsidRPr="00132D52">
        <w:t>ed for four lipid extraction methods reported for high throughput lipidomics on four distinct matrices.</w:t>
      </w:r>
      <w:r w:rsidR="006F5717" w:rsidRPr="00132D52">
        <w:t xml:space="preserve"> </w:t>
      </w:r>
      <w:r w:rsidRPr="00132D52">
        <w:t>The four lipid extractions were ‘TBME’ (</w:t>
      </w:r>
      <w:r w:rsidRPr="00132D52">
        <w:rPr>
          <w:i/>
          <w:iCs/>
        </w:rPr>
        <w:t>tert-</w:t>
      </w:r>
      <w:r w:rsidRPr="00132D52">
        <w:t>butylmethyl ether)</w:t>
      </w:r>
      <w:r w:rsidR="00E9459D" w:rsidRPr="00132D52">
        <w:t xml:space="preserve"> </w:t>
      </w:r>
      <w:r w:rsidR="005238BD" w:rsidRPr="00132D52">
        <w:t>[</w:t>
      </w:r>
      <w:r w:rsidR="002B04C7" w:rsidRPr="00132D52">
        <w:t>8</w:t>
      </w:r>
      <w:r w:rsidR="005238BD" w:rsidRPr="00132D52">
        <w:t>]</w:t>
      </w:r>
      <w:r w:rsidRPr="00132D52">
        <w:t>, ‘BuMe’ (butanol/methanol</w:t>
      </w:r>
      <w:r w:rsidR="00660A7E" w:rsidRPr="00132D52">
        <w:t>, 1:1</w:t>
      </w:r>
      <w:r w:rsidRPr="00132D52">
        <w:t>)</w:t>
      </w:r>
      <w:r w:rsidR="00E9459D" w:rsidRPr="00132D52">
        <w:t xml:space="preserve"> </w:t>
      </w:r>
      <w:r w:rsidR="005238BD" w:rsidRPr="00132D52">
        <w:t>[</w:t>
      </w:r>
      <w:r w:rsidR="002B04C7" w:rsidRPr="00132D52">
        <w:t>9</w:t>
      </w:r>
      <w:r w:rsidR="005238BD" w:rsidRPr="00132D52">
        <w:t>,</w:t>
      </w:r>
      <w:r w:rsidR="002B04C7" w:rsidRPr="00132D52">
        <w:t>10</w:t>
      </w:r>
      <w:r w:rsidR="005238BD" w:rsidRPr="00132D52">
        <w:t>]</w:t>
      </w:r>
      <w:r w:rsidR="00602A51" w:rsidRPr="00132D52">
        <w:t>,</w:t>
      </w:r>
      <w:r w:rsidRPr="00132D52">
        <w:t xml:space="preserve"> </w:t>
      </w:r>
      <w:r w:rsidR="00602A51" w:rsidRPr="00132D52">
        <w:t xml:space="preserve">‘DMT’ (dichloromethane/methanol/triethylammonium chloride, 3:1:0.005) </w:t>
      </w:r>
      <w:bookmarkStart w:id="34" w:name="EXISTREF26"/>
      <w:r w:rsidR="005238BD" w:rsidRPr="00132D52">
        <w:t>[</w:t>
      </w:r>
      <w:r w:rsidR="002B04C7" w:rsidRPr="00132D52">
        <w:t>14</w:t>
      </w:r>
      <w:r w:rsidR="005238BD" w:rsidRPr="00132D52">
        <w:t>,</w:t>
      </w:r>
      <w:r w:rsidR="002B04C7" w:rsidRPr="00132D52">
        <w:t>21</w:t>
      </w:r>
      <w:r w:rsidR="005238BD" w:rsidRPr="00132D52">
        <w:t>,</w:t>
      </w:r>
      <w:r w:rsidR="002B04C7" w:rsidRPr="00132D52">
        <w:t>26</w:t>
      </w:r>
      <w:r w:rsidR="005238BD" w:rsidRPr="00132D52">
        <w:t>]</w:t>
      </w:r>
      <w:bookmarkEnd w:id="34"/>
      <w:r w:rsidR="00602A51" w:rsidRPr="00132D52">
        <w:t xml:space="preserve"> </w:t>
      </w:r>
      <w:r w:rsidRPr="00132D52">
        <w:t>and ‘XMI’ (xylene/methanol/isopropanol</w:t>
      </w:r>
      <w:r w:rsidR="00660A7E" w:rsidRPr="00132D52">
        <w:t>, 1:2:4</w:t>
      </w:r>
      <w:r w:rsidRPr="00132D52">
        <w:t>)</w:t>
      </w:r>
      <w:r w:rsidR="00E9459D" w:rsidRPr="00132D52">
        <w:t xml:space="preserve"> </w:t>
      </w:r>
      <w:r w:rsidR="005238BD" w:rsidRPr="00132D52">
        <w:t>[</w:t>
      </w:r>
      <w:r w:rsidR="002B04C7" w:rsidRPr="00132D52">
        <w:t>25</w:t>
      </w:r>
      <w:r w:rsidR="005238BD" w:rsidRPr="00132D52">
        <w:t>]</w:t>
      </w:r>
      <w:r w:rsidRPr="00132D52">
        <w:t>.</w:t>
      </w:r>
      <w:r w:rsidR="006F5717" w:rsidRPr="00132D52">
        <w:t xml:space="preserve"> </w:t>
      </w:r>
      <w:r w:rsidR="00602A51" w:rsidRPr="00132D52">
        <w:t>These methods are in common use for lipidomics and have shown reliability with at least one sample type.</w:t>
      </w:r>
      <w:r w:rsidR="006F5717" w:rsidRPr="00132D52">
        <w:t xml:space="preserve"> </w:t>
      </w:r>
      <w:r w:rsidR="00602A51" w:rsidRPr="00132D52">
        <w:t xml:space="preserve">The TBME method </w:t>
      </w:r>
      <w:r w:rsidR="005238BD" w:rsidRPr="00132D52">
        <w:t>[</w:t>
      </w:r>
      <w:r w:rsidR="002B04C7" w:rsidRPr="00132D52">
        <w:t>8</w:t>
      </w:r>
      <w:r w:rsidR="005238BD" w:rsidRPr="00132D52">
        <w:t>]</w:t>
      </w:r>
      <w:r w:rsidR="00602A51" w:rsidRPr="00132D52">
        <w:t xml:space="preserve"> was amongst the first to be reported for high throughput lipidomics and has received wide attention and considerable use in lipidomics.</w:t>
      </w:r>
      <w:r w:rsidR="006F5717" w:rsidRPr="00132D52">
        <w:t xml:space="preserve"> </w:t>
      </w:r>
      <w:r w:rsidR="00602A51" w:rsidRPr="00132D52">
        <w:t>It has been used particularly frequently in plasma and serum sample sets and has been found to be consistent.</w:t>
      </w:r>
      <w:r w:rsidR="006F5717" w:rsidRPr="00132D52">
        <w:t xml:space="preserve"> </w:t>
      </w:r>
      <w:r w:rsidR="00602A51" w:rsidRPr="00132D52">
        <w:t xml:space="preserve">DMT has been reported more recently and has been used across a number of sample types, and has been used where several sample types are required in a given study </w:t>
      </w:r>
      <w:r w:rsidR="005238BD" w:rsidRPr="00132D52">
        <w:t>[</w:t>
      </w:r>
      <w:r w:rsidR="002B04C7" w:rsidRPr="00132D52">
        <w:t>14</w:t>
      </w:r>
      <w:r w:rsidR="005238BD" w:rsidRPr="00132D52">
        <w:t>,</w:t>
      </w:r>
      <w:r w:rsidR="002B04C7" w:rsidRPr="00132D52">
        <w:t>21</w:t>
      </w:r>
      <w:r w:rsidR="005238BD" w:rsidRPr="00132D52">
        <w:t>]</w:t>
      </w:r>
      <w:r w:rsidR="00602A51" w:rsidRPr="00132D52">
        <w:t>.</w:t>
      </w:r>
      <w:r w:rsidR="006F5717" w:rsidRPr="00132D52">
        <w:t xml:space="preserve"> </w:t>
      </w:r>
      <w:r w:rsidR="00602A51" w:rsidRPr="00132D52">
        <w:t xml:space="preserve">BuMe was developed solely for human plasma samples and has not yet been reviewed for other sample types </w:t>
      </w:r>
      <w:r w:rsidR="005238BD" w:rsidRPr="00132D52">
        <w:t>[</w:t>
      </w:r>
      <w:r w:rsidR="002B04C7" w:rsidRPr="00132D52">
        <w:t>9</w:t>
      </w:r>
      <w:r w:rsidR="005238BD" w:rsidRPr="00132D52">
        <w:t>,</w:t>
      </w:r>
      <w:r w:rsidR="002B04C7" w:rsidRPr="00132D52">
        <w:t>10</w:t>
      </w:r>
      <w:r w:rsidR="005238BD" w:rsidRPr="00132D52">
        <w:t>]</w:t>
      </w:r>
      <w:r w:rsidR="00602A51" w:rsidRPr="00132D52">
        <w:t>.</w:t>
      </w:r>
      <w:r w:rsidR="006F5717" w:rsidRPr="00132D52">
        <w:t xml:space="preserve"> </w:t>
      </w:r>
      <w:r w:rsidR="00602A51" w:rsidRPr="00132D52">
        <w:t xml:space="preserve">XMI is the newest method, developed by us for isolating the lipid fraction from dried milk spots and it too is untested on other matrices </w:t>
      </w:r>
      <w:r w:rsidR="005238BD" w:rsidRPr="00132D52">
        <w:t>[</w:t>
      </w:r>
      <w:r w:rsidR="002B04C7" w:rsidRPr="00132D52">
        <w:t>25</w:t>
      </w:r>
      <w:r w:rsidR="005238BD" w:rsidRPr="00132D52">
        <w:t>]</w:t>
      </w:r>
      <w:r w:rsidR="00602A51" w:rsidRPr="00132D52">
        <w:t>.</w:t>
      </w:r>
      <w:r w:rsidR="006F5717" w:rsidRPr="00132D52">
        <w:t xml:space="preserve"> </w:t>
      </w:r>
      <w:r w:rsidR="00602A51" w:rsidRPr="00132D52">
        <w:t>Notably DMT and TBME are both aqueous methods, they both comprise a wash with water as part of sample preparation.</w:t>
      </w:r>
      <w:r w:rsidR="006F5717" w:rsidRPr="00132D52">
        <w:t xml:space="preserve"> </w:t>
      </w:r>
      <w:r w:rsidR="00602A51" w:rsidRPr="00132D52">
        <w:t>BuMe and XMI methods involve dispersing the biological sample into the solvent mixture before infusion into the ion source.</w:t>
      </w:r>
    </w:p>
    <w:p w14:paraId="2F39C683" w14:textId="16EA9E3E" w:rsidR="00134CDE" w:rsidRPr="00132D52" w:rsidRDefault="00134CDE" w:rsidP="006F5717">
      <w:pPr>
        <w:pStyle w:val="MDPI31text"/>
      </w:pPr>
      <w:r w:rsidRPr="00132D52">
        <w:t>The four matrices were bovine milk (</w:t>
      </w:r>
      <w:r w:rsidR="00CD28CF" w:rsidRPr="00132D52">
        <w:t>milk</w:t>
      </w:r>
      <w:r w:rsidRPr="00132D52">
        <w:t>), human serum (</w:t>
      </w:r>
      <w:r w:rsidR="00CD28CF" w:rsidRPr="00132D52">
        <w:t>serum</w:t>
      </w:r>
      <w:r w:rsidRPr="00132D52">
        <w:t>), murine liver homogenate (</w:t>
      </w:r>
      <w:r w:rsidR="00CD28CF" w:rsidRPr="00132D52">
        <w:t>liver</w:t>
      </w:r>
      <w:r w:rsidRPr="00132D52">
        <w:t>) and murine heart homogenate (</w:t>
      </w:r>
      <w:r w:rsidR="00CD28CF" w:rsidRPr="00132D52">
        <w:t>heart</w:t>
      </w:r>
      <w:r w:rsidRPr="00132D52">
        <w:t>).</w:t>
      </w:r>
      <w:r w:rsidR="006F5717" w:rsidRPr="00132D52">
        <w:t xml:space="preserve"> </w:t>
      </w:r>
      <w:r w:rsidRPr="00132D52">
        <w:t xml:space="preserve">These were chosen to represent the breadth of biological samples commonly requested in lipidomics, with </w:t>
      </w:r>
      <w:r w:rsidR="00CD28CF" w:rsidRPr="00132D52">
        <w:t>heart</w:t>
      </w:r>
      <w:r w:rsidRPr="00132D52">
        <w:t xml:space="preserve"> representing a proteinaceous sample and milk representing sample types with a particularly high proportion of triglycerides</w:t>
      </w:r>
      <w:r w:rsidR="00200F6E" w:rsidRPr="00132D52">
        <w:t xml:space="preserve"> (</w:t>
      </w:r>
      <w:r w:rsidR="0078078F" w:rsidRPr="00132D52">
        <w:t>phospholipid:triglyceride = 1:49)</w:t>
      </w:r>
      <w:r w:rsidRPr="00132D52">
        <w:t>.</w:t>
      </w:r>
      <w:r w:rsidR="006F5717" w:rsidRPr="00132D52">
        <w:t xml:space="preserve"> </w:t>
      </w:r>
      <w:r w:rsidR="00602A51" w:rsidRPr="00132D52">
        <w:t>Different subtypes or pools of these sample matrices were used to assess the precision of the methods.</w:t>
      </w:r>
      <w:r w:rsidR="006F5717" w:rsidRPr="00132D52">
        <w:t xml:space="preserve"> </w:t>
      </w:r>
      <w:bookmarkStart w:id="35" w:name="_Hlk43755666"/>
      <w:r w:rsidR="005238BD" w:rsidRPr="00132D52">
        <w:t>The data for this study were collected in one analytical run using Direct-Infusion Mass Spectrometry (DI-MS).</w:t>
      </w:r>
      <w:r w:rsidR="006F5717" w:rsidRPr="00132D52">
        <w:t xml:space="preserve"> </w:t>
      </w:r>
      <w:r w:rsidR="005238BD" w:rsidRPr="00132D52">
        <w:t>This is a typical high throughput method (30</w:t>
      </w:r>
      <w:r w:rsidR="006F5717" w:rsidRPr="00132D52">
        <w:t xml:space="preserve"> </w:t>
      </w:r>
      <w:r w:rsidR="005238BD" w:rsidRPr="00132D52">
        <w:t>samples/h) with a sample queue that minimizes or avoids batch effects altogether and thus tests the methods in a high throughput manner.</w:t>
      </w:r>
      <w:bookmarkEnd w:id="35"/>
    </w:p>
    <w:p w14:paraId="39B204F6" w14:textId="683E9AC4" w:rsidR="00605BAA" w:rsidRPr="00132D52" w:rsidRDefault="00200F6E" w:rsidP="006F5717">
      <w:pPr>
        <w:pStyle w:val="MDPI31text"/>
      </w:pPr>
      <w:r w:rsidRPr="00132D52">
        <w:t xml:space="preserve">It is important to test </w:t>
      </w:r>
      <w:r w:rsidR="00EC5C17" w:rsidRPr="00132D52">
        <w:t xml:space="preserve">the hypothesis that the solvent-based extraction method that comprises an aqueous wash and the facility to dissolve lipid classes with a range of polarities works best for high </w:t>
      </w:r>
      <w:r w:rsidR="00EC5C17" w:rsidRPr="00132D52">
        <w:lastRenderedPageBreak/>
        <w:t>throughput lipidomics</w:t>
      </w:r>
      <w:r w:rsidRPr="00132D52">
        <w:t xml:space="preserve"> as understanding the limits of lipid extraction methods is key to choosing the appropriate method for answering scientific questions about lipid metabolism. Questions requiring a focus on one or two particular classes or particular sample matrices may be answered by methods that are particularly amenable to the chemical and physical properties of that class/sample type.</w:t>
      </w:r>
      <w:r w:rsidR="006F5717" w:rsidRPr="00132D52">
        <w:t xml:space="preserve"> </w:t>
      </w:r>
      <w:r w:rsidRPr="00132D52">
        <w:t xml:space="preserve">It may also be helpful to know which lipid classes are </w:t>
      </w:r>
      <w:r w:rsidR="00EC5C17" w:rsidRPr="00132D52">
        <w:t xml:space="preserve">extracted </w:t>
      </w:r>
      <w:r w:rsidRPr="00132D52">
        <w:t xml:space="preserve">less </w:t>
      </w:r>
      <w:r w:rsidR="00EC5C17" w:rsidRPr="00132D52">
        <w:t xml:space="preserve">efficiently </w:t>
      </w:r>
      <w:r w:rsidRPr="00132D52">
        <w:t>using a given isolation method.</w:t>
      </w:r>
      <w:r w:rsidR="006F5717" w:rsidRPr="00132D52">
        <w:t xml:space="preserve"> </w:t>
      </w:r>
      <w:r w:rsidRPr="00132D52">
        <w:t xml:space="preserve">This study represents an advance because previous attempts at comparing extraction methods have focused on low-resolution profiling and the </w:t>
      </w:r>
      <w:r w:rsidR="00236FDF" w:rsidRPr="00132D52">
        <w:t>undried</w:t>
      </w:r>
      <w:r w:rsidRPr="00132D52">
        <w:t xml:space="preserve"> lipid extracts, meaning that data in this area is weak </w:t>
      </w:r>
      <w:r w:rsidR="005238BD" w:rsidRPr="00132D52">
        <w:t>[</w:t>
      </w:r>
      <w:r w:rsidR="002B04C7" w:rsidRPr="00132D52">
        <w:t>22</w:t>
      </w:r>
      <w:r w:rsidR="005238BD" w:rsidRPr="00132D52">
        <w:t>]</w:t>
      </w:r>
      <w:r w:rsidRPr="00132D52">
        <w:t>.</w:t>
      </w:r>
      <w:r w:rsidR="006F5717" w:rsidRPr="00132D52">
        <w:t xml:space="preserve"> </w:t>
      </w:r>
      <w:r w:rsidRPr="00132D52">
        <w:t>The present study uses a novel method to quantify the quality of lipid extraction, using both the number of lipid isoforms (variables) identified and the total signal strength of lipid variables the extracts.</w:t>
      </w:r>
      <w:r w:rsidR="006F5717" w:rsidRPr="00132D52">
        <w:t xml:space="preserve"> </w:t>
      </w:r>
      <w:bookmarkStart w:id="36" w:name="_Hlk43802976"/>
      <w:r w:rsidR="00053CD9" w:rsidRPr="00132D52">
        <w:t>(</w:t>
      </w:r>
      <w:r w:rsidR="003F7E9E" w:rsidRPr="00132D52">
        <w:t>Isoforms are defined by the configuration of their FA or acylated sphingosin</w:t>
      </w:r>
      <w:r w:rsidR="00053CD9" w:rsidRPr="00132D52">
        <w:t>yl</w:t>
      </w:r>
      <w:r w:rsidR="003F7E9E" w:rsidRPr="00132D52">
        <w:t xml:space="preserve"> portion</w:t>
      </w:r>
      <w:r w:rsidR="00053CD9" w:rsidRPr="00132D52">
        <w:t xml:space="preserve">, </w:t>
      </w:r>
      <w:r w:rsidR="00053CD9" w:rsidRPr="00132D52">
        <w:rPr>
          <w:iCs/>
        </w:rPr>
        <w:t>i.e.</w:t>
      </w:r>
      <w:r w:rsidR="002C7483" w:rsidRPr="00132D52">
        <w:rPr>
          <w:iCs/>
        </w:rPr>
        <w:t>,</w:t>
      </w:r>
      <w:r w:rsidR="00053CD9" w:rsidRPr="00132D52">
        <w:rPr>
          <w:iCs/>
        </w:rPr>
        <w:t xml:space="preserve"> </w:t>
      </w:r>
      <w:r w:rsidR="00053CD9" w:rsidRPr="00132D52">
        <w:t>phosphatidylcholine with two palmitate residues will be referred to as the isoform PC(32:0) where that with two arachidonate residues is referred to as PC(40:8).</w:t>
      </w:r>
      <w:r w:rsidR="006F5717" w:rsidRPr="00132D52">
        <w:t xml:space="preserve"> </w:t>
      </w:r>
      <w:bookmarkEnd w:id="36"/>
      <w:r w:rsidR="00053CD9" w:rsidRPr="00132D52">
        <w:t xml:space="preserve">The combination of signal strength and number of variables </w:t>
      </w:r>
      <w:r w:rsidRPr="00132D52">
        <w:t>provides an objective measure for ranking the efficiency of lipid extraction that has not previously been used in assessing the quality or efficiency of this process.</w:t>
      </w:r>
    </w:p>
    <w:bookmarkEnd w:id="5"/>
    <w:bookmarkEnd w:id="6"/>
    <w:p w14:paraId="7D75243C" w14:textId="77777777" w:rsidR="00605BAA" w:rsidRPr="00132D52" w:rsidRDefault="00605BAA" w:rsidP="006F5717">
      <w:pPr>
        <w:pStyle w:val="MDPI21heading1"/>
      </w:pPr>
      <w:r w:rsidRPr="00132D52">
        <w:t>2. Results</w:t>
      </w:r>
    </w:p>
    <w:p w14:paraId="0DB022BC" w14:textId="714019F9" w:rsidR="00605BAA" w:rsidRPr="00132D52" w:rsidRDefault="0045743D" w:rsidP="006F5717">
      <w:pPr>
        <w:pStyle w:val="MDPI22heading2"/>
        <w:spacing w:before="0"/>
        <w:rPr>
          <w:noProof w:val="0"/>
        </w:rPr>
      </w:pPr>
      <w:r w:rsidRPr="00132D52">
        <w:rPr>
          <w:noProof w:val="0"/>
        </w:rPr>
        <w:t xml:space="preserve">2.1 </w:t>
      </w:r>
      <w:r w:rsidR="00134CDE" w:rsidRPr="00132D52">
        <w:rPr>
          <w:noProof w:val="0"/>
        </w:rPr>
        <w:t xml:space="preserve">Extraction </w:t>
      </w:r>
      <w:r w:rsidR="006F5717" w:rsidRPr="00132D52">
        <w:rPr>
          <w:noProof w:val="0"/>
        </w:rPr>
        <w:t>E</w:t>
      </w:r>
      <w:r w:rsidR="00134CDE" w:rsidRPr="00132D52">
        <w:rPr>
          <w:noProof w:val="0"/>
        </w:rPr>
        <w:t>fficiency</w:t>
      </w:r>
    </w:p>
    <w:p w14:paraId="6A56DBFF" w14:textId="548C80C2" w:rsidR="006606C3" w:rsidRPr="00132D52" w:rsidRDefault="00134CDE" w:rsidP="006F5717">
      <w:pPr>
        <w:pStyle w:val="MDPI31text"/>
      </w:pPr>
      <w:r w:rsidRPr="00132D52">
        <w:t>Twenty measurements each of the four methods (DMT</w:t>
      </w:r>
      <w:r w:rsidR="00E9459D" w:rsidRPr="00132D52">
        <w:t xml:space="preserve"> </w:t>
      </w:r>
      <w:r w:rsidR="005238BD" w:rsidRPr="00132D52">
        <w:t>[</w:t>
      </w:r>
      <w:r w:rsidR="002B04C7" w:rsidRPr="00132D52">
        <w:t>14</w:t>
      </w:r>
      <w:r w:rsidR="005238BD" w:rsidRPr="00132D52">
        <w:t>,</w:t>
      </w:r>
      <w:r w:rsidR="002B04C7" w:rsidRPr="00132D52">
        <w:t>21</w:t>
      </w:r>
      <w:r w:rsidR="005238BD" w:rsidRPr="00132D52">
        <w:t>,</w:t>
      </w:r>
      <w:r w:rsidR="002B04C7" w:rsidRPr="00132D52">
        <w:t>26</w:t>
      </w:r>
      <w:r w:rsidR="005238BD" w:rsidRPr="00132D52">
        <w:t>]</w:t>
      </w:r>
      <w:r w:rsidRPr="00132D52">
        <w:t>, TBME</w:t>
      </w:r>
      <w:r w:rsidR="00E9459D" w:rsidRPr="00132D52">
        <w:t xml:space="preserve"> </w:t>
      </w:r>
      <w:r w:rsidR="005238BD" w:rsidRPr="00132D52">
        <w:t>[</w:t>
      </w:r>
      <w:r w:rsidR="002B04C7" w:rsidRPr="00132D52">
        <w:t>8</w:t>
      </w:r>
      <w:r w:rsidR="005238BD" w:rsidRPr="00132D52">
        <w:t>]</w:t>
      </w:r>
      <w:r w:rsidRPr="00132D52">
        <w:t>, BuMe</w:t>
      </w:r>
      <w:r w:rsidR="00E9459D" w:rsidRPr="00132D52">
        <w:t xml:space="preserve"> </w:t>
      </w:r>
      <w:r w:rsidR="005238BD" w:rsidRPr="00132D52">
        <w:t>[</w:t>
      </w:r>
      <w:r w:rsidR="002B04C7" w:rsidRPr="00132D52">
        <w:t>9</w:t>
      </w:r>
      <w:r w:rsidR="005238BD" w:rsidRPr="00132D52">
        <w:t>,</w:t>
      </w:r>
      <w:r w:rsidR="002B04C7" w:rsidRPr="00132D52">
        <w:t>10</w:t>
      </w:r>
      <w:r w:rsidR="005238BD" w:rsidRPr="00132D52">
        <w:t>]</w:t>
      </w:r>
      <w:r w:rsidRPr="00132D52">
        <w:t xml:space="preserve"> and XMI</w:t>
      </w:r>
      <w:r w:rsidR="00E9459D" w:rsidRPr="00132D52">
        <w:t xml:space="preserve"> </w:t>
      </w:r>
      <w:r w:rsidR="005238BD" w:rsidRPr="00132D52">
        <w:t>[</w:t>
      </w:r>
      <w:r w:rsidR="002B04C7" w:rsidRPr="00132D52">
        <w:t>25</w:t>
      </w:r>
      <w:r w:rsidR="005238BD" w:rsidRPr="00132D52">
        <w:t>]</w:t>
      </w:r>
      <w:r w:rsidRPr="00132D52">
        <w:t xml:space="preserve">) across the four matrices (JerseyMilk, </w:t>
      </w:r>
      <w:r w:rsidR="00CD28CF" w:rsidRPr="00132D52">
        <w:t>serum</w:t>
      </w:r>
      <w:r w:rsidRPr="00132D52">
        <w:t xml:space="preserve">, </w:t>
      </w:r>
      <w:r w:rsidR="00CD28CF" w:rsidRPr="00132D52">
        <w:t>liver</w:t>
      </w:r>
      <w:r w:rsidRPr="00132D52">
        <w:t xml:space="preserve"> and </w:t>
      </w:r>
      <w:r w:rsidR="00CD28CF" w:rsidRPr="00132D52">
        <w:t>heart</w:t>
      </w:r>
      <w:r w:rsidRPr="00132D52">
        <w:t>) were taken.</w:t>
      </w:r>
      <w:r w:rsidR="006F5717" w:rsidRPr="00132D52">
        <w:t xml:space="preserve"> </w:t>
      </w:r>
      <w:r w:rsidRPr="00132D52">
        <w:t>Strikingly, the Jersey</w:t>
      </w:r>
      <w:r w:rsidR="00333699" w:rsidRPr="00132D52">
        <w:t xml:space="preserve"> </w:t>
      </w:r>
      <w:r w:rsidRPr="00132D52">
        <w:t>Milk matrix was extracted efficiently across all methods tested, and in both ionisation modes.</w:t>
      </w:r>
      <w:r w:rsidR="006F5717" w:rsidRPr="00132D52">
        <w:t xml:space="preserve"> </w:t>
      </w:r>
      <w:r w:rsidRPr="00132D52">
        <w:t>The number of variables was highest in extracts using BuMe with the highest signal strength using the DMT method</w:t>
      </w:r>
      <w:r w:rsidR="002C7483" w:rsidRPr="00132D52">
        <w:t xml:space="preserve"> in Figure </w:t>
      </w:r>
      <w:r w:rsidRPr="00132D52">
        <w:t>1</w:t>
      </w:r>
    </w:p>
    <w:p w14:paraId="75F5FB35" w14:textId="36F7701B" w:rsidR="00605BAA" w:rsidRPr="00132D52" w:rsidRDefault="00134CDE" w:rsidP="006F5717">
      <w:pPr>
        <w:pStyle w:val="MDPI31text"/>
      </w:pPr>
      <w:r w:rsidRPr="00132D52">
        <w:t>Aqueous methods (DMT and TBME) performed best across all matrices, with particular superiority in proteinaceous tissue homogenates (liver, heart)</w:t>
      </w:r>
      <w:r w:rsidR="002C7483" w:rsidRPr="00132D52">
        <w:t xml:space="preserve"> in</w:t>
      </w:r>
      <w:r w:rsidRPr="00132D52">
        <w:t xml:space="preserve"> </w:t>
      </w:r>
      <w:r w:rsidR="002C7483" w:rsidRPr="00132D52">
        <w:t xml:space="preserve">Figure </w:t>
      </w:r>
      <w:r w:rsidRPr="00132D52">
        <w:t>1.</w:t>
      </w:r>
      <w:r w:rsidR="006F5717" w:rsidRPr="00132D52">
        <w:t xml:space="preserve"> </w:t>
      </w:r>
      <w:r w:rsidRPr="00132D52">
        <w:t>Sample preparation using non-aqueous methods, XMI and BuMe, was quick and straightforward.</w:t>
      </w:r>
      <w:r w:rsidR="006F5717" w:rsidRPr="00132D52">
        <w:t xml:space="preserve"> </w:t>
      </w:r>
      <w:r w:rsidRPr="00132D52">
        <w:t xml:space="preserve">However, the mass spectrometry infusions that </w:t>
      </w:r>
      <w:r w:rsidR="00E20A8C" w:rsidRPr="00132D52">
        <w:t xml:space="preserve">of XMI and BuMe samples </w:t>
      </w:r>
      <w:r w:rsidRPr="00132D52">
        <w:t>were characterised by poor injection performance.</w:t>
      </w:r>
      <w:r w:rsidR="006F5717" w:rsidRPr="00132D52">
        <w:t xml:space="preserve"> </w:t>
      </w:r>
      <w:r w:rsidRPr="00132D52">
        <w:t>This is ascribed to the high protein abundance in those samples.</w:t>
      </w:r>
      <w:r w:rsidR="006F5717" w:rsidRPr="00132D52">
        <w:t xml:space="preserve"> </w:t>
      </w:r>
      <w:r w:rsidRPr="00132D52">
        <w:t>It should be stressed however that XMI and BuMe were developed for dried milk spots and plasma respectively, and not high-protein samples.</w:t>
      </w:r>
      <w:r w:rsidR="006F5717" w:rsidRPr="00132D52">
        <w:t xml:space="preserve"> </w:t>
      </w:r>
      <w:r w:rsidRPr="00132D52">
        <w:t xml:space="preserve">This may also explain the weaker performance of these methods on </w:t>
      </w:r>
      <w:r w:rsidR="00CD28CF" w:rsidRPr="00132D52">
        <w:t>serum</w:t>
      </w:r>
      <w:r w:rsidRPr="00132D52">
        <w:t>, which is more viscous than the plasma that the BuMe method was developed for.</w:t>
      </w:r>
    </w:p>
    <w:p w14:paraId="093962EE" w14:textId="77777777" w:rsidR="00362688" w:rsidRPr="00132D52" w:rsidRDefault="00362688" w:rsidP="006F5717">
      <w:pPr>
        <w:pStyle w:val="MDPI31text"/>
      </w:pPr>
    </w:p>
    <w:tbl>
      <w:tblPr>
        <w:tblW w:w="0" w:type="auto"/>
        <w:tblLook w:val="04A0" w:firstRow="1" w:lastRow="0" w:firstColumn="1" w:lastColumn="0" w:noHBand="0" w:noVBand="1"/>
      </w:tblPr>
      <w:tblGrid>
        <w:gridCol w:w="8622"/>
        <w:gridCol w:w="222"/>
      </w:tblGrid>
      <w:tr w:rsidR="00605BAA" w:rsidRPr="00132D52" w14:paraId="4D3FF0A2" w14:textId="77777777" w:rsidTr="00E20A8C">
        <w:tc>
          <w:tcPr>
            <w:tcW w:w="8622" w:type="dxa"/>
          </w:tcPr>
          <w:p w14:paraId="07DA7DBE" w14:textId="76F5699D" w:rsidR="00605BAA" w:rsidRPr="00132D52" w:rsidRDefault="009A3E6A" w:rsidP="002C7483">
            <w:pPr>
              <w:pStyle w:val="MDPI52figure"/>
            </w:pPr>
            <w:r w:rsidRPr="00132D52">
              <w:rPr>
                <w:noProof/>
              </w:rPr>
              <w:drawing>
                <wp:inline distT="0" distB="0" distL="0" distR="0" wp14:anchorId="29C4A3CB" wp14:editId="1973F684">
                  <wp:extent cx="5391150" cy="2396098"/>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75672" cy="2433664"/>
                          </a:xfrm>
                          <a:prstGeom prst="rect">
                            <a:avLst/>
                          </a:prstGeom>
                          <a:noFill/>
                        </pic:spPr>
                      </pic:pic>
                    </a:graphicData>
                  </a:graphic>
                </wp:inline>
              </w:drawing>
            </w:r>
          </w:p>
        </w:tc>
        <w:tc>
          <w:tcPr>
            <w:tcW w:w="222" w:type="dxa"/>
          </w:tcPr>
          <w:p w14:paraId="547FFDFF" w14:textId="41A45CBF" w:rsidR="00605BAA" w:rsidRPr="00132D52" w:rsidRDefault="00605BAA" w:rsidP="006F5717">
            <w:pPr>
              <w:pStyle w:val="MDPI52figure"/>
            </w:pPr>
          </w:p>
        </w:tc>
      </w:tr>
      <w:tr w:rsidR="00671776" w:rsidRPr="00132D52" w14:paraId="3BEFAA2D" w14:textId="77777777" w:rsidTr="00E20A8C">
        <w:tc>
          <w:tcPr>
            <w:tcW w:w="8622" w:type="dxa"/>
          </w:tcPr>
          <w:p w14:paraId="48972B36" w14:textId="6B77986C" w:rsidR="00671776" w:rsidRPr="00132D52" w:rsidRDefault="009A3E6A" w:rsidP="006F5717">
            <w:pPr>
              <w:pStyle w:val="MDPI52figure"/>
              <w:rPr>
                <w:rFonts w:ascii="Gentium Basic" w:hAnsi="Gentium Basic"/>
              </w:rPr>
            </w:pPr>
            <w:r w:rsidRPr="00132D52">
              <w:rPr>
                <w:rFonts w:ascii="Gentium Basic" w:hAnsi="Gentium Basic"/>
                <w:noProof/>
              </w:rPr>
              <w:lastRenderedPageBreak/>
              <w:drawing>
                <wp:inline distT="0" distB="0" distL="0" distR="0" wp14:anchorId="544B3E42" wp14:editId="369B5777">
                  <wp:extent cx="5381625" cy="2258998"/>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3178" cy="2263848"/>
                          </a:xfrm>
                          <a:prstGeom prst="rect">
                            <a:avLst/>
                          </a:prstGeom>
                          <a:noFill/>
                        </pic:spPr>
                      </pic:pic>
                    </a:graphicData>
                  </a:graphic>
                </wp:inline>
              </w:drawing>
            </w:r>
          </w:p>
        </w:tc>
        <w:tc>
          <w:tcPr>
            <w:tcW w:w="222" w:type="dxa"/>
          </w:tcPr>
          <w:p w14:paraId="6A619074" w14:textId="77777777" w:rsidR="00671776" w:rsidRPr="00132D52" w:rsidRDefault="00671776" w:rsidP="006F5717">
            <w:pPr>
              <w:pStyle w:val="MDPI52figure"/>
            </w:pPr>
          </w:p>
        </w:tc>
      </w:tr>
    </w:tbl>
    <w:p w14:paraId="0F65E9E4" w14:textId="2942964B" w:rsidR="00362688" w:rsidRPr="00132D52" w:rsidRDefault="00E20A8C" w:rsidP="006F5717">
      <w:pPr>
        <w:pStyle w:val="MDPI51figurecaption"/>
        <w:rPr>
          <w:szCs w:val="18"/>
        </w:rPr>
      </w:pPr>
      <w:commentRangeStart w:id="37"/>
      <w:r w:rsidRPr="00EB66DB">
        <w:rPr>
          <w:b/>
          <w:highlight w:val="green"/>
        </w:rPr>
        <w:t>Figure 1.</w:t>
      </w:r>
      <w:r w:rsidRPr="00132D52">
        <w:t xml:space="preserve"> </w:t>
      </w:r>
      <w:commentRangeEnd w:id="37"/>
      <w:r w:rsidR="006645F6">
        <w:rPr>
          <w:rStyle w:val="CommentReference"/>
          <w:rFonts w:ascii="Times New Roman" w:hAnsi="Times New Roman"/>
          <w:lang w:bidi="ar-SA"/>
        </w:rPr>
        <w:commentReference w:id="37"/>
      </w:r>
      <w:r w:rsidRPr="00132D52">
        <w:rPr>
          <w:szCs w:val="18"/>
        </w:rPr>
        <w:t xml:space="preserve">The signal strength and number of </w:t>
      </w:r>
      <w:r w:rsidR="00967D15" w:rsidRPr="00132D52">
        <w:rPr>
          <w:szCs w:val="18"/>
        </w:rPr>
        <w:t xml:space="preserve">lipid </w:t>
      </w:r>
      <w:r w:rsidRPr="00132D52">
        <w:rPr>
          <w:szCs w:val="18"/>
        </w:rPr>
        <w:t>variables detected in lipid extracts from four different matrices using four different extraction methods for high throughput lipidomics (</w:t>
      </w:r>
      <w:r w:rsidRPr="00132D52">
        <w:rPr>
          <w:i/>
          <w:iCs/>
          <w:szCs w:val="18"/>
        </w:rPr>
        <w:t>n</w:t>
      </w:r>
      <w:r w:rsidRPr="00132D52">
        <w:rPr>
          <w:szCs w:val="18"/>
        </w:rPr>
        <w:t xml:space="preserve"> = 20 measurements of each). Panel </w:t>
      </w:r>
      <w:r w:rsidRPr="00132D52">
        <w:t>(</w:t>
      </w:r>
      <w:r w:rsidRPr="00132D52">
        <w:rPr>
          <w:b/>
        </w:rPr>
        <w:t>A</w:t>
      </w:r>
      <w:r w:rsidRPr="00132D52">
        <w:t>)</w:t>
      </w:r>
      <w:r w:rsidRPr="00132D52">
        <w:rPr>
          <w:szCs w:val="18"/>
        </w:rPr>
        <w:t>, Total signal strength in positive ionisation mode; (</w:t>
      </w:r>
      <w:r w:rsidRPr="00132D52">
        <w:rPr>
          <w:b/>
          <w:bCs/>
          <w:szCs w:val="18"/>
        </w:rPr>
        <w:t>B</w:t>
      </w:r>
      <w:r w:rsidRPr="00132D52">
        <w:rPr>
          <w:szCs w:val="18"/>
        </w:rPr>
        <w:t>), Number of variables identified in positive mode; (</w:t>
      </w:r>
      <w:r w:rsidRPr="00132D52">
        <w:rPr>
          <w:b/>
          <w:bCs/>
          <w:szCs w:val="18"/>
        </w:rPr>
        <w:t>C</w:t>
      </w:r>
      <w:r w:rsidRPr="00132D52">
        <w:rPr>
          <w:szCs w:val="18"/>
        </w:rPr>
        <w:t>), Total signal strength in negative ionisation mode; (</w:t>
      </w:r>
      <w:r w:rsidRPr="00132D52">
        <w:rPr>
          <w:b/>
          <w:bCs/>
          <w:szCs w:val="18"/>
        </w:rPr>
        <w:t>D</w:t>
      </w:r>
      <w:r w:rsidRPr="00132D52">
        <w:rPr>
          <w:szCs w:val="18"/>
        </w:rPr>
        <w:t>), Number of variables identified in negative mode.</w:t>
      </w:r>
      <w:r w:rsidR="006F5717" w:rsidRPr="00132D52">
        <w:rPr>
          <w:szCs w:val="18"/>
        </w:rPr>
        <w:t xml:space="preserve"> </w:t>
      </w:r>
      <w:r w:rsidRPr="00132D52">
        <w:rPr>
          <w:szCs w:val="18"/>
        </w:rPr>
        <w:t xml:space="preserve">Error bars show standard deviation. BuMe, butanol/methanol 1:1; DMT, dichloromethane/methanol/triethylammonium chloride 3:1:0·005; TBME, </w:t>
      </w:r>
      <w:r w:rsidRPr="00132D52">
        <w:rPr>
          <w:i/>
          <w:iCs/>
          <w:szCs w:val="18"/>
        </w:rPr>
        <w:t>tert</w:t>
      </w:r>
      <w:r w:rsidRPr="00132D52">
        <w:rPr>
          <w:szCs w:val="18"/>
        </w:rPr>
        <w:t>-butylmethylether; XMI, xylene, methanol, isopropanol 1:2:4</w:t>
      </w:r>
      <w:r w:rsidRPr="00132D52">
        <w:t>.</w:t>
      </w:r>
      <w:r w:rsidR="006F5717" w:rsidRPr="00132D52">
        <w:t xml:space="preserve"> </w:t>
      </w:r>
      <w:r w:rsidRPr="00132D52">
        <w:t xml:space="preserve">Samples: </w:t>
      </w:r>
      <w:r w:rsidRPr="00132D52">
        <w:rPr>
          <w:szCs w:val="18"/>
        </w:rPr>
        <w:t>Serum, human blood serum; Milk; unhomogenised Jersey cows’ milk; heart, murine heart homogenate; liver, mouse liver homogenate.</w:t>
      </w:r>
    </w:p>
    <w:p w14:paraId="323497E2" w14:textId="7C887273" w:rsidR="00200F6E" w:rsidRPr="00132D52" w:rsidRDefault="00200F6E" w:rsidP="006F5717">
      <w:pPr>
        <w:pStyle w:val="MDPI31text"/>
      </w:pPr>
      <w:bookmarkStart w:id="38" w:name="_Hlk43730943"/>
      <w:r w:rsidRPr="00132D52">
        <w:t xml:space="preserve">The TBME and DMT methods performed </w:t>
      </w:r>
      <w:r w:rsidR="00C468F7" w:rsidRPr="00132D52">
        <w:t>better than the non-aqueous methods</w:t>
      </w:r>
      <w:r w:rsidRPr="00132D52">
        <w:t>, presumably assisted by the aqueous fraction’s ability to dissolve and separate proteinaceous and perhaps carbohydrate material from the organically-soluble fraction.</w:t>
      </w:r>
      <w:r w:rsidR="006F5717" w:rsidRPr="00132D52">
        <w:t xml:space="preserve"> </w:t>
      </w:r>
      <w:bookmarkStart w:id="39" w:name="_Hlk43730978"/>
      <w:bookmarkEnd w:id="38"/>
      <w:r w:rsidRPr="00132D52">
        <w:t>The isolates prepared using the DMT method comprised more variables and gave rise to a higher total signal strength than those prepared using TBME.</w:t>
      </w:r>
      <w:bookmarkEnd w:id="39"/>
    </w:p>
    <w:p w14:paraId="26B396B0" w14:textId="4B4AB6DB" w:rsidR="00200F6E" w:rsidRPr="00132D52" w:rsidRDefault="00200F6E" w:rsidP="006F5717">
      <w:pPr>
        <w:pStyle w:val="MDPI31text"/>
      </w:pPr>
      <w:r w:rsidRPr="00132D52">
        <w:t xml:space="preserve">Whether or not class abundance differed between extraction methods </w:t>
      </w:r>
      <w:r w:rsidR="009806F0" w:rsidRPr="00132D52">
        <w:t xml:space="preserve">was then tested </w:t>
      </w:r>
      <w:r w:rsidRPr="00132D52">
        <w:t xml:space="preserve">by assessing the relative abundance of </w:t>
      </w:r>
      <w:r w:rsidR="006821C6" w:rsidRPr="00132D52">
        <w:t>representative lipid classes.</w:t>
      </w:r>
      <w:r w:rsidR="006F5717" w:rsidRPr="00132D52">
        <w:t xml:space="preserve"> </w:t>
      </w:r>
      <w:r w:rsidR="006821C6" w:rsidRPr="00132D52">
        <w:t>A</w:t>
      </w:r>
      <w:r w:rsidRPr="00132D52">
        <w:t xml:space="preserve"> major lipophilic component (triglycerides) and an abundant zwitterionic phospholipid (phosphatidylcholine) as well as a lower abundance lipophilic class, sterols (cholesteryl esters and cholesterol itself) in </w:t>
      </w:r>
      <w:r w:rsidR="00E20A8C" w:rsidRPr="00132D52">
        <w:t>serum</w:t>
      </w:r>
      <w:r w:rsidRPr="00132D52">
        <w:t xml:space="preserve"> and </w:t>
      </w:r>
      <w:r w:rsidR="00E20A8C" w:rsidRPr="00132D52">
        <w:t>heart</w:t>
      </w:r>
      <w:r w:rsidRPr="00132D52">
        <w:t xml:space="preserve"> preparations</w:t>
      </w:r>
      <w:r w:rsidR="002C7483" w:rsidRPr="00132D52">
        <w:t xml:space="preserve">, Figure </w:t>
      </w:r>
      <w:r w:rsidRPr="00132D52">
        <w:t>2</w:t>
      </w:r>
      <w:r w:rsidR="002C7483" w:rsidRPr="00132D52">
        <w:t>,</w:t>
      </w:r>
      <w:r w:rsidR="006821C6" w:rsidRPr="00132D52">
        <w:t xml:space="preserve"> were used</w:t>
      </w:r>
      <w:r w:rsidRPr="00132D52">
        <w:t>.</w:t>
      </w:r>
      <w:r w:rsidR="006F5717" w:rsidRPr="00132D52">
        <w:t xml:space="preserve"> </w:t>
      </w:r>
      <w:bookmarkStart w:id="40" w:name="_Hlk43731885"/>
      <w:r w:rsidR="00D067BE" w:rsidRPr="00132D52">
        <w:t>These classes represent the bulk of the signal strength recorded and are of interest in metabolic studies and thus are important in deciding which method(s) are most appropriate or efficient for a given study.</w:t>
      </w:r>
      <w:bookmarkEnd w:id="40"/>
      <w:r w:rsidR="006F5717" w:rsidRPr="00132D52">
        <w:t xml:space="preserve"> </w:t>
      </w:r>
      <w:r w:rsidRPr="00132D52">
        <w:t>The relative abundance scores of phosphatidylcholine (PC), triglycerides (TGs), cholesteryl esters (CEs) and cholesterol indicated that the relative abundance of PC was higher and TG lower in DMT extractions.</w:t>
      </w:r>
      <w:r w:rsidR="006F5717" w:rsidRPr="00132D52">
        <w:t xml:space="preserve"> </w:t>
      </w:r>
      <w:r w:rsidRPr="00132D52">
        <w:t>Further, the number of variables was higher for DMT extractions, as is the total signal strength.</w:t>
      </w:r>
      <w:r w:rsidR="006F5717" w:rsidRPr="00132D52">
        <w:t xml:space="preserve"> </w:t>
      </w:r>
      <w:r w:rsidRPr="00132D52">
        <w:t>Importantly, all four of these classes dissolved easily in dichloromethane and dichloromethane-methanol mixtures, with ionic species dissolving less well in ethereal solvents.</w:t>
      </w:r>
    </w:p>
    <w:p w14:paraId="797D4116" w14:textId="52A8B2C1" w:rsidR="00983116" w:rsidRPr="00132D52" w:rsidRDefault="00200F6E" w:rsidP="006F5717">
      <w:pPr>
        <w:pStyle w:val="MDPI31text"/>
      </w:pPr>
      <w:r w:rsidRPr="00132D52">
        <w:t>The suggestion that isolates of lipids from a range of pipettable biological samples, prepared using DMT, were more concentrated and contained more species of interest than those of other methods led us to test the precision of the method.</w:t>
      </w:r>
    </w:p>
    <w:p w14:paraId="45E621DD" w14:textId="19DBC75C" w:rsidR="00671776" w:rsidRPr="00132D52" w:rsidRDefault="00903BFE" w:rsidP="006F5717">
      <w:pPr>
        <w:pStyle w:val="MDPI52figure"/>
      </w:pPr>
      <w:r w:rsidRPr="00132D52">
        <w:rPr>
          <w:noProof/>
        </w:rPr>
        <w:lastRenderedPageBreak/>
        <w:drawing>
          <wp:inline distT="0" distB="0" distL="0" distR="0" wp14:anchorId="6B1E94ED" wp14:editId="0D79EF92">
            <wp:extent cx="5554639" cy="2557780"/>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6793"/>
                    <a:stretch/>
                  </pic:blipFill>
                  <pic:spPr bwMode="auto">
                    <a:xfrm>
                      <a:off x="0" y="0"/>
                      <a:ext cx="5598096" cy="2577791"/>
                    </a:xfrm>
                    <a:prstGeom prst="rect">
                      <a:avLst/>
                    </a:prstGeom>
                    <a:noFill/>
                    <a:ln>
                      <a:noFill/>
                    </a:ln>
                    <a:extLst>
                      <a:ext uri="{53640926-AAD7-44D8-BBD7-CCE9431645EC}">
                        <a14:shadowObscured xmlns:a14="http://schemas.microsoft.com/office/drawing/2010/main"/>
                      </a:ext>
                    </a:extLst>
                  </pic:spPr>
                </pic:pic>
              </a:graphicData>
            </a:graphic>
          </wp:inline>
        </w:drawing>
      </w:r>
    </w:p>
    <w:p w14:paraId="7E8906B2" w14:textId="435B94DE" w:rsidR="00511651" w:rsidRPr="00132D52" w:rsidRDefault="0045743D" w:rsidP="006F5717">
      <w:pPr>
        <w:pStyle w:val="MDPI51figurecaption"/>
      </w:pPr>
      <w:r w:rsidRPr="00132D52">
        <w:rPr>
          <w:b/>
        </w:rPr>
        <w:t>Figure 2.</w:t>
      </w:r>
      <w:r w:rsidR="00671776" w:rsidRPr="00132D52">
        <w:rPr>
          <w:b/>
        </w:rPr>
        <w:t xml:space="preserve"> </w:t>
      </w:r>
      <w:r w:rsidR="00200F6E" w:rsidRPr="00132D52">
        <w:t>Relative abundance of lipid classes and the numbers of lipid isoforms (variables) in each class, extracted from either murine heart or human serum using either TBME or DMT.</w:t>
      </w:r>
      <w:r w:rsidR="006F5717" w:rsidRPr="00132D52">
        <w:t xml:space="preserve"> </w:t>
      </w:r>
      <w:r w:rsidR="00200F6E" w:rsidRPr="00132D52">
        <w:t>Blue columns show DMT extracts, green columns show TBME extracts.</w:t>
      </w:r>
      <w:r w:rsidR="006F5717" w:rsidRPr="00132D52">
        <w:t xml:space="preserve"> </w:t>
      </w:r>
      <w:r w:rsidR="00200F6E" w:rsidRPr="00132D52">
        <w:t xml:space="preserve">Hatched columns represent </w:t>
      </w:r>
      <w:r w:rsidR="00E67956" w:rsidRPr="00132D52">
        <w:t xml:space="preserve">serum </w:t>
      </w:r>
      <w:r w:rsidR="00200F6E" w:rsidRPr="00132D52">
        <w:t xml:space="preserve">samples whereas open columns represent </w:t>
      </w:r>
      <w:r w:rsidR="00E67956" w:rsidRPr="00132D52">
        <w:t xml:space="preserve">heart </w:t>
      </w:r>
      <w:r w:rsidR="00200F6E" w:rsidRPr="00132D52">
        <w:t>samples. Panel (</w:t>
      </w:r>
      <w:r w:rsidR="00200F6E" w:rsidRPr="00132D52">
        <w:rPr>
          <w:b/>
        </w:rPr>
        <w:t>A</w:t>
      </w:r>
      <w:r w:rsidR="00200F6E" w:rsidRPr="00132D52">
        <w:rPr>
          <w:bCs/>
        </w:rPr>
        <w:t>)</w:t>
      </w:r>
      <w:r w:rsidR="00200F6E" w:rsidRPr="00132D52">
        <w:t>, Abundance of Phosphatidylcholines and triglycerides with number of variables marked; (</w:t>
      </w:r>
      <w:r w:rsidR="00200F6E" w:rsidRPr="00132D52">
        <w:rPr>
          <w:b/>
        </w:rPr>
        <w:t>B</w:t>
      </w:r>
      <w:r w:rsidR="00200F6E" w:rsidRPr="00132D52">
        <w:t>), abundance of Cholesteryl esters and cholesterol.</w:t>
      </w:r>
      <w:r w:rsidR="006F5717" w:rsidRPr="00132D52">
        <w:t xml:space="preserve"> </w:t>
      </w:r>
      <w:r w:rsidR="00200F6E" w:rsidRPr="00132D52">
        <w:t>Five isoforms of cholesteryl ester were identified.</w:t>
      </w:r>
      <w:r w:rsidR="006F5717" w:rsidRPr="00132D52">
        <w:t xml:space="preserve"> </w:t>
      </w:r>
      <w:r w:rsidR="00200F6E" w:rsidRPr="00132D52">
        <w:t>Error bars show standard error.</w:t>
      </w:r>
      <w:r w:rsidR="006F5717" w:rsidRPr="00132D52">
        <w:t xml:space="preserve"> </w:t>
      </w:r>
      <w:r w:rsidR="00200F6E" w:rsidRPr="00132D52">
        <w:t>CE, cholesteryl ester; Chol, cholesterol; PC, phosphatidylcholine; TG, triglyceride. **</w:t>
      </w:r>
      <w:r w:rsidR="00200F6E" w:rsidRPr="00132D52">
        <w:rPr>
          <w:i/>
          <w:iCs/>
        </w:rPr>
        <w:t>p</w:t>
      </w:r>
      <w:r w:rsidRPr="00132D52">
        <w:t xml:space="preserve"> </w:t>
      </w:r>
      <w:r w:rsidR="00200F6E" w:rsidRPr="00132D52">
        <w:t>&lt;</w:t>
      </w:r>
      <w:r w:rsidRPr="00132D52">
        <w:t xml:space="preserve"> </w:t>
      </w:r>
      <w:r w:rsidR="00200F6E" w:rsidRPr="00132D52">
        <w:t>0·001.</w:t>
      </w:r>
    </w:p>
    <w:p w14:paraId="231884C9" w14:textId="35C43D3D" w:rsidR="00605BAA" w:rsidRPr="00132D52" w:rsidRDefault="0045743D" w:rsidP="006F5717">
      <w:pPr>
        <w:pStyle w:val="MDPI22heading2"/>
        <w:rPr>
          <w:noProof w:val="0"/>
        </w:rPr>
      </w:pPr>
      <w:r w:rsidRPr="00132D52">
        <w:rPr>
          <w:noProof w:val="0"/>
        </w:rPr>
        <w:t xml:space="preserve">2.2 </w:t>
      </w:r>
      <w:r w:rsidR="00671776" w:rsidRPr="00132D52">
        <w:rPr>
          <w:noProof w:val="0"/>
        </w:rPr>
        <w:t>Coefficient of Variance</w:t>
      </w:r>
    </w:p>
    <w:p w14:paraId="6F9AEC8D" w14:textId="2B6AF299" w:rsidR="00200F6E" w:rsidRPr="00132D52" w:rsidRDefault="00056135" w:rsidP="006F5717">
      <w:pPr>
        <w:pStyle w:val="MDPI31text"/>
      </w:pPr>
      <w:bookmarkStart w:id="41" w:name="_Hlk43733692"/>
      <w:r w:rsidRPr="00132D52">
        <w:t>In order to test the precision of the DMT method, four subtypes of each matrix were employed.</w:t>
      </w:r>
      <w:r w:rsidR="006F5717" w:rsidRPr="00132D52">
        <w:t xml:space="preserve"> </w:t>
      </w:r>
      <w:r w:rsidRPr="00132D52">
        <w:t>C</w:t>
      </w:r>
      <w:r w:rsidR="00200F6E" w:rsidRPr="00132D52">
        <w:t>ommercially-available milks from four different sources (Jersey and ordinary bovine milk, caprine milk, soya drink) and two pools of homogenates prepared from tissues from mice of two different feeding phenotypes</w:t>
      </w:r>
      <w:r w:rsidRPr="00132D52">
        <w:t>, were used</w:t>
      </w:r>
      <w:r w:rsidR="00200F6E" w:rsidRPr="00132D52">
        <w:t>.</w:t>
      </w:r>
      <w:bookmarkEnd w:id="41"/>
    </w:p>
    <w:p w14:paraId="63BD9408" w14:textId="24AD3F87" w:rsidR="00511651" w:rsidRPr="00132D52" w:rsidRDefault="00200F6E" w:rsidP="006F5717">
      <w:pPr>
        <w:pStyle w:val="MDPI31text"/>
      </w:pPr>
      <w:r w:rsidRPr="00132D52">
        <w:t>Multivariate analysis (principal component analysis, PCA</w:t>
      </w:r>
      <w:r w:rsidR="002C7483" w:rsidRPr="00132D52">
        <w:t xml:space="preserve"> in</w:t>
      </w:r>
      <w:r w:rsidRPr="00132D52">
        <w:t xml:space="preserve"> </w:t>
      </w:r>
      <w:r w:rsidR="002C7483" w:rsidRPr="00132D52">
        <w:t xml:space="preserve">Figure </w:t>
      </w:r>
      <w:r w:rsidRPr="00132D52">
        <w:t>3) showed that the profiles of these groups divided up as expected, with two broadly similar pairs of profiles of lipids from murine hearts and four distinct groups for milk extracts.</w:t>
      </w:r>
      <w:r w:rsidR="006F5717" w:rsidRPr="00132D52">
        <w:t xml:space="preserve"> </w:t>
      </w:r>
      <w:r w:rsidRPr="00132D52">
        <w:t>The latter</w:t>
      </w:r>
      <w:r w:rsidR="00362688" w:rsidRPr="00132D52">
        <w:t xml:space="preserve"> </w:t>
      </w:r>
      <w:r w:rsidRPr="00132D52">
        <w:t>was shaped by the difference between soya drink and the three animal milks.</w:t>
      </w:r>
      <w:r w:rsidR="006F5717" w:rsidRPr="00132D52">
        <w:t xml:space="preserve"> </w:t>
      </w:r>
      <w:r w:rsidRPr="00132D52">
        <w:t>However, the difference between them was clear from their profile in positive ionisation mode.</w:t>
      </w:r>
      <w:r w:rsidR="006F5717" w:rsidRPr="00132D52">
        <w:t xml:space="preserve"> </w:t>
      </w:r>
      <w:r w:rsidRPr="00132D52">
        <w:t xml:space="preserve">This was as expected; around 98% of the lipophilic material extracted from milk is the tri- and diglycerides, which ionise </w:t>
      </w:r>
      <w:r w:rsidR="009806F0" w:rsidRPr="00132D52">
        <w:t xml:space="preserve">very well </w:t>
      </w:r>
      <w:r w:rsidRPr="00132D52">
        <w:t>in positive mode and only poorly in negative mode.</w:t>
      </w:r>
    </w:p>
    <w:p w14:paraId="6709E529" w14:textId="2F5851DC" w:rsidR="006606C3" w:rsidRPr="00132D52" w:rsidRDefault="00145848" w:rsidP="006F5717">
      <w:pPr>
        <w:pStyle w:val="MDPI36textafterlist"/>
        <w:adjustRightInd w:val="0"/>
        <w:snapToGrid w:val="0"/>
      </w:pPr>
      <w:r w:rsidRPr="00132D52">
        <w:rPr>
          <w:noProof/>
        </w:rPr>
        <w:lastRenderedPageBreak/>
        <w:drawing>
          <wp:inline distT="0" distB="0" distL="0" distR="0" wp14:anchorId="4EF17007" wp14:editId="646F6774">
            <wp:extent cx="5586847" cy="5199797"/>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7028" cy="5218580"/>
                    </a:xfrm>
                    <a:prstGeom prst="rect">
                      <a:avLst/>
                    </a:prstGeom>
                    <a:noFill/>
                  </pic:spPr>
                </pic:pic>
              </a:graphicData>
            </a:graphic>
          </wp:inline>
        </w:drawing>
      </w:r>
    </w:p>
    <w:p w14:paraId="37013589" w14:textId="55AC29E4" w:rsidR="0045743D" w:rsidRPr="00132D52" w:rsidRDefault="006606C3" w:rsidP="006F5717">
      <w:pPr>
        <w:pStyle w:val="MDPI51figurecaption"/>
        <w:rPr>
          <w:szCs w:val="18"/>
        </w:rPr>
      </w:pPr>
      <w:r w:rsidRPr="00132D52">
        <w:rPr>
          <w:b/>
        </w:rPr>
        <w:t>Figure 3.</w:t>
      </w:r>
      <w:r w:rsidRPr="00132D52">
        <w:t xml:space="preserve"> </w:t>
      </w:r>
      <w:r w:rsidRPr="00132D52">
        <w:rPr>
          <w:szCs w:val="18"/>
        </w:rPr>
        <w:t>Principal component analysis of lipid signals from organically-soluble extracts of pooled murine hearts and four animal milks.</w:t>
      </w:r>
      <w:r w:rsidR="006F5717" w:rsidRPr="00132D52">
        <w:rPr>
          <w:szCs w:val="18"/>
        </w:rPr>
        <w:t xml:space="preserve"> </w:t>
      </w:r>
      <w:r w:rsidRPr="00132D52">
        <w:rPr>
          <w:szCs w:val="18"/>
        </w:rPr>
        <w:t xml:space="preserve">Panel </w:t>
      </w:r>
      <w:r w:rsidR="00145848" w:rsidRPr="00132D52">
        <w:rPr>
          <w:b/>
          <w:bCs/>
          <w:szCs w:val="18"/>
        </w:rPr>
        <w:t>A</w:t>
      </w:r>
      <w:r w:rsidR="00145848" w:rsidRPr="00132D52">
        <w:rPr>
          <w:szCs w:val="18"/>
        </w:rPr>
        <w:t xml:space="preserve">, lipid signals from commercial animal milks in positive ionisation mode; </w:t>
      </w:r>
      <w:r w:rsidR="00145848" w:rsidRPr="00132D52">
        <w:rPr>
          <w:b/>
          <w:bCs/>
          <w:szCs w:val="18"/>
        </w:rPr>
        <w:t>B</w:t>
      </w:r>
      <w:r w:rsidR="00145848" w:rsidRPr="00132D52">
        <w:rPr>
          <w:szCs w:val="18"/>
        </w:rPr>
        <w:t>, lipid signals from commercial animal milks in negative ionisation mode</w:t>
      </w:r>
      <w:r w:rsidR="00145848" w:rsidRPr="00132D52" w:rsidDel="00145848">
        <w:rPr>
          <w:b/>
          <w:bCs/>
          <w:szCs w:val="18"/>
        </w:rPr>
        <w:t xml:space="preserve"> </w:t>
      </w:r>
      <w:r w:rsidR="00145848" w:rsidRPr="00132D52">
        <w:rPr>
          <w:b/>
          <w:bCs/>
          <w:szCs w:val="18"/>
        </w:rPr>
        <w:t>C</w:t>
      </w:r>
      <w:r w:rsidRPr="00132D52">
        <w:rPr>
          <w:szCs w:val="18"/>
        </w:rPr>
        <w:t xml:space="preserve">, lipid signals from murine hearts in positive ionisation mode; </w:t>
      </w:r>
      <w:r w:rsidR="00145848" w:rsidRPr="00132D52">
        <w:rPr>
          <w:b/>
          <w:bCs/>
          <w:szCs w:val="18"/>
        </w:rPr>
        <w:t>D</w:t>
      </w:r>
      <w:r w:rsidRPr="00132D52">
        <w:rPr>
          <w:szCs w:val="18"/>
        </w:rPr>
        <w:t>, lipid signals from murine hearts in negative ionisation mode.</w:t>
      </w:r>
      <w:r w:rsidR="006F5717" w:rsidRPr="00132D52">
        <w:rPr>
          <w:szCs w:val="18"/>
        </w:rPr>
        <w:t xml:space="preserve"> </w:t>
      </w:r>
      <w:r w:rsidRPr="00132D52">
        <w:rPr>
          <w:szCs w:val="18"/>
        </w:rPr>
        <w:t>Murine hearts were drawn from two pools of individuals each from two phenotypes.</w:t>
      </w:r>
      <w:r w:rsidR="006F5717" w:rsidRPr="00132D52">
        <w:rPr>
          <w:szCs w:val="18"/>
        </w:rPr>
        <w:t xml:space="preserve"> </w:t>
      </w:r>
      <w:r w:rsidR="00145848" w:rsidRPr="00132D52">
        <w:rPr>
          <w:szCs w:val="18"/>
        </w:rPr>
        <w:t>CV values are shown in Table 1 and in Supplementary information.</w:t>
      </w:r>
    </w:p>
    <w:p w14:paraId="1FA540B0" w14:textId="0F35D378" w:rsidR="00362688" w:rsidRPr="00132D52" w:rsidRDefault="00335D95" w:rsidP="006F5717">
      <w:pPr>
        <w:pStyle w:val="MDPI31text"/>
        <w:rPr>
          <w:szCs w:val="18"/>
        </w:rPr>
      </w:pPr>
      <w:r w:rsidRPr="00132D52">
        <w:t>The same samples were used to characterise the precision of the extraction, both through the number of variables identified</w:t>
      </w:r>
      <w:r w:rsidR="00362688" w:rsidRPr="00132D52">
        <w:t>, total uncorrected signal strength</w:t>
      </w:r>
      <w:r w:rsidRPr="00132D52">
        <w:t xml:space="preserve"> and the coefficient of variance.</w:t>
      </w:r>
      <w:r w:rsidR="006F5717" w:rsidRPr="00132D52">
        <w:t xml:space="preserve"> </w:t>
      </w:r>
      <w:r w:rsidRPr="00132D52">
        <w:t>The number of variables was relatively consistent across each matrix, as was the total signal strength, with expected variation in milk samples (</w:t>
      </w:r>
      <w:r w:rsidR="002C7483" w:rsidRPr="00132D52">
        <w:t xml:space="preserve">Figure </w:t>
      </w:r>
      <w:r w:rsidRPr="00132D52">
        <w:t>4).</w:t>
      </w:r>
      <w:r w:rsidR="006F5717" w:rsidRPr="00132D52">
        <w:t xml:space="preserve"> </w:t>
      </w:r>
      <w:r w:rsidRPr="00132D52">
        <w:t>Some trivial differences between phenotypes were observed.</w:t>
      </w:r>
      <w:r w:rsidR="006F5717" w:rsidRPr="00132D52">
        <w:t xml:space="preserve"> </w:t>
      </w:r>
      <w:r w:rsidRPr="00132D52">
        <w:t>Calculations of the coefficient of variance (CV) showed that around two thirds of variables had a CV of less than 50%, with typically 30</w:t>
      </w:r>
      <w:r w:rsidR="006645F6">
        <w:t>–</w:t>
      </w:r>
      <w:r w:rsidRPr="00132D52">
        <w:t>40% of variables having a CV of less than 20%.</w:t>
      </w:r>
      <w:r w:rsidR="006F5717" w:rsidRPr="00132D52">
        <w:t xml:space="preserve"> </w:t>
      </w:r>
      <w:r w:rsidRPr="00132D52">
        <w:t>One notable exception to this is milk samples (especially in negative ionisation mode), which perform less well.</w:t>
      </w:r>
      <w:r w:rsidR="006F5717" w:rsidRPr="00132D52">
        <w:t xml:space="preserve"> </w:t>
      </w:r>
      <w:r w:rsidRPr="00132D52">
        <w:t>This is ascribed to the variation in composition between bovine, caprine and soya sources.</w:t>
      </w:r>
      <w:r w:rsidR="006F5717" w:rsidRPr="00132D52">
        <w:t xml:space="preserve"> </w:t>
      </w:r>
      <w:r w:rsidRPr="00132D52">
        <w:t>In general across the four matrices, the measurements in positive and negative ionisation modes are consistent, suggesting that the CV for both glyceride isoforms (principally TGs, ionising in positive mode) and anionic/zwitterionic phospholipids is similar.</w:t>
      </w:r>
    </w:p>
    <w:p w14:paraId="605234C5" w14:textId="4A6A085E" w:rsidR="006606C3" w:rsidRPr="00132D52" w:rsidRDefault="00B01BB3" w:rsidP="006F5717">
      <w:pPr>
        <w:pStyle w:val="MDPI36textafterlist"/>
        <w:adjustRightInd w:val="0"/>
        <w:snapToGrid w:val="0"/>
      </w:pPr>
      <w:r w:rsidRPr="00132D52">
        <w:rPr>
          <w:noProof/>
        </w:rPr>
        <w:lastRenderedPageBreak/>
        <w:drawing>
          <wp:inline distT="0" distB="0" distL="0" distR="0" wp14:anchorId="6F55D59F" wp14:editId="689B589A">
            <wp:extent cx="5537606" cy="2464561"/>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712" t="1885" r="6892" b="4238"/>
                    <a:stretch/>
                  </pic:blipFill>
                  <pic:spPr bwMode="auto">
                    <a:xfrm>
                      <a:off x="0" y="0"/>
                      <a:ext cx="5584848" cy="2485587"/>
                    </a:xfrm>
                    <a:prstGeom prst="rect">
                      <a:avLst/>
                    </a:prstGeom>
                    <a:noFill/>
                    <a:ln>
                      <a:noFill/>
                    </a:ln>
                    <a:extLst>
                      <a:ext uri="{53640926-AAD7-44D8-BBD7-CCE9431645EC}">
                        <a14:shadowObscured xmlns:a14="http://schemas.microsoft.com/office/drawing/2010/main"/>
                      </a:ext>
                    </a:extLst>
                  </pic:spPr>
                </pic:pic>
              </a:graphicData>
            </a:graphic>
          </wp:inline>
        </w:drawing>
      </w:r>
    </w:p>
    <w:p w14:paraId="00C2860C" w14:textId="48CBAF61" w:rsidR="00B01BB3" w:rsidRPr="00132D52" w:rsidRDefault="00B01BB3" w:rsidP="006F5717">
      <w:pPr>
        <w:pStyle w:val="MDPI52figure"/>
      </w:pPr>
      <w:r w:rsidRPr="00132D52">
        <w:rPr>
          <w:noProof/>
        </w:rPr>
        <w:drawing>
          <wp:inline distT="0" distB="0" distL="0" distR="0" wp14:anchorId="12E5D9B0" wp14:editId="5A351E13">
            <wp:extent cx="5581497" cy="2456317"/>
            <wp:effectExtent l="0" t="0" r="635"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699" t="3548" r="7215" b="3793"/>
                    <a:stretch/>
                  </pic:blipFill>
                  <pic:spPr bwMode="auto">
                    <a:xfrm>
                      <a:off x="0" y="0"/>
                      <a:ext cx="5602760" cy="2465674"/>
                    </a:xfrm>
                    <a:prstGeom prst="rect">
                      <a:avLst/>
                    </a:prstGeom>
                    <a:noFill/>
                    <a:ln>
                      <a:noFill/>
                    </a:ln>
                    <a:extLst>
                      <a:ext uri="{53640926-AAD7-44D8-BBD7-CCE9431645EC}">
                        <a14:shadowObscured xmlns:a14="http://schemas.microsoft.com/office/drawing/2010/main"/>
                      </a:ext>
                    </a:extLst>
                  </pic:spPr>
                </pic:pic>
              </a:graphicData>
            </a:graphic>
          </wp:inline>
        </w:drawing>
      </w:r>
    </w:p>
    <w:p w14:paraId="2AD1E42B" w14:textId="4DC635AE" w:rsidR="00362688" w:rsidRPr="00132D52" w:rsidRDefault="0045743D" w:rsidP="006F5717">
      <w:pPr>
        <w:pStyle w:val="MDPI51figurecaption"/>
      </w:pPr>
      <w:commentRangeStart w:id="42"/>
      <w:r w:rsidRPr="00EB66DB">
        <w:rPr>
          <w:b/>
          <w:highlight w:val="green"/>
        </w:rPr>
        <w:t>Figure 4.</w:t>
      </w:r>
      <w:r w:rsidR="005E7527" w:rsidRPr="00132D52">
        <w:rPr>
          <w:b/>
        </w:rPr>
        <w:t xml:space="preserve"> </w:t>
      </w:r>
      <w:commentRangeEnd w:id="42"/>
      <w:r w:rsidR="006645F6">
        <w:rPr>
          <w:rStyle w:val="CommentReference"/>
          <w:rFonts w:ascii="Times New Roman" w:hAnsi="Times New Roman"/>
          <w:lang w:bidi="ar-SA"/>
        </w:rPr>
        <w:commentReference w:id="42"/>
      </w:r>
      <w:r w:rsidR="005E7527" w:rsidRPr="00132D52">
        <w:t xml:space="preserve">The </w:t>
      </w:r>
      <w:r w:rsidR="00362688" w:rsidRPr="00132D52">
        <w:t xml:space="preserve">uncorrected </w:t>
      </w:r>
      <w:r w:rsidR="005E7527" w:rsidRPr="00132D52">
        <w:t>signal strength and number of variables detected in lipid extracts from four different matrices using four different extraction methods for high throughput lipidomics (</w:t>
      </w:r>
      <w:r w:rsidR="005E7527" w:rsidRPr="00132D52">
        <w:rPr>
          <w:i/>
          <w:iCs/>
        </w:rPr>
        <w:t>n</w:t>
      </w:r>
      <w:r w:rsidR="005E7527" w:rsidRPr="00132D52">
        <w:t xml:space="preserve"> = 20 measurements of each).</w:t>
      </w:r>
      <w:r w:rsidR="006F5717" w:rsidRPr="00132D52">
        <w:t xml:space="preserve"> </w:t>
      </w:r>
      <w:r w:rsidR="005E7527" w:rsidRPr="00132D52">
        <w:t xml:space="preserve">Panel </w:t>
      </w:r>
      <w:r w:rsidR="005E7527" w:rsidRPr="00132D52">
        <w:rPr>
          <w:b/>
          <w:bCs/>
        </w:rPr>
        <w:t>A</w:t>
      </w:r>
      <w:r w:rsidR="005E7527" w:rsidRPr="00132D52">
        <w:t xml:space="preserve">, Total signal strength in positive ionisation mode; </w:t>
      </w:r>
      <w:r w:rsidR="005E7527" w:rsidRPr="00132D52">
        <w:rPr>
          <w:b/>
          <w:bCs/>
        </w:rPr>
        <w:t>B</w:t>
      </w:r>
      <w:r w:rsidR="005E7527" w:rsidRPr="00132D52">
        <w:t xml:space="preserve">, Number of variables identified in positive mode; </w:t>
      </w:r>
      <w:r w:rsidR="005E7527" w:rsidRPr="00132D52">
        <w:rPr>
          <w:b/>
          <w:bCs/>
        </w:rPr>
        <w:t>C</w:t>
      </w:r>
      <w:r w:rsidR="005E7527" w:rsidRPr="00132D52">
        <w:t xml:space="preserve">, Total signal strength in negative ionisation mode; </w:t>
      </w:r>
      <w:r w:rsidR="005E7527" w:rsidRPr="00132D52">
        <w:rPr>
          <w:b/>
          <w:bCs/>
        </w:rPr>
        <w:t>D</w:t>
      </w:r>
      <w:r w:rsidR="005E7527" w:rsidRPr="00132D52">
        <w:t>, Number of variables identified in negative mode.</w:t>
      </w:r>
      <w:r w:rsidR="006F5717" w:rsidRPr="00132D52">
        <w:t xml:space="preserve"> </w:t>
      </w:r>
      <w:r w:rsidR="005E7527" w:rsidRPr="00132D52">
        <w:t>Error bars show standard deviation.</w:t>
      </w:r>
      <w:r w:rsidR="006F5717" w:rsidRPr="00132D52">
        <w:t xml:space="preserve"> </w:t>
      </w:r>
      <w:r w:rsidR="005E7527" w:rsidRPr="00132D52">
        <w:t xml:space="preserve">Extractions were performed using DMT, dichloromethane/methanol/triethylammonium chloride 3:1:0·005 with an aqueous wash. </w:t>
      </w:r>
      <w:r w:rsidR="008D2EBF" w:rsidRPr="00132D52">
        <w:t xml:space="preserve">Samples: Serum, human blood serum; Milk (set1, unhomogenised Jersey milk; set2, whole caprine milk; set3, soya drink; set4, whole, homogenised bovine milk); heart, murine heart homogenate; liver, mouse liver homogenate. </w:t>
      </w:r>
      <w:r w:rsidR="005E7527" w:rsidRPr="00132D52">
        <w:t>Murine heart and liver samples were drawn from two pools of two feeding phenotypes.</w:t>
      </w:r>
      <w:r w:rsidR="006F5717" w:rsidRPr="00132D52">
        <w:t xml:space="preserve"> </w:t>
      </w:r>
      <w:r w:rsidR="005E7527" w:rsidRPr="00132D52">
        <w:t>Milk*, values reduced by an order of magnitude to fit.</w:t>
      </w:r>
    </w:p>
    <w:p w14:paraId="7C4DEAFF" w14:textId="480631B9" w:rsidR="00605BAA" w:rsidRPr="00132D52" w:rsidRDefault="0045743D" w:rsidP="006F5717">
      <w:pPr>
        <w:pStyle w:val="MDPI41tablecaption"/>
      </w:pPr>
      <w:r w:rsidRPr="00132D52">
        <w:rPr>
          <w:b/>
        </w:rPr>
        <w:t>Table 1.</w:t>
      </w:r>
      <w:r w:rsidR="00605BAA" w:rsidRPr="00132D52">
        <w:rPr>
          <w:b/>
        </w:rPr>
        <w:t xml:space="preserve"> </w:t>
      </w:r>
      <w:r w:rsidR="005E7527" w:rsidRPr="00132D52">
        <w:t xml:space="preserve">Variables stratified by </w:t>
      </w:r>
      <w:r w:rsidR="00605BAA" w:rsidRPr="00132D52">
        <w:t>Parameters for chemical structures.</w:t>
      </w:r>
      <w:r w:rsidR="006F5717" w:rsidRPr="00132D52">
        <w:t xml:space="preserve"> </w:t>
      </w:r>
      <w:r w:rsidR="002C0A9B" w:rsidRPr="00132D52">
        <w:t>The proportion (%) of variables in strata of variance for each of four matrices. Coefficient of variance calculated from the standard deviation of 16-20 samples of each of four groups, divided by the mean for the same group. Milk samples and human serum were drawn from four different commercial sources (Milk1, un</w:t>
      </w:r>
      <w:r w:rsidR="00236FDF" w:rsidRPr="00132D52">
        <w:t>-</w:t>
      </w:r>
      <w:r w:rsidR="002C0A9B" w:rsidRPr="00132D52">
        <w:t>homogenised Jersey milk; Milk2, whole caprine milk; Milk3, soya (</w:t>
      </w:r>
      <w:r w:rsidR="002C0A9B" w:rsidRPr="00132D52">
        <w:rPr>
          <w:i/>
          <w:iCs/>
        </w:rPr>
        <w:t>Glycine max</w:t>
      </w:r>
      <w:r w:rsidR="002C0A9B" w:rsidRPr="00132D52">
        <w:t>) drink; Milk4, whole, homogenised bovine milk). Murine heart and liver samples were drawn from two pools of two feeding phenotypes</w:t>
      </w:r>
      <w:r w:rsidRPr="00132D52">
        <w:t>.</w:t>
      </w:r>
    </w:p>
    <w:tbl>
      <w:tblPr>
        <w:tblW w:w="0" w:type="auto"/>
        <w:jc w:val="center"/>
        <w:tblBorders>
          <w:bottom w:val="single" w:sz="8" w:space="0" w:color="auto"/>
        </w:tblBorders>
        <w:tblLook w:val="04A0" w:firstRow="1" w:lastRow="0" w:firstColumn="1" w:lastColumn="0" w:noHBand="0" w:noVBand="1"/>
      </w:tblPr>
      <w:tblGrid>
        <w:gridCol w:w="884"/>
        <w:gridCol w:w="816"/>
        <w:gridCol w:w="672"/>
        <w:gridCol w:w="693"/>
        <w:gridCol w:w="723"/>
        <w:gridCol w:w="793"/>
        <w:gridCol w:w="633"/>
        <w:gridCol w:w="685"/>
        <w:gridCol w:w="723"/>
      </w:tblGrid>
      <w:tr w:rsidR="00AE02A4" w:rsidRPr="00132D52" w14:paraId="6E43F8C0" w14:textId="0CAE753E" w:rsidTr="002C7483">
        <w:trPr>
          <w:jc w:val="center"/>
        </w:trPr>
        <w:tc>
          <w:tcPr>
            <w:tcW w:w="0" w:type="auto"/>
            <w:tcBorders>
              <w:top w:val="single" w:sz="8" w:space="0" w:color="auto"/>
              <w:bottom w:val="single" w:sz="4" w:space="0" w:color="auto"/>
            </w:tcBorders>
            <w:shd w:val="clear" w:color="auto" w:fill="auto"/>
            <w:vAlign w:val="center"/>
          </w:tcPr>
          <w:p w14:paraId="77867187" w14:textId="77777777" w:rsidR="00AE02A4" w:rsidRPr="00132D52" w:rsidRDefault="00AE02A4" w:rsidP="002C7483">
            <w:pPr>
              <w:pStyle w:val="MDPI42tablebody"/>
              <w:autoSpaceDE w:val="0"/>
              <w:autoSpaceDN w:val="0"/>
              <w:spacing w:line="240" w:lineRule="auto"/>
              <w:rPr>
                <w:rFonts w:cs="Calibri"/>
                <w:b/>
                <w:bCs/>
                <w:lang w:eastAsia="en-GB"/>
              </w:rPr>
            </w:pPr>
          </w:p>
        </w:tc>
        <w:tc>
          <w:tcPr>
            <w:tcW w:w="0" w:type="auto"/>
            <w:gridSpan w:val="8"/>
            <w:tcBorders>
              <w:top w:val="single" w:sz="8" w:space="0" w:color="auto"/>
              <w:bottom w:val="single" w:sz="4" w:space="0" w:color="auto"/>
            </w:tcBorders>
            <w:shd w:val="clear" w:color="auto" w:fill="auto"/>
            <w:vAlign w:val="center"/>
          </w:tcPr>
          <w:p w14:paraId="1BD4811A" w14:textId="161B41D4" w:rsidR="00AE02A4" w:rsidRPr="00132D52" w:rsidRDefault="00AE02A4" w:rsidP="002C7483">
            <w:pPr>
              <w:pStyle w:val="MDPI42tablebody"/>
              <w:autoSpaceDE w:val="0"/>
              <w:autoSpaceDN w:val="0"/>
              <w:spacing w:line="240" w:lineRule="auto"/>
              <w:rPr>
                <w:rFonts w:cs="Calibri"/>
                <w:b/>
                <w:bCs/>
                <w:lang w:eastAsia="en-GB"/>
              </w:rPr>
            </w:pPr>
            <w:r w:rsidRPr="00132D52">
              <w:rPr>
                <w:rFonts w:cs="Calibri"/>
                <w:b/>
                <w:bCs/>
                <w:lang w:eastAsia="en-GB"/>
              </w:rPr>
              <w:t xml:space="preserve">Fraction of </w:t>
            </w:r>
            <w:r w:rsidR="002C7483" w:rsidRPr="00132D52">
              <w:rPr>
                <w:rFonts w:cs="Calibri"/>
                <w:b/>
                <w:bCs/>
                <w:lang w:eastAsia="en-GB"/>
              </w:rPr>
              <w:t>V</w:t>
            </w:r>
            <w:r w:rsidRPr="00132D52">
              <w:rPr>
                <w:rFonts w:cs="Calibri"/>
                <w:b/>
                <w:bCs/>
                <w:lang w:eastAsia="en-GB"/>
              </w:rPr>
              <w:t>ariables (%)</w:t>
            </w:r>
          </w:p>
        </w:tc>
      </w:tr>
      <w:tr w:rsidR="00AE02A4" w:rsidRPr="00132D52" w14:paraId="5615796D" w14:textId="6DE47C46" w:rsidTr="002C7483">
        <w:trPr>
          <w:jc w:val="center"/>
        </w:trPr>
        <w:tc>
          <w:tcPr>
            <w:tcW w:w="0" w:type="auto"/>
            <w:tcBorders>
              <w:top w:val="single" w:sz="8" w:space="0" w:color="auto"/>
              <w:bottom w:val="single" w:sz="4" w:space="0" w:color="auto"/>
              <w:right w:val="nil"/>
            </w:tcBorders>
            <w:shd w:val="clear" w:color="auto" w:fill="auto"/>
            <w:vAlign w:val="center"/>
          </w:tcPr>
          <w:p w14:paraId="543D383D" w14:textId="21A3C973" w:rsidR="00AE02A4" w:rsidRPr="00132D52" w:rsidRDefault="00AE02A4" w:rsidP="002C7483">
            <w:pPr>
              <w:pStyle w:val="MDPI42tablebody"/>
              <w:autoSpaceDE w:val="0"/>
              <w:autoSpaceDN w:val="0"/>
              <w:spacing w:line="240" w:lineRule="auto"/>
              <w:rPr>
                <w:b/>
                <w:bCs/>
                <w:szCs w:val="22"/>
              </w:rPr>
            </w:pPr>
          </w:p>
        </w:tc>
        <w:tc>
          <w:tcPr>
            <w:tcW w:w="0" w:type="auto"/>
            <w:gridSpan w:val="4"/>
            <w:tcBorders>
              <w:top w:val="single" w:sz="8" w:space="0" w:color="auto"/>
              <w:left w:val="nil"/>
              <w:bottom w:val="single" w:sz="4" w:space="0" w:color="auto"/>
              <w:right w:val="nil"/>
            </w:tcBorders>
            <w:shd w:val="clear" w:color="auto" w:fill="auto"/>
            <w:vAlign w:val="center"/>
          </w:tcPr>
          <w:p w14:paraId="5FBBA823" w14:textId="1FBE9E0A" w:rsidR="00AE02A4" w:rsidRPr="00132D52" w:rsidRDefault="00AE02A4" w:rsidP="002C7483">
            <w:pPr>
              <w:pStyle w:val="MDPI42tablebody"/>
              <w:autoSpaceDE w:val="0"/>
              <w:autoSpaceDN w:val="0"/>
              <w:spacing w:line="240" w:lineRule="auto"/>
              <w:rPr>
                <w:rFonts w:cs="Calibri"/>
                <w:b/>
                <w:bCs/>
                <w:lang w:eastAsia="en-GB"/>
              </w:rPr>
            </w:pPr>
            <w:r w:rsidRPr="00132D52">
              <w:rPr>
                <w:rFonts w:cs="Calibri"/>
                <w:b/>
                <w:bCs/>
                <w:lang w:eastAsia="en-GB"/>
              </w:rPr>
              <w:t xml:space="preserve">+ve </w:t>
            </w:r>
            <w:r w:rsidR="002C7483" w:rsidRPr="00132D52">
              <w:rPr>
                <w:rFonts w:cs="Calibri"/>
                <w:b/>
                <w:bCs/>
                <w:lang w:eastAsia="en-GB"/>
              </w:rPr>
              <w:t>I</w:t>
            </w:r>
            <w:r w:rsidRPr="00132D52">
              <w:rPr>
                <w:rFonts w:cs="Calibri"/>
                <w:b/>
                <w:bCs/>
                <w:lang w:eastAsia="en-GB"/>
              </w:rPr>
              <w:t xml:space="preserve">onisation </w:t>
            </w:r>
            <w:r w:rsidR="002C7483" w:rsidRPr="00132D52">
              <w:rPr>
                <w:rFonts w:cs="Calibri"/>
                <w:b/>
                <w:bCs/>
                <w:lang w:eastAsia="en-GB"/>
              </w:rPr>
              <w:t>M</w:t>
            </w:r>
            <w:r w:rsidRPr="00132D52">
              <w:rPr>
                <w:rFonts w:cs="Calibri"/>
                <w:b/>
                <w:bCs/>
                <w:lang w:eastAsia="en-GB"/>
              </w:rPr>
              <w:t>ode</w:t>
            </w:r>
          </w:p>
        </w:tc>
        <w:tc>
          <w:tcPr>
            <w:tcW w:w="0" w:type="auto"/>
            <w:gridSpan w:val="4"/>
            <w:tcBorders>
              <w:top w:val="single" w:sz="8" w:space="0" w:color="auto"/>
              <w:left w:val="nil"/>
              <w:bottom w:val="single" w:sz="4" w:space="0" w:color="auto"/>
            </w:tcBorders>
            <w:shd w:val="clear" w:color="auto" w:fill="auto"/>
            <w:vAlign w:val="center"/>
          </w:tcPr>
          <w:p w14:paraId="71808C07" w14:textId="68F79D03" w:rsidR="00AE02A4" w:rsidRPr="00132D52" w:rsidRDefault="002C7483" w:rsidP="002C7483">
            <w:pPr>
              <w:pStyle w:val="MDPI42tablebody"/>
              <w:autoSpaceDE w:val="0"/>
              <w:autoSpaceDN w:val="0"/>
              <w:spacing w:line="240" w:lineRule="auto"/>
              <w:rPr>
                <w:rFonts w:cs="Calibri"/>
                <w:b/>
                <w:bCs/>
                <w:lang w:eastAsia="en-GB"/>
              </w:rPr>
            </w:pPr>
            <w:r w:rsidRPr="00132D52">
              <w:rPr>
                <w:rFonts w:cs="Calibri"/>
                <w:b/>
                <w:bCs/>
                <w:lang w:eastAsia="en-GB"/>
              </w:rPr>
              <w:t>−</w:t>
            </w:r>
            <w:r w:rsidR="00AE02A4" w:rsidRPr="00132D52">
              <w:rPr>
                <w:rFonts w:cs="Calibri"/>
                <w:b/>
                <w:bCs/>
                <w:lang w:eastAsia="en-GB"/>
              </w:rPr>
              <w:t xml:space="preserve">ve </w:t>
            </w:r>
            <w:r w:rsidRPr="00132D52">
              <w:rPr>
                <w:rFonts w:cs="Calibri"/>
                <w:b/>
                <w:bCs/>
                <w:lang w:eastAsia="en-GB"/>
              </w:rPr>
              <w:t>I</w:t>
            </w:r>
            <w:r w:rsidR="00AE02A4" w:rsidRPr="00132D52">
              <w:rPr>
                <w:rFonts w:cs="Calibri"/>
                <w:b/>
                <w:bCs/>
                <w:lang w:eastAsia="en-GB"/>
              </w:rPr>
              <w:t xml:space="preserve">onisation </w:t>
            </w:r>
            <w:r w:rsidRPr="00132D52">
              <w:rPr>
                <w:rFonts w:cs="Calibri"/>
                <w:b/>
                <w:bCs/>
                <w:lang w:eastAsia="en-GB"/>
              </w:rPr>
              <w:t>M</w:t>
            </w:r>
            <w:r w:rsidR="00AE02A4" w:rsidRPr="00132D52">
              <w:rPr>
                <w:rFonts w:cs="Calibri"/>
                <w:b/>
                <w:bCs/>
                <w:lang w:eastAsia="en-GB"/>
              </w:rPr>
              <w:t>ode</w:t>
            </w:r>
          </w:p>
        </w:tc>
      </w:tr>
      <w:tr w:rsidR="00CD28CF" w:rsidRPr="00132D52" w14:paraId="04D3CC7B" w14:textId="598FCC16" w:rsidTr="002C7483">
        <w:trPr>
          <w:jc w:val="center"/>
        </w:trPr>
        <w:tc>
          <w:tcPr>
            <w:tcW w:w="0" w:type="auto"/>
            <w:tcBorders>
              <w:top w:val="single" w:sz="4" w:space="0" w:color="auto"/>
              <w:bottom w:val="single" w:sz="4" w:space="0" w:color="auto"/>
              <w:right w:val="nil"/>
            </w:tcBorders>
            <w:shd w:val="clear" w:color="auto" w:fill="auto"/>
            <w:vAlign w:val="center"/>
          </w:tcPr>
          <w:p w14:paraId="10E03812" w14:textId="4A7989D6" w:rsidR="00CD28CF" w:rsidRPr="00132D52" w:rsidRDefault="00CD28CF" w:rsidP="002C7483">
            <w:pPr>
              <w:pStyle w:val="MDPI42tablebody"/>
              <w:autoSpaceDE w:val="0"/>
              <w:autoSpaceDN w:val="0"/>
              <w:spacing w:line="240" w:lineRule="auto"/>
              <w:rPr>
                <w:b/>
                <w:szCs w:val="22"/>
              </w:rPr>
            </w:pPr>
            <w:r w:rsidRPr="00132D52">
              <w:rPr>
                <w:b/>
                <w:szCs w:val="22"/>
              </w:rPr>
              <w:t>CV</w:t>
            </w:r>
          </w:p>
        </w:tc>
        <w:tc>
          <w:tcPr>
            <w:tcW w:w="0" w:type="auto"/>
            <w:tcBorders>
              <w:top w:val="single" w:sz="4" w:space="0" w:color="auto"/>
              <w:left w:val="nil"/>
              <w:bottom w:val="single" w:sz="4" w:space="0" w:color="auto"/>
              <w:right w:val="nil"/>
            </w:tcBorders>
            <w:shd w:val="clear" w:color="auto" w:fill="auto"/>
            <w:vAlign w:val="center"/>
          </w:tcPr>
          <w:p w14:paraId="1A379513" w14:textId="12AD591A" w:rsidR="00CD28CF" w:rsidRPr="00132D52" w:rsidRDefault="00CD28CF" w:rsidP="002C7483">
            <w:pPr>
              <w:pStyle w:val="MDPI42tablebody"/>
              <w:autoSpaceDE w:val="0"/>
              <w:autoSpaceDN w:val="0"/>
              <w:spacing w:line="240" w:lineRule="auto"/>
              <w:rPr>
                <w:b/>
                <w:szCs w:val="22"/>
              </w:rPr>
            </w:pPr>
            <w:r w:rsidRPr="00132D52">
              <w:rPr>
                <w:rFonts w:cs="Calibri"/>
                <w:b/>
                <w:lang w:eastAsia="en-GB"/>
              </w:rPr>
              <w:t>Serum</w:t>
            </w:r>
          </w:p>
        </w:tc>
        <w:tc>
          <w:tcPr>
            <w:tcW w:w="0" w:type="auto"/>
            <w:tcBorders>
              <w:top w:val="single" w:sz="4" w:space="0" w:color="auto"/>
              <w:left w:val="nil"/>
              <w:bottom w:val="single" w:sz="4" w:space="0" w:color="auto"/>
              <w:right w:val="nil"/>
            </w:tcBorders>
            <w:shd w:val="clear" w:color="auto" w:fill="auto"/>
            <w:vAlign w:val="center"/>
          </w:tcPr>
          <w:p w14:paraId="10748DEF" w14:textId="3F963C7D" w:rsidR="00CD28CF" w:rsidRPr="00132D52" w:rsidRDefault="00CD28CF" w:rsidP="002C7483">
            <w:pPr>
              <w:pStyle w:val="MDPI42tablebody"/>
              <w:autoSpaceDE w:val="0"/>
              <w:autoSpaceDN w:val="0"/>
              <w:spacing w:line="240" w:lineRule="auto"/>
              <w:rPr>
                <w:b/>
                <w:szCs w:val="22"/>
              </w:rPr>
            </w:pPr>
            <w:r w:rsidRPr="00132D52">
              <w:rPr>
                <w:rFonts w:cs="Calibri"/>
                <w:b/>
                <w:lang w:eastAsia="en-GB"/>
              </w:rPr>
              <w:t>Milk</w:t>
            </w:r>
          </w:p>
        </w:tc>
        <w:tc>
          <w:tcPr>
            <w:tcW w:w="0" w:type="auto"/>
            <w:tcBorders>
              <w:top w:val="single" w:sz="4" w:space="0" w:color="auto"/>
              <w:left w:val="nil"/>
              <w:bottom w:val="single" w:sz="4" w:space="0" w:color="auto"/>
              <w:right w:val="nil"/>
            </w:tcBorders>
            <w:shd w:val="clear" w:color="auto" w:fill="auto"/>
            <w:vAlign w:val="center"/>
          </w:tcPr>
          <w:p w14:paraId="53E7139D" w14:textId="0963B54E" w:rsidR="00CD28CF" w:rsidRPr="00132D52" w:rsidRDefault="00CD28CF" w:rsidP="002C7483">
            <w:pPr>
              <w:pStyle w:val="MDPI42tablebody"/>
              <w:autoSpaceDE w:val="0"/>
              <w:autoSpaceDN w:val="0"/>
              <w:spacing w:line="240" w:lineRule="auto"/>
              <w:rPr>
                <w:b/>
                <w:szCs w:val="22"/>
              </w:rPr>
            </w:pPr>
            <w:r w:rsidRPr="00132D52">
              <w:rPr>
                <w:rFonts w:cs="Calibri"/>
                <w:b/>
                <w:lang w:eastAsia="en-GB"/>
              </w:rPr>
              <w:t>Liver</w:t>
            </w:r>
          </w:p>
        </w:tc>
        <w:tc>
          <w:tcPr>
            <w:tcW w:w="0" w:type="auto"/>
            <w:tcBorders>
              <w:top w:val="single" w:sz="4" w:space="0" w:color="auto"/>
              <w:left w:val="nil"/>
              <w:bottom w:val="single" w:sz="4" w:space="0" w:color="auto"/>
              <w:right w:val="nil"/>
            </w:tcBorders>
            <w:shd w:val="clear" w:color="auto" w:fill="auto"/>
            <w:vAlign w:val="center"/>
          </w:tcPr>
          <w:p w14:paraId="6A8F22B9" w14:textId="19350966" w:rsidR="00CD28CF" w:rsidRPr="00132D52" w:rsidRDefault="00CD28CF" w:rsidP="002C7483">
            <w:pPr>
              <w:pStyle w:val="MDPI42tablebody"/>
              <w:autoSpaceDE w:val="0"/>
              <w:autoSpaceDN w:val="0"/>
              <w:spacing w:line="240" w:lineRule="auto"/>
              <w:rPr>
                <w:bCs/>
                <w:szCs w:val="22"/>
              </w:rPr>
            </w:pPr>
            <w:r w:rsidRPr="00132D52">
              <w:rPr>
                <w:bCs/>
                <w:szCs w:val="22"/>
              </w:rPr>
              <w:t>Heart</w:t>
            </w:r>
          </w:p>
        </w:tc>
        <w:tc>
          <w:tcPr>
            <w:tcW w:w="0" w:type="auto"/>
            <w:tcBorders>
              <w:top w:val="single" w:sz="4" w:space="0" w:color="auto"/>
              <w:left w:val="nil"/>
              <w:bottom w:val="single" w:sz="4" w:space="0" w:color="auto"/>
              <w:right w:val="nil"/>
            </w:tcBorders>
            <w:shd w:val="clear" w:color="auto" w:fill="auto"/>
            <w:vAlign w:val="center"/>
          </w:tcPr>
          <w:p w14:paraId="46662950" w14:textId="36205037" w:rsidR="00CD28CF" w:rsidRPr="00132D52" w:rsidRDefault="00CD28CF" w:rsidP="002C7483">
            <w:pPr>
              <w:pStyle w:val="MDPI42tablebody"/>
              <w:autoSpaceDE w:val="0"/>
              <w:autoSpaceDN w:val="0"/>
              <w:spacing w:line="240" w:lineRule="auto"/>
              <w:rPr>
                <w:b/>
                <w:szCs w:val="22"/>
              </w:rPr>
            </w:pPr>
            <w:r w:rsidRPr="00132D52">
              <w:rPr>
                <w:rFonts w:cs="Calibri"/>
                <w:lang w:eastAsia="en-GB"/>
              </w:rPr>
              <w:t>Serum</w:t>
            </w:r>
          </w:p>
        </w:tc>
        <w:tc>
          <w:tcPr>
            <w:tcW w:w="0" w:type="auto"/>
            <w:tcBorders>
              <w:top w:val="single" w:sz="4" w:space="0" w:color="auto"/>
              <w:left w:val="nil"/>
              <w:bottom w:val="single" w:sz="4" w:space="0" w:color="auto"/>
              <w:right w:val="nil"/>
            </w:tcBorders>
            <w:shd w:val="clear" w:color="auto" w:fill="auto"/>
            <w:vAlign w:val="center"/>
          </w:tcPr>
          <w:p w14:paraId="60F15AFE" w14:textId="1BE289A8" w:rsidR="00CD28CF" w:rsidRPr="00132D52" w:rsidRDefault="00CD28CF" w:rsidP="002C7483">
            <w:pPr>
              <w:pStyle w:val="MDPI42tablebody"/>
              <w:autoSpaceDE w:val="0"/>
              <w:autoSpaceDN w:val="0"/>
              <w:spacing w:line="240" w:lineRule="auto"/>
              <w:rPr>
                <w:b/>
                <w:szCs w:val="22"/>
              </w:rPr>
            </w:pPr>
            <w:r w:rsidRPr="00132D52">
              <w:rPr>
                <w:rFonts w:cs="Calibri"/>
                <w:lang w:eastAsia="en-GB"/>
              </w:rPr>
              <w:t>Milk</w:t>
            </w:r>
          </w:p>
        </w:tc>
        <w:tc>
          <w:tcPr>
            <w:tcW w:w="0" w:type="auto"/>
            <w:tcBorders>
              <w:top w:val="single" w:sz="4" w:space="0" w:color="auto"/>
              <w:left w:val="nil"/>
              <w:bottom w:val="single" w:sz="4" w:space="0" w:color="auto"/>
              <w:right w:val="nil"/>
            </w:tcBorders>
            <w:shd w:val="clear" w:color="auto" w:fill="auto"/>
            <w:vAlign w:val="center"/>
          </w:tcPr>
          <w:p w14:paraId="25706DD3" w14:textId="7327F242" w:rsidR="00CD28CF" w:rsidRPr="00132D52" w:rsidRDefault="00CD28CF" w:rsidP="002C7483">
            <w:pPr>
              <w:pStyle w:val="MDPI42tablebody"/>
              <w:autoSpaceDE w:val="0"/>
              <w:autoSpaceDN w:val="0"/>
              <w:spacing w:line="240" w:lineRule="auto"/>
              <w:rPr>
                <w:b/>
                <w:szCs w:val="22"/>
              </w:rPr>
            </w:pPr>
            <w:r w:rsidRPr="00132D52">
              <w:rPr>
                <w:rFonts w:cs="Calibri"/>
                <w:lang w:eastAsia="en-GB"/>
              </w:rPr>
              <w:t>Liver</w:t>
            </w:r>
          </w:p>
        </w:tc>
        <w:tc>
          <w:tcPr>
            <w:tcW w:w="0" w:type="auto"/>
            <w:tcBorders>
              <w:top w:val="single" w:sz="4" w:space="0" w:color="auto"/>
              <w:left w:val="nil"/>
              <w:bottom w:val="single" w:sz="4" w:space="0" w:color="auto"/>
            </w:tcBorders>
            <w:shd w:val="clear" w:color="auto" w:fill="auto"/>
            <w:vAlign w:val="center"/>
          </w:tcPr>
          <w:p w14:paraId="7C955FCD" w14:textId="4A5B3976" w:rsidR="00CD28CF" w:rsidRPr="00132D52" w:rsidRDefault="00CD28CF" w:rsidP="002C7483">
            <w:pPr>
              <w:pStyle w:val="MDPI42tablebody"/>
              <w:autoSpaceDE w:val="0"/>
              <w:autoSpaceDN w:val="0"/>
              <w:spacing w:line="240" w:lineRule="auto"/>
              <w:rPr>
                <w:b/>
                <w:szCs w:val="22"/>
              </w:rPr>
            </w:pPr>
            <w:r w:rsidRPr="00132D52">
              <w:rPr>
                <w:bCs/>
                <w:szCs w:val="22"/>
              </w:rPr>
              <w:t>Heart</w:t>
            </w:r>
          </w:p>
        </w:tc>
      </w:tr>
      <w:tr w:rsidR="00AE02A4" w:rsidRPr="00132D52" w14:paraId="249788D0" w14:textId="4657FD9C" w:rsidTr="002C7483">
        <w:trPr>
          <w:jc w:val="center"/>
        </w:trPr>
        <w:tc>
          <w:tcPr>
            <w:tcW w:w="0" w:type="auto"/>
            <w:tcBorders>
              <w:top w:val="single" w:sz="4" w:space="0" w:color="auto"/>
              <w:bottom w:val="nil"/>
              <w:right w:val="nil"/>
            </w:tcBorders>
            <w:shd w:val="clear" w:color="auto" w:fill="auto"/>
            <w:vAlign w:val="center"/>
          </w:tcPr>
          <w:p w14:paraId="4C58382A" w14:textId="6A61A8FE" w:rsidR="00AE02A4" w:rsidRPr="00132D52" w:rsidRDefault="00AE02A4" w:rsidP="002C7483">
            <w:pPr>
              <w:pStyle w:val="MDPI42tablebody"/>
              <w:autoSpaceDE w:val="0"/>
              <w:autoSpaceDN w:val="0"/>
              <w:spacing w:line="240" w:lineRule="auto"/>
              <w:rPr>
                <w:szCs w:val="22"/>
              </w:rPr>
            </w:pPr>
            <w:r w:rsidRPr="00132D52">
              <w:rPr>
                <w:rFonts w:cs="Calibri"/>
                <w:lang w:eastAsia="en-GB"/>
              </w:rPr>
              <w:t>0</w:t>
            </w:r>
            <w:r w:rsidR="006645F6">
              <w:rPr>
                <w:rFonts w:cs="Calibri"/>
                <w:lang w:eastAsia="en-GB"/>
              </w:rPr>
              <w:t>–</w:t>
            </w:r>
            <w:r w:rsidRPr="00132D52">
              <w:rPr>
                <w:rFonts w:cs="Calibri"/>
                <w:lang w:eastAsia="en-GB"/>
              </w:rPr>
              <w:t>10%</w:t>
            </w:r>
          </w:p>
        </w:tc>
        <w:tc>
          <w:tcPr>
            <w:tcW w:w="0" w:type="auto"/>
            <w:tcBorders>
              <w:top w:val="single" w:sz="4" w:space="0" w:color="auto"/>
              <w:left w:val="nil"/>
              <w:bottom w:val="nil"/>
              <w:right w:val="nil"/>
            </w:tcBorders>
            <w:shd w:val="clear" w:color="auto" w:fill="auto"/>
            <w:vAlign w:val="center"/>
          </w:tcPr>
          <w:p w14:paraId="6EBBDB23" w14:textId="3C5CE25E" w:rsidR="00AE02A4" w:rsidRPr="00132D52" w:rsidRDefault="00AE02A4" w:rsidP="002C7483">
            <w:pPr>
              <w:pStyle w:val="MDPI42tablebody"/>
              <w:autoSpaceDE w:val="0"/>
              <w:autoSpaceDN w:val="0"/>
              <w:spacing w:line="240" w:lineRule="auto"/>
              <w:rPr>
                <w:szCs w:val="22"/>
              </w:rPr>
            </w:pPr>
            <w:r w:rsidRPr="00132D52">
              <w:rPr>
                <w:rFonts w:cs="Calibri"/>
                <w:lang w:eastAsia="en-GB"/>
              </w:rPr>
              <w:t>19</w:t>
            </w:r>
          </w:p>
        </w:tc>
        <w:tc>
          <w:tcPr>
            <w:tcW w:w="0" w:type="auto"/>
            <w:tcBorders>
              <w:top w:val="single" w:sz="4" w:space="0" w:color="auto"/>
              <w:left w:val="nil"/>
              <w:bottom w:val="nil"/>
              <w:right w:val="nil"/>
            </w:tcBorders>
            <w:shd w:val="clear" w:color="auto" w:fill="auto"/>
            <w:vAlign w:val="center"/>
          </w:tcPr>
          <w:p w14:paraId="6F71FF64" w14:textId="5264FCA6" w:rsidR="00AE02A4" w:rsidRPr="00132D52" w:rsidRDefault="00AE02A4" w:rsidP="002C7483">
            <w:pPr>
              <w:pStyle w:val="MDPI42tablebody"/>
              <w:autoSpaceDE w:val="0"/>
              <w:autoSpaceDN w:val="0"/>
              <w:spacing w:line="240" w:lineRule="auto"/>
              <w:rPr>
                <w:szCs w:val="22"/>
              </w:rPr>
            </w:pPr>
            <w:r w:rsidRPr="00132D52">
              <w:rPr>
                <w:rFonts w:cs="Calibri"/>
                <w:lang w:eastAsia="en-GB"/>
              </w:rPr>
              <w:t>37</w:t>
            </w:r>
          </w:p>
        </w:tc>
        <w:tc>
          <w:tcPr>
            <w:tcW w:w="0" w:type="auto"/>
            <w:tcBorders>
              <w:top w:val="single" w:sz="4" w:space="0" w:color="auto"/>
              <w:left w:val="nil"/>
              <w:bottom w:val="nil"/>
              <w:right w:val="nil"/>
            </w:tcBorders>
            <w:shd w:val="clear" w:color="auto" w:fill="auto"/>
            <w:vAlign w:val="center"/>
          </w:tcPr>
          <w:p w14:paraId="0FB32CAD" w14:textId="073D579B" w:rsidR="00AE02A4" w:rsidRPr="00132D52" w:rsidRDefault="00AE02A4" w:rsidP="002C7483">
            <w:pPr>
              <w:pStyle w:val="MDPI42tablebody"/>
              <w:autoSpaceDE w:val="0"/>
              <w:autoSpaceDN w:val="0"/>
              <w:spacing w:line="240" w:lineRule="auto"/>
              <w:rPr>
                <w:szCs w:val="22"/>
              </w:rPr>
            </w:pPr>
            <w:r w:rsidRPr="00132D52">
              <w:rPr>
                <w:rFonts w:cs="Calibri"/>
                <w:lang w:eastAsia="en-GB"/>
              </w:rPr>
              <w:t>20</w:t>
            </w:r>
          </w:p>
        </w:tc>
        <w:tc>
          <w:tcPr>
            <w:tcW w:w="0" w:type="auto"/>
            <w:tcBorders>
              <w:top w:val="single" w:sz="4" w:space="0" w:color="auto"/>
              <w:left w:val="nil"/>
              <w:bottom w:val="nil"/>
              <w:right w:val="nil"/>
            </w:tcBorders>
            <w:shd w:val="clear" w:color="auto" w:fill="auto"/>
            <w:vAlign w:val="center"/>
          </w:tcPr>
          <w:p w14:paraId="193DAB11" w14:textId="57568CFB" w:rsidR="00AE02A4" w:rsidRPr="00132D52" w:rsidRDefault="00AE02A4" w:rsidP="002C7483">
            <w:pPr>
              <w:pStyle w:val="MDPI42tablebody"/>
              <w:autoSpaceDE w:val="0"/>
              <w:autoSpaceDN w:val="0"/>
              <w:spacing w:line="240" w:lineRule="auto"/>
              <w:rPr>
                <w:szCs w:val="22"/>
              </w:rPr>
            </w:pPr>
            <w:r w:rsidRPr="00132D52">
              <w:rPr>
                <w:rFonts w:cs="Calibri"/>
                <w:lang w:eastAsia="en-GB"/>
              </w:rPr>
              <w:t>28</w:t>
            </w:r>
          </w:p>
        </w:tc>
        <w:tc>
          <w:tcPr>
            <w:tcW w:w="0" w:type="auto"/>
            <w:tcBorders>
              <w:top w:val="single" w:sz="4" w:space="0" w:color="auto"/>
              <w:left w:val="nil"/>
              <w:bottom w:val="nil"/>
              <w:right w:val="nil"/>
            </w:tcBorders>
            <w:shd w:val="clear" w:color="auto" w:fill="auto"/>
            <w:vAlign w:val="center"/>
          </w:tcPr>
          <w:p w14:paraId="6F6F86E9" w14:textId="1CF9422B" w:rsidR="00AE02A4" w:rsidRPr="00132D52" w:rsidRDefault="00AE02A4" w:rsidP="002C7483">
            <w:pPr>
              <w:pStyle w:val="MDPI42tablebody"/>
              <w:autoSpaceDE w:val="0"/>
              <w:autoSpaceDN w:val="0"/>
              <w:spacing w:line="240" w:lineRule="auto"/>
              <w:rPr>
                <w:szCs w:val="22"/>
              </w:rPr>
            </w:pPr>
            <w:r w:rsidRPr="00132D52">
              <w:rPr>
                <w:rFonts w:cs="Calibri"/>
                <w:lang w:eastAsia="en-GB"/>
              </w:rPr>
              <w:t>19</w:t>
            </w:r>
          </w:p>
        </w:tc>
        <w:tc>
          <w:tcPr>
            <w:tcW w:w="0" w:type="auto"/>
            <w:tcBorders>
              <w:top w:val="single" w:sz="4" w:space="0" w:color="auto"/>
              <w:left w:val="nil"/>
              <w:bottom w:val="nil"/>
              <w:right w:val="nil"/>
            </w:tcBorders>
            <w:shd w:val="clear" w:color="auto" w:fill="auto"/>
            <w:vAlign w:val="center"/>
          </w:tcPr>
          <w:p w14:paraId="34ED3ACA" w14:textId="216C1CDA" w:rsidR="00AE02A4" w:rsidRPr="00132D52" w:rsidRDefault="00AE02A4" w:rsidP="002C7483">
            <w:pPr>
              <w:pStyle w:val="MDPI42tablebody"/>
              <w:autoSpaceDE w:val="0"/>
              <w:autoSpaceDN w:val="0"/>
              <w:spacing w:line="240" w:lineRule="auto"/>
              <w:rPr>
                <w:szCs w:val="22"/>
              </w:rPr>
            </w:pPr>
            <w:r w:rsidRPr="00132D52">
              <w:rPr>
                <w:rFonts w:cs="Calibri"/>
                <w:lang w:eastAsia="en-GB"/>
              </w:rPr>
              <w:t>6</w:t>
            </w:r>
          </w:p>
        </w:tc>
        <w:tc>
          <w:tcPr>
            <w:tcW w:w="0" w:type="auto"/>
            <w:tcBorders>
              <w:top w:val="single" w:sz="4" w:space="0" w:color="auto"/>
              <w:left w:val="nil"/>
              <w:bottom w:val="nil"/>
              <w:right w:val="nil"/>
            </w:tcBorders>
            <w:shd w:val="clear" w:color="auto" w:fill="auto"/>
            <w:vAlign w:val="center"/>
          </w:tcPr>
          <w:p w14:paraId="29C10A4F" w14:textId="4B9B97A2" w:rsidR="00AE02A4" w:rsidRPr="00132D52" w:rsidRDefault="00AE02A4" w:rsidP="002C7483">
            <w:pPr>
              <w:pStyle w:val="MDPI42tablebody"/>
              <w:autoSpaceDE w:val="0"/>
              <w:autoSpaceDN w:val="0"/>
              <w:spacing w:line="240" w:lineRule="auto"/>
              <w:rPr>
                <w:szCs w:val="22"/>
              </w:rPr>
            </w:pPr>
            <w:r w:rsidRPr="00132D52">
              <w:rPr>
                <w:rFonts w:cs="Calibri"/>
                <w:lang w:eastAsia="en-GB"/>
              </w:rPr>
              <w:t>26</w:t>
            </w:r>
          </w:p>
        </w:tc>
        <w:tc>
          <w:tcPr>
            <w:tcW w:w="0" w:type="auto"/>
            <w:tcBorders>
              <w:top w:val="single" w:sz="4" w:space="0" w:color="auto"/>
              <w:left w:val="nil"/>
              <w:bottom w:val="nil"/>
            </w:tcBorders>
            <w:shd w:val="clear" w:color="auto" w:fill="auto"/>
            <w:vAlign w:val="center"/>
          </w:tcPr>
          <w:p w14:paraId="38A9181F" w14:textId="55618773" w:rsidR="00AE02A4" w:rsidRPr="00132D52" w:rsidRDefault="00AE02A4" w:rsidP="002C7483">
            <w:pPr>
              <w:pStyle w:val="MDPI42tablebody"/>
              <w:autoSpaceDE w:val="0"/>
              <w:autoSpaceDN w:val="0"/>
              <w:spacing w:line="240" w:lineRule="auto"/>
              <w:rPr>
                <w:szCs w:val="22"/>
              </w:rPr>
            </w:pPr>
            <w:r w:rsidRPr="00132D52">
              <w:rPr>
                <w:rFonts w:cs="Calibri"/>
                <w:lang w:eastAsia="en-GB"/>
              </w:rPr>
              <w:t>40</w:t>
            </w:r>
          </w:p>
        </w:tc>
      </w:tr>
      <w:tr w:rsidR="00AE02A4" w:rsidRPr="00132D52" w14:paraId="4FE31E56" w14:textId="08E2A658" w:rsidTr="002C7483">
        <w:trPr>
          <w:jc w:val="center"/>
        </w:trPr>
        <w:tc>
          <w:tcPr>
            <w:tcW w:w="0" w:type="auto"/>
            <w:tcBorders>
              <w:top w:val="nil"/>
              <w:right w:val="nil"/>
            </w:tcBorders>
            <w:shd w:val="clear" w:color="auto" w:fill="auto"/>
            <w:vAlign w:val="center"/>
          </w:tcPr>
          <w:p w14:paraId="64686A41" w14:textId="04EF7DF8" w:rsidR="00AE02A4" w:rsidRPr="00132D52" w:rsidRDefault="00AE02A4" w:rsidP="002C7483">
            <w:pPr>
              <w:pStyle w:val="MDPI42tablebody"/>
              <w:autoSpaceDE w:val="0"/>
              <w:autoSpaceDN w:val="0"/>
              <w:spacing w:line="240" w:lineRule="auto"/>
              <w:rPr>
                <w:szCs w:val="22"/>
              </w:rPr>
            </w:pPr>
            <w:r w:rsidRPr="00132D52">
              <w:rPr>
                <w:rFonts w:cs="Calibri"/>
                <w:lang w:eastAsia="en-GB"/>
              </w:rPr>
              <w:lastRenderedPageBreak/>
              <w:t>10</w:t>
            </w:r>
            <w:r w:rsidR="006645F6">
              <w:rPr>
                <w:rFonts w:cs="Calibri"/>
                <w:lang w:eastAsia="en-GB"/>
              </w:rPr>
              <w:t>–</w:t>
            </w:r>
            <w:r w:rsidRPr="00132D52">
              <w:rPr>
                <w:rFonts w:cs="Calibri"/>
                <w:lang w:eastAsia="en-GB"/>
              </w:rPr>
              <w:t>20%</w:t>
            </w:r>
          </w:p>
        </w:tc>
        <w:tc>
          <w:tcPr>
            <w:tcW w:w="0" w:type="auto"/>
            <w:tcBorders>
              <w:top w:val="nil"/>
              <w:left w:val="nil"/>
              <w:right w:val="nil"/>
            </w:tcBorders>
            <w:shd w:val="clear" w:color="auto" w:fill="auto"/>
            <w:vAlign w:val="center"/>
          </w:tcPr>
          <w:p w14:paraId="4A8DEB8F" w14:textId="2E6B5173" w:rsidR="00AE02A4" w:rsidRPr="00132D52" w:rsidRDefault="00AE02A4" w:rsidP="002C7483">
            <w:pPr>
              <w:pStyle w:val="MDPI42tablebody"/>
              <w:autoSpaceDE w:val="0"/>
              <w:autoSpaceDN w:val="0"/>
              <w:spacing w:line="240" w:lineRule="auto"/>
              <w:rPr>
                <w:szCs w:val="22"/>
              </w:rPr>
            </w:pPr>
            <w:r w:rsidRPr="00132D52">
              <w:rPr>
                <w:rFonts w:cs="Calibri"/>
                <w:lang w:eastAsia="en-GB"/>
              </w:rPr>
              <w:t>16</w:t>
            </w:r>
          </w:p>
        </w:tc>
        <w:tc>
          <w:tcPr>
            <w:tcW w:w="0" w:type="auto"/>
            <w:tcBorders>
              <w:top w:val="nil"/>
              <w:left w:val="nil"/>
              <w:right w:val="nil"/>
            </w:tcBorders>
            <w:shd w:val="clear" w:color="auto" w:fill="auto"/>
            <w:vAlign w:val="center"/>
          </w:tcPr>
          <w:p w14:paraId="55EE3A39" w14:textId="66208191" w:rsidR="00AE02A4" w:rsidRPr="00132D52" w:rsidRDefault="00AE02A4" w:rsidP="002C7483">
            <w:pPr>
              <w:pStyle w:val="MDPI42tablebody"/>
              <w:autoSpaceDE w:val="0"/>
              <w:autoSpaceDN w:val="0"/>
              <w:spacing w:line="240" w:lineRule="auto"/>
              <w:rPr>
                <w:szCs w:val="22"/>
              </w:rPr>
            </w:pPr>
            <w:r w:rsidRPr="00132D52">
              <w:rPr>
                <w:rFonts w:cs="Calibri"/>
                <w:lang w:eastAsia="en-GB"/>
              </w:rPr>
              <w:t>10</w:t>
            </w:r>
          </w:p>
        </w:tc>
        <w:tc>
          <w:tcPr>
            <w:tcW w:w="0" w:type="auto"/>
            <w:tcBorders>
              <w:top w:val="nil"/>
              <w:left w:val="nil"/>
              <w:right w:val="nil"/>
            </w:tcBorders>
            <w:shd w:val="clear" w:color="auto" w:fill="auto"/>
            <w:vAlign w:val="center"/>
          </w:tcPr>
          <w:p w14:paraId="28F4137E" w14:textId="08177AE2" w:rsidR="00AE02A4" w:rsidRPr="00132D52" w:rsidRDefault="00AE02A4" w:rsidP="002C7483">
            <w:pPr>
              <w:pStyle w:val="MDPI42tablebody"/>
              <w:autoSpaceDE w:val="0"/>
              <w:autoSpaceDN w:val="0"/>
              <w:spacing w:line="240" w:lineRule="auto"/>
              <w:rPr>
                <w:szCs w:val="22"/>
              </w:rPr>
            </w:pPr>
            <w:r w:rsidRPr="00132D52">
              <w:rPr>
                <w:rFonts w:cs="Calibri"/>
                <w:lang w:eastAsia="en-GB"/>
              </w:rPr>
              <w:t>20</w:t>
            </w:r>
          </w:p>
        </w:tc>
        <w:tc>
          <w:tcPr>
            <w:tcW w:w="0" w:type="auto"/>
            <w:tcBorders>
              <w:top w:val="nil"/>
              <w:left w:val="nil"/>
              <w:right w:val="nil"/>
            </w:tcBorders>
            <w:shd w:val="clear" w:color="auto" w:fill="auto"/>
            <w:vAlign w:val="center"/>
          </w:tcPr>
          <w:p w14:paraId="3BCD9F68" w14:textId="07D1F677" w:rsidR="00AE02A4" w:rsidRPr="00132D52" w:rsidRDefault="00AE02A4" w:rsidP="002C7483">
            <w:pPr>
              <w:pStyle w:val="MDPI42tablebody"/>
              <w:autoSpaceDE w:val="0"/>
              <w:autoSpaceDN w:val="0"/>
              <w:spacing w:line="240" w:lineRule="auto"/>
              <w:rPr>
                <w:szCs w:val="22"/>
              </w:rPr>
            </w:pPr>
            <w:r w:rsidRPr="00132D52">
              <w:rPr>
                <w:rFonts w:cs="Calibri"/>
                <w:lang w:eastAsia="en-GB"/>
              </w:rPr>
              <w:t>20</w:t>
            </w:r>
          </w:p>
        </w:tc>
        <w:tc>
          <w:tcPr>
            <w:tcW w:w="0" w:type="auto"/>
            <w:tcBorders>
              <w:top w:val="nil"/>
              <w:left w:val="nil"/>
              <w:right w:val="nil"/>
            </w:tcBorders>
            <w:shd w:val="clear" w:color="auto" w:fill="auto"/>
            <w:vAlign w:val="center"/>
          </w:tcPr>
          <w:p w14:paraId="14C11F86" w14:textId="6AE38409" w:rsidR="00AE02A4" w:rsidRPr="00132D52" w:rsidRDefault="00AE02A4" w:rsidP="002C7483">
            <w:pPr>
              <w:pStyle w:val="MDPI42tablebody"/>
              <w:autoSpaceDE w:val="0"/>
              <w:autoSpaceDN w:val="0"/>
              <w:spacing w:line="240" w:lineRule="auto"/>
              <w:rPr>
                <w:szCs w:val="22"/>
              </w:rPr>
            </w:pPr>
            <w:r w:rsidRPr="00132D52">
              <w:rPr>
                <w:rFonts w:cs="Calibri"/>
                <w:lang w:eastAsia="en-GB"/>
              </w:rPr>
              <w:t>17</w:t>
            </w:r>
          </w:p>
        </w:tc>
        <w:tc>
          <w:tcPr>
            <w:tcW w:w="0" w:type="auto"/>
            <w:tcBorders>
              <w:top w:val="nil"/>
              <w:left w:val="nil"/>
              <w:right w:val="nil"/>
            </w:tcBorders>
            <w:shd w:val="clear" w:color="auto" w:fill="auto"/>
            <w:vAlign w:val="center"/>
          </w:tcPr>
          <w:p w14:paraId="3FA2B0BD" w14:textId="354D43F5" w:rsidR="00AE02A4" w:rsidRPr="00132D52" w:rsidRDefault="00AE02A4" w:rsidP="002C7483">
            <w:pPr>
              <w:pStyle w:val="MDPI42tablebody"/>
              <w:autoSpaceDE w:val="0"/>
              <w:autoSpaceDN w:val="0"/>
              <w:spacing w:line="240" w:lineRule="auto"/>
              <w:rPr>
                <w:szCs w:val="22"/>
              </w:rPr>
            </w:pPr>
            <w:r w:rsidRPr="00132D52">
              <w:rPr>
                <w:rFonts w:cs="Calibri"/>
                <w:lang w:eastAsia="en-GB"/>
              </w:rPr>
              <w:t>7</w:t>
            </w:r>
          </w:p>
        </w:tc>
        <w:tc>
          <w:tcPr>
            <w:tcW w:w="0" w:type="auto"/>
            <w:tcBorders>
              <w:top w:val="nil"/>
              <w:left w:val="nil"/>
              <w:right w:val="nil"/>
            </w:tcBorders>
            <w:shd w:val="clear" w:color="auto" w:fill="auto"/>
            <w:vAlign w:val="center"/>
          </w:tcPr>
          <w:p w14:paraId="18259912" w14:textId="7034DD0D" w:rsidR="00AE02A4" w:rsidRPr="00132D52" w:rsidRDefault="00AE02A4" w:rsidP="002C7483">
            <w:pPr>
              <w:pStyle w:val="MDPI42tablebody"/>
              <w:autoSpaceDE w:val="0"/>
              <w:autoSpaceDN w:val="0"/>
              <w:spacing w:line="240" w:lineRule="auto"/>
              <w:rPr>
                <w:szCs w:val="22"/>
              </w:rPr>
            </w:pPr>
            <w:r w:rsidRPr="00132D52">
              <w:rPr>
                <w:rFonts w:cs="Calibri"/>
                <w:lang w:eastAsia="en-GB"/>
              </w:rPr>
              <w:t>16</w:t>
            </w:r>
          </w:p>
        </w:tc>
        <w:tc>
          <w:tcPr>
            <w:tcW w:w="0" w:type="auto"/>
            <w:tcBorders>
              <w:top w:val="nil"/>
              <w:left w:val="nil"/>
            </w:tcBorders>
            <w:shd w:val="clear" w:color="auto" w:fill="auto"/>
            <w:vAlign w:val="center"/>
          </w:tcPr>
          <w:p w14:paraId="7A14218E" w14:textId="40E609D5" w:rsidR="00AE02A4" w:rsidRPr="00132D52" w:rsidRDefault="00AE02A4" w:rsidP="002C7483">
            <w:pPr>
              <w:pStyle w:val="MDPI42tablebody"/>
              <w:autoSpaceDE w:val="0"/>
              <w:autoSpaceDN w:val="0"/>
              <w:spacing w:line="240" w:lineRule="auto"/>
              <w:rPr>
                <w:szCs w:val="22"/>
              </w:rPr>
            </w:pPr>
            <w:r w:rsidRPr="00132D52">
              <w:rPr>
                <w:rFonts w:cs="Calibri"/>
                <w:lang w:eastAsia="en-GB"/>
              </w:rPr>
              <w:t>18</w:t>
            </w:r>
          </w:p>
        </w:tc>
      </w:tr>
      <w:tr w:rsidR="00AE02A4" w:rsidRPr="00132D52" w14:paraId="249BE74B" w14:textId="5CFC97A8" w:rsidTr="002C7483">
        <w:trPr>
          <w:jc w:val="center"/>
        </w:trPr>
        <w:tc>
          <w:tcPr>
            <w:tcW w:w="0" w:type="auto"/>
            <w:tcBorders>
              <w:right w:val="nil"/>
            </w:tcBorders>
            <w:shd w:val="clear" w:color="auto" w:fill="auto"/>
            <w:vAlign w:val="center"/>
          </w:tcPr>
          <w:p w14:paraId="570FAE18" w14:textId="5291810B" w:rsidR="00AE02A4" w:rsidRPr="00132D52" w:rsidRDefault="00AE02A4" w:rsidP="002C7483">
            <w:pPr>
              <w:pStyle w:val="MDPI42tablebody"/>
              <w:autoSpaceDE w:val="0"/>
              <w:autoSpaceDN w:val="0"/>
              <w:spacing w:line="240" w:lineRule="auto"/>
              <w:rPr>
                <w:szCs w:val="22"/>
              </w:rPr>
            </w:pPr>
            <w:r w:rsidRPr="00132D52">
              <w:rPr>
                <w:rFonts w:cs="Calibri"/>
                <w:lang w:eastAsia="en-GB"/>
              </w:rPr>
              <w:t>20</w:t>
            </w:r>
            <w:r w:rsidR="006645F6">
              <w:rPr>
                <w:rFonts w:cs="Calibri"/>
                <w:lang w:eastAsia="en-GB"/>
              </w:rPr>
              <w:t>–</w:t>
            </w:r>
            <w:r w:rsidRPr="00132D52">
              <w:rPr>
                <w:rFonts w:cs="Calibri"/>
                <w:lang w:eastAsia="en-GB"/>
              </w:rPr>
              <w:t>30%</w:t>
            </w:r>
          </w:p>
        </w:tc>
        <w:tc>
          <w:tcPr>
            <w:tcW w:w="0" w:type="auto"/>
            <w:tcBorders>
              <w:left w:val="nil"/>
              <w:right w:val="nil"/>
            </w:tcBorders>
            <w:shd w:val="clear" w:color="auto" w:fill="auto"/>
            <w:vAlign w:val="center"/>
          </w:tcPr>
          <w:p w14:paraId="0C40FBC3" w14:textId="1CE8D5DA" w:rsidR="00AE02A4" w:rsidRPr="00132D52" w:rsidRDefault="00AE02A4" w:rsidP="002C7483">
            <w:pPr>
              <w:pStyle w:val="MDPI42tablebody"/>
              <w:autoSpaceDE w:val="0"/>
              <w:autoSpaceDN w:val="0"/>
              <w:spacing w:line="240" w:lineRule="auto"/>
              <w:rPr>
                <w:szCs w:val="22"/>
              </w:rPr>
            </w:pPr>
            <w:r w:rsidRPr="00132D52">
              <w:rPr>
                <w:rFonts w:cs="Calibri"/>
                <w:lang w:eastAsia="en-GB"/>
              </w:rPr>
              <w:t>11</w:t>
            </w:r>
          </w:p>
        </w:tc>
        <w:tc>
          <w:tcPr>
            <w:tcW w:w="0" w:type="auto"/>
            <w:tcBorders>
              <w:left w:val="nil"/>
              <w:right w:val="nil"/>
            </w:tcBorders>
            <w:shd w:val="clear" w:color="auto" w:fill="auto"/>
            <w:vAlign w:val="center"/>
          </w:tcPr>
          <w:p w14:paraId="4366431A" w14:textId="2B60BC87" w:rsidR="00AE02A4" w:rsidRPr="00132D52" w:rsidRDefault="00AE02A4" w:rsidP="002C7483">
            <w:pPr>
              <w:pStyle w:val="MDPI42tablebody"/>
              <w:autoSpaceDE w:val="0"/>
              <w:autoSpaceDN w:val="0"/>
              <w:spacing w:line="240" w:lineRule="auto"/>
              <w:rPr>
                <w:szCs w:val="22"/>
              </w:rPr>
            </w:pPr>
            <w:r w:rsidRPr="00132D52">
              <w:rPr>
                <w:rFonts w:cs="Calibri"/>
                <w:lang w:eastAsia="en-GB"/>
              </w:rPr>
              <w:t>3</w:t>
            </w:r>
          </w:p>
        </w:tc>
        <w:tc>
          <w:tcPr>
            <w:tcW w:w="0" w:type="auto"/>
            <w:tcBorders>
              <w:left w:val="nil"/>
              <w:right w:val="nil"/>
            </w:tcBorders>
            <w:shd w:val="clear" w:color="auto" w:fill="auto"/>
            <w:vAlign w:val="center"/>
          </w:tcPr>
          <w:p w14:paraId="5A3CC538" w14:textId="392D4097" w:rsidR="00AE02A4" w:rsidRPr="00132D52" w:rsidRDefault="00AE02A4" w:rsidP="002C7483">
            <w:pPr>
              <w:pStyle w:val="MDPI42tablebody"/>
              <w:autoSpaceDE w:val="0"/>
              <w:autoSpaceDN w:val="0"/>
              <w:spacing w:line="240" w:lineRule="auto"/>
              <w:rPr>
                <w:szCs w:val="22"/>
              </w:rPr>
            </w:pPr>
            <w:r w:rsidRPr="00132D52">
              <w:rPr>
                <w:rFonts w:cs="Calibri"/>
                <w:lang w:eastAsia="en-GB"/>
              </w:rPr>
              <w:t>7</w:t>
            </w:r>
          </w:p>
        </w:tc>
        <w:tc>
          <w:tcPr>
            <w:tcW w:w="0" w:type="auto"/>
            <w:tcBorders>
              <w:left w:val="nil"/>
              <w:right w:val="nil"/>
            </w:tcBorders>
            <w:shd w:val="clear" w:color="auto" w:fill="auto"/>
            <w:vAlign w:val="center"/>
          </w:tcPr>
          <w:p w14:paraId="42E31070" w14:textId="1813A784" w:rsidR="00AE02A4" w:rsidRPr="00132D52" w:rsidRDefault="00AE02A4" w:rsidP="002C7483">
            <w:pPr>
              <w:pStyle w:val="MDPI42tablebody"/>
              <w:autoSpaceDE w:val="0"/>
              <w:autoSpaceDN w:val="0"/>
              <w:spacing w:line="240" w:lineRule="auto"/>
              <w:rPr>
                <w:szCs w:val="22"/>
              </w:rPr>
            </w:pPr>
            <w:r w:rsidRPr="00132D52">
              <w:rPr>
                <w:rFonts w:cs="Calibri"/>
                <w:lang w:eastAsia="en-GB"/>
              </w:rPr>
              <w:t>6</w:t>
            </w:r>
          </w:p>
        </w:tc>
        <w:tc>
          <w:tcPr>
            <w:tcW w:w="0" w:type="auto"/>
            <w:tcBorders>
              <w:left w:val="nil"/>
              <w:right w:val="nil"/>
            </w:tcBorders>
            <w:shd w:val="clear" w:color="auto" w:fill="auto"/>
            <w:vAlign w:val="center"/>
          </w:tcPr>
          <w:p w14:paraId="0F96BB4B" w14:textId="3877255D" w:rsidR="00AE02A4" w:rsidRPr="00132D52" w:rsidRDefault="00AE02A4" w:rsidP="002C7483">
            <w:pPr>
              <w:pStyle w:val="MDPI42tablebody"/>
              <w:autoSpaceDE w:val="0"/>
              <w:autoSpaceDN w:val="0"/>
              <w:spacing w:line="240" w:lineRule="auto"/>
              <w:rPr>
                <w:szCs w:val="22"/>
              </w:rPr>
            </w:pPr>
            <w:r w:rsidRPr="00132D52">
              <w:rPr>
                <w:rFonts w:cs="Calibri"/>
                <w:lang w:eastAsia="en-GB"/>
              </w:rPr>
              <w:t>13</w:t>
            </w:r>
          </w:p>
        </w:tc>
        <w:tc>
          <w:tcPr>
            <w:tcW w:w="0" w:type="auto"/>
            <w:tcBorders>
              <w:left w:val="nil"/>
              <w:right w:val="nil"/>
            </w:tcBorders>
            <w:shd w:val="clear" w:color="auto" w:fill="auto"/>
            <w:vAlign w:val="center"/>
          </w:tcPr>
          <w:p w14:paraId="5888FEB0" w14:textId="4DE12CB0" w:rsidR="00AE02A4" w:rsidRPr="00132D52" w:rsidRDefault="00AE02A4" w:rsidP="002C7483">
            <w:pPr>
              <w:pStyle w:val="MDPI42tablebody"/>
              <w:autoSpaceDE w:val="0"/>
              <w:autoSpaceDN w:val="0"/>
              <w:spacing w:line="240" w:lineRule="auto"/>
              <w:rPr>
                <w:szCs w:val="22"/>
              </w:rPr>
            </w:pPr>
            <w:r w:rsidRPr="00132D52">
              <w:rPr>
                <w:rFonts w:cs="Calibri"/>
                <w:lang w:eastAsia="en-GB"/>
              </w:rPr>
              <w:t>5</w:t>
            </w:r>
          </w:p>
        </w:tc>
        <w:tc>
          <w:tcPr>
            <w:tcW w:w="0" w:type="auto"/>
            <w:tcBorders>
              <w:left w:val="nil"/>
              <w:right w:val="nil"/>
            </w:tcBorders>
            <w:shd w:val="clear" w:color="auto" w:fill="auto"/>
            <w:vAlign w:val="center"/>
          </w:tcPr>
          <w:p w14:paraId="71FCBE70" w14:textId="527C35DA" w:rsidR="00AE02A4" w:rsidRPr="00132D52" w:rsidRDefault="00AE02A4" w:rsidP="002C7483">
            <w:pPr>
              <w:pStyle w:val="MDPI42tablebody"/>
              <w:autoSpaceDE w:val="0"/>
              <w:autoSpaceDN w:val="0"/>
              <w:spacing w:line="240" w:lineRule="auto"/>
              <w:rPr>
                <w:szCs w:val="22"/>
              </w:rPr>
            </w:pPr>
            <w:r w:rsidRPr="00132D52">
              <w:rPr>
                <w:rFonts w:cs="Calibri"/>
                <w:lang w:eastAsia="en-GB"/>
              </w:rPr>
              <w:t>13</w:t>
            </w:r>
          </w:p>
        </w:tc>
        <w:tc>
          <w:tcPr>
            <w:tcW w:w="0" w:type="auto"/>
            <w:tcBorders>
              <w:left w:val="nil"/>
            </w:tcBorders>
            <w:shd w:val="clear" w:color="auto" w:fill="auto"/>
            <w:vAlign w:val="center"/>
          </w:tcPr>
          <w:p w14:paraId="6152E431" w14:textId="28676ADA" w:rsidR="00AE02A4" w:rsidRPr="00132D52" w:rsidRDefault="00AE02A4" w:rsidP="002C7483">
            <w:pPr>
              <w:pStyle w:val="MDPI42tablebody"/>
              <w:autoSpaceDE w:val="0"/>
              <w:autoSpaceDN w:val="0"/>
              <w:spacing w:line="240" w:lineRule="auto"/>
              <w:rPr>
                <w:szCs w:val="22"/>
              </w:rPr>
            </w:pPr>
            <w:r w:rsidRPr="00132D52">
              <w:rPr>
                <w:rFonts w:cs="Calibri"/>
                <w:lang w:eastAsia="en-GB"/>
              </w:rPr>
              <w:t>11</w:t>
            </w:r>
          </w:p>
        </w:tc>
      </w:tr>
      <w:tr w:rsidR="00AE02A4" w:rsidRPr="00132D52" w14:paraId="3297C6B2" w14:textId="024C933F" w:rsidTr="002C7483">
        <w:trPr>
          <w:jc w:val="center"/>
        </w:trPr>
        <w:tc>
          <w:tcPr>
            <w:tcW w:w="0" w:type="auto"/>
            <w:tcBorders>
              <w:right w:val="nil"/>
            </w:tcBorders>
            <w:shd w:val="clear" w:color="auto" w:fill="auto"/>
            <w:vAlign w:val="center"/>
          </w:tcPr>
          <w:p w14:paraId="0C04E0D2" w14:textId="14E059C3" w:rsidR="00AE02A4" w:rsidRPr="00132D52" w:rsidRDefault="00AE02A4" w:rsidP="002C7483">
            <w:pPr>
              <w:pStyle w:val="MDPI42tablebody"/>
              <w:autoSpaceDE w:val="0"/>
              <w:autoSpaceDN w:val="0"/>
              <w:spacing w:line="240" w:lineRule="auto"/>
              <w:rPr>
                <w:szCs w:val="22"/>
              </w:rPr>
            </w:pPr>
            <w:r w:rsidRPr="00132D52">
              <w:rPr>
                <w:rFonts w:cs="Calibri"/>
                <w:lang w:eastAsia="en-GB"/>
              </w:rPr>
              <w:t>30</w:t>
            </w:r>
            <w:r w:rsidR="006645F6">
              <w:rPr>
                <w:rFonts w:cs="Calibri"/>
                <w:lang w:eastAsia="en-GB"/>
              </w:rPr>
              <w:t>–</w:t>
            </w:r>
            <w:r w:rsidRPr="00132D52">
              <w:rPr>
                <w:rFonts w:cs="Calibri"/>
                <w:lang w:eastAsia="en-GB"/>
              </w:rPr>
              <w:t>50%</w:t>
            </w:r>
          </w:p>
        </w:tc>
        <w:tc>
          <w:tcPr>
            <w:tcW w:w="0" w:type="auto"/>
            <w:tcBorders>
              <w:left w:val="nil"/>
              <w:right w:val="nil"/>
            </w:tcBorders>
            <w:shd w:val="clear" w:color="auto" w:fill="auto"/>
            <w:vAlign w:val="center"/>
          </w:tcPr>
          <w:p w14:paraId="6B8FD784" w14:textId="450E3171" w:rsidR="00AE02A4" w:rsidRPr="00132D52" w:rsidRDefault="00AE02A4" w:rsidP="002C7483">
            <w:pPr>
              <w:pStyle w:val="MDPI42tablebody"/>
              <w:autoSpaceDE w:val="0"/>
              <w:autoSpaceDN w:val="0"/>
              <w:spacing w:line="240" w:lineRule="auto"/>
              <w:rPr>
                <w:szCs w:val="22"/>
              </w:rPr>
            </w:pPr>
            <w:r w:rsidRPr="00132D52">
              <w:rPr>
                <w:rFonts w:cs="Calibri"/>
                <w:lang w:eastAsia="en-GB"/>
              </w:rPr>
              <w:t>14</w:t>
            </w:r>
          </w:p>
        </w:tc>
        <w:tc>
          <w:tcPr>
            <w:tcW w:w="0" w:type="auto"/>
            <w:tcBorders>
              <w:left w:val="nil"/>
              <w:right w:val="nil"/>
            </w:tcBorders>
            <w:shd w:val="clear" w:color="auto" w:fill="auto"/>
            <w:vAlign w:val="center"/>
          </w:tcPr>
          <w:p w14:paraId="68D9D90D" w14:textId="4C8BA89F" w:rsidR="00AE02A4" w:rsidRPr="00132D52" w:rsidRDefault="00AE02A4" w:rsidP="002C7483">
            <w:pPr>
              <w:pStyle w:val="MDPI42tablebody"/>
              <w:autoSpaceDE w:val="0"/>
              <w:autoSpaceDN w:val="0"/>
              <w:spacing w:line="240" w:lineRule="auto"/>
              <w:rPr>
                <w:szCs w:val="22"/>
              </w:rPr>
            </w:pPr>
            <w:r w:rsidRPr="00132D52">
              <w:rPr>
                <w:rFonts w:cs="Calibri"/>
                <w:lang w:eastAsia="en-GB"/>
              </w:rPr>
              <w:t>5</w:t>
            </w:r>
          </w:p>
        </w:tc>
        <w:tc>
          <w:tcPr>
            <w:tcW w:w="0" w:type="auto"/>
            <w:tcBorders>
              <w:left w:val="nil"/>
              <w:right w:val="nil"/>
            </w:tcBorders>
            <w:shd w:val="clear" w:color="auto" w:fill="auto"/>
            <w:vAlign w:val="center"/>
          </w:tcPr>
          <w:p w14:paraId="6526A32A" w14:textId="24D0BD2C" w:rsidR="00AE02A4" w:rsidRPr="00132D52" w:rsidRDefault="00AE02A4" w:rsidP="002C7483">
            <w:pPr>
              <w:pStyle w:val="MDPI42tablebody"/>
              <w:autoSpaceDE w:val="0"/>
              <w:autoSpaceDN w:val="0"/>
              <w:spacing w:line="240" w:lineRule="auto"/>
              <w:rPr>
                <w:szCs w:val="22"/>
              </w:rPr>
            </w:pPr>
            <w:r w:rsidRPr="00132D52">
              <w:rPr>
                <w:rFonts w:cs="Calibri"/>
                <w:lang w:eastAsia="en-GB"/>
              </w:rPr>
              <w:t>10</w:t>
            </w:r>
          </w:p>
        </w:tc>
        <w:tc>
          <w:tcPr>
            <w:tcW w:w="0" w:type="auto"/>
            <w:tcBorders>
              <w:left w:val="nil"/>
              <w:right w:val="nil"/>
            </w:tcBorders>
            <w:shd w:val="clear" w:color="auto" w:fill="auto"/>
            <w:vAlign w:val="center"/>
          </w:tcPr>
          <w:p w14:paraId="57849A60" w14:textId="76F5F98D" w:rsidR="00AE02A4" w:rsidRPr="00132D52" w:rsidRDefault="00AE02A4" w:rsidP="002C7483">
            <w:pPr>
              <w:pStyle w:val="MDPI42tablebody"/>
              <w:autoSpaceDE w:val="0"/>
              <w:autoSpaceDN w:val="0"/>
              <w:spacing w:line="240" w:lineRule="auto"/>
              <w:rPr>
                <w:szCs w:val="22"/>
              </w:rPr>
            </w:pPr>
            <w:r w:rsidRPr="00132D52">
              <w:rPr>
                <w:rFonts w:cs="Calibri"/>
                <w:lang w:eastAsia="en-GB"/>
              </w:rPr>
              <w:t>10</w:t>
            </w:r>
          </w:p>
        </w:tc>
        <w:tc>
          <w:tcPr>
            <w:tcW w:w="0" w:type="auto"/>
            <w:tcBorders>
              <w:left w:val="nil"/>
              <w:right w:val="nil"/>
            </w:tcBorders>
            <w:shd w:val="clear" w:color="auto" w:fill="auto"/>
            <w:vAlign w:val="center"/>
          </w:tcPr>
          <w:p w14:paraId="32319116" w14:textId="26EF10B2" w:rsidR="00AE02A4" w:rsidRPr="00132D52" w:rsidRDefault="00AE02A4" w:rsidP="002C7483">
            <w:pPr>
              <w:pStyle w:val="MDPI42tablebody"/>
              <w:autoSpaceDE w:val="0"/>
              <w:autoSpaceDN w:val="0"/>
              <w:spacing w:line="240" w:lineRule="auto"/>
              <w:rPr>
                <w:szCs w:val="22"/>
              </w:rPr>
            </w:pPr>
            <w:r w:rsidRPr="00132D52">
              <w:rPr>
                <w:rFonts w:cs="Calibri"/>
                <w:lang w:eastAsia="en-GB"/>
              </w:rPr>
              <w:t>18</w:t>
            </w:r>
          </w:p>
        </w:tc>
        <w:tc>
          <w:tcPr>
            <w:tcW w:w="0" w:type="auto"/>
            <w:tcBorders>
              <w:left w:val="nil"/>
              <w:right w:val="nil"/>
            </w:tcBorders>
            <w:shd w:val="clear" w:color="auto" w:fill="auto"/>
            <w:vAlign w:val="center"/>
          </w:tcPr>
          <w:p w14:paraId="1D3869B7" w14:textId="3C603589" w:rsidR="00AE02A4" w:rsidRPr="00132D52" w:rsidRDefault="00AE02A4" w:rsidP="002C7483">
            <w:pPr>
              <w:pStyle w:val="MDPI42tablebody"/>
              <w:autoSpaceDE w:val="0"/>
              <w:autoSpaceDN w:val="0"/>
              <w:spacing w:line="240" w:lineRule="auto"/>
              <w:rPr>
                <w:szCs w:val="22"/>
              </w:rPr>
            </w:pPr>
            <w:r w:rsidRPr="00132D52">
              <w:rPr>
                <w:rFonts w:cs="Calibri"/>
                <w:lang w:eastAsia="en-GB"/>
              </w:rPr>
              <w:t>13</w:t>
            </w:r>
          </w:p>
        </w:tc>
        <w:tc>
          <w:tcPr>
            <w:tcW w:w="0" w:type="auto"/>
            <w:tcBorders>
              <w:left w:val="nil"/>
              <w:right w:val="nil"/>
            </w:tcBorders>
            <w:shd w:val="clear" w:color="auto" w:fill="auto"/>
            <w:vAlign w:val="center"/>
          </w:tcPr>
          <w:p w14:paraId="5B9EE1AD" w14:textId="51F29D70" w:rsidR="00AE02A4" w:rsidRPr="00132D52" w:rsidRDefault="00AE02A4" w:rsidP="002C7483">
            <w:pPr>
              <w:pStyle w:val="MDPI42tablebody"/>
              <w:autoSpaceDE w:val="0"/>
              <w:autoSpaceDN w:val="0"/>
              <w:spacing w:line="240" w:lineRule="auto"/>
              <w:rPr>
                <w:szCs w:val="22"/>
              </w:rPr>
            </w:pPr>
            <w:r w:rsidRPr="00132D52">
              <w:rPr>
                <w:rFonts w:cs="Calibri"/>
                <w:lang w:eastAsia="en-GB"/>
              </w:rPr>
              <w:t>16</w:t>
            </w:r>
          </w:p>
        </w:tc>
        <w:tc>
          <w:tcPr>
            <w:tcW w:w="0" w:type="auto"/>
            <w:tcBorders>
              <w:left w:val="nil"/>
            </w:tcBorders>
            <w:shd w:val="clear" w:color="auto" w:fill="auto"/>
            <w:vAlign w:val="center"/>
          </w:tcPr>
          <w:p w14:paraId="4EB98332" w14:textId="3D9E3027" w:rsidR="00AE02A4" w:rsidRPr="00132D52" w:rsidRDefault="00AE02A4" w:rsidP="002C7483">
            <w:pPr>
              <w:pStyle w:val="MDPI42tablebody"/>
              <w:autoSpaceDE w:val="0"/>
              <w:autoSpaceDN w:val="0"/>
              <w:spacing w:line="240" w:lineRule="auto"/>
              <w:rPr>
                <w:szCs w:val="22"/>
              </w:rPr>
            </w:pPr>
            <w:r w:rsidRPr="00132D52">
              <w:rPr>
                <w:rFonts w:cs="Calibri"/>
                <w:lang w:eastAsia="en-GB"/>
              </w:rPr>
              <w:t>13</w:t>
            </w:r>
          </w:p>
        </w:tc>
      </w:tr>
      <w:tr w:rsidR="00AE02A4" w:rsidRPr="00132D52" w14:paraId="1B1F00EA" w14:textId="2A48EE9D" w:rsidTr="002C7483">
        <w:trPr>
          <w:jc w:val="center"/>
        </w:trPr>
        <w:tc>
          <w:tcPr>
            <w:tcW w:w="0" w:type="auto"/>
            <w:tcBorders>
              <w:right w:val="nil"/>
            </w:tcBorders>
            <w:shd w:val="clear" w:color="auto" w:fill="auto"/>
            <w:vAlign w:val="center"/>
          </w:tcPr>
          <w:p w14:paraId="03AE5C01" w14:textId="0DED60D1" w:rsidR="00AE02A4" w:rsidRPr="00132D52" w:rsidRDefault="00AE02A4" w:rsidP="002C7483">
            <w:pPr>
              <w:pStyle w:val="MDPI42tablebody"/>
              <w:autoSpaceDE w:val="0"/>
              <w:autoSpaceDN w:val="0"/>
              <w:spacing w:line="240" w:lineRule="auto"/>
              <w:rPr>
                <w:szCs w:val="22"/>
              </w:rPr>
            </w:pPr>
            <w:r w:rsidRPr="00132D52">
              <w:rPr>
                <w:rFonts w:cs="Calibri"/>
                <w:lang w:eastAsia="en-GB"/>
              </w:rPr>
              <w:t>&gt;50%</w:t>
            </w:r>
          </w:p>
        </w:tc>
        <w:tc>
          <w:tcPr>
            <w:tcW w:w="0" w:type="auto"/>
            <w:tcBorders>
              <w:left w:val="nil"/>
              <w:bottom w:val="single" w:sz="4" w:space="0" w:color="auto"/>
              <w:right w:val="nil"/>
            </w:tcBorders>
            <w:shd w:val="clear" w:color="auto" w:fill="auto"/>
            <w:vAlign w:val="center"/>
          </w:tcPr>
          <w:p w14:paraId="249D9AEA" w14:textId="55739BBE" w:rsidR="00AE02A4" w:rsidRPr="00132D52" w:rsidRDefault="00AE02A4" w:rsidP="002C7483">
            <w:pPr>
              <w:pStyle w:val="MDPI42tablebody"/>
              <w:autoSpaceDE w:val="0"/>
              <w:autoSpaceDN w:val="0"/>
              <w:spacing w:line="240" w:lineRule="auto"/>
              <w:rPr>
                <w:szCs w:val="22"/>
              </w:rPr>
            </w:pPr>
            <w:r w:rsidRPr="00132D52">
              <w:rPr>
                <w:rFonts w:cs="Calibri"/>
                <w:lang w:eastAsia="en-GB"/>
              </w:rPr>
              <w:t>41</w:t>
            </w:r>
          </w:p>
        </w:tc>
        <w:tc>
          <w:tcPr>
            <w:tcW w:w="0" w:type="auto"/>
            <w:tcBorders>
              <w:left w:val="nil"/>
              <w:bottom w:val="single" w:sz="4" w:space="0" w:color="auto"/>
              <w:right w:val="nil"/>
            </w:tcBorders>
            <w:shd w:val="clear" w:color="auto" w:fill="auto"/>
            <w:vAlign w:val="center"/>
          </w:tcPr>
          <w:p w14:paraId="5802B550" w14:textId="4F2ABC3D" w:rsidR="00AE02A4" w:rsidRPr="00132D52" w:rsidRDefault="00AE02A4" w:rsidP="002C7483">
            <w:pPr>
              <w:pStyle w:val="MDPI42tablebody"/>
              <w:autoSpaceDE w:val="0"/>
              <w:autoSpaceDN w:val="0"/>
              <w:spacing w:line="240" w:lineRule="auto"/>
              <w:rPr>
                <w:szCs w:val="22"/>
              </w:rPr>
            </w:pPr>
            <w:r w:rsidRPr="00132D52">
              <w:rPr>
                <w:rFonts w:cs="Calibri"/>
                <w:lang w:eastAsia="en-GB"/>
              </w:rPr>
              <w:t>45</w:t>
            </w:r>
          </w:p>
        </w:tc>
        <w:tc>
          <w:tcPr>
            <w:tcW w:w="0" w:type="auto"/>
            <w:tcBorders>
              <w:left w:val="nil"/>
              <w:bottom w:val="single" w:sz="4" w:space="0" w:color="auto"/>
              <w:right w:val="nil"/>
            </w:tcBorders>
            <w:shd w:val="clear" w:color="auto" w:fill="auto"/>
            <w:vAlign w:val="center"/>
          </w:tcPr>
          <w:p w14:paraId="10817649" w14:textId="35843F6F" w:rsidR="00AE02A4" w:rsidRPr="00132D52" w:rsidRDefault="00AE02A4" w:rsidP="002C7483">
            <w:pPr>
              <w:pStyle w:val="MDPI42tablebody"/>
              <w:autoSpaceDE w:val="0"/>
              <w:autoSpaceDN w:val="0"/>
              <w:spacing w:line="240" w:lineRule="auto"/>
              <w:rPr>
                <w:szCs w:val="22"/>
              </w:rPr>
            </w:pPr>
            <w:r w:rsidRPr="00132D52">
              <w:rPr>
                <w:rFonts w:cs="Calibri"/>
                <w:lang w:eastAsia="en-GB"/>
              </w:rPr>
              <w:t>43</w:t>
            </w:r>
          </w:p>
        </w:tc>
        <w:tc>
          <w:tcPr>
            <w:tcW w:w="0" w:type="auto"/>
            <w:tcBorders>
              <w:left w:val="nil"/>
              <w:bottom w:val="single" w:sz="4" w:space="0" w:color="auto"/>
              <w:right w:val="nil"/>
            </w:tcBorders>
            <w:shd w:val="clear" w:color="auto" w:fill="auto"/>
            <w:vAlign w:val="center"/>
          </w:tcPr>
          <w:p w14:paraId="59AA654E" w14:textId="2D8265E9" w:rsidR="00AE02A4" w:rsidRPr="00132D52" w:rsidRDefault="00AE02A4" w:rsidP="002C7483">
            <w:pPr>
              <w:pStyle w:val="MDPI42tablebody"/>
              <w:autoSpaceDE w:val="0"/>
              <w:autoSpaceDN w:val="0"/>
              <w:spacing w:line="240" w:lineRule="auto"/>
              <w:rPr>
                <w:szCs w:val="22"/>
              </w:rPr>
            </w:pPr>
            <w:r w:rsidRPr="00132D52">
              <w:rPr>
                <w:rFonts w:cs="Calibri"/>
                <w:lang w:eastAsia="en-GB"/>
              </w:rPr>
              <w:t>36</w:t>
            </w:r>
          </w:p>
        </w:tc>
        <w:tc>
          <w:tcPr>
            <w:tcW w:w="0" w:type="auto"/>
            <w:tcBorders>
              <w:left w:val="nil"/>
              <w:bottom w:val="single" w:sz="4" w:space="0" w:color="auto"/>
              <w:right w:val="nil"/>
            </w:tcBorders>
            <w:shd w:val="clear" w:color="auto" w:fill="auto"/>
            <w:vAlign w:val="center"/>
          </w:tcPr>
          <w:p w14:paraId="530C54D3" w14:textId="71F6AAA7" w:rsidR="00AE02A4" w:rsidRPr="00132D52" w:rsidRDefault="00AE02A4" w:rsidP="002C7483">
            <w:pPr>
              <w:pStyle w:val="MDPI42tablebody"/>
              <w:autoSpaceDE w:val="0"/>
              <w:autoSpaceDN w:val="0"/>
              <w:spacing w:line="240" w:lineRule="auto"/>
              <w:rPr>
                <w:szCs w:val="22"/>
              </w:rPr>
            </w:pPr>
            <w:r w:rsidRPr="00132D52">
              <w:rPr>
                <w:rFonts w:cs="Calibri"/>
                <w:lang w:eastAsia="en-GB"/>
              </w:rPr>
              <w:t>33</w:t>
            </w:r>
          </w:p>
        </w:tc>
        <w:tc>
          <w:tcPr>
            <w:tcW w:w="0" w:type="auto"/>
            <w:tcBorders>
              <w:left w:val="nil"/>
              <w:bottom w:val="single" w:sz="4" w:space="0" w:color="auto"/>
              <w:right w:val="nil"/>
            </w:tcBorders>
            <w:shd w:val="clear" w:color="auto" w:fill="auto"/>
            <w:vAlign w:val="center"/>
          </w:tcPr>
          <w:p w14:paraId="4B3CA42F" w14:textId="1EFDC7AC" w:rsidR="00AE02A4" w:rsidRPr="00132D52" w:rsidRDefault="00AE02A4" w:rsidP="002C7483">
            <w:pPr>
              <w:pStyle w:val="MDPI42tablebody"/>
              <w:autoSpaceDE w:val="0"/>
              <w:autoSpaceDN w:val="0"/>
              <w:spacing w:line="240" w:lineRule="auto"/>
              <w:rPr>
                <w:szCs w:val="22"/>
              </w:rPr>
            </w:pPr>
            <w:r w:rsidRPr="00132D52">
              <w:rPr>
                <w:rFonts w:cs="Calibri"/>
                <w:lang w:eastAsia="en-GB"/>
              </w:rPr>
              <w:t>69</w:t>
            </w:r>
          </w:p>
        </w:tc>
        <w:tc>
          <w:tcPr>
            <w:tcW w:w="0" w:type="auto"/>
            <w:tcBorders>
              <w:left w:val="nil"/>
              <w:bottom w:val="single" w:sz="4" w:space="0" w:color="auto"/>
              <w:right w:val="nil"/>
            </w:tcBorders>
            <w:shd w:val="clear" w:color="auto" w:fill="auto"/>
            <w:vAlign w:val="center"/>
          </w:tcPr>
          <w:p w14:paraId="096795E5" w14:textId="08E1E6D5" w:rsidR="00AE02A4" w:rsidRPr="00132D52" w:rsidRDefault="00AE02A4" w:rsidP="002C7483">
            <w:pPr>
              <w:pStyle w:val="MDPI42tablebody"/>
              <w:autoSpaceDE w:val="0"/>
              <w:autoSpaceDN w:val="0"/>
              <w:spacing w:line="240" w:lineRule="auto"/>
              <w:rPr>
                <w:szCs w:val="22"/>
              </w:rPr>
            </w:pPr>
            <w:r w:rsidRPr="00132D52">
              <w:rPr>
                <w:rFonts w:cs="Calibri"/>
                <w:lang w:eastAsia="en-GB"/>
              </w:rPr>
              <w:t>28</w:t>
            </w:r>
          </w:p>
        </w:tc>
        <w:tc>
          <w:tcPr>
            <w:tcW w:w="0" w:type="auto"/>
            <w:tcBorders>
              <w:left w:val="nil"/>
              <w:bottom w:val="single" w:sz="4" w:space="0" w:color="auto"/>
            </w:tcBorders>
            <w:shd w:val="clear" w:color="auto" w:fill="auto"/>
            <w:vAlign w:val="center"/>
          </w:tcPr>
          <w:p w14:paraId="4AF6C9FC" w14:textId="78FFBA59" w:rsidR="00AE02A4" w:rsidRPr="00132D52" w:rsidRDefault="00AE02A4" w:rsidP="002C7483">
            <w:pPr>
              <w:pStyle w:val="MDPI42tablebody"/>
              <w:autoSpaceDE w:val="0"/>
              <w:autoSpaceDN w:val="0"/>
              <w:spacing w:line="240" w:lineRule="auto"/>
              <w:rPr>
                <w:szCs w:val="22"/>
              </w:rPr>
            </w:pPr>
            <w:r w:rsidRPr="00132D52">
              <w:rPr>
                <w:rFonts w:cs="Calibri"/>
                <w:lang w:eastAsia="en-GB"/>
              </w:rPr>
              <w:t>19</w:t>
            </w:r>
          </w:p>
        </w:tc>
      </w:tr>
      <w:tr w:rsidR="00C85C0B" w:rsidRPr="00132D52" w14:paraId="48C8D5D0" w14:textId="1917CC18" w:rsidTr="002C7483">
        <w:trPr>
          <w:jc w:val="center"/>
        </w:trPr>
        <w:tc>
          <w:tcPr>
            <w:tcW w:w="0" w:type="auto"/>
            <w:tcBorders>
              <w:top w:val="single" w:sz="4" w:space="0" w:color="auto"/>
              <w:bottom w:val="single" w:sz="8" w:space="0" w:color="auto"/>
              <w:right w:val="nil"/>
            </w:tcBorders>
            <w:shd w:val="clear" w:color="auto" w:fill="auto"/>
            <w:vAlign w:val="center"/>
          </w:tcPr>
          <w:p w14:paraId="2F712BEC" w14:textId="227F63DE" w:rsidR="00C85C0B" w:rsidRPr="00132D52" w:rsidRDefault="00C85C0B" w:rsidP="002C7483">
            <w:pPr>
              <w:pStyle w:val="MDPI42tablebody"/>
              <w:autoSpaceDE w:val="0"/>
              <w:autoSpaceDN w:val="0"/>
              <w:spacing w:line="240" w:lineRule="auto"/>
              <w:rPr>
                <w:b/>
                <w:szCs w:val="22"/>
              </w:rPr>
            </w:pPr>
            <w:r w:rsidRPr="00132D52">
              <w:rPr>
                <w:b/>
                <w:szCs w:val="22"/>
              </w:rPr>
              <w:t>Total</w:t>
            </w:r>
          </w:p>
        </w:tc>
        <w:tc>
          <w:tcPr>
            <w:tcW w:w="0" w:type="auto"/>
            <w:gridSpan w:val="4"/>
            <w:tcBorders>
              <w:top w:val="single" w:sz="4" w:space="0" w:color="auto"/>
              <w:left w:val="nil"/>
              <w:bottom w:val="single" w:sz="8" w:space="0" w:color="auto"/>
              <w:right w:val="nil"/>
            </w:tcBorders>
            <w:shd w:val="clear" w:color="auto" w:fill="auto"/>
            <w:vAlign w:val="center"/>
          </w:tcPr>
          <w:p w14:paraId="7C4007F9" w14:textId="77EB18E9" w:rsidR="00C85C0B" w:rsidRPr="00132D52" w:rsidRDefault="00C85C0B" w:rsidP="002C7483">
            <w:pPr>
              <w:pStyle w:val="MDPI42tablebody"/>
              <w:autoSpaceDE w:val="0"/>
              <w:autoSpaceDN w:val="0"/>
              <w:spacing w:line="240" w:lineRule="auto"/>
              <w:rPr>
                <w:b/>
                <w:szCs w:val="22"/>
              </w:rPr>
            </w:pPr>
            <w:r w:rsidRPr="00132D52">
              <w:rPr>
                <w:rFonts w:cs="Calibri"/>
                <w:b/>
                <w:lang w:eastAsia="en-GB"/>
              </w:rPr>
              <w:t>100%, 197 variables</w:t>
            </w:r>
          </w:p>
        </w:tc>
        <w:tc>
          <w:tcPr>
            <w:tcW w:w="0" w:type="auto"/>
            <w:gridSpan w:val="4"/>
            <w:tcBorders>
              <w:top w:val="single" w:sz="4" w:space="0" w:color="auto"/>
              <w:left w:val="nil"/>
              <w:bottom w:val="single" w:sz="8" w:space="0" w:color="auto"/>
            </w:tcBorders>
            <w:shd w:val="clear" w:color="auto" w:fill="auto"/>
            <w:vAlign w:val="center"/>
          </w:tcPr>
          <w:p w14:paraId="40FD7994" w14:textId="1D5662D8" w:rsidR="00C85C0B" w:rsidRPr="00132D52" w:rsidRDefault="00C85C0B" w:rsidP="002C7483">
            <w:pPr>
              <w:pStyle w:val="MDPI42tablebody"/>
              <w:autoSpaceDE w:val="0"/>
              <w:autoSpaceDN w:val="0"/>
              <w:spacing w:line="240" w:lineRule="auto"/>
              <w:rPr>
                <w:b/>
                <w:szCs w:val="22"/>
              </w:rPr>
            </w:pPr>
            <w:r w:rsidRPr="00132D52">
              <w:rPr>
                <w:rFonts w:cs="Calibri"/>
                <w:b/>
                <w:lang w:eastAsia="en-GB"/>
              </w:rPr>
              <w:t>100%, 273 variables</w:t>
            </w:r>
          </w:p>
        </w:tc>
      </w:tr>
    </w:tbl>
    <w:p w14:paraId="2468CC51" w14:textId="450212BE" w:rsidR="00605BAA" w:rsidRPr="00132D52" w:rsidRDefault="00605BAA" w:rsidP="006F5717">
      <w:pPr>
        <w:pStyle w:val="MDPI82proof"/>
        <w:adjustRightInd w:val="0"/>
        <w:snapToGrid w:val="0"/>
      </w:pPr>
    </w:p>
    <w:p w14:paraId="6372F7C5" w14:textId="77777777" w:rsidR="00605BAA" w:rsidRPr="00132D52" w:rsidRDefault="00605BAA" w:rsidP="006F5717">
      <w:pPr>
        <w:pStyle w:val="MDPI21heading1"/>
      </w:pPr>
      <w:r w:rsidRPr="00132D52">
        <w:t>3. Discussion</w:t>
      </w:r>
    </w:p>
    <w:p w14:paraId="4C98312F" w14:textId="2ADB92BA" w:rsidR="00605BAA" w:rsidRPr="00132D52" w:rsidRDefault="00E23090" w:rsidP="006F5717">
      <w:pPr>
        <w:pStyle w:val="MDPI31text"/>
      </w:pPr>
      <w:r w:rsidRPr="00132D52">
        <w:t xml:space="preserve">In this study, </w:t>
      </w:r>
      <w:r w:rsidR="009806F0" w:rsidRPr="00132D52">
        <w:t xml:space="preserve">it was </w:t>
      </w:r>
      <w:r w:rsidRPr="00132D52">
        <w:t>found that the performance of lipid extraction methods differed considerably between both the format of the extraction (solvent type, use of aqueous wash) and sample type (high/low protein).</w:t>
      </w:r>
      <w:r w:rsidR="006F5717" w:rsidRPr="00132D52">
        <w:t xml:space="preserve"> </w:t>
      </w:r>
      <w:r w:rsidRPr="00132D52">
        <w:t>All methods tested performed well on milk samples, with human serum and tissue homogenates (mouse tissues, heart and liver) being more challenging.</w:t>
      </w:r>
      <w:r w:rsidR="006F5717" w:rsidRPr="00132D52">
        <w:t xml:space="preserve"> </w:t>
      </w:r>
      <w:r w:rsidRPr="00132D52">
        <w:t>Investigation of both total signal and the number of variables observed show</w:t>
      </w:r>
      <w:r w:rsidR="00335D95" w:rsidRPr="00132D52">
        <w:t>ed</w:t>
      </w:r>
      <w:r w:rsidRPr="00132D52">
        <w:t xml:space="preserve"> that DMT is a more effective solvent system for isolating the lipid fraction than TBME</w:t>
      </w:r>
      <w:r w:rsidR="00605BAA" w:rsidRPr="00132D52">
        <w:t>.</w:t>
      </w:r>
    </w:p>
    <w:p w14:paraId="3088D632" w14:textId="0F7694BD" w:rsidR="00E23090" w:rsidRPr="00132D52" w:rsidRDefault="00E23090" w:rsidP="006F5717">
      <w:pPr>
        <w:pStyle w:val="MDPI31text"/>
      </w:pPr>
      <w:r w:rsidRPr="00132D52">
        <w:t>The increased number of variables and apparent mass of material isolated using the DMT method is encouraging for high throughput lipidomics studies as it offers greater insight in the molecular composition of the biological system it represents.</w:t>
      </w:r>
      <w:r w:rsidR="006F5717" w:rsidRPr="00132D52">
        <w:t xml:space="preserve"> </w:t>
      </w:r>
      <w:r w:rsidRPr="00132D52">
        <w:t xml:space="preserve">This also allows </w:t>
      </w:r>
      <w:r w:rsidR="009806F0" w:rsidRPr="00132D52">
        <w:t xml:space="preserve">researchers </w:t>
      </w:r>
      <w:r w:rsidRPr="00132D52">
        <w:t>to make better use of equipment.</w:t>
      </w:r>
      <w:r w:rsidR="006F5717" w:rsidRPr="00132D52">
        <w:t xml:space="preserve"> </w:t>
      </w:r>
      <w:r w:rsidRPr="00132D52">
        <w:t>However, it does raise questions about how such data should be handled.</w:t>
      </w:r>
      <w:r w:rsidR="006F5717" w:rsidRPr="00132D52">
        <w:t xml:space="preserve"> </w:t>
      </w:r>
      <w:r w:rsidRPr="00132D52">
        <w:t xml:space="preserve">A typical and very useful approach is to assess lipidomes through a normalised or semi-quantitative abundance, </w:t>
      </w:r>
      <w:r w:rsidRPr="00132D52">
        <w:rPr>
          <w:iCs/>
        </w:rPr>
        <w:t>i.e.</w:t>
      </w:r>
      <w:r w:rsidR="002C7483" w:rsidRPr="00132D52">
        <w:rPr>
          <w:iCs/>
        </w:rPr>
        <w:t>,</w:t>
      </w:r>
      <w:r w:rsidRPr="00132D52">
        <w:rPr>
          <w:iCs/>
        </w:rPr>
        <w:t xml:space="preserve"> </w:t>
      </w:r>
      <w:r w:rsidRPr="00132D52">
        <w:t>relative abundance based on signal strength.</w:t>
      </w:r>
      <w:r w:rsidR="006F5717" w:rsidRPr="00132D52">
        <w:t xml:space="preserve"> </w:t>
      </w:r>
      <w:r w:rsidRPr="00132D52">
        <w:t>It is arguable that this is more difficult where more signals are found, as the abundance of any one thus falls.</w:t>
      </w:r>
      <w:r w:rsidR="006F5717" w:rsidRPr="00132D52">
        <w:t xml:space="preserve"> </w:t>
      </w:r>
      <w:r w:rsidRPr="00132D52">
        <w:t>This means that the abundance of less prevalent species may be more difficult to compare between phenotypes.</w:t>
      </w:r>
      <w:r w:rsidR="006F5717" w:rsidRPr="00132D52">
        <w:t xml:space="preserve"> </w:t>
      </w:r>
      <w:r w:rsidRPr="00132D52">
        <w:t>However, such a problem has been common with low-abundance species for some time.</w:t>
      </w:r>
      <w:r w:rsidR="006F5717" w:rsidRPr="00132D52">
        <w:t xml:space="preserve"> </w:t>
      </w:r>
      <w:r w:rsidRPr="00132D52">
        <w:t>This problem may be addressed by following up DI-MS profiling of the lipidome with liquid chromatography-mass spectrometry on a select group of samples, shedding light not only on the comparative abundance of low abundance species between samples but also for isoform analysis of such species</w:t>
      </w:r>
      <w:r w:rsidR="00E9459D" w:rsidRPr="00132D52">
        <w:t xml:space="preserve"> </w:t>
      </w:r>
      <w:r w:rsidR="005238BD" w:rsidRPr="00132D52">
        <w:t>[</w:t>
      </w:r>
      <w:r w:rsidR="002B04C7" w:rsidRPr="00132D52">
        <w:t>14</w:t>
      </w:r>
      <w:r w:rsidR="005238BD" w:rsidRPr="00132D52">
        <w:t>]</w:t>
      </w:r>
      <w:r w:rsidRPr="00132D52">
        <w:t>.</w:t>
      </w:r>
    </w:p>
    <w:p w14:paraId="36B0B806" w14:textId="65F41FA1" w:rsidR="00E23090" w:rsidRPr="00132D52" w:rsidRDefault="00E23090" w:rsidP="006F5717">
      <w:pPr>
        <w:pStyle w:val="MDPI31text"/>
      </w:pPr>
      <w:r w:rsidRPr="00132D52">
        <w:t>The difference in performance of the DMT and TBME methods naturally raises the question of why this should be.</w:t>
      </w:r>
      <w:r w:rsidR="006F5717" w:rsidRPr="00132D52">
        <w:t xml:space="preserve"> </w:t>
      </w:r>
      <w:r w:rsidRPr="00132D52">
        <w:t>It is well known that chlorinated solvents and others such as ethyl acetate are broad-spectrum solvents, often able to dissolve ionic organic compounds easily.</w:t>
      </w:r>
      <w:r w:rsidR="006F5717" w:rsidRPr="00132D52">
        <w:t xml:space="preserve"> </w:t>
      </w:r>
      <w:r w:rsidRPr="00132D52">
        <w:t>Ethereal solvents are typically better at dissolving more lipophilic compounds as they are less able to support salts.</w:t>
      </w:r>
      <w:r w:rsidR="006F5717" w:rsidRPr="00132D52">
        <w:t xml:space="preserve"> </w:t>
      </w:r>
      <w:r w:rsidRPr="00132D52">
        <w:t>This suggested to us that a solvent mixture such as DMT may be a good all-round solvent system, where TBME may be better for lipophilic compounds.</w:t>
      </w:r>
      <w:r w:rsidR="006F5717" w:rsidRPr="00132D52">
        <w:t xml:space="preserve"> </w:t>
      </w:r>
      <w:r w:rsidRPr="00132D52">
        <w:t>The choice of solvent therefore depends upon the question being asked.</w:t>
      </w:r>
      <w:r w:rsidR="006F5717" w:rsidRPr="00132D52">
        <w:t xml:space="preserve"> </w:t>
      </w:r>
      <w:r w:rsidRPr="00132D52">
        <w:t xml:space="preserve">Certain questions, for example centring on the TG markers of </w:t>
      </w:r>
      <w:r w:rsidRPr="00132D52">
        <w:rPr>
          <w:i/>
          <w:iCs/>
        </w:rPr>
        <w:t xml:space="preserve">de novo </w:t>
      </w:r>
      <w:r w:rsidRPr="00132D52">
        <w:t>lipogenesis, may be answered by using either DMT or TBME methods as the species of interest are expected to dissolve in either solvent.</w:t>
      </w:r>
      <w:r w:rsidR="006F5717" w:rsidRPr="00132D52">
        <w:t xml:space="preserve"> </w:t>
      </w:r>
      <w:r w:rsidRPr="00132D52">
        <w:t>However, where hypotheses are based around changes to several members of a class or several isoforms across classes, a broader-spectrum system may be preferable.</w:t>
      </w:r>
    </w:p>
    <w:p w14:paraId="020DDD89" w14:textId="70BC8ED0" w:rsidR="00E23090" w:rsidRPr="00132D52" w:rsidRDefault="00E23090" w:rsidP="006F5717">
      <w:pPr>
        <w:pStyle w:val="MDPI31text"/>
      </w:pPr>
      <w:r w:rsidRPr="00132D52">
        <w:t>This study was predicated on the notion that lipid extraction efficiency can be measured quantitatively.</w:t>
      </w:r>
      <w:r w:rsidR="006F5717" w:rsidRPr="00132D52">
        <w:t xml:space="preserve"> </w:t>
      </w:r>
      <w:r w:rsidRPr="00132D52">
        <w:t>In a previous report, we collected 16-20 measurements of each sample type or method of interest and used a combination of the number of lipids identified and the total signal strength (a proxy for mass) to rank extraction methods.</w:t>
      </w:r>
      <w:r w:rsidR="006F5717" w:rsidRPr="00132D52">
        <w:t xml:space="preserve"> </w:t>
      </w:r>
      <w:r w:rsidRPr="00132D52">
        <w:t>This was followed by a calculation of coefficient of variance to assess the precision of the method</w:t>
      </w:r>
      <w:r w:rsidR="00E9459D" w:rsidRPr="00132D52">
        <w:t xml:space="preserve"> </w:t>
      </w:r>
      <w:r w:rsidR="005238BD" w:rsidRPr="00132D52">
        <w:t>[</w:t>
      </w:r>
      <w:r w:rsidR="002B04C7" w:rsidRPr="00132D52">
        <w:t>25</w:t>
      </w:r>
      <w:r w:rsidR="005238BD" w:rsidRPr="00132D52">
        <w:t>]</w:t>
      </w:r>
      <w:r w:rsidRPr="00132D52">
        <w:t>.</w:t>
      </w:r>
      <w:r w:rsidR="006F5717" w:rsidRPr="00132D52">
        <w:t xml:space="preserve"> </w:t>
      </w:r>
      <w:r w:rsidRPr="00132D52">
        <w:t>This three-layered structure represented an advance in objective comparison of extraction protocols, previously wanting</w:t>
      </w:r>
      <w:r w:rsidR="00E9459D" w:rsidRPr="00132D52">
        <w:t xml:space="preserve"> </w:t>
      </w:r>
      <w:r w:rsidR="005238BD" w:rsidRPr="00132D52">
        <w:t>[</w:t>
      </w:r>
      <w:r w:rsidR="002B04C7" w:rsidRPr="00132D52">
        <w:t>22</w:t>
      </w:r>
      <w:r w:rsidR="005238BD" w:rsidRPr="00132D52">
        <w:t>]</w:t>
      </w:r>
      <w:r w:rsidRPr="00132D52">
        <w:t>.</w:t>
      </w:r>
      <w:r w:rsidR="006F5717" w:rsidRPr="00132D52">
        <w:t xml:space="preserve"> </w:t>
      </w:r>
      <w:r w:rsidRPr="00132D52">
        <w:t>This represents the strongest way yet found for comparing lipid extraction protocols objectively.</w:t>
      </w:r>
    </w:p>
    <w:p w14:paraId="30AD9B8F" w14:textId="0237402B" w:rsidR="00E23090" w:rsidRPr="00132D52" w:rsidRDefault="00E23090" w:rsidP="006F5717">
      <w:pPr>
        <w:pStyle w:val="MDPI31text"/>
      </w:pPr>
      <w:r w:rsidRPr="00132D52">
        <w:t>Lastly, the approach to assessing the efficiency of lipid isolation described in this paper is useful because it facilitates choice of extraction method for the sample type at hand.</w:t>
      </w:r>
      <w:r w:rsidR="006F5717" w:rsidRPr="00132D52">
        <w:t xml:space="preserve"> </w:t>
      </w:r>
      <w:r w:rsidRPr="00132D52">
        <w:t>This is increasingly useful as there is increasing demand for lipidomics, an on a broadening range of sample types.</w:t>
      </w:r>
      <w:r w:rsidR="006F5717" w:rsidRPr="00132D52">
        <w:t xml:space="preserve"> </w:t>
      </w:r>
      <w:r w:rsidRPr="00132D52">
        <w:t>The present assessment characterises the available methods in greater depth.</w:t>
      </w:r>
      <w:r w:rsidR="006F5717" w:rsidRPr="00132D52">
        <w:t xml:space="preserve"> </w:t>
      </w:r>
      <w:r w:rsidRPr="00132D52">
        <w:t>This increases our understanding of the lipidomics tools at our disposal.</w:t>
      </w:r>
      <w:r w:rsidR="006F5717" w:rsidRPr="00132D52">
        <w:t xml:space="preserve"> </w:t>
      </w:r>
      <w:r w:rsidRPr="00132D52">
        <w:t>For example, as this study has shown that fresh milk is a suitable sample type for BuMe</w:t>
      </w:r>
      <w:r w:rsidR="00E9459D" w:rsidRPr="00132D52">
        <w:t xml:space="preserve"> </w:t>
      </w:r>
      <w:r w:rsidR="005238BD" w:rsidRPr="00132D52">
        <w:t>[</w:t>
      </w:r>
      <w:r w:rsidR="002B04C7" w:rsidRPr="00132D52">
        <w:t>9</w:t>
      </w:r>
      <w:r w:rsidR="005238BD" w:rsidRPr="00132D52">
        <w:t>,</w:t>
      </w:r>
      <w:r w:rsidR="002B04C7" w:rsidRPr="00132D52">
        <w:t>10</w:t>
      </w:r>
      <w:r w:rsidR="005238BD" w:rsidRPr="00132D52">
        <w:t>]</w:t>
      </w:r>
      <w:r w:rsidRPr="00132D52">
        <w:t xml:space="preserve"> (developed for plasma) and XMI</w:t>
      </w:r>
      <w:r w:rsidR="00E9459D" w:rsidRPr="00132D52">
        <w:t xml:space="preserve"> </w:t>
      </w:r>
      <w:r w:rsidR="005238BD" w:rsidRPr="00132D52">
        <w:t>[</w:t>
      </w:r>
      <w:r w:rsidR="002B04C7" w:rsidRPr="00132D52">
        <w:t>25</w:t>
      </w:r>
      <w:r w:rsidR="005238BD" w:rsidRPr="00132D52">
        <w:t>]</w:t>
      </w:r>
      <w:r w:rsidRPr="00132D52">
        <w:t xml:space="preserve"> (developed for dried milk spots) extractions, it shows that fresh milk and either plasma or dried milk spots may be extracted in the same plate easily.</w:t>
      </w:r>
      <w:r w:rsidR="006F5717" w:rsidRPr="00132D52">
        <w:t xml:space="preserve"> </w:t>
      </w:r>
      <w:r w:rsidRPr="00132D52">
        <w:t>They may even be compatible with greater automation.</w:t>
      </w:r>
      <w:r w:rsidR="006F5717" w:rsidRPr="00132D52">
        <w:t xml:space="preserve"> </w:t>
      </w:r>
      <w:bookmarkStart w:id="43" w:name="_Hlk43723245"/>
      <w:r w:rsidR="00704DE7" w:rsidRPr="00132D52">
        <w:t xml:space="preserve">Further </w:t>
      </w:r>
      <w:r w:rsidR="00704DE7" w:rsidRPr="00132D52">
        <w:lastRenderedPageBreak/>
        <w:t>research, comprising development of other methods for high throughput lipidomics, may be useful for expanding our understanding of this process.</w:t>
      </w:r>
      <w:bookmarkEnd w:id="43"/>
    </w:p>
    <w:p w14:paraId="0FAB2765" w14:textId="76FA51D5" w:rsidR="00625509" w:rsidRPr="00132D52" w:rsidRDefault="00625509" w:rsidP="006F5717">
      <w:pPr>
        <w:pStyle w:val="MDPI21heading1"/>
      </w:pPr>
      <w:r w:rsidRPr="00132D52">
        <w:t>4. Conclusions</w:t>
      </w:r>
    </w:p>
    <w:p w14:paraId="341318B2" w14:textId="4B7E8685" w:rsidR="00625509" w:rsidRPr="00132D52" w:rsidRDefault="00625509" w:rsidP="006F5717">
      <w:pPr>
        <w:pStyle w:val="MDPI31text"/>
      </w:pPr>
      <w:r w:rsidRPr="00132D52">
        <w:t>This study was based on the hypothesis that a solvent-based extraction method that comprises a water-wash and the facility to dissolve lipid classes with a range of polarities works best for high throughput lipidomics.</w:t>
      </w:r>
      <w:r w:rsidR="006F5717" w:rsidRPr="00132D52">
        <w:t xml:space="preserve"> </w:t>
      </w:r>
      <w:r w:rsidR="009806F0" w:rsidRPr="00132D52">
        <w:t xml:space="preserve">It was </w:t>
      </w:r>
      <w:r w:rsidRPr="00132D52">
        <w:t>found that a lipid extraction method based on dichloromethane and methanol, doped with a lipophilic carbocation (triethylammonium), was the best all-round solvent system.</w:t>
      </w:r>
      <w:r w:rsidR="006F5717" w:rsidRPr="00132D52">
        <w:t xml:space="preserve"> </w:t>
      </w:r>
      <w:r w:rsidRPr="00132D52">
        <w:t>However, this was found not to be mutually exclusive with the performance of other methods in particular areas.</w:t>
      </w:r>
      <w:r w:rsidR="006F5717" w:rsidRPr="00132D52">
        <w:t xml:space="preserve"> </w:t>
      </w:r>
      <w:r w:rsidRPr="00132D52">
        <w:t>There appear to be several methods compatible with milk for high throughput lipidomics.</w:t>
      </w:r>
      <w:r w:rsidR="006F5717" w:rsidRPr="00132D52">
        <w:t xml:space="preserve"> </w:t>
      </w:r>
      <w:r w:rsidRPr="00132D52">
        <w:t>These observations allow greater insight into the tools available for high throughput lipidomics on an increasingly broad range of lipid-containing tissue samples.</w:t>
      </w:r>
    </w:p>
    <w:p w14:paraId="05A3B224" w14:textId="4FFB672B" w:rsidR="00605BAA" w:rsidRPr="00132D52" w:rsidRDefault="00625509" w:rsidP="006F5717">
      <w:pPr>
        <w:pStyle w:val="MDPI21heading1"/>
      </w:pPr>
      <w:r w:rsidRPr="00132D52">
        <w:rPr>
          <w:lang w:eastAsia="zh-CN"/>
        </w:rPr>
        <w:t>5</w:t>
      </w:r>
      <w:r w:rsidR="00605BAA" w:rsidRPr="00132D52">
        <w:rPr>
          <w:lang w:eastAsia="zh-CN"/>
        </w:rPr>
        <w:t xml:space="preserve">. </w:t>
      </w:r>
      <w:r w:rsidR="00605BAA" w:rsidRPr="00132D52">
        <w:t>Materials and Methods</w:t>
      </w:r>
    </w:p>
    <w:p w14:paraId="67FE1755" w14:textId="1B684DC2" w:rsidR="002C76DB" w:rsidRPr="00132D52" w:rsidRDefault="00625509" w:rsidP="006F5717">
      <w:pPr>
        <w:pStyle w:val="MDPI22heading2"/>
        <w:rPr>
          <w:noProof w:val="0"/>
        </w:rPr>
      </w:pPr>
      <w:r w:rsidRPr="00132D52">
        <w:rPr>
          <w:noProof w:val="0"/>
        </w:rPr>
        <w:t>5</w:t>
      </w:r>
      <w:r w:rsidR="0045743D" w:rsidRPr="00132D52">
        <w:rPr>
          <w:noProof w:val="0"/>
        </w:rPr>
        <w:t xml:space="preserve">.1. </w:t>
      </w:r>
      <w:r w:rsidR="002C76DB" w:rsidRPr="00132D52">
        <w:rPr>
          <w:noProof w:val="0"/>
        </w:rPr>
        <w:t>Ethics</w:t>
      </w:r>
    </w:p>
    <w:p w14:paraId="129A3D77" w14:textId="644AF750" w:rsidR="002C76DB" w:rsidRPr="00132D52" w:rsidRDefault="00511651" w:rsidP="006F5717">
      <w:pPr>
        <w:pStyle w:val="MDPI31text"/>
      </w:pPr>
      <w:r w:rsidRPr="00132D52">
        <w:t>All procedures were conducted in accordance with the UK Home Office Animal (Scientific Procedures) Act 1986 and local ethics committees at Aston University.</w:t>
      </w:r>
      <w:r w:rsidR="006F5717" w:rsidRPr="00132D52">
        <w:t xml:space="preserve"> </w:t>
      </w:r>
      <w:r w:rsidRPr="00132D52">
        <w:t xml:space="preserve">Animals were maintained at Aston University’s biomedical research facility as described previously </w:t>
      </w:r>
      <w:bookmarkStart w:id="44" w:name="EXISTREF27"/>
      <w:r w:rsidR="005238BD" w:rsidRPr="00132D52">
        <w:t>[</w:t>
      </w:r>
      <w:r w:rsidR="002B04C7" w:rsidRPr="00132D52">
        <w:t>27</w:t>
      </w:r>
      <w:r w:rsidR="005238BD" w:rsidRPr="00132D52">
        <w:t>]</w:t>
      </w:r>
      <w:bookmarkEnd w:id="44"/>
      <w:r w:rsidR="002C76DB" w:rsidRPr="00132D52">
        <w:t>.</w:t>
      </w:r>
    </w:p>
    <w:p w14:paraId="196B0DE1" w14:textId="58861C9B" w:rsidR="002C76DB" w:rsidRPr="00132D52" w:rsidRDefault="00625509" w:rsidP="006F5717">
      <w:pPr>
        <w:pStyle w:val="MDPI22heading2"/>
        <w:rPr>
          <w:noProof w:val="0"/>
        </w:rPr>
      </w:pPr>
      <w:r w:rsidRPr="00132D52">
        <w:rPr>
          <w:noProof w:val="0"/>
        </w:rPr>
        <w:t>5</w:t>
      </w:r>
      <w:r w:rsidR="0045743D" w:rsidRPr="00132D52">
        <w:rPr>
          <w:noProof w:val="0"/>
        </w:rPr>
        <w:t xml:space="preserve">.2. </w:t>
      </w:r>
      <w:r w:rsidR="002C76DB" w:rsidRPr="00132D52">
        <w:rPr>
          <w:noProof w:val="0"/>
        </w:rPr>
        <w:t xml:space="preserve">Reagents and </w:t>
      </w:r>
      <w:r w:rsidR="006F5717" w:rsidRPr="00132D52">
        <w:rPr>
          <w:noProof w:val="0"/>
        </w:rPr>
        <w:t>S</w:t>
      </w:r>
      <w:r w:rsidR="002C76DB" w:rsidRPr="00132D52">
        <w:rPr>
          <w:noProof w:val="0"/>
        </w:rPr>
        <w:t>tandards</w:t>
      </w:r>
    </w:p>
    <w:p w14:paraId="67C42BB2" w14:textId="635ABFD3" w:rsidR="002C76DB" w:rsidRPr="00132D52" w:rsidRDefault="002C76DB" w:rsidP="006F5717">
      <w:pPr>
        <w:pStyle w:val="MDPI31text"/>
      </w:pPr>
      <w:r w:rsidRPr="00132D52">
        <w:t>Solvents were purchased from Sigma-Aldrich Ltd</w:t>
      </w:r>
      <w:r w:rsidR="002C7483" w:rsidRPr="00132D52">
        <w:t>.</w:t>
      </w:r>
      <w:r w:rsidRPr="00132D52">
        <w:t xml:space="preserve"> (Gillingham, Dorset, UK) of at least HPLC grade and were not purified further.</w:t>
      </w:r>
      <w:r w:rsidR="006F5717" w:rsidRPr="00132D52">
        <w:t xml:space="preserve"> </w:t>
      </w:r>
      <w:r w:rsidRPr="00132D52">
        <w:t>Lipid standards were purchased from Avanti Polar lipids (Alabaster, AL; through Instruchemie, Delfzijl, NL) and used without purification.</w:t>
      </w:r>
      <w:r w:rsidR="006F5717" w:rsidRPr="00132D52">
        <w:t xml:space="preserve"> </w:t>
      </w:r>
      <w:r w:rsidRPr="00132D52">
        <w:t xml:space="preserve">Consumables </w:t>
      </w:r>
      <w:r w:rsidR="00511651" w:rsidRPr="00132D52">
        <w:t xml:space="preserve">and anonymised </w:t>
      </w:r>
      <w:r w:rsidR="00F90AD7" w:rsidRPr="00132D52">
        <w:t xml:space="preserve">pooled human serum </w:t>
      </w:r>
      <w:r w:rsidRPr="00132D52">
        <w:t>were purchased from Sarstedt AG &amp; Co (Leicester, UK)</w:t>
      </w:r>
      <w:r w:rsidR="00F90AD7" w:rsidRPr="00132D52">
        <w:t xml:space="preserve"> and</w:t>
      </w:r>
      <w:r w:rsidRPr="00132D52">
        <w:t xml:space="preserve"> Thermo Fisher (Hemel Hempstead, Herfordshire, UK).</w:t>
      </w:r>
      <w:r w:rsidR="006F5717" w:rsidRPr="00132D52">
        <w:t xml:space="preserve"> </w:t>
      </w:r>
      <w:r w:rsidR="00511651" w:rsidRPr="00132D52">
        <w:t>Milk samples were purchased from British supermarkets in 2019.</w:t>
      </w:r>
    </w:p>
    <w:p w14:paraId="1B3003C2" w14:textId="69404376" w:rsidR="002C76DB" w:rsidRPr="00132D52" w:rsidRDefault="00625509" w:rsidP="006F5717">
      <w:pPr>
        <w:pStyle w:val="MDPI22heading2"/>
        <w:rPr>
          <w:noProof w:val="0"/>
        </w:rPr>
      </w:pPr>
      <w:r w:rsidRPr="00132D52">
        <w:rPr>
          <w:noProof w:val="0"/>
        </w:rPr>
        <w:t>5</w:t>
      </w:r>
      <w:r w:rsidR="0045743D" w:rsidRPr="00132D52">
        <w:rPr>
          <w:noProof w:val="0"/>
        </w:rPr>
        <w:t xml:space="preserve">.3. </w:t>
      </w:r>
      <w:r w:rsidR="002C76DB" w:rsidRPr="00132D52">
        <w:rPr>
          <w:noProof w:val="0"/>
        </w:rPr>
        <w:t xml:space="preserve">Sample </w:t>
      </w:r>
      <w:r w:rsidR="006F5717" w:rsidRPr="00132D52">
        <w:rPr>
          <w:noProof w:val="0"/>
        </w:rPr>
        <w:t>P</w:t>
      </w:r>
      <w:r w:rsidR="002C76DB" w:rsidRPr="00132D52">
        <w:rPr>
          <w:noProof w:val="0"/>
        </w:rPr>
        <w:t>rocessing</w:t>
      </w:r>
    </w:p>
    <w:p w14:paraId="7B2CE8C9" w14:textId="450905CB" w:rsidR="002C76DB" w:rsidRPr="00132D52" w:rsidRDefault="002C76DB" w:rsidP="006F5717">
      <w:pPr>
        <w:pStyle w:val="MDPI31text"/>
      </w:pPr>
      <w:r w:rsidRPr="00132D52">
        <w:t>The data for this study were acquired in one analytical run of 813 samples, including blank and QC samples.</w:t>
      </w:r>
      <w:r w:rsidR="006F5717" w:rsidRPr="00132D52">
        <w:t xml:space="preserve"> </w:t>
      </w:r>
      <w:r w:rsidRPr="00132D52">
        <w:t>The four examples of heart, liver, milk and serum matrices for measuring coefficient of variance (CV) were prepared as follows.</w:t>
      </w:r>
      <w:r w:rsidR="006F5717" w:rsidRPr="00132D52">
        <w:t xml:space="preserve"> </w:t>
      </w:r>
      <w:r w:rsidRPr="00132D52">
        <w:t>Twelve existing liver and heart homogenates each, from two feeding groups (wither low-protein/high carbohydrate or control) were mixed to make four pooled mixtures each of liver and heart homogenates, prepared as previously described</w:t>
      </w:r>
      <w:bookmarkStart w:id="45" w:name="EXISTREF28"/>
      <w:r w:rsidR="005238BD" w:rsidRPr="00132D52">
        <w:t>[</w:t>
      </w:r>
      <w:r w:rsidR="002B04C7" w:rsidRPr="00132D52">
        <w:t>14</w:t>
      </w:r>
      <w:r w:rsidR="005238BD" w:rsidRPr="00132D52">
        <w:t>,</w:t>
      </w:r>
      <w:r w:rsidR="002B04C7" w:rsidRPr="00132D52">
        <w:t>28</w:t>
      </w:r>
      <w:r w:rsidR="005238BD" w:rsidRPr="00132D52">
        <w:t>]</w:t>
      </w:r>
      <w:bookmarkEnd w:id="45"/>
      <w:r w:rsidRPr="00132D52">
        <w:t>.</w:t>
      </w:r>
      <w:r w:rsidR="006F5717" w:rsidRPr="00132D52">
        <w:t xml:space="preserve"> </w:t>
      </w:r>
      <w:r w:rsidRPr="00132D52">
        <w:t>Commercially available, pooled serum was used.</w:t>
      </w:r>
      <w:r w:rsidR="006F5717" w:rsidRPr="00132D52">
        <w:t xml:space="preserve"> </w:t>
      </w:r>
      <w:r w:rsidRPr="00132D52">
        <w:t>Pasteurised Jersey, whole bovine, and whole caprine animal milk and soya</w:t>
      </w:r>
      <w:r w:rsidRPr="00132D52">
        <w:rPr>
          <w:i/>
          <w:iCs/>
        </w:rPr>
        <w:t xml:space="preserve"> </w:t>
      </w:r>
      <w:r w:rsidRPr="00132D52">
        <w:t>(</w:t>
      </w:r>
      <w:commentRangeStart w:id="46"/>
      <w:r w:rsidRPr="00132D52">
        <w:rPr>
          <w:i/>
          <w:iCs/>
        </w:rPr>
        <w:t>Glycine max</w:t>
      </w:r>
      <w:commentRangeEnd w:id="46"/>
      <w:r w:rsidR="002C7483" w:rsidRPr="00132D52">
        <w:rPr>
          <w:rStyle w:val="CommentReference"/>
          <w:rFonts w:ascii="Times New Roman" w:hAnsi="Times New Roman"/>
          <w:snapToGrid/>
          <w:lang w:bidi="ar-SA"/>
        </w:rPr>
        <w:commentReference w:id="46"/>
      </w:r>
      <w:r w:rsidRPr="00132D52">
        <w:rPr>
          <w:i/>
          <w:iCs/>
        </w:rPr>
        <w:t>.</w:t>
      </w:r>
      <w:r w:rsidRPr="00132D52">
        <w:t xml:space="preserve">) drink, purchased from British supermarkets in 2019/2020 and stored at </w:t>
      </w:r>
      <w:r w:rsidR="002C7483" w:rsidRPr="00132D52">
        <w:t>−</w:t>
      </w:r>
      <w:r w:rsidRPr="00132D52">
        <w:t>80</w:t>
      </w:r>
      <w:r w:rsidR="0045743D" w:rsidRPr="00132D52">
        <w:t xml:space="preserve"> </w:t>
      </w:r>
      <w:r w:rsidRPr="00132D52">
        <w:t>°C was used.</w:t>
      </w:r>
      <w:r w:rsidR="006F5717" w:rsidRPr="00132D52">
        <w:t xml:space="preserve"> </w:t>
      </w:r>
      <w:r w:rsidRPr="00132D52">
        <w:t>The samples used for comparing lipid extraction methods were prepared as follows.</w:t>
      </w:r>
      <w:r w:rsidR="006F5717" w:rsidRPr="00132D52">
        <w:t xml:space="preserve"> </w:t>
      </w:r>
      <w:r w:rsidRPr="00132D52">
        <w:t>The all liver and heart homogenates used above were mixed from all stocks used above.</w:t>
      </w:r>
      <w:r w:rsidR="006F5717" w:rsidRPr="00132D52">
        <w:t xml:space="preserve"> </w:t>
      </w:r>
      <w:r w:rsidRPr="00132D52">
        <w:t>Whole caprine milk and one commercially available human serum was used.</w:t>
      </w:r>
    </w:p>
    <w:p w14:paraId="0224C748" w14:textId="77E97EA0" w:rsidR="002C76DB" w:rsidRPr="00132D52" w:rsidRDefault="00625509" w:rsidP="006F5717">
      <w:pPr>
        <w:pStyle w:val="MDPI22heading2"/>
        <w:rPr>
          <w:noProof w:val="0"/>
        </w:rPr>
      </w:pPr>
      <w:r w:rsidRPr="00132D52">
        <w:rPr>
          <w:noProof w:val="0"/>
        </w:rPr>
        <w:t>5</w:t>
      </w:r>
      <w:r w:rsidR="0045743D" w:rsidRPr="00132D52">
        <w:rPr>
          <w:noProof w:val="0"/>
        </w:rPr>
        <w:t xml:space="preserve">.4. </w:t>
      </w:r>
      <w:r w:rsidR="002C76DB" w:rsidRPr="00132D52">
        <w:rPr>
          <w:noProof w:val="0"/>
        </w:rPr>
        <w:t xml:space="preserve">Quality </w:t>
      </w:r>
      <w:r w:rsidR="006F5717" w:rsidRPr="00132D52">
        <w:rPr>
          <w:noProof w:val="0"/>
        </w:rPr>
        <w:t>C</w:t>
      </w:r>
      <w:r w:rsidR="002C76DB" w:rsidRPr="00132D52">
        <w:rPr>
          <w:noProof w:val="0"/>
        </w:rPr>
        <w:t>ontrol</w:t>
      </w:r>
    </w:p>
    <w:p w14:paraId="51BC62AD" w14:textId="2B1AE585" w:rsidR="002C76DB" w:rsidRPr="00132D52" w:rsidRDefault="002C76DB" w:rsidP="006F5717">
      <w:pPr>
        <w:pStyle w:val="MDPI31text"/>
      </w:pPr>
      <w:r w:rsidRPr="00132D52">
        <w:t>QC samples were used to establish which variables’ signal strength correlated with their concentration.</w:t>
      </w:r>
      <w:r w:rsidR="006F5717" w:rsidRPr="00132D52">
        <w:t xml:space="preserve"> </w:t>
      </w:r>
      <w:r w:rsidRPr="00132D52">
        <w:t>Three QC levels were used, 0.25, 0.5 and 1.0× of the total (20</w:t>
      </w:r>
      <w:r w:rsidR="0045743D" w:rsidRPr="00132D52">
        <w:t xml:space="preserve"> </w:t>
      </w:r>
      <w:r w:rsidRPr="00132D52">
        <w:t>µL).</w:t>
      </w:r>
      <w:r w:rsidR="006F5717" w:rsidRPr="00132D52">
        <w:t xml:space="preserve"> </w:t>
      </w:r>
      <w:r w:rsidRPr="00132D52">
        <w:t>Several reference materials were used, namely (a) mouse placenta homogenate, (b) mouse liver homogenate, (c) mouse heart homogenate, (d) commercially available pooled human blood serum, (e) whole caprine milk.</w:t>
      </w:r>
    </w:p>
    <w:p w14:paraId="4161F712" w14:textId="09C18497" w:rsidR="002C76DB" w:rsidRPr="00132D52" w:rsidRDefault="00132D52" w:rsidP="00132D52">
      <w:pPr>
        <w:pStyle w:val="MDPI22heading2"/>
      </w:pPr>
      <w:r w:rsidRPr="00132D52">
        <w:t xml:space="preserve">5.5. </w:t>
      </w:r>
      <w:r w:rsidR="002C76DB" w:rsidRPr="00132D52">
        <w:t xml:space="preserve">Isolation of </w:t>
      </w:r>
      <w:r w:rsidR="006F5717" w:rsidRPr="00132D52">
        <w:t>L</w:t>
      </w:r>
      <w:r w:rsidR="002C76DB" w:rsidRPr="00132D52">
        <w:t xml:space="preserve">ipid </w:t>
      </w:r>
      <w:r w:rsidR="006F5717" w:rsidRPr="00132D52">
        <w:t>F</w:t>
      </w:r>
      <w:r w:rsidR="002C76DB" w:rsidRPr="00132D52">
        <w:t>ractions</w:t>
      </w:r>
    </w:p>
    <w:p w14:paraId="5637AF81" w14:textId="632840AF" w:rsidR="002C76DB" w:rsidRPr="006645F6" w:rsidRDefault="002C76DB" w:rsidP="006F5717">
      <w:pPr>
        <w:pStyle w:val="MDPI31text"/>
      </w:pPr>
      <w:r w:rsidRPr="00132D52">
        <w:rPr>
          <w:i/>
          <w:iCs/>
        </w:rPr>
        <w:t>DMT—</w:t>
      </w:r>
      <w:r w:rsidRPr="00132D52">
        <w:t>This procedure was similar to a high throughput technique described recently</w:t>
      </w:r>
      <w:r w:rsidR="00F90AD7" w:rsidRPr="00132D52">
        <w:t xml:space="preserve"> </w:t>
      </w:r>
      <w:r w:rsidR="005238BD" w:rsidRPr="00132D52">
        <w:t>[</w:t>
      </w:r>
      <w:r w:rsidR="002B04C7" w:rsidRPr="00132D52">
        <w:t>14</w:t>
      </w:r>
      <w:r w:rsidR="005238BD" w:rsidRPr="00132D52">
        <w:t>,</w:t>
      </w:r>
      <w:r w:rsidR="002B04C7" w:rsidRPr="00132D52">
        <w:t>21</w:t>
      </w:r>
      <w:r w:rsidR="005238BD" w:rsidRPr="00132D52">
        <w:t>]</w:t>
      </w:r>
      <w:r w:rsidRPr="00132D52">
        <w:t>.</w:t>
      </w:r>
      <w:r w:rsidR="006F5717" w:rsidRPr="00132D52">
        <w:t xml:space="preserve"> </w:t>
      </w:r>
      <w:r w:rsidRPr="00132D52">
        <w:t>Heart homogenate (60</w:t>
      </w:r>
      <w:r w:rsidR="0045743D" w:rsidRPr="00132D52">
        <w:t xml:space="preserve"> </w:t>
      </w:r>
      <w:r w:rsidRPr="00132D52">
        <w:t>µL), liver homogenate (20</w:t>
      </w:r>
      <w:r w:rsidR="0045743D" w:rsidRPr="00132D52">
        <w:t xml:space="preserve"> </w:t>
      </w:r>
      <w:r w:rsidRPr="00132D52">
        <w:t>µL), milk (20</w:t>
      </w:r>
      <w:r w:rsidR="0045743D" w:rsidRPr="00132D52">
        <w:t xml:space="preserve"> </w:t>
      </w:r>
      <w:r w:rsidRPr="00132D52">
        <w:t>µL) and serum (20</w:t>
      </w:r>
      <w:r w:rsidR="0045743D" w:rsidRPr="00132D52">
        <w:t xml:space="preserve"> </w:t>
      </w:r>
      <w:r w:rsidRPr="00132D52">
        <w:t xml:space="preserve">µL) samples </w:t>
      </w:r>
      <w:r w:rsidRPr="00132D52">
        <w:rPr>
          <w:rStyle w:val="normaltextrun"/>
        </w:rPr>
        <w:t xml:space="preserve">were placed along with blank and QC samples in the wells of a glass-coated 2.4 mL/well 96w plate (Plate+™, </w:t>
      </w:r>
      <w:r w:rsidRPr="00132D52">
        <w:rPr>
          <w:rStyle w:val="spellingerror"/>
        </w:rPr>
        <w:t>Esslab</w:t>
      </w:r>
      <w:r w:rsidRPr="00132D52">
        <w:rPr>
          <w:rStyle w:val="normaltextrun"/>
        </w:rPr>
        <w:t>, Hadleigh, UK).</w:t>
      </w:r>
      <w:r w:rsidR="006F5717" w:rsidRPr="00132D52">
        <w:rPr>
          <w:rStyle w:val="normaltextrun"/>
        </w:rPr>
        <w:t xml:space="preserve"> </w:t>
      </w:r>
      <w:r w:rsidRPr="00132D52">
        <w:rPr>
          <w:rStyle w:val="normaltextrun"/>
        </w:rPr>
        <w:t>Methanol (150</w:t>
      </w:r>
      <w:r w:rsidR="0045743D" w:rsidRPr="00132D52">
        <w:rPr>
          <w:rStyle w:val="normaltextrun"/>
        </w:rPr>
        <w:t xml:space="preserve"> </w:t>
      </w:r>
      <w:r w:rsidRPr="00132D52">
        <w:rPr>
          <w:rStyle w:val="spellingerror"/>
          <w:rFonts w:cs="Cambria"/>
        </w:rPr>
        <w:t>μ</w:t>
      </w:r>
      <w:r w:rsidRPr="00132D52">
        <w:rPr>
          <w:rStyle w:val="spellingerror"/>
        </w:rPr>
        <w:t>L</w:t>
      </w:r>
      <w:r w:rsidRPr="00132D52">
        <w:rPr>
          <w:rStyle w:val="normaltextrun"/>
        </w:rPr>
        <w:t xml:space="preserve">, HPLC grade, spiked with Internal Standards, </w:t>
      </w:r>
      <w:r w:rsidRPr="006645F6">
        <w:rPr>
          <w:rStyle w:val="normaltextrun"/>
        </w:rPr>
        <w:lastRenderedPageBreak/>
        <w:t xml:space="preserve">See </w:t>
      </w:r>
      <w:r w:rsidRPr="006645F6">
        <w:rPr>
          <w:rStyle w:val="normaltextrun"/>
          <w:iCs/>
        </w:rPr>
        <w:t>Table S1</w:t>
      </w:r>
      <w:r w:rsidRPr="006645F6">
        <w:rPr>
          <w:rStyle w:val="normaltextrun"/>
        </w:rPr>
        <w:t xml:space="preserve">), was added to each of the wells, followed by </w:t>
      </w:r>
      <w:r w:rsidRPr="006645F6">
        <w:t>water (500</w:t>
      </w:r>
      <w:r w:rsidR="0045743D" w:rsidRPr="006645F6">
        <w:t xml:space="preserve"> </w:t>
      </w:r>
      <w:r w:rsidRPr="006645F6">
        <w:t>µL) and a mixture of solvents (500</w:t>
      </w:r>
      <w:r w:rsidR="0045743D" w:rsidRPr="006645F6">
        <w:t xml:space="preserve"> </w:t>
      </w:r>
      <w:r w:rsidRPr="006645F6">
        <w:t>µL) comprising dichloromethane and methanol (3:1) doped with triethylammonium chloride (500</w:t>
      </w:r>
      <w:r w:rsidR="006645F6" w:rsidRPr="006645F6">
        <w:t xml:space="preserve"> </w:t>
      </w:r>
      <w:r w:rsidRPr="006645F6">
        <w:t>mg/L).</w:t>
      </w:r>
      <w:r w:rsidR="006F5717" w:rsidRPr="006645F6">
        <w:t xml:space="preserve"> </w:t>
      </w:r>
      <w:r w:rsidRPr="006645F6">
        <w:t>The mixture was agitated (96 channel pipette) before being centrifuged (</w:t>
      </w:r>
      <w:r w:rsidR="006645F6" w:rsidRPr="006645F6">
        <w:t>3200</w:t>
      </w:r>
      <w:r w:rsidRPr="006645F6">
        <w:t>×</w:t>
      </w:r>
      <w:r w:rsidR="0045743D" w:rsidRPr="006645F6">
        <w:t xml:space="preserve"> </w:t>
      </w:r>
      <w:r w:rsidRPr="006645F6">
        <w:rPr>
          <w:i/>
        </w:rPr>
        <w:t>g</w:t>
      </w:r>
      <w:r w:rsidRPr="006645F6">
        <w:t>, 2</w:t>
      </w:r>
      <w:r w:rsidR="0045743D" w:rsidRPr="006645F6">
        <w:t xml:space="preserve"> </w:t>
      </w:r>
      <w:r w:rsidRPr="006645F6">
        <w:t>min).</w:t>
      </w:r>
      <w:r w:rsidR="006F5717" w:rsidRPr="006645F6">
        <w:t xml:space="preserve"> </w:t>
      </w:r>
      <w:r w:rsidRPr="006645F6">
        <w:t>A portion of the organic solution (20</w:t>
      </w:r>
      <w:r w:rsidR="0045743D" w:rsidRPr="006645F6">
        <w:t xml:space="preserve"> </w:t>
      </w:r>
      <w:r w:rsidRPr="006645F6">
        <w:t>µL) was transferred to a high throughput plate (384w, glass-coated,</w:t>
      </w:r>
      <w:r w:rsidRPr="006645F6">
        <w:rPr>
          <w:rFonts w:cs="AdvPTimes"/>
        </w:rPr>
        <w:t xml:space="preserve"> Esslab</w:t>
      </w:r>
      <w:r w:rsidRPr="006645F6">
        <w:t xml:space="preserve"> </w:t>
      </w:r>
      <w:r w:rsidRPr="006645F6">
        <w:rPr>
          <w:rFonts w:cs="AdvPTimes"/>
        </w:rPr>
        <w:t>Plate+</w:t>
      </w:r>
      <w:r w:rsidRPr="006645F6">
        <w:rPr>
          <w:rFonts w:cs="Arial"/>
        </w:rPr>
        <w:t>™</w:t>
      </w:r>
      <w:r w:rsidRPr="006645F6">
        <w:t>) before being dried (N</w:t>
      </w:r>
      <w:r w:rsidRPr="006645F6">
        <w:rPr>
          <w:vertAlign w:val="subscript"/>
        </w:rPr>
        <w:t>2 (g)</w:t>
      </w:r>
      <w:r w:rsidRPr="006645F6">
        <w:t>).</w:t>
      </w:r>
      <w:r w:rsidR="006F5717" w:rsidRPr="006645F6">
        <w:t xml:space="preserve"> </w:t>
      </w:r>
      <w:r w:rsidRPr="006645F6">
        <w:t>The dried films were re-dissolved (TBME, 30</w:t>
      </w:r>
      <w:r w:rsidR="0045743D" w:rsidRPr="006645F6">
        <w:t xml:space="preserve"> </w:t>
      </w:r>
      <w:r w:rsidRPr="006645F6">
        <w:t>µL/well) and diluted with a stock mixture of alcohols and ammonium acetate (90</w:t>
      </w:r>
      <w:r w:rsidR="0045743D" w:rsidRPr="006645F6">
        <w:t xml:space="preserve"> </w:t>
      </w:r>
      <w:r w:rsidRPr="006645F6">
        <w:t>µL/well; propan-2-ol:methanol, 2:1; CH</w:t>
      </w:r>
      <w:r w:rsidRPr="006645F6">
        <w:rPr>
          <w:vertAlign w:val="subscript"/>
        </w:rPr>
        <w:t>3</w:t>
      </w:r>
      <w:r w:rsidRPr="006645F6">
        <w:t>COO.NH</w:t>
      </w:r>
      <w:r w:rsidRPr="006645F6">
        <w:rPr>
          <w:vertAlign w:val="subscript"/>
        </w:rPr>
        <w:t>4</w:t>
      </w:r>
      <w:r w:rsidRPr="006645F6">
        <w:t xml:space="preserve"> 7</w:t>
      </w:r>
      <w:r w:rsidR="006645F6" w:rsidRPr="006645F6">
        <w:t>.</w:t>
      </w:r>
      <w:r w:rsidRPr="006645F6">
        <w:t>5</w:t>
      </w:r>
      <w:r w:rsidR="0045743D" w:rsidRPr="006645F6">
        <w:t xml:space="preserve"> </w:t>
      </w:r>
      <w:r w:rsidRPr="006645F6">
        <w:t>mM).</w:t>
      </w:r>
      <w:r w:rsidR="006F5717" w:rsidRPr="006645F6">
        <w:t xml:space="preserve"> </w:t>
      </w:r>
      <w:r w:rsidRPr="006645F6">
        <w:t>The analytical plate was heat-sealed and run immediately.</w:t>
      </w:r>
    </w:p>
    <w:p w14:paraId="5BF1718B" w14:textId="31F6997E" w:rsidR="002C76DB" w:rsidRPr="006645F6" w:rsidRDefault="002C76DB" w:rsidP="006F5717">
      <w:pPr>
        <w:pStyle w:val="MDPI31text"/>
      </w:pPr>
      <w:r w:rsidRPr="006645F6">
        <w:rPr>
          <w:i/>
          <w:iCs/>
        </w:rPr>
        <w:t>TBME—</w:t>
      </w:r>
      <w:r w:rsidRPr="006645F6">
        <w:t>This procedure was similar as possible to the original protocol for extracting lipids from biological samples</w:t>
      </w:r>
      <w:r w:rsidR="00F90AD7" w:rsidRPr="006645F6">
        <w:t xml:space="preserve"> </w:t>
      </w:r>
      <w:r w:rsidR="005238BD" w:rsidRPr="006645F6">
        <w:t>[</w:t>
      </w:r>
      <w:r w:rsidR="002B04C7" w:rsidRPr="006645F6">
        <w:t>8</w:t>
      </w:r>
      <w:r w:rsidR="005238BD" w:rsidRPr="006645F6">
        <w:t>]</w:t>
      </w:r>
      <w:r w:rsidRPr="006645F6">
        <w:t>.</w:t>
      </w:r>
      <w:r w:rsidR="006F5717" w:rsidRPr="006645F6">
        <w:t xml:space="preserve"> </w:t>
      </w:r>
      <w:r w:rsidRPr="006645F6">
        <w:t>Heart homogenate (60</w:t>
      </w:r>
      <w:r w:rsidR="0045743D" w:rsidRPr="006645F6">
        <w:t xml:space="preserve"> </w:t>
      </w:r>
      <w:r w:rsidRPr="006645F6">
        <w:t>µL), liver homogenate (20</w:t>
      </w:r>
      <w:r w:rsidR="0045743D" w:rsidRPr="006645F6">
        <w:t xml:space="preserve"> </w:t>
      </w:r>
      <w:r w:rsidRPr="006645F6">
        <w:t>µL), milk (20</w:t>
      </w:r>
      <w:r w:rsidR="0045743D" w:rsidRPr="006645F6">
        <w:t xml:space="preserve"> </w:t>
      </w:r>
      <w:r w:rsidRPr="006645F6">
        <w:t>µL) and serum (20</w:t>
      </w:r>
      <w:r w:rsidR="0045743D" w:rsidRPr="006645F6">
        <w:t xml:space="preserve"> </w:t>
      </w:r>
      <w:r w:rsidRPr="006645F6">
        <w:t xml:space="preserve">µL) samples </w:t>
      </w:r>
      <w:r w:rsidRPr="006645F6">
        <w:rPr>
          <w:rStyle w:val="normaltextrun"/>
        </w:rPr>
        <w:t xml:space="preserve">were placed along with blank and QC samples in the wells of a glass-coated 2.4 mL/well 96w plate (Plate+™, </w:t>
      </w:r>
      <w:r w:rsidRPr="006645F6">
        <w:rPr>
          <w:rStyle w:val="spellingerror"/>
        </w:rPr>
        <w:t>Esslab</w:t>
      </w:r>
      <w:r w:rsidRPr="006645F6">
        <w:rPr>
          <w:rStyle w:val="normaltextrun"/>
        </w:rPr>
        <w:t>, Hadleigh, UK).</w:t>
      </w:r>
      <w:r w:rsidR="006F5717" w:rsidRPr="006645F6">
        <w:rPr>
          <w:rStyle w:val="normaltextrun"/>
        </w:rPr>
        <w:t xml:space="preserve"> </w:t>
      </w:r>
      <w:r w:rsidRPr="006645F6">
        <w:rPr>
          <w:rStyle w:val="normaltextrun"/>
        </w:rPr>
        <w:t>Methanol (150</w:t>
      </w:r>
      <w:r w:rsidR="0045743D" w:rsidRPr="006645F6">
        <w:rPr>
          <w:rStyle w:val="normaltextrun"/>
        </w:rPr>
        <w:t xml:space="preserve"> </w:t>
      </w:r>
      <w:r w:rsidRPr="006645F6">
        <w:rPr>
          <w:rStyle w:val="spellingerror"/>
          <w:rFonts w:cs="Cambria"/>
        </w:rPr>
        <w:t>μ</w:t>
      </w:r>
      <w:r w:rsidRPr="006645F6">
        <w:rPr>
          <w:rStyle w:val="spellingerror"/>
        </w:rPr>
        <w:t>L</w:t>
      </w:r>
      <w:r w:rsidRPr="006645F6">
        <w:rPr>
          <w:rStyle w:val="normaltextrun"/>
        </w:rPr>
        <w:t xml:space="preserve">, HPLC grade, spiked with Internal Standards, See </w:t>
      </w:r>
      <w:r w:rsidRPr="006645F6">
        <w:rPr>
          <w:rStyle w:val="normaltextrun"/>
          <w:iCs/>
        </w:rPr>
        <w:t>Table S1</w:t>
      </w:r>
      <w:r w:rsidRPr="006645F6">
        <w:rPr>
          <w:rStyle w:val="normaltextrun"/>
        </w:rPr>
        <w:t xml:space="preserve">), was added to each of the wells, followed by </w:t>
      </w:r>
      <w:r w:rsidRPr="006645F6">
        <w:t>water (500</w:t>
      </w:r>
      <w:r w:rsidR="0045743D" w:rsidRPr="006645F6">
        <w:t xml:space="preserve"> </w:t>
      </w:r>
      <w:r w:rsidRPr="006645F6">
        <w:t>µL) and TBME (500</w:t>
      </w:r>
      <w:r w:rsidR="0045743D" w:rsidRPr="006645F6">
        <w:t xml:space="preserve"> </w:t>
      </w:r>
      <w:r w:rsidRPr="006645F6">
        <w:t>µL).</w:t>
      </w:r>
      <w:r w:rsidR="006F5717" w:rsidRPr="006645F6">
        <w:t xml:space="preserve"> </w:t>
      </w:r>
      <w:r w:rsidRPr="006645F6">
        <w:t>The mixture was centrifuged (</w:t>
      </w:r>
      <w:r w:rsidR="006645F6" w:rsidRPr="006645F6">
        <w:t>3200</w:t>
      </w:r>
      <w:r w:rsidRPr="006645F6">
        <w:t>×</w:t>
      </w:r>
      <w:r w:rsidR="0045743D" w:rsidRPr="006645F6">
        <w:t xml:space="preserve"> </w:t>
      </w:r>
      <w:r w:rsidRPr="006645F6">
        <w:rPr>
          <w:i/>
        </w:rPr>
        <w:t>g</w:t>
      </w:r>
      <w:r w:rsidRPr="006645F6">
        <w:t>, 2</w:t>
      </w:r>
      <w:r w:rsidR="0045743D" w:rsidRPr="006645F6">
        <w:t xml:space="preserve"> </w:t>
      </w:r>
      <w:r w:rsidRPr="006645F6">
        <w:t>min).</w:t>
      </w:r>
      <w:r w:rsidR="006F5717" w:rsidRPr="006645F6">
        <w:t xml:space="preserve"> </w:t>
      </w:r>
      <w:r w:rsidRPr="006645F6">
        <w:t>A portion of the organic solution (20</w:t>
      </w:r>
      <w:r w:rsidR="0045743D" w:rsidRPr="006645F6">
        <w:t xml:space="preserve"> </w:t>
      </w:r>
      <w:r w:rsidRPr="006645F6">
        <w:t>µL) was transferred to a high throughput plate (384w, glass-coated,</w:t>
      </w:r>
      <w:r w:rsidRPr="006645F6">
        <w:rPr>
          <w:rFonts w:cs="AdvPTimes"/>
        </w:rPr>
        <w:t xml:space="preserve"> Esslab</w:t>
      </w:r>
      <w:r w:rsidRPr="006645F6">
        <w:t xml:space="preserve"> </w:t>
      </w:r>
      <w:r w:rsidRPr="006645F6">
        <w:rPr>
          <w:rFonts w:cs="AdvPTimes"/>
        </w:rPr>
        <w:t>Plate+</w:t>
      </w:r>
      <w:r w:rsidRPr="006645F6">
        <w:rPr>
          <w:rFonts w:cs="Arial"/>
        </w:rPr>
        <w:t>™</w:t>
      </w:r>
      <w:r w:rsidRPr="006645F6">
        <w:t>) before being dried (N</w:t>
      </w:r>
      <w:r w:rsidRPr="006645F6">
        <w:rPr>
          <w:vertAlign w:val="subscript"/>
        </w:rPr>
        <w:t>2 (g)</w:t>
      </w:r>
      <w:r w:rsidRPr="006645F6">
        <w:t>).</w:t>
      </w:r>
      <w:r w:rsidR="006F5717" w:rsidRPr="006645F6">
        <w:t xml:space="preserve"> </w:t>
      </w:r>
      <w:r w:rsidRPr="006645F6">
        <w:t>The dried films were re-dissolved (TBME, 30</w:t>
      </w:r>
      <w:r w:rsidR="0045743D" w:rsidRPr="006645F6">
        <w:t xml:space="preserve"> </w:t>
      </w:r>
      <w:r w:rsidRPr="006645F6">
        <w:t>µL/well) and diluted with a stock mixture of alcohols and ammonium acetate (90</w:t>
      </w:r>
      <w:r w:rsidR="0045743D" w:rsidRPr="006645F6">
        <w:t xml:space="preserve"> </w:t>
      </w:r>
      <w:r w:rsidRPr="006645F6">
        <w:t>µL/well; propan-2-ol:methanol, 2:1; CH</w:t>
      </w:r>
      <w:r w:rsidRPr="006645F6">
        <w:rPr>
          <w:vertAlign w:val="subscript"/>
        </w:rPr>
        <w:t>3</w:t>
      </w:r>
      <w:r w:rsidRPr="006645F6">
        <w:t>COO.NH</w:t>
      </w:r>
      <w:r w:rsidRPr="006645F6">
        <w:rPr>
          <w:vertAlign w:val="subscript"/>
        </w:rPr>
        <w:t>4</w:t>
      </w:r>
      <w:r w:rsidRPr="006645F6">
        <w:t xml:space="preserve"> 7</w:t>
      </w:r>
      <w:r w:rsidR="006645F6" w:rsidRPr="006645F6">
        <w:t>.</w:t>
      </w:r>
      <w:r w:rsidRPr="006645F6">
        <w:t>5</w:t>
      </w:r>
      <w:r w:rsidR="0045743D" w:rsidRPr="006645F6">
        <w:t xml:space="preserve"> </w:t>
      </w:r>
      <w:r w:rsidRPr="006645F6">
        <w:t>mM).</w:t>
      </w:r>
      <w:r w:rsidR="006F5717" w:rsidRPr="006645F6">
        <w:t xml:space="preserve"> </w:t>
      </w:r>
      <w:r w:rsidRPr="006645F6">
        <w:t>The analytical plate was heat-sealed and run immediately.</w:t>
      </w:r>
    </w:p>
    <w:p w14:paraId="56CE09D2" w14:textId="2124583E" w:rsidR="002C76DB" w:rsidRPr="00132D52" w:rsidRDefault="002C76DB" w:rsidP="006F5717">
      <w:pPr>
        <w:pStyle w:val="MDPI31text"/>
      </w:pPr>
      <w:r w:rsidRPr="006645F6">
        <w:rPr>
          <w:i/>
          <w:iCs/>
        </w:rPr>
        <w:t>BuMe—</w:t>
      </w:r>
      <w:r w:rsidRPr="006645F6">
        <w:t xml:space="preserve">This procedure was similar as possible to the original protocol for extracting </w:t>
      </w:r>
      <w:r w:rsidRPr="00132D52">
        <w:t>lipids from biological samples</w:t>
      </w:r>
      <w:r w:rsidR="00EB66DB">
        <w:t xml:space="preserve"> </w:t>
      </w:r>
      <w:r w:rsidR="005238BD" w:rsidRPr="00132D52">
        <w:t>[</w:t>
      </w:r>
      <w:r w:rsidR="002B04C7" w:rsidRPr="00132D52">
        <w:t>9</w:t>
      </w:r>
      <w:r w:rsidR="005238BD" w:rsidRPr="00132D52">
        <w:t>,</w:t>
      </w:r>
      <w:r w:rsidR="002B04C7" w:rsidRPr="00132D52">
        <w:t>10</w:t>
      </w:r>
      <w:r w:rsidR="005238BD" w:rsidRPr="00132D52">
        <w:t>]</w:t>
      </w:r>
      <w:r w:rsidRPr="00132D52">
        <w:t>.</w:t>
      </w:r>
      <w:r w:rsidR="006F5717" w:rsidRPr="00132D52">
        <w:t xml:space="preserve"> </w:t>
      </w:r>
      <w:r w:rsidRPr="00132D52">
        <w:t>Heart homogenate (60</w:t>
      </w:r>
      <w:r w:rsidR="0045743D" w:rsidRPr="00132D52">
        <w:t xml:space="preserve"> </w:t>
      </w:r>
      <w:r w:rsidRPr="00132D52">
        <w:t>µL), liver homogenate (20</w:t>
      </w:r>
      <w:r w:rsidR="0045743D" w:rsidRPr="00132D52">
        <w:t xml:space="preserve"> </w:t>
      </w:r>
      <w:r w:rsidRPr="00132D52">
        <w:t>µL), milk (20</w:t>
      </w:r>
      <w:r w:rsidR="0045743D" w:rsidRPr="00132D52">
        <w:t xml:space="preserve"> </w:t>
      </w:r>
      <w:r w:rsidRPr="00132D52">
        <w:t>µL) and serum (20</w:t>
      </w:r>
      <w:r w:rsidR="0045743D" w:rsidRPr="00132D52">
        <w:t xml:space="preserve"> </w:t>
      </w:r>
      <w:r w:rsidRPr="00132D52">
        <w:t xml:space="preserve">µL) samples </w:t>
      </w:r>
      <w:r w:rsidRPr="00132D52">
        <w:rPr>
          <w:rStyle w:val="normaltextrun"/>
        </w:rPr>
        <w:t>were placed along with blank and QC samples in the wells of a glass-coated 2.4</w:t>
      </w:r>
      <w:r w:rsidR="0045743D" w:rsidRPr="00132D52">
        <w:rPr>
          <w:rStyle w:val="normaltextrun"/>
        </w:rPr>
        <w:t xml:space="preserve"> </w:t>
      </w:r>
      <w:r w:rsidRPr="00132D52">
        <w:rPr>
          <w:rStyle w:val="normaltextrun"/>
        </w:rPr>
        <w:t xml:space="preserve">mL/well 96w plate (Plate+™, </w:t>
      </w:r>
      <w:r w:rsidRPr="00132D52">
        <w:rPr>
          <w:rStyle w:val="spellingerror"/>
        </w:rPr>
        <w:t>Esslab</w:t>
      </w:r>
      <w:r w:rsidRPr="00132D52">
        <w:rPr>
          <w:rStyle w:val="normaltextrun"/>
        </w:rPr>
        <w:t>, Hadleigh, UK).</w:t>
      </w:r>
      <w:r w:rsidR="006F5717" w:rsidRPr="00132D52">
        <w:rPr>
          <w:rStyle w:val="normaltextrun"/>
        </w:rPr>
        <w:t xml:space="preserve"> </w:t>
      </w:r>
      <w:r w:rsidRPr="00132D52">
        <w:rPr>
          <w:rStyle w:val="normaltextrun"/>
        </w:rPr>
        <w:t xml:space="preserve">A prepared mixture of methanol (spiked with Internal Standards, See </w:t>
      </w:r>
      <w:r w:rsidRPr="00132D52">
        <w:rPr>
          <w:rStyle w:val="normaltextrun"/>
          <w:iCs/>
        </w:rPr>
        <w:t>Table S1</w:t>
      </w:r>
      <w:r w:rsidRPr="00132D52">
        <w:rPr>
          <w:rStyle w:val="normaltextrun"/>
        </w:rPr>
        <w:t xml:space="preserve">), and </w:t>
      </w:r>
      <w:r w:rsidRPr="00132D52">
        <w:rPr>
          <w:rStyle w:val="normaltextrun"/>
          <w:i/>
          <w:iCs/>
        </w:rPr>
        <w:t>n</w:t>
      </w:r>
      <w:r w:rsidRPr="00132D52">
        <w:rPr>
          <w:rStyle w:val="normaltextrun"/>
        </w:rPr>
        <w:noBreakHyphen/>
        <w:t>butanol (1:1, 200</w:t>
      </w:r>
      <w:r w:rsidR="0045743D" w:rsidRPr="00132D52">
        <w:t xml:space="preserve"> </w:t>
      </w:r>
      <w:r w:rsidRPr="00132D52">
        <w:t>µL</w:t>
      </w:r>
      <w:r w:rsidRPr="00132D52">
        <w:rPr>
          <w:rStyle w:val="normaltextrun"/>
        </w:rPr>
        <w:t xml:space="preserve">) was added to each of the wells </w:t>
      </w:r>
      <w:bookmarkStart w:id="47" w:name="_Hlk36462149"/>
      <w:r w:rsidRPr="00132D52">
        <w:rPr>
          <w:rStyle w:val="normaltextrun"/>
        </w:rPr>
        <w:t>and agitated until homogenous</w:t>
      </w:r>
      <w:r w:rsidRPr="00132D52">
        <w:t>.</w:t>
      </w:r>
      <w:r w:rsidR="006F5717" w:rsidRPr="00132D52">
        <w:t xml:space="preserve"> </w:t>
      </w:r>
      <w:r w:rsidRPr="00132D52">
        <w:t>A portion of the mixture (20</w:t>
      </w:r>
      <w:r w:rsidR="0045743D" w:rsidRPr="00132D52">
        <w:t xml:space="preserve"> </w:t>
      </w:r>
      <w:r w:rsidRPr="00132D52">
        <w:t>µL) was transferred to a shallow 96w plate before being dried (N</w:t>
      </w:r>
      <w:r w:rsidRPr="00132D52">
        <w:rPr>
          <w:vertAlign w:val="subscript"/>
        </w:rPr>
        <w:t>2 (g)</w:t>
      </w:r>
      <w:r w:rsidRPr="00132D52">
        <w:t>).</w:t>
      </w:r>
      <w:r w:rsidR="006F5717" w:rsidRPr="00132D52">
        <w:t xml:space="preserve"> </w:t>
      </w:r>
      <w:r w:rsidRPr="00132D52">
        <w:t>The dried films were re-dissolved (TBME, 30</w:t>
      </w:r>
      <w:r w:rsidR="0045743D" w:rsidRPr="00132D52">
        <w:t xml:space="preserve"> </w:t>
      </w:r>
      <w:r w:rsidRPr="00132D52">
        <w:t>µL/well) and diluted with a stock mixture of alcohols and ammonium acetate (90</w:t>
      </w:r>
      <w:r w:rsidR="0045743D" w:rsidRPr="00132D52">
        <w:t xml:space="preserve"> </w:t>
      </w:r>
      <w:r w:rsidRPr="00132D52">
        <w:t>µL/well; propan-2-ol:methanol, 2:1; CH</w:t>
      </w:r>
      <w:r w:rsidRPr="00132D52">
        <w:rPr>
          <w:vertAlign w:val="subscript"/>
        </w:rPr>
        <w:t>3</w:t>
      </w:r>
      <w:r w:rsidRPr="00132D52">
        <w:t>COO.NH</w:t>
      </w:r>
      <w:r w:rsidRPr="00132D52">
        <w:rPr>
          <w:vertAlign w:val="subscript"/>
        </w:rPr>
        <w:t>4</w:t>
      </w:r>
      <w:r w:rsidRPr="00132D52">
        <w:t xml:space="preserve"> 7·5</w:t>
      </w:r>
      <w:r w:rsidR="0045743D" w:rsidRPr="00132D52">
        <w:t xml:space="preserve"> </w:t>
      </w:r>
      <w:r w:rsidRPr="00132D52">
        <w:t>mM) before being transferred to a high throughput plate (384w, glass-coated,</w:t>
      </w:r>
      <w:r w:rsidRPr="00132D52">
        <w:rPr>
          <w:rFonts w:cs="AdvPTimes"/>
        </w:rPr>
        <w:t xml:space="preserve"> Esslab</w:t>
      </w:r>
      <w:r w:rsidRPr="00132D52">
        <w:t xml:space="preserve"> </w:t>
      </w:r>
      <w:r w:rsidRPr="00132D52">
        <w:rPr>
          <w:rFonts w:cs="AdvPTimes"/>
        </w:rPr>
        <w:t>Plate+</w:t>
      </w:r>
      <w:r w:rsidRPr="00132D52">
        <w:rPr>
          <w:rFonts w:cs="Arial"/>
        </w:rPr>
        <w:t>™</w:t>
      </w:r>
      <w:r w:rsidRPr="00132D52">
        <w:t>) before being dried (N</w:t>
      </w:r>
      <w:r w:rsidRPr="00132D52">
        <w:rPr>
          <w:vertAlign w:val="subscript"/>
        </w:rPr>
        <w:t>2 (g)</w:t>
      </w:r>
      <w:r w:rsidRPr="00132D52">
        <w:t>).</w:t>
      </w:r>
      <w:r w:rsidR="006F5717" w:rsidRPr="00132D52">
        <w:t xml:space="preserve"> </w:t>
      </w:r>
      <w:r w:rsidRPr="00132D52">
        <w:t>The analytical plate was heat-sealed and run immediately.</w:t>
      </w:r>
      <w:bookmarkEnd w:id="47"/>
    </w:p>
    <w:p w14:paraId="189769C5" w14:textId="61295090" w:rsidR="002C76DB" w:rsidRPr="00132D52" w:rsidRDefault="002C76DB" w:rsidP="006F5717">
      <w:pPr>
        <w:pStyle w:val="MDPI31text"/>
      </w:pPr>
      <w:r w:rsidRPr="00132D52">
        <w:rPr>
          <w:i/>
          <w:iCs/>
        </w:rPr>
        <w:t>XMI—</w:t>
      </w:r>
      <w:r w:rsidRPr="00132D52">
        <w:t>This procedure has not been described before.</w:t>
      </w:r>
      <w:r w:rsidR="006F5717" w:rsidRPr="00132D52">
        <w:t xml:space="preserve"> </w:t>
      </w:r>
      <w:r w:rsidRPr="00132D52">
        <w:t>Heart homogenate (60</w:t>
      </w:r>
      <w:r w:rsidR="0045743D" w:rsidRPr="00132D52">
        <w:t xml:space="preserve"> </w:t>
      </w:r>
      <w:r w:rsidRPr="00132D52">
        <w:t>µL), liver homogenate (20</w:t>
      </w:r>
      <w:r w:rsidR="0045743D" w:rsidRPr="00132D52">
        <w:t xml:space="preserve"> </w:t>
      </w:r>
      <w:r w:rsidRPr="00132D52">
        <w:t>µL), milk (20</w:t>
      </w:r>
      <w:r w:rsidR="0045743D" w:rsidRPr="00132D52">
        <w:t xml:space="preserve"> </w:t>
      </w:r>
      <w:r w:rsidRPr="00132D52">
        <w:t>µL) and serum (20</w:t>
      </w:r>
      <w:r w:rsidR="0045743D" w:rsidRPr="00132D52">
        <w:t xml:space="preserve"> </w:t>
      </w:r>
      <w:r w:rsidRPr="00132D52">
        <w:t xml:space="preserve">µL) samples </w:t>
      </w:r>
      <w:r w:rsidRPr="00132D52">
        <w:rPr>
          <w:rStyle w:val="normaltextrun"/>
        </w:rPr>
        <w:t xml:space="preserve">were placed along with blank and QC samples in the wells of a glass-coated 2.4 mL/well 96w plate (Plate+™, </w:t>
      </w:r>
      <w:r w:rsidRPr="00132D52">
        <w:rPr>
          <w:rStyle w:val="spellingerror"/>
        </w:rPr>
        <w:t>Esslab</w:t>
      </w:r>
      <w:r w:rsidRPr="00132D52">
        <w:rPr>
          <w:rStyle w:val="normaltextrun"/>
        </w:rPr>
        <w:t>, Hadleigh, UK).</w:t>
      </w:r>
      <w:r w:rsidR="006F5717" w:rsidRPr="00132D52">
        <w:rPr>
          <w:rStyle w:val="normaltextrun"/>
        </w:rPr>
        <w:t xml:space="preserve"> </w:t>
      </w:r>
      <w:r w:rsidRPr="00132D52">
        <w:rPr>
          <w:rStyle w:val="normaltextrun"/>
        </w:rPr>
        <w:t xml:space="preserve">A prepared mixture of solvents, xylene/methanol/isopropanol (1:2:4, </w:t>
      </w:r>
      <w:r w:rsidRPr="00132D52">
        <w:t>500</w:t>
      </w:r>
      <w:r w:rsidR="0045743D" w:rsidRPr="00132D52">
        <w:t xml:space="preserve"> </w:t>
      </w:r>
      <w:r w:rsidRPr="00132D52">
        <w:t>µL,</w:t>
      </w:r>
      <w:r w:rsidR="0045743D" w:rsidRPr="00132D52">
        <w:rPr>
          <w:rStyle w:val="normaltextrun"/>
        </w:rPr>
        <w:t xml:space="preserve"> </w:t>
      </w:r>
      <w:r w:rsidRPr="00132D52">
        <w:rPr>
          <w:rStyle w:val="normaltextrun"/>
        </w:rPr>
        <w:t xml:space="preserve">methanol spiked with Internal </w:t>
      </w:r>
      <w:r w:rsidRPr="006645F6">
        <w:rPr>
          <w:rStyle w:val="normaltextrun"/>
        </w:rPr>
        <w:t xml:space="preserve">Standards, See </w:t>
      </w:r>
      <w:r w:rsidRPr="006645F6">
        <w:rPr>
          <w:rStyle w:val="normaltextrun"/>
          <w:iCs/>
        </w:rPr>
        <w:t>Table S1),</w:t>
      </w:r>
      <w:r w:rsidRPr="006645F6">
        <w:rPr>
          <w:rStyle w:val="normaltextrun"/>
        </w:rPr>
        <w:t xml:space="preserve"> was added to each of the wells and agitated until homogenous</w:t>
      </w:r>
      <w:r w:rsidRPr="006645F6">
        <w:t>.</w:t>
      </w:r>
      <w:r w:rsidR="006F5717" w:rsidRPr="006645F6">
        <w:t xml:space="preserve"> </w:t>
      </w:r>
      <w:r w:rsidRPr="006645F6">
        <w:t>A portion of the mixture (20</w:t>
      </w:r>
      <w:r w:rsidR="0045743D" w:rsidRPr="006645F6">
        <w:t xml:space="preserve"> </w:t>
      </w:r>
      <w:r w:rsidRPr="006645F6">
        <w:t>µL) was transf</w:t>
      </w:r>
      <w:r w:rsidRPr="00132D52">
        <w:t>erred to a shallow 96w plate before being dried (N</w:t>
      </w:r>
      <w:r w:rsidRPr="00132D52">
        <w:rPr>
          <w:vertAlign w:val="subscript"/>
        </w:rPr>
        <w:t>2 (g)</w:t>
      </w:r>
      <w:r w:rsidRPr="00132D52">
        <w:t>).</w:t>
      </w:r>
      <w:r w:rsidR="006F5717" w:rsidRPr="00132D52">
        <w:t xml:space="preserve"> </w:t>
      </w:r>
      <w:r w:rsidRPr="00132D52">
        <w:t>The dried films were re-dissolved (TBME, 30</w:t>
      </w:r>
      <w:r w:rsidR="0045743D" w:rsidRPr="00132D52">
        <w:t xml:space="preserve"> </w:t>
      </w:r>
      <w:r w:rsidRPr="00132D52">
        <w:t>µL/well) and diluted with a stock mixture of alcohols and ammonium acetate (90</w:t>
      </w:r>
      <w:r w:rsidR="0045743D" w:rsidRPr="00132D52">
        <w:t xml:space="preserve"> </w:t>
      </w:r>
      <w:r w:rsidRPr="00132D52">
        <w:t xml:space="preserve">µL/well; propan-2-ol:methanol, 2:1; </w:t>
      </w:r>
      <w:r w:rsidRPr="006645F6">
        <w:t>CH</w:t>
      </w:r>
      <w:r w:rsidRPr="006645F6">
        <w:rPr>
          <w:vertAlign w:val="subscript"/>
        </w:rPr>
        <w:t>3</w:t>
      </w:r>
      <w:r w:rsidRPr="006645F6">
        <w:t>COO.NH</w:t>
      </w:r>
      <w:r w:rsidRPr="006645F6">
        <w:rPr>
          <w:vertAlign w:val="subscript"/>
        </w:rPr>
        <w:t>4</w:t>
      </w:r>
      <w:r w:rsidRPr="006645F6">
        <w:t xml:space="preserve"> 7</w:t>
      </w:r>
      <w:r w:rsidR="006645F6" w:rsidRPr="006645F6">
        <w:t>.</w:t>
      </w:r>
      <w:r w:rsidRPr="006645F6">
        <w:t>5</w:t>
      </w:r>
      <w:r w:rsidR="0045743D" w:rsidRPr="00132D52">
        <w:t xml:space="preserve"> </w:t>
      </w:r>
      <w:r w:rsidRPr="00132D52">
        <w:t>mM) before being transferred to a high throughput plate (384w, glass-coated,</w:t>
      </w:r>
      <w:r w:rsidRPr="00132D52">
        <w:rPr>
          <w:rFonts w:cs="AdvPTimes"/>
        </w:rPr>
        <w:t xml:space="preserve"> Esslab</w:t>
      </w:r>
      <w:r w:rsidRPr="00132D52">
        <w:t xml:space="preserve"> </w:t>
      </w:r>
      <w:r w:rsidRPr="00132D52">
        <w:rPr>
          <w:rFonts w:cs="AdvPTimes"/>
        </w:rPr>
        <w:t>Plate+</w:t>
      </w:r>
      <w:r w:rsidRPr="00132D52">
        <w:rPr>
          <w:rFonts w:cs="Arial"/>
        </w:rPr>
        <w:t>™</w:t>
      </w:r>
      <w:r w:rsidRPr="00132D52">
        <w:t>) before being dried (N</w:t>
      </w:r>
      <w:r w:rsidRPr="00132D52">
        <w:rPr>
          <w:vertAlign w:val="subscript"/>
        </w:rPr>
        <w:t>2</w:t>
      </w:r>
      <w:r w:rsidR="0045743D" w:rsidRPr="00132D52">
        <w:rPr>
          <w:vertAlign w:val="subscript"/>
        </w:rPr>
        <w:t xml:space="preserve"> </w:t>
      </w:r>
      <w:r w:rsidRPr="00132D52">
        <w:rPr>
          <w:vertAlign w:val="subscript"/>
        </w:rPr>
        <w:t>(g)</w:t>
      </w:r>
      <w:r w:rsidRPr="00132D52">
        <w:t>).</w:t>
      </w:r>
      <w:r w:rsidR="006F5717" w:rsidRPr="00132D52">
        <w:t xml:space="preserve"> </w:t>
      </w:r>
      <w:r w:rsidRPr="00132D52">
        <w:t>The analytical plate was heat-sealed and run immediately.</w:t>
      </w:r>
    </w:p>
    <w:p w14:paraId="14031693" w14:textId="60AE207E" w:rsidR="002C76DB" w:rsidRPr="00132D52" w:rsidRDefault="00625509" w:rsidP="006F5717">
      <w:pPr>
        <w:pStyle w:val="MDPI22heading2"/>
        <w:rPr>
          <w:noProof w:val="0"/>
        </w:rPr>
      </w:pPr>
      <w:r w:rsidRPr="00132D52">
        <w:rPr>
          <w:noProof w:val="0"/>
        </w:rPr>
        <w:t>5</w:t>
      </w:r>
      <w:r w:rsidR="0045743D" w:rsidRPr="00132D52">
        <w:rPr>
          <w:noProof w:val="0"/>
        </w:rPr>
        <w:t xml:space="preserve">.6 </w:t>
      </w:r>
      <w:r w:rsidR="002C76DB" w:rsidRPr="00132D52">
        <w:rPr>
          <w:noProof w:val="0"/>
        </w:rPr>
        <w:t>Mass Spectrometry</w:t>
      </w:r>
    </w:p>
    <w:p w14:paraId="6C2E1AC4" w14:textId="23A27501" w:rsidR="002C76DB" w:rsidRPr="00132D52" w:rsidRDefault="002C76DB" w:rsidP="006F5717">
      <w:pPr>
        <w:pStyle w:val="MDPI31text"/>
      </w:pPr>
      <w:r w:rsidRPr="00132D52">
        <w:rPr>
          <w:i/>
        </w:rPr>
        <w:t>Instrument—</w:t>
      </w:r>
      <w:r w:rsidRPr="00132D52">
        <w:t>Samples were infused into an Exactive Orbitrap (Thermo, Hemel Hampstead, UK), using a Triversa Nanomate (Advion, Ithaca US).</w:t>
      </w:r>
      <w:r w:rsidR="006F5717" w:rsidRPr="00132D52">
        <w:t xml:space="preserve"> </w:t>
      </w:r>
      <w:r w:rsidRPr="00132D52">
        <w:t>Samples were ionised at 1·2 kV in the positive ion mode.</w:t>
      </w:r>
      <w:r w:rsidR="006F5717" w:rsidRPr="00132D52">
        <w:t xml:space="preserve"> </w:t>
      </w:r>
      <w:r w:rsidRPr="00132D52">
        <w:t xml:space="preserve">The Exactive started acquiring data 20 s after sample aspiration began. After 72 s of acquisition in positive mode the Nanomate and the Exactive switched over to negative mode, decreasing the voltage to </w:t>
      </w:r>
      <w:r w:rsidRPr="00132D52">
        <w:rPr>
          <w:rFonts w:cs="AdvTir_symb"/>
        </w:rPr>
        <w:t>-</w:t>
      </w:r>
      <w:r w:rsidRPr="00132D52">
        <w:t>1·5 kV.</w:t>
      </w:r>
      <w:r w:rsidR="006F5717" w:rsidRPr="00132D52">
        <w:t xml:space="preserve"> </w:t>
      </w:r>
      <w:r w:rsidRPr="00132D52">
        <w:t>The spray was maintained for another 66 s, after which the analysis was stopped and the tip discarded, before the analysis of the next sample. The sample plate was kept at 15</w:t>
      </w:r>
      <w:r w:rsidR="0045743D" w:rsidRPr="00132D52">
        <w:t xml:space="preserve"> </w:t>
      </w:r>
      <w:r w:rsidRPr="00132D52">
        <w:rPr>
          <w:rFonts w:cs="AdvPSSym"/>
        </w:rPr>
        <w:t>°</w:t>
      </w:r>
      <w:r w:rsidRPr="00132D52">
        <w:t>C throughout the acquisition.</w:t>
      </w:r>
      <w:r w:rsidR="006F5717" w:rsidRPr="00132D52">
        <w:t xml:space="preserve"> </w:t>
      </w:r>
      <w:r w:rsidRPr="00132D52">
        <w:t>Samples were run in row order.</w:t>
      </w:r>
    </w:p>
    <w:p w14:paraId="2C05B318" w14:textId="52D5B74F" w:rsidR="002C76DB" w:rsidRPr="00132D52" w:rsidRDefault="002C76DB" w:rsidP="006F5717">
      <w:pPr>
        <w:pStyle w:val="MDPI31text"/>
      </w:pPr>
      <w:r w:rsidRPr="00132D52">
        <w:rPr>
          <w:i/>
        </w:rPr>
        <w:t>Data processing—</w:t>
      </w:r>
      <w:r w:rsidRPr="00132D52">
        <w:t xml:space="preserve">Raw high-resolution mass-spectrometry data were processed using XCMS (www.bioconductor.org) and Peakpicker v 2.0 (an in-house R script </w:t>
      </w:r>
      <w:r w:rsidR="005238BD" w:rsidRPr="00132D52">
        <w:t>[</w:t>
      </w:r>
      <w:r w:rsidR="002B04C7" w:rsidRPr="00132D52">
        <w:t>24</w:t>
      </w:r>
      <w:r w:rsidR="005238BD" w:rsidRPr="00132D52">
        <w:t>]</w:t>
      </w:r>
      <w:r w:rsidRPr="00132D52">
        <w:t>).</w:t>
      </w:r>
      <w:r w:rsidR="006F5717" w:rsidRPr="00132D52">
        <w:t xml:space="preserve"> </w:t>
      </w:r>
      <w:r w:rsidRPr="00132D52">
        <w:t xml:space="preserve">Lists of known species (by </w:t>
      </w:r>
      <w:r w:rsidRPr="00132D52">
        <w:rPr>
          <w:i/>
        </w:rPr>
        <w:t>m/z</w:t>
      </w:r>
      <w:r w:rsidRPr="00132D52">
        <w:t>) were used for both positive ion and negative ion mode (~8·5k species).</w:t>
      </w:r>
      <w:r w:rsidR="006F5717" w:rsidRPr="00132D52">
        <w:t xml:space="preserve"> </w:t>
      </w:r>
      <w:r w:rsidRPr="00132D52">
        <w:t>Variables whose mass deviated by more than 9</w:t>
      </w:r>
      <w:r w:rsidR="0045743D" w:rsidRPr="00132D52">
        <w:t xml:space="preserve"> </w:t>
      </w:r>
      <w:r w:rsidRPr="00132D52">
        <w:t xml:space="preserve">ppm from the expected value, had a signal/noise ratio of &lt;3 and had signals for fewer than 50% of </w:t>
      </w:r>
      <w:r w:rsidR="00053CD9" w:rsidRPr="00132D52">
        <w:t xml:space="preserve">all </w:t>
      </w:r>
      <w:r w:rsidRPr="00132D52">
        <w:t>samples were discarded.</w:t>
      </w:r>
      <w:r w:rsidR="006F5717" w:rsidRPr="00132D52">
        <w:t xml:space="preserve"> </w:t>
      </w:r>
      <w:r w:rsidRPr="00132D52">
        <w:t xml:space="preserve">The correlation of signal intensity to concentration of human placenta, mouse liver, human serum and pooled human seminal plasma samples as QCs </w:t>
      </w:r>
      <w:r w:rsidRPr="00132D52">
        <w:lastRenderedPageBreak/>
        <w:t>(0.25, 0.5, 1.0×) were used to identify the lipid signals the strength of which was linearly proportional to abundance (threshold for acceptance was a correlation of 0</w:t>
      </w:r>
      <w:r w:rsidR="00F90AD7" w:rsidRPr="00132D52">
        <w:t>·</w:t>
      </w:r>
      <w:r w:rsidRPr="00132D52">
        <w:t>75).</w:t>
      </w:r>
      <w:r w:rsidR="006F5717" w:rsidRPr="00132D52">
        <w:t xml:space="preserve"> </w:t>
      </w:r>
      <w:r w:rsidR="00692328" w:rsidRPr="00132D52">
        <w:t xml:space="preserve">Remaining signals (passes) </w:t>
      </w:r>
      <w:r w:rsidRPr="00132D52">
        <w:t>were then divided by the sum of signals for that sample and expressed per mille (</w:t>
      </w:r>
      <w:r w:rsidRPr="00132D52">
        <w:rPr>
          <w:rFonts w:cs="Segoe UI Semibold"/>
        </w:rPr>
        <w:t>‰</w:t>
      </w:r>
      <w:r w:rsidRPr="00132D52">
        <w:t>).</w:t>
      </w:r>
      <w:r w:rsidR="006F5717" w:rsidRPr="00132D52">
        <w:t xml:space="preserve"> </w:t>
      </w:r>
      <w:bookmarkStart w:id="48" w:name="_Hlk43729562"/>
      <w:r w:rsidR="00977C35" w:rsidRPr="00132D52">
        <w:t xml:space="preserve">Each </w:t>
      </w:r>
      <w:r w:rsidR="00977C35" w:rsidRPr="00132D52">
        <w:rPr>
          <w:i/>
          <w:iCs/>
        </w:rPr>
        <w:t>m/z</w:t>
      </w:r>
      <w:r w:rsidR="00977C35" w:rsidRPr="00132D52">
        <w:t xml:space="preserve"> signal identified was interpreted as a given isoform of a lipid with an appropriate adduct for that </w:t>
      </w:r>
      <w:r w:rsidR="00977C35" w:rsidRPr="00132D52">
        <w:rPr>
          <w:i/>
          <w:iCs/>
        </w:rPr>
        <w:t>m/z</w:t>
      </w:r>
      <w:r w:rsidR="00977C35" w:rsidRPr="00132D52">
        <w:t>.</w:t>
      </w:r>
      <w:r w:rsidR="006F5717" w:rsidRPr="00132D52">
        <w:t xml:space="preserve"> </w:t>
      </w:r>
      <w:r w:rsidR="00977C35" w:rsidRPr="00132D52">
        <w:t>Like isoforms with different adducts were not summed.</w:t>
      </w:r>
      <w:r w:rsidR="006F5717" w:rsidRPr="00132D52">
        <w:t xml:space="preserve"> </w:t>
      </w:r>
      <w:bookmarkEnd w:id="48"/>
      <w:r w:rsidRPr="00132D52">
        <w:t>Zero values were interpreted as not measured.</w:t>
      </w:r>
      <w:r w:rsidR="006F5717" w:rsidRPr="00132D52">
        <w:t xml:space="preserve"> </w:t>
      </w:r>
      <w:r w:rsidRPr="00132D52">
        <w:t>All statistical calculations were done on these finalised values.</w:t>
      </w:r>
    </w:p>
    <w:p w14:paraId="46D29CE1" w14:textId="1BA4B9D4" w:rsidR="002C76DB" w:rsidRPr="00132D52" w:rsidRDefault="00625509" w:rsidP="006F5717">
      <w:pPr>
        <w:pStyle w:val="MDPI22heading2"/>
        <w:rPr>
          <w:noProof w:val="0"/>
        </w:rPr>
      </w:pPr>
      <w:r w:rsidRPr="00132D52">
        <w:rPr>
          <w:noProof w:val="0"/>
        </w:rPr>
        <w:t>5</w:t>
      </w:r>
      <w:r w:rsidR="0045743D" w:rsidRPr="00132D52">
        <w:rPr>
          <w:noProof w:val="0"/>
        </w:rPr>
        <w:t xml:space="preserve">.7 </w:t>
      </w:r>
      <w:r w:rsidR="002C76DB" w:rsidRPr="00132D52">
        <w:rPr>
          <w:noProof w:val="0"/>
        </w:rPr>
        <w:t xml:space="preserve">Statistical </w:t>
      </w:r>
      <w:r w:rsidR="006F5717" w:rsidRPr="00132D52">
        <w:rPr>
          <w:noProof w:val="0"/>
        </w:rPr>
        <w:t>A</w:t>
      </w:r>
      <w:r w:rsidR="002C76DB" w:rsidRPr="00132D52">
        <w:rPr>
          <w:noProof w:val="0"/>
        </w:rPr>
        <w:t>nalyses</w:t>
      </w:r>
    </w:p>
    <w:p w14:paraId="6B65B4A9" w14:textId="000425F8" w:rsidR="002C76DB" w:rsidRPr="00132D52" w:rsidRDefault="002C76DB" w:rsidP="006F5717">
      <w:pPr>
        <w:pStyle w:val="MDPI31text"/>
        <w:rPr>
          <w:spacing w:val="-2"/>
        </w:rPr>
      </w:pPr>
      <w:r w:rsidRPr="00132D52">
        <w:t>The analysis was structured according to a prepared analysis plan.</w:t>
      </w:r>
      <w:r w:rsidR="006F5717" w:rsidRPr="00132D52">
        <w:t xml:space="preserve"> </w:t>
      </w:r>
      <w:r w:rsidRPr="00132D52">
        <w:t>Uni- and bivariate analyses were carried out using Excel 201</w:t>
      </w:r>
      <w:r w:rsidR="00F90AD7" w:rsidRPr="00132D52">
        <w:t>6</w:t>
      </w:r>
      <w:r w:rsidRPr="00132D52">
        <w:t>.</w:t>
      </w:r>
      <w:r w:rsidR="006F5717" w:rsidRPr="00132D52">
        <w:t xml:space="preserve"> </w:t>
      </w:r>
      <w:r w:rsidRPr="00132D52">
        <w:t xml:space="preserve">Multivariate analyses were run using MetaboAnalyst 4.0 </w:t>
      </w:r>
      <w:bookmarkStart w:id="49" w:name="EXISTREF29"/>
      <w:r w:rsidR="005238BD" w:rsidRPr="00132D52">
        <w:t>[</w:t>
      </w:r>
      <w:r w:rsidR="002B04C7" w:rsidRPr="00132D52">
        <w:t>29</w:t>
      </w:r>
      <w:r w:rsidR="005238BD" w:rsidRPr="00132D52">
        <w:t>]</w:t>
      </w:r>
      <w:bookmarkEnd w:id="49"/>
      <w:r w:rsidRPr="00132D52">
        <w:t>.</w:t>
      </w:r>
      <w:r w:rsidR="006F5717" w:rsidRPr="00132D52">
        <w:t xml:space="preserve"> </w:t>
      </w:r>
      <w:r w:rsidRPr="00132D52">
        <w:t>Abundance of lipid(s) is shown as mean ± standard deviation unless otherwise stated.</w:t>
      </w:r>
    </w:p>
    <w:p w14:paraId="182A2A22" w14:textId="4AFF8492" w:rsidR="005B22A9" w:rsidRPr="00132D52" w:rsidRDefault="005B22A9" w:rsidP="002C7483">
      <w:pPr>
        <w:pStyle w:val="MDPI62Acknowledgments"/>
        <w:rPr>
          <w:color w:val="auto"/>
        </w:rPr>
      </w:pPr>
      <w:r w:rsidRPr="00132D52">
        <w:rPr>
          <w:b/>
          <w:color w:val="auto"/>
        </w:rPr>
        <w:t xml:space="preserve">Supplementary Materials: </w:t>
      </w:r>
      <w:r w:rsidR="00E71434" w:rsidRPr="00132D52">
        <w:rPr>
          <w:color w:val="auto"/>
        </w:rPr>
        <w:t xml:space="preserve">Mass Spectrometry signals sheets and </w:t>
      </w:r>
      <w:r w:rsidR="00F90AD7" w:rsidRPr="00132D52">
        <w:rPr>
          <w:color w:val="auto"/>
        </w:rPr>
        <w:t>Tabl</w:t>
      </w:r>
      <w:r w:rsidRPr="00132D52">
        <w:rPr>
          <w:color w:val="auto"/>
        </w:rPr>
        <w:t xml:space="preserve">e S1: </w:t>
      </w:r>
      <w:r w:rsidR="00F90AD7" w:rsidRPr="00132D52">
        <w:rPr>
          <w:color w:val="auto"/>
        </w:rPr>
        <w:t xml:space="preserve">List </w:t>
      </w:r>
      <w:r w:rsidR="00041C3C" w:rsidRPr="00132D52">
        <w:rPr>
          <w:color w:val="auto"/>
        </w:rPr>
        <w:t>o</w:t>
      </w:r>
      <w:r w:rsidR="00F90AD7" w:rsidRPr="00132D52">
        <w:rPr>
          <w:color w:val="auto"/>
        </w:rPr>
        <w:t>f internal lipid standards</w:t>
      </w:r>
      <w:r w:rsidRPr="00132D52">
        <w:rPr>
          <w:color w:val="auto"/>
        </w:rPr>
        <w:t>,</w:t>
      </w:r>
      <w:r w:rsidR="00041C3C" w:rsidRPr="00132D52">
        <w:rPr>
          <w:color w:val="auto"/>
        </w:rPr>
        <w:t xml:space="preserve"> </w:t>
      </w:r>
      <w:r w:rsidR="00E71434" w:rsidRPr="00132D52">
        <w:rPr>
          <w:color w:val="auto"/>
        </w:rPr>
        <w:t>are</w:t>
      </w:r>
      <w:r w:rsidR="00041C3C" w:rsidRPr="00132D52">
        <w:rPr>
          <w:color w:val="auto"/>
        </w:rPr>
        <w:t xml:space="preserve"> available at</w:t>
      </w:r>
      <w:r w:rsidRPr="00132D52">
        <w:rPr>
          <w:color w:val="auto"/>
        </w:rPr>
        <w:t xml:space="preserve"> </w:t>
      </w:r>
      <w:r w:rsidR="00041C3C" w:rsidRPr="00132D52">
        <w:rPr>
          <w:color w:val="auto"/>
        </w:rPr>
        <w:t>www.mdpi.com/xxx/s1</w:t>
      </w:r>
      <w:r w:rsidRPr="00132D52">
        <w:rPr>
          <w:color w:val="auto"/>
        </w:rPr>
        <w:t>.</w:t>
      </w:r>
    </w:p>
    <w:p w14:paraId="249F0BE2" w14:textId="253897CB" w:rsidR="004D5213" w:rsidRPr="00132D52" w:rsidRDefault="004D5213" w:rsidP="002C7483">
      <w:pPr>
        <w:pStyle w:val="MDPI62Acknowledgments"/>
      </w:pPr>
      <w:commentRangeStart w:id="50"/>
      <w:r w:rsidRPr="00132D52">
        <w:rPr>
          <w:b/>
        </w:rPr>
        <w:t>Author Contributions:</w:t>
      </w:r>
      <w:commentRangeEnd w:id="50"/>
      <w:r w:rsidR="00132D52" w:rsidRPr="00132D52">
        <w:rPr>
          <w:rStyle w:val="CommentReference"/>
          <w:rFonts w:ascii="Times New Roman" w:hAnsi="Times New Roman"/>
          <w:snapToGrid/>
          <w:lang w:bidi="ar-SA"/>
        </w:rPr>
        <w:commentReference w:id="50"/>
      </w:r>
      <w:r w:rsidRPr="00132D52">
        <w:rPr>
          <w:b/>
        </w:rPr>
        <w:t xml:space="preserve"> </w:t>
      </w:r>
      <w:r w:rsidR="005C1668" w:rsidRPr="00132D52">
        <w:t>Conceptualization</w:t>
      </w:r>
      <w:r w:rsidRPr="00132D52">
        <w:t xml:space="preserve">, </w:t>
      </w:r>
      <w:r w:rsidR="00E91BA7" w:rsidRPr="00132D52">
        <w:t>S.F.</w:t>
      </w:r>
      <w:r w:rsidRPr="00132D52">
        <w:t xml:space="preserve">; methodology, </w:t>
      </w:r>
      <w:r w:rsidR="00E91BA7" w:rsidRPr="00132D52">
        <w:t>S</w:t>
      </w:r>
      <w:r w:rsidRPr="00132D52">
        <w:t>.</w:t>
      </w:r>
      <w:r w:rsidR="00E91BA7" w:rsidRPr="00132D52">
        <w:t>F</w:t>
      </w:r>
      <w:r w:rsidRPr="00132D52">
        <w:t>.</w:t>
      </w:r>
      <w:r w:rsidR="00E91BA7" w:rsidRPr="00132D52">
        <w:t xml:space="preserve"> and A.K.</w:t>
      </w:r>
      <w:r w:rsidRPr="00132D52">
        <w:t xml:space="preserve">; validation, </w:t>
      </w:r>
      <w:r w:rsidR="00E91BA7" w:rsidRPr="00132D52">
        <w:t>S.F</w:t>
      </w:r>
      <w:r w:rsidRPr="00132D52">
        <w:t xml:space="preserve">. </w:t>
      </w:r>
      <w:r w:rsidR="00E91BA7" w:rsidRPr="00132D52">
        <w:t>and A.K.</w:t>
      </w:r>
      <w:r w:rsidRPr="00132D52">
        <w:t xml:space="preserve">; formal analysis, </w:t>
      </w:r>
      <w:r w:rsidR="00E91BA7" w:rsidRPr="00132D52">
        <w:t>S</w:t>
      </w:r>
      <w:r w:rsidRPr="00132D52">
        <w:t>.</w:t>
      </w:r>
      <w:r w:rsidR="00E91BA7" w:rsidRPr="00132D52">
        <w:t>F</w:t>
      </w:r>
      <w:r w:rsidRPr="00132D52">
        <w:t xml:space="preserve">.; investigation, </w:t>
      </w:r>
      <w:r w:rsidR="00E91BA7" w:rsidRPr="00132D52">
        <w:t>S</w:t>
      </w:r>
      <w:r w:rsidRPr="00132D52">
        <w:t>.</w:t>
      </w:r>
      <w:r w:rsidR="00E91BA7" w:rsidRPr="00132D52">
        <w:t>F</w:t>
      </w:r>
      <w:r w:rsidRPr="00132D52">
        <w:t xml:space="preserve">.; resources, </w:t>
      </w:r>
      <w:r w:rsidR="003C4E69" w:rsidRPr="00132D52">
        <w:t>A.J.W</w:t>
      </w:r>
      <w:r w:rsidRPr="00132D52">
        <w:t>.</w:t>
      </w:r>
      <w:r w:rsidR="003C4E69" w:rsidRPr="00132D52">
        <w:t xml:space="preserve"> and S.F.</w:t>
      </w:r>
      <w:r w:rsidRPr="00132D52">
        <w:t xml:space="preserve">; data curation, </w:t>
      </w:r>
      <w:r w:rsidR="003C4E69" w:rsidRPr="00132D52">
        <w:t>S</w:t>
      </w:r>
      <w:r w:rsidRPr="00132D52">
        <w:t>.</w:t>
      </w:r>
      <w:r w:rsidR="003C4E69" w:rsidRPr="00132D52">
        <w:t>F</w:t>
      </w:r>
      <w:r w:rsidRPr="00132D52">
        <w:t xml:space="preserve">.; writing—original draft preparation, </w:t>
      </w:r>
      <w:r w:rsidR="003C4E69" w:rsidRPr="00132D52">
        <w:t>S</w:t>
      </w:r>
      <w:r w:rsidRPr="00132D52">
        <w:t>.</w:t>
      </w:r>
      <w:r w:rsidR="003C4E69" w:rsidRPr="00132D52">
        <w:t>F</w:t>
      </w:r>
      <w:r w:rsidRPr="00132D52">
        <w:t xml:space="preserve">.; writing—review and editing, </w:t>
      </w:r>
      <w:r w:rsidR="003C4E69" w:rsidRPr="00132D52">
        <w:t>S</w:t>
      </w:r>
      <w:r w:rsidRPr="00132D52">
        <w:t>.</w:t>
      </w:r>
      <w:r w:rsidR="003C4E69" w:rsidRPr="00132D52">
        <w:t>F</w:t>
      </w:r>
      <w:r w:rsidRPr="00132D52">
        <w:t>.</w:t>
      </w:r>
      <w:r w:rsidR="003C4E69" w:rsidRPr="00132D52">
        <w:t>, A.J.W., A.K.</w:t>
      </w:r>
      <w:r w:rsidRPr="00132D52">
        <w:t xml:space="preserve">; visualization, </w:t>
      </w:r>
      <w:r w:rsidR="003C4E69" w:rsidRPr="00132D52">
        <w:t>S.F. and A.K</w:t>
      </w:r>
      <w:r w:rsidRPr="00132D52">
        <w:t xml:space="preserve">.; project administration, </w:t>
      </w:r>
      <w:r w:rsidR="003C4E69" w:rsidRPr="00132D52">
        <w:t>A</w:t>
      </w:r>
      <w:r w:rsidRPr="00132D52">
        <w:t>.</w:t>
      </w:r>
      <w:r w:rsidR="003C4E69" w:rsidRPr="00132D52">
        <w:t>K</w:t>
      </w:r>
      <w:r w:rsidRPr="00132D52">
        <w:t xml:space="preserve">.; funding acquisition, </w:t>
      </w:r>
      <w:r w:rsidR="003C4E69" w:rsidRPr="00132D52">
        <w:t>A.J.W. and A.K</w:t>
      </w:r>
      <w:r w:rsidRPr="00132D52">
        <w:t>.</w:t>
      </w:r>
      <w:r w:rsidR="00080C1D" w:rsidRPr="00132D52">
        <w:t xml:space="preserve"> All authors have read and agreed to the published version of the manuscript</w:t>
      </w:r>
      <w:r w:rsidRPr="00132D52">
        <w:t>.</w:t>
      </w:r>
    </w:p>
    <w:p w14:paraId="04979E8E" w14:textId="4A65A549" w:rsidR="000B658D" w:rsidRPr="00132D52" w:rsidRDefault="000B658D" w:rsidP="002C7483">
      <w:pPr>
        <w:pStyle w:val="MDPI62Acknowledgments"/>
      </w:pPr>
      <w:r w:rsidRPr="00132D52">
        <w:rPr>
          <w:b/>
        </w:rPr>
        <w:t xml:space="preserve">Funding: </w:t>
      </w:r>
      <w:r w:rsidRPr="00132D52">
        <w:t xml:space="preserve">This research was funded by </w:t>
      </w:r>
      <w:r w:rsidR="003C4E69" w:rsidRPr="00132D52">
        <w:t>the BBSRC</w:t>
      </w:r>
      <w:r w:rsidRPr="00132D52">
        <w:t xml:space="preserve">, grant number </w:t>
      </w:r>
      <w:r w:rsidR="003C4E69" w:rsidRPr="00132D52">
        <w:t xml:space="preserve">BB/M027252/1 for SF </w:t>
      </w:r>
      <w:r w:rsidRPr="00132D52">
        <w:t>and</w:t>
      </w:r>
      <w:r w:rsidR="003C4E69" w:rsidRPr="00132D52">
        <w:t xml:space="preserve"> AJW was funded by an </w:t>
      </w:r>
      <w:r w:rsidR="003C4E69" w:rsidRPr="00132D52">
        <w:rPr>
          <w:rFonts w:cs="Calibri"/>
          <w:shd w:val="clear" w:color="auto" w:fill="FFFFFF"/>
        </w:rPr>
        <w:t>Aston Research Centre for Healthy Ageing fellowship</w:t>
      </w:r>
      <w:r w:rsidRPr="00132D52">
        <w:t>.</w:t>
      </w:r>
    </w:p>
    <w:p w14:paraId="47AA6751" w14:textId="77777777" w:rsidR="005B22A9" w:rsidRPr="00132D52" w:rsidRDefault="00831D9C" w:rsidP="002C7483">
      <w:pPr>
        <w:pStyle w:val="MDPI62Acknowledgments"/>
      </w:pPr>
      <w:r w:rsidRPr="00132D52">
        <w:rPr>
          <w:b/>
        </w:rPr>
        <w:t xml:space="preserve">Acknowledgments: </w:t>
      </w:r>
      <w:r w:rsidRPr="00132D52">
        <w:t>In this section you can acknowledge any support given which is not covered by the author contribution or funding sections. This may include administrative and technical support, or donations in kind (e.g.</w:t>
      </w:r>
      <w:r w:rsidR="004A5983" w:rsidRPr="00132D52">
        <w:t>,</w:t>
      </w:r>
      <w:r w:rsidRPr="00132D52">
        <w:t xml:space="preserve"> materials used for experiments).</w:t>
      </w:r>
    </w:p>
    <w:p w14:paraId="0C55F51E" w14:textId="0724C331" w:rsidR="00E9459D" w:rsidRPr="00132D52" w:rsidRDefault="005B22A9" w:rsidP="002C7483">
      <w:pPr>
        <w:pStyle w:val="MDPI62Acknowledgments"/>
      </w:pPr>
      <w:r w:rsidRPr="00132D52">
        <w:rPr>
          <w:b/>
        </w:rPr>
        <w:t xml:space="preserve">Conflicts of Interest: </w:t>
      </w:r>
      <w:r w:rsidRPr="00132D52">
        <w:t>The authors declare no conflict of interest.</w:t>
      </w:r>
    </w:p>
    <w:p w14:paraId="3E77C431" w14:textId="561D88BA" w:rsidR="00E9459D" w:rsidRPr="00132D52" w:rsidRDefault="00605BAA" w:rsidP="006F5717">
      <w:pPr>
        <w:pStyle w:val="MDPI21heading1"/>
      </w:pPr>
      <w:r w:rsidRPr="00132D52">
        <w:t>References</w:t>
      </w:r>
    </w:p>
    <w:p w14:paraId="2B8074CB" w14:textId="681A94AD" w:rsidR="002C7483" w:rsidRPr="00132D52" w:rsidRDefault="002C7483" w:rsidP="002C7483">
      <w:pPr>
        <w:pStyle w:val="MDPI71References"/>
        <w:adjustRightInd w:val="0"/>
        <w:snapToGrid w:val="0"/>
        <w:ind w:left="425" w:hanging="425"/>
        <w:rPr>
          <w:rFonts w:eastAsia="SimSun"/>
        </w:rPr>
      </w:pPr>
      <w:r w:rsidRPr="00132D52">
        <w:rPr>
          <w:rFonts w:eastAsia="SimSun"/>
        </w:rPr>
        <w:t>Lu</w:t>
      </w:r>
      <w:bookmarkStart w:id="51" w:name="refTemp1"/>
      <w:bookmarkEnd w:id="51"/>
      <w:r w:rsidRPr="00132D52">
        <w:rPr>
          <w:rFonts w:eastAsia="SimSun"/>
        </w:rPr>
        <w:t xml:space="preserve">, L.; Koulman, A.; Petry, C.J.; Jenkins, B.; Matthews, L.; Hughes, I.A.; Acerini, C.L.; Ong, K.K.; Dunger, D.B. An Unbiased Lipidomics Approach Identifies Early Second Trimester Lipids Predictive of Maternal Glycemic Traits and Gestational Diabetes Mellitus. </w:t>
      </w:r>
      <w:r w:rsidRPr="00132D52">
        <w:rPr>
          <w:rFonts w:eastAsia="SimSun"/>
          <w:i/>
          <w:iCs/>
        </w:rPr>
        <w:t>Diabetes Care</w:t>
      </w:r>
      <w:r w:rsidRPr="00132D52">
        <w:rPr>
          <w:rFonts w:eastAsia="SimSun"/>
        </w:rPr>
        <w:t xml:space="preserve"> </w:t>
      </w:r>
      <w:r w:rsidRPr="00132D52">
        <w:rPr>
          <w:rFonts w:eastAsia="SimSun"/>
          <w:b/>
          <w:bCs/>
        </w:rPr>
        <w:t>2016</w:t>
      </w:r>
      <w:r w:rsidRPr="00132D52">
        <w:rPr>
          <w:rFonts w:eastAsia="SimSun"/>
        </w:rPr>
        <w:t xml:space="preserve">, </w:t>
      </w:r>
      <w:r w:rsidRPr="00132D52">
        <w:rPr>
          <w:rFonts w:eastAsia="SimSun"/>
          <w:i/>
          <w:iCs/>
        </w:rPr>
        <w:t>39</w:t>
      </w:r>
      <w:r w:rsidRPr="00132D52">
        <w:rPr>
          <w:rFonts w:eastAsia="SimSun"/>
        </w:rPr>
        <w:t>, 2232–2239, doi:10.2337/dc16-0863.</w:t>
      </w:r>
    </w:p>
    <w:p w14:paraId="7A0D4877" w14:textId="6C861FE0" w:rsidR="002C7483" w:rsidRPr="00132D52" w:rsidRDefault="002C7483" w:rsidP="002C7483">
      <w:pPr>
        <w:pStyle w:val="MDPI71References"/>
        <w:adjustRightInd w:val="0"/>
        <w:snapToGrid w:val="0"/>
        <w:ind w:left="425" w:hanging="425"/>
        <w:rPr>
          <w:rFonts w:eastAsia="SimSun"/>
        </w:rPr>
      </w:pPr>
      <w:r w:rsidRPr="00132D52">
        <w:rPr>
          <w:rFonts w:eastAsia="SimSun"/>
        </w:rPr>
        <w:t>Lydic</w:t>
      </w:r>
      <w:bookmarkStart w:id="52" w:name="refTemp2"/>
      <w:bookmarkEnd w:id="52"/>
      <w:r w:rsidRPr="00132D52">
        <w:rPr>
          <w:rFonts w:eastAsia="SimSun"/>
        </w:rPr>
        <w:t xml:space="preserve">, T.A.; Goo, Y.-H. Lipidomics unveils the complexity of the lipidome in metabolic diseases. </w:t>
      </w:r>
      <w:r w:rsidRPr="00132D52">
        <w:rPr>
          <w:rFonts w:eastAsia="SimSun"/>
          <w:i/>
          <w:iCs/>
        </w:rPr>
        <w:t>Clin. Transl. Med.</w:t>
      </w:r>
      <w:r w:rsidRPr="00132D52">
        <w:rPr>
          <w:rFonts w:eastAsia="SimSun"/>
        </w:rPr>
        <w:t xml:space="preserve"> </w:t>
      </w:r>
      <w:r w:rsidRPr="00132D52">
        <w:rPr>
          <w:rFonts w:eastAsia="SimSun"/>
          <w:b/>
          <w:bCs/>
        </w:rPr>
        <w:t>2018</w:t>
      </w:r>
      <w:r w:rsidRPr="00132D52">
        <w:rPr>
          <w:rFonts w:eastAsia="SimSun"/>
        </w:rPr>
        <w:t xml:space="preserve">, </w:t>
      </w:r>
      <w:r w:rsidRPr="00132D52">
        <w:rPr>
          <w:rFonts w:eastAsia="SimSun"/>
          <w:i/>
          <w:iCs/>
        </w:rPr>
        <w:t>7</w:t>
      </w:r>
      <w:r w:rsidRPr="00132D52">
        <w:rPr>
          <w:rFonts w:eastAsia="SimSun"/>
        </w:rPr>
        <w:t>, 4, doi:10.1186/s40169-018-0182-9.</w:t>
      </w:r>
    </w:p>
    <w:p w14:paraId="6AA1EA53" w14:textId="21A6E654" w:rsidR="002C7483" w:rsidRPr="00132D52" w:rsidRDefault="002C7483" w:rsidP="002C7483">
      <w:pPr>
        <w:pStyle w:val="MDPI71References"/>
        <w:adjustRightInd w:val="0"/>
        <w:snapToGrid w:val="0"/>
        <w:ind w:left="425" w:hanging="425"/>
        <w:rPr>
          <w:rFonts w:eastAsia="SimSun"/>
        </w:rPr>
      </w:pPr>
      <w:r w:rsidRPr="00132D52">
        <w:rPr>
          <w:rFonts w:eastAsia="SimSun"/>
        </w:rPr>
        <w:t>Postle</w:t>
      </w:r>
      <w:bookmarkStart w:id="53" w:name="refTemp3"/>
      <w:bookmarkEnd w:id="53"/>
      <w:r w:rsidRPr="00132D52">
        <w:rPr>
          <w:rFonts w:eastAsia="SimSun"/>
        </w:rPr>
        <w:t xml:space="preserve">, A.D.; Gonzales, L.W.; Bernhard, W.; Clark, G.T.; Godinez, M.H.; Godinez, R.I.; Ballard, P.L. Lipidomics of cellular and secreted phospholipids from differentiated human fetal type II alveolar epithelial cells. </w:t>
      </w:r>
      <w:r w:rsidRPr="00132D52">
        <w:rPr>
          <w:rFonts w:eastAsia="SimSun"/>
          <w:i/>
          <w:iCs/>
        </w:rPr>
        <w:t>J. Lipid Res.</w:t>
      </w:r>
      <w:r w:rsidRPr="00132D52">
        <w:rPr>
          <w:rFonts w:eastAsia="SimSun"/>
        </w:rPr>
        <w:t xml:space="preserve"> </w:t>
      </w:r>
      <w:r w:rsidRPr="00132D52">
        <w:rPr>
          <w:rFonts w:eastAsia="SimSun"/>
          <w:b/>
          <w:bCs/>
        </w:rPr>
        <w:t>2006</w:t>
      </w:r>
      <w:r w:rsidRPr="00132D52">
        <w:rPr>
          <w:rFonts w:eastAsia="SimSun"/>
        </w:rPr>
        <w:t xml:space="preserve">, </w:t>
      </w:r>
      <w:r w:rsidRPr="00132D52">
        <w:rPr>
          <w:rFonts w:eastAsia="SimSun"/>
          <w:i/>
          <w:iCs/>
        </w:rPr>
        <w:t>47</w:t>
      </w:r>
      <w:r w:rsidRPr="00132D52">
        <w:rPr>
          <w:rFonts w:eastAsia="SimSun"/>
        </w:rPr>
        <w:t>, 1322–1331, doi:10.1194/jlr.m600054-jlr200.</w:t>
      </w:r>
    </w:p>
    <w:p w14:paraId="60A75DF9" w14:textId="106751FC" w:rsidR="002C7483" w:rsidRPr="00132D52" w:rsidRDefault="002C7483" w:rsidP="002C7483">
      <w:pPr>
        <w:pStyle w:val="MDPI71References"/>
        <w:adjustRightInd w:val="0"/>
        <w:snapToGrid w:val="0"/>
        <w:ind w:left="425" w:hanging="425"/>
        <w:rPr>
          <w:rFonts w:eastAsia="SimSun"/>
        </w:rPr>
      </w:pPr>
      <w:r w:rsidRPr="00132D52">
        <w:rPr>
          <w:rFonts w:eastAsia="SimSun"/>
        </w:rPr>
        <w:t>Sewell</w:t>
      </w:r>
      <w:bookmarkStart w:id="54" w:name="refTemp4"/>
      <w:bookmarkEnd w:id="54"/>
      <w:r w:rsidRPr="00132D52">
        <w:rPr>
          <w:rFonts w:eastAsia="SimSun"/>
        </w:rPr>
        <w:t xml:space="preserve">, G.W.; Hannun, Y.A.; Han, X.; Koster, G.; Bielawski, J.; Goss, V.; Smith, P.J.; Rahman, F.Z.; Vega, R.; Bloom, S.L.; et al. Lipidomic profiling in Crohn’s disease: Abnormalities in phosphatidylinositols, with preservation of ceramide, phosphatidylcholine and phosphatidylserine composition. </w:t>
      </w:r>
      <w:r w:rsidRPr="00132D52">
        <w:rPr>
          <w:rFonts w:eastAsia="SimSun"/>
          <w:i/>
          <w:iCs/>
        </w:rPr>
        <w:t>Int. J. Biochem. Cell Boil.</w:t>
      </w:r>
      <w:r w:rsidRPr="00132D52">
        <w:rPr>
          <w:rFonts w:eastAsia="SimSun"/>
        </w:rPr>
        <w:t xml:space="preserve"> </w:t>
      </w:r>
      <w:r w:rsidRPr="00132D52">
        <w:rPr>
          <w:rFonts w:eastAsia="SimSun"/>
          <w:b/>
          <w:bCs/>
        </w:rPr>
        <w:t>2012</w:t>
      </w:r>
      <w:r w:rsidRPr="00132D52">
        <w:rPr>
          <w:rFonts w:eastAsia="SimSun"/>
        </w:rPr>
        <w:t xml:space="preserve">, </w:t>
      </w:r>
      <w:r w:rsidRPr="00132D52">
        <w:rPr>
          <w:rFonts w:eastAsia="SimSun"/>
          <w:i/>
          <w:iCs/>
        </w:rPr>
        <w:t>44</w:t>
      </w:r>
      <w:r w:rsidRPr="00132D52">
        <w:rPr>
          <w:rFonts w:eastAsia="SimSun"/>
        </w:rPr>
        <w:t>, 1839–1846, doi:10.1016/j.biocel.2012.06.016.</w:t>
      </w:r>
    </w:p>
    <w:p w14:paraId="0FCD01E9" w14:textId="56D169E8" w:rsidR="002C7483" w:rsidRPr="00132D52" w:rsidRDefault="002C7483" w:rsidP="002C7483">
      <w:pPr>
        <w:pStyle w:val="MDPI71References"/>
        <w:adjustRightInd w:val="0"/>
        <w:snapToGrid w:val="0"/>
        <w:ind w:left="425" w:hanging="425"/>
        <w:rPr>
          <w:rFonts w:eastAsia="SimSun"/>
        </w:rPr>
      </w:pPr>
      <w:r w:rsidRPr="00132D52">
        <w:rPr>
          <w:rFonts w:eastAsia="SimSun"/>
        </w:rPr>
        <w:t>Yang</w:t>
      </w:r>
      <w:bookmarkStart w:id="55" w:name="refTemp5"/>
      <w:bookmarkEnd w:id="55"/>
      <w:r w:rsidRPr="00132D52">
        <w:rPr>
          <w:rFonts w:eastAsia="SimSun"/>
        </w:rPr>
        <w:t xml:space="preserve">, Y.; Zhong, Q.; Zhang, H.; Mo, C.; Yao, J.; Huang, T.; Zhou, T.; Tan, W. Lipidomics study of the protective effects of isosteviol sodium on stroke rats using ultra high-performance supercritical fluid chromatography coupling with ion-trap and time-of-flight tandem mass spectrometry. </w:t>
      </w:r>
      <w:r w:rsidRPr="00132D52">
        <w:rPr>
          <w:rFonts w:eastAsia="SimSun"/>
          <w:i/>
          <w:iCs/>
        </w:rPr>
        <w:t>J. Pharm. Biomed. Anal.</w:t>
      </w:r>
      <w:r w:rsidRPr="00132D52">
        <w:rPr>
          <w:rFonts w:eastAsia="SimSun"/>
        </w:rPr>
        <w:t xml:space="preserve"> </w:t>
      </w:r>
      <w:r w:rsidRPr="00132D52">
        <w:rPr>
          <w:rFonts w:eastAsia="SimSun"/>
          <w:b/>
          <w:bCs/>
        </w:rPr>
        <w:t>2018</w:t>
      </w:r>
      <w:r w:rsidRPr="00132D52">
        <w:rPr>
          <w:rFonts w:eastAsia="SimSun"/>
        </w:rPr>
        <w:t xml:space="preserve">, </w:t>
      </w:r>
      <w:r w:rsidRPr="00132D52">
        <w:rPr>
          <w:rFonts w:eastAsia="SimSun"/>
          <w:i/>
          <w:iCs/>
        </w:rPr>
        <w:t>157</w:t>
      </w:r>
      <w:r w:rsidRPr="00132D52">
        <w:rPr>
          <w:rFonts w:eastAsia="SimSun"/>
        </w:rPr>
        <w:t>, 145–155, doi:10.1016/j.jpba.2018.05.022.</w:t>
      </w:r>
    </w:p>
    <w:p w14:paraId="46CF0310" w14:textId="427FF5BE" w:rsidR="002C7483" w:rsidRPr="00132D52" w:rsidRDefault="002C7483" w:rsidP="002C7483">
      <w:pPr>
        <w:pStyle w:val="MDPI71References"/>
        <w:adjustRightInd w:val="0"/>
        <w:snapToGrid w:val="0"/>
        <w:ind w:left="425" w:hanging="425"/>
        <w:rPr>
          <w:rFonts w:eastAsia="SimSun"/>
        </w:rPr>
      </w:pPr>
      <w:r w:rsidRPr="00132D52">
        <w:rPr>
          <w:rFonts w:eastAsia="SimSun"/>
        </w:rPr>
        <w:t>Furse</w:t>
      </w:r>
      <w:bookmarkStart w:id="56" w:name="refTemp6"/>
      <w:bookmarkEnd w:id="56"/>
      <w:r w:rsidRPr="00132D52">
        <w:rPr>
          <w:rFonts w:eastAsia="SimSun"/>
        </w:rPr>
        <w:t xml:space="preserve">, S.; White, S.L.; Meek, C.L.; Jenkins, B.; Petry, C.; Vieira, M.C.; Ozanne, S.E.; Dunger, P.D.; Poston, L.; Koulman, A. Altered triglyceride and phospholipid metabolism predates the diagnosis of gestational diabetes in obese pregnancy. </w:t>
      </w:r>
      <w:r w:rsidRPr="00132D52">
        <w:rPr>
          <w:rFonts w:eastAsia="SimSun"/>
          <w:i/>
          <w:iCs/>
        </w:rPr>
        <w:t>Mol. Omics</w:t>
      </w:r>
      <w:r w:rsidRPr="00132D52">
        <w:rPr>
          <w:rFonts w:eastAsia="SimSun"/>
        </w:rPr>
        <w:t xml:space="preserve"> </w:t>
      </w:r>
      <w:r w:rsidRPr="00132D52">
        <w:rPr>
          <w:rFonts w:eastAsia="SimSun"/>
          <w:b/>
          <w:bCs/>
        </w:rPr>
        <w:t>2019</w:t>
      </w:r>
      <w:r w:rsidRPr="00132D52">
        <w:rPr>
          <w:rFonts w:eastAsia="SimSun"/>
        </w:rPr>
        <w:t xml:space="preserve">, </w:t>
      </w:r>
      <w:r w:rsidRPr="00132D52">
        <w:rPr>
          <w:rFonts w:eastAsia="SimSun"/>
          <w:i/>
          <w:iCs/>
        </w:rPr>
        <w:t>15</w:t>
      </w:r>
      <w:r w:rsidRPr="00132D52">
        <w:rPr>
          <w:rFonts w:eastAsia="SimSun"/>
        </w:rPr>
        <w:t>, 420–430, doi:10.1039/c9mo00117d.</w:t>
      </w:r>
    </w:p>
    <w:p w14:paraId="0EB5583A" w14:textId="1D99B5EE" w:rsidR="002C7483" w:rsidRPr="00132D52" w:rsidRDefault="002C7483" w:rsidP="002C7483">
      <w:pPr>
        <w:pStyle w:val="MDPI71References"/>
        <w:adjustRightInd w:val="0"/>
        <w:snapToGrid w:val="0"/>
        <w:ind w:left="425" w:hanging="425"/>
        <w:rPr>
          <w:rFonts w:eastAsia="SimSun"/>
        </w:rPr>
      </w:pPr>
      <w:r w:rsidRPr="00132D52">
        <w:rPr>
          <w:rFonts w:eastAsia="SimSun"/>
        </w:rPr>
        <w:t>Liu</w:t>
      </w:r>
      <w:bookmarkStart w:id="57" w:name="refTemp7"/>
      <w:bookmarkEnd w:id="57"/>
      <w:r w:rsidRPr="00132D52">
        <w:rPr>
          <w:rFonts w:eastAsia="SimSun"/>
        </w:rPr>
        <w:t xml:space="preserve">, Z.; Rochfort, S.J.; Cocks, B. Milk lipidomics: What we know and what we don’t. </w:t>
      </w:r>
      <w:r w:rsidRPr="00132D52">
        <w:rPr>
          <w:rFonts w:eastAsia="SimSun"/>
          <w:i/>
          <w:iCs/>
        </w:rPr>
        <w:t>Prog. Lipid Res.</w:t>
      </w:r>
      <w:r w:rsidRPr="00132D52">
        <w:rPr>
          <w:rFonts w:eastAsia="SimSun"/>
        </w:rPr>
        <w:t xml:space="preserve"> </w:t>
      </w:r>
      <w:r w:rsidRPr="00132D52">
        <w:rPr>
          <w:rFonts w:eastAsia="SimSun"/>
          <w:b/>
          <w:bCs/>
        </w:rPr>
        <w:t>2018</w:t>
      </w:r>
      <w:r w:rsidRPr="00132D52">
        <w:rPr>
          <w:rFonts w:eastAsia="SimSun"/>
        </w:rPr>
        <w:t xml:space="preserve">, </w:t>
      </w:r>
      <w:r w:rsidRPr="00132D52">
        <w:rPr>
          <w:rFonts w:eastAsia="SimSun"/>
          <w:i/>
          <w:iCs/>
        </w:rPr>
        <w:t>71</w:t>
      </w:r>
      <w:r w:rsidRPr="00132D52">
        <w:rPr>
          <w:rFonts w:eastAsia="SimSun"/>
        </w:rPr>
        <w:t>, 70–85, doi:10.1016/j.plipres.2018.06.002.</w:t>
      </w:r>
    </w:p>
    <w:p w14:paraId="5E06739F" w14:textId="46C6AFF0" w:rsidR="002C7483" w:rsidRPr="00132D52" w:rsidRDefault="002C7483" w:rsidP="002C7483">
      <w:pPr>
        <w:pStyle w:val="MDPI71References"/>
        <w:adjustRightInd w:val="0"/>
        <w:snapToGrid w:val="0"/>
        <w:ind w:left="425" w:hanging="425"/>
        <w:rPr>
          <w:rFonts w:eastAsia="SimSun"/>
        </w:rPr>
      </w:pPr>
      <w:r w:rsidRPr="00132D52">
        <w:rPr>
          <w:rFonts w:eastAsia="SimSun"/>
        </w:rPr>
        <w:t>Matyash</w:t>
      </w:r>
      <w:bookmarkStart w:id="58" w:name="refTemp8"/>
      <w:bookmarkEnd w:id="58"/>
      <w:r w:rsidRPr="00132D52">
        <w:rPr>
          <w:rFonts w:eastAsia="SimSun"/>
        </w:rPr>
        <w:t xml:space="preserve">, V.; Liebisch, G.; Kurzchalia, T.V.; Shevchenko, A.; Schwudke, D. Lipid extraction by methyl-tert-butyl ether for high-throughput lipidomics. </w:t>
      </w:r>
      <w:r w:rsidRPr="00132D52">
        <w:rPr>
          <w:rFonts w:eastAsia="SimSun"/>
          <w:i/>
          <w:iCs/>
        </w:rPr>
        <w:t>J. Lipid Res.</w:t>
      </w:r>
      <w:r w:rsidRPr="00132D52">
        <w:rPr>
          <w:rFonts w:eastAsia="SimSun"/>
        </w:rPr>
        <w:t xml:space="preserve"> </w:t>
      </w:r>
      <w:r w:rsidRPr="00132D52">
        <w:rPr>
          <w:rFonts w:eastAsia="SimSun"/>
          <w:b/>
          <w:bCs/>
        </w:rPr>
        <w:t>2008</w:t>
      </w:r>
      <w:r w:rsidRPr="00132D52">
        <w:rPr>
          <w:rFonts w:eastAsia="SimSun"/>
        </w:rPr>
        <w:t xml:space="preserve">, </w:t>
      </w:r>
      <w:r w:rsidRPr="00132D52">
        <w:rPr>
          <w:rFonts w:eastAsia="SimSun"/>
          <w:i/>
          <w:iCs/>
        </w:rPr>
        <w:t>49</w:t>
      </w:r>
      <w:r w:rsidRPr="00132D52">
        <w:rPr>
          <w:rFonts w:eastAsia="SimSun"/>
        </w:rPr>
        <w:t>, 1137–1146, doi:10.1194/jlr.d700041-jlr200.</w:t>
      </w:r>
    </w:p>
    <w:p w14:paraId="388E90B3" w14:textId="05184F5E" w:rsidR="002C7483" w:rsidRPr="00132D52" w:rsidRDefault="002C7483" w:rsidP="002C7483">
      <w:pPr>
        <w:pStyle w:val="MDPI71References"/>
        <w:adjustRightInd w:val="0"/>
        <w:snapToGrid w:val="0"/>
        <w:ind w:left="425" w:hanging="425"/>
        <w:rPr>
          <w:rFonts w:eastAsia="SimSun"/>
        </w:rPr>
      </w:pPr>
      <w:r w:rsidRPr="00132D52">
        <w:rPr>
          <w:rFonts w:eastAsia="SimSun"/>
        </w:rPr>
        <w:t>Huynh</w:t>
      </w:r>
      <w:bookmarkStart w:id="59" w:name="refTemp9"/>
      <w:bookmarkEnd w:id="59"/>
      <w:r w:rsidRPr="00132D52">
        <w:rPr>
          <w:rFonts w:eastAsia="SimSun"/>
        </w:rPr>
        <w:t xml:space="preserve">, K.; Barlow, C.K.; Jayawardana, K.S.; Weir, J.M.; Mellett, N.A.; Cinel, M.; Magliano, D.J.; Shaw, J.E.; Drew, B.G.; Meikle, P.J. High-Throughput Plasma Lipidomics: Detailed Mapping of the Associations with Cardiometabolic Risk Factors. </w:t>
      </w:r>
      <w:r w:rsidRPr="00132D52">
        <w:rPr>
          <w:rFonts w:eastAsia="SimSun"/>
          <w:i/>
          <w:iCs/>
        </w:rPr>
        <w:t>Cell Chem. Boil.</w:t>
      </w:r>
      <w:r w:rsidRPr="00132D52">
        <w:rPr>
          <w:rFonts w:eastAsia="SimSun"/>
        </w:rPr>
        <w:t xml:space="preserve"> </w:t>
      </w:r>
      <w:r w:rsidRPr="00132D52">
        <w:rPr>
          <w:rFonts w:eastAsia="SimSun"/>
          <w:b/>
          <w:bCs/>
        </w:rPr>
        <w:t>2019</w:t>
      </w:r>
      <w:r w:rsidRPr="00132D52">
        <w:rPr>
          <w:rFonts w:eastAsia="SimSun"/>
        </w:rPr>
        <w:t xml:space="preserve">, </w:t>
      </w:r>
      <w:r w:rsidRPr="00132D52">
        <w:rPr>
          <w:rFonts w:eastAsia="SimSun"/>
          <w:i/>
          <w:iCs/>
        </w:rPr>
        <w:t>26</w:t>
      </w:r>
      <w:r w:rsidRPr="00132D52">
        <w:rPr>
          <w:rFonts w:eastAsia="SimSun"/>
        </w:rPr>
        <w:t>, 71–84.e4, doi:10.1016/j.chembiol.2018.10.008.</w:t>
      </w:r>
    </w:p>
    <w:p w14:paraId="5051F91F" w14:textId="0361E6DF" w:rsidR="002C7483" w:rsidRPr="00132D52" w:rsidRDefault="002C7483" w:rsidP="002C7483">
      <w:pPr>
        <w:pStyle w:val="MDPI71References"/>
        <w:adjustRightInd w:val="0"/>
        <w:snapToGrid w:val="0"/>
        <w:ind w:left="425" w:hanging="425"/>
        <w:rPr>
          <w:rFonts w:eastAsia="SimSun"/>
        </w:rPr>
      </w:pPr>
      <w:r w:rsidRPr="00132D52">
        <w:rPr>
          <w:rFonts w:eastAsia="SimSun"/>
        </w:rPr>
        <w:lastRenderedPageBreak/>
        <w:t>Alshehry</w:t>
      </w:r>
      <w:bookmarkStart w:id="60" w:name="refTemp10"/>
      <w:bookmarkEnd w:id="60"/>
      <w:r w:rsidRPr="00132D52">
        <w:rPr>
          <w:rFonts w:eastAsia="SimSun"/>
        </w:rPr>
        <w:t xml:space="preserve">, Z.H.; Barlow, C.K.; Weir, J.M.; Zhou, Y.; McConville, M.J.; Meikle, P.J. An Efficient Single Phase Method for the Extraction of Plasma Lipids. </w:t>
      </w:r>
      <w:r w:rsidRPr="00132D52">
        <w:rPr>
          <w:rFonts w:eastAsia="SimSun"/>
          <w:i/>
          <w:iCs/>
        </w:rPr>
        <w:t>Metabolites</w:t>
      </w:r>
      <w:r w:rsidRPr="00132D52">
        <w:rPr>
          <w:rFonts w:eastAsia="SimSun"/>
        </w:rPr>
        <w:t xml:space="preserve"> </w:t>
      </w:r>
      <w:r w:rsidRPr="00132D52">
        <w:rPr>
          <w:rFonts w:eastAsia="SimSun"/>
          <w:b/>
          <w:bCs/>
        </w:rPr>
        <w:t>2015</w:t>
      </w:r>
      <w:r w:rsidRPr="00132D52">
        <w:rPr>
          <w:rFonts w:eastAsia="SimSun"/>
        </w:rPr>
        <w:t xml:space="preserve">, </w:t>
      </w:r>
      <w:r w:rsidRPr="00132D52">
        <w:rPr>
          <w:rFonts w:eastAsia="SimSun"/>
          <w:i/>
          <w:iCs/>
        </w:rPr>
        <w:t>5</w:t>
      </w:r>
      <w:r w:rsidRPr="00132D52">
        <w:rPr>
          <w:rFonts w:eastAsia="SimSun"/>
        </w:rPr>
        <w:t>, 389–403, doi:10.3390/metabo5020389.</w:t>
      </w:r>
    </w:p>
    <w:p w14:paraId="73CEE8C9" w14:textId="2063D722" w:rsidR="002C7483" w:rsidRPr="00132D52" w:rsidRDefault="002C7483" w:rsidP="002C7483">
      <w:pPr>
        <w:pStyle w:val="MDPI71References"/>
        <w:adjustRightInd w:val="0"/>
        <w:snapToGrid w:val="0"/>
        <w:ind w:left="425" w:hanging="425"/>
        <w:rPr>
          <w:rFonts w:eastAsia="SimSun"/>
        </w:rPr>
      </w:pPr>
      <w:r w:rsidRPr="00132D52">
        <w:rPr>
          <w:rFonts w:eastAsia="SimSun"/>
        </w:rPr>
        <w:t>Quehenberger</w:t>
      </w:r>
      <w:bookmarkStart w:id="61" w:name="refTemp11"/>
      <w:bookmarkEnd w:id="61"/>
      <w:r w:rsidRPr="00132D52">
        <w:rPr>
          <w:rFonts w:eastAsia="SimSun"/>
        </w:rPr>
        <w:t xml:space="preserve">, O.; Armando, A.M.; Brown, A.H.; Milne, S.B.; Myers, D.S.; Merrill, A.H.; Bandyopadhyay, S.; Jones, K.N.; Kelly, S.; Shaner, R.L.; et al. Lipidomics reveals a remarkable diversity of lipids in human plasma1[S]. </w:t>
      </w:r>
      <w:r w:rsidRPr="00132D52">
        <w:rPr>
          <w:rFonts w:eastAsia="SimSun"/>
          <w:i/>
          <w:iCs/>
        </w:rPr>
        <w:t>J. Lipid Res.</w:t>
      </w:r>
      <w:r w:rsidRPr="00132D52">
        <w:rPr>
          <w:rFonts w:eastAsia="SimSun"/>
        </w:rPr>
        <w:t xml:space="preserve"> </w:t>
      </w:r>
      <w:r w:rsidRPr="00132D52">
        <w:rPr>
          <w:rFonts w:eastAsia="SimSun"/>
          <w:b/>
          <w:bCs/>
        </w:rPr>
        <w:t>2010</w:t>
      </w:r>
      <w:r w:rsidRPr="00132D52">
        <w:rPr>
          <w:rFonts w:eastAsia="SimSun"/>
        </w:rPr>
        <w:t xml:space="preserve">, </w:t>
      </w:r>
      <w:r w:rsidRPr="00132D52">
        <w:rPr>
          <w:rFonts w:eastAsia="SimSun"/>
          <w:i/>
          <w:iCs/>
        </w:rPr>
        <w:t>51</w:t>
      </w:r>
      <w:r w:rsidRPr="00132D52">
        <w:rPr>
          <w:rFonts w:eastAsia="SimSun"/>
        </w:rPr>
        <w:t>, 3299–3305, doi:10.1194/jlr.M009449.</w:t>
      </w:r>
    </w:p>
    <w:p w14:paraId="63C54EA5" w14:textId="42A126AA" w:rsidR="002C7483" w:rsidRPr="00132D52" w:rsidRDefault="002C7483" w:rsidP="002C7483">
      <w:pPr>
        <w:pStyle w:val="MDPI71References"/>
        <w:adjustRightInd w:val="0"/>
        <w:snapToGrid w:val="0"/>
        <w:ind w:left="425" w:hanging="425"/>
        <w:rPr>
          <w:rFonts w:eastAsia="SimSun"/>
        </w:rPr>
      </w:pPr>
      <w:r w:rsidRPr="00132D52">
        <w:rPr>
          <w:rFonts w:eastAsia="SimSun"/>
        </w:rPr>
        <w:t>Burdge</w:t>
      </w:r>
      <w:bookmarkStart w:id="62" w:name="refTemp12"/>
      <w:bookmarkEnd w:id="62"/>
      <w:r w:rsidRPr="00132D52">
        <w:rPr>
          <w:rFonts w:eastAsia="SimSun"/>
        </w:rPr>
        <w:t xml:space="preserve">, G.C.; Wright, P.; Jones, A.E.; Wootton, S. A method for separation of phosphatidylcholine, triacylglycerol, non-esterified fatty acids and cholesterol esters from plasma by solid-phase extraction. </w:t>
      </w:r>
      <w:r w:rsidRPr="00132D52">
        <w:rPr>
          <w:rFonts w:eastAsia="SimSun"/>
          <w:i/>
          <w:iCs/>
        </w:rPr>
        <w:t>Br. J. Nutr.</w:t>
      </w:r>
      <w:r w:rsidRPr="00132D52">
        <w:rPr>
          <w:rFonts w:eastAsia="SimSun"/>
        </w:rPr>
        <w:t xml:space="preserve"> </w:t>
      </w:r>
      <w:r w:rsidRPr="00132D52">
        <w:rPr>
          <w:rFonts w:eastAsia="SimSun"/>
          <w:b/>
          <w:bCs/>
        </w:rPr>
        <w:t>2000</w:t>
      </w:r>
      <w:r w:rsidRPr="00132D52">
        <w:rPr>
          <w:rFonts w:eastAsia="SimSun"/>
        </w:rPr>
        <w:t xml:space="preserve">, </w:t>
      </w:r>
      <w:r w:rsidRPr="00132D52">
        <w:rPr>
          <w:rFonts w:eastAsia="SimSun"/>
          <w:i/>
          <w:iCs/>
        </w:rPr>
        <w:t>84</w:t>
      </w:r>
      <w:r w:rsidRPr="00132D52">
        <w:rPr>
          <w:rFonts w:eastAsia="SimSun"/>
        </w:rPr>
        <w:t>, 781–787, doi:10.1017/s0007114500002154.</w:t>
      </w:r>
    </w:p>
    <w:p w14:paraId="2366F1E0" w14:textId="3030416A" w:rsidR="002C7483" w:rsidRPr="00132D52" w:rsidRDefault="002C7483" w:rsidP="002C7483">
      <w:pPr>
        <w:pStyle w:val="MDPI71References"/>
        <w:adjustRightInd w:val="0"/>
        <w:snapToGrid w:val="0"/>
        <w:ind w:left="425" w:hanging="425"/>
        <w:rPr>
          <w:rFonts w:eastAsia="SimSun"/>
        </w:rPr>
      </w:pPr>
      <w:r w:rsidRPr="00132D52">
        <w:rPr>
          <w:rFonts w:eastAsia="SimSun"/>
        </w:rPr>
        <w:t>Löfgren</w:t>
      </w:r>
      <w:bookmarkStart w:id="63" w:name="refTemp13"/>
      <w:bookmarkEnd w:id="63"/>
      <w:r w:rsidRPr="00132D52">
        <w:rPr>
          <w:rFonts w:eastAsia="SimSun"/>
        </w:rPr>
        <w:t xml:space="preserve">, L.; Stahlman, M.; Forsberg, G.-B.; Saarinen, S.; Nilsson, R.; Hansson, G.I. The BUME method: a novel automated chloroform-free 96-well total lipid extraction method for blood plasma[S]. </w:t>
      </w:r>
      <w:r w:rsidRPr="00132D52">
        <w:rPr>
          <w:rFonts w:eastAsia="SimSun"/>
          <w:i/>
          <w:iCs/>
        </w:rPr>
        <w:t>J. Lipid Res.</w:t>
      </w:r>
      <w:r w:rsidRPr="00132D52">
        <w:rPr>
          <w:rFonts w:eastAsia="SimSun"/>
        </w:rPr>
        <w:t xml:space="preserve"> </w:t>
      </w:r>
      <w:r w:rsidRPr="00132D52">
        <w:rPr>
          <w:rFonts w:eastAsia="SimSun"/>
          <w:b/>
          <w:bCs/>
        </w:rPr>
        <w:t>2012</w:t>
      </w:r>
      <w:r w:rsidRPr="00132D52">
        <w:rPr>
          <w:rFonts w:eastAsia="SimSun"/>
        </w:rPr>
        <w:t xml:space="preserve">, </w:t>
      </w:r>
      <w:r w:rsidRPr="00132D52">
        <w:rPr>
          <w:rFonts w:eastAsia="SimSun"/>
          <w:i/>
          <w:iCs/>
        </w:rPr>
        <w:t>53</w:t>
      </w:r>
      <w:r w:rsidRPr="00132D52">
        <w:rPr>
          <w:rFonts w:eastAsia="SimSun"/>
        </w:rPr>
        <w:t>, 1690–1700, doi:10.1194/jlr.D023036.</w:t>
      </w:r>
    </w:p>
    <w:p w14:paraId="3F59E15C" w14:textId="644743A9" w:rsidR="002C7483" w:rsidRPr="00132D52" w:rsidRDefault="002C7483" w:rsidP="002C7483">
      <w:pPr>
        <w:pStyle w:val="MDPI71References"/>
        <w:adjustRightInd w:val="0"/>
        <w:snapToGrid w:val="0"/>
        <w:ind w:left="425" w:hanging="425"/>
        <w:rPr>
          <w:rFonts w:eastAsia="SimSun"/>
        </w:rPr>
      </w:pPr>
      <w:r w:rsidRPr="00132D52">
        <w:rPr>
          <w:rFonts w:eastAsia="SimSun"/>
        </w:rPr>
        <w:t>Furse</w:t>
      </w:r>
      <w:bookmarkStart w:id="64" w:name="refTemp14"/>
      <w:bookmarkEnd w:id="64"/>
      <w:r w:rsidRPr="00132D52">
        <w:rPr>
          <w:rFonts w:eastAsia="SimSun"/>
        </w:rPr>
        <w:t xml:space="preserve">, S.; Fernandez-Twinn, D.; Jenkins, B.; Meek, C.L.; Williams, H.E.; Smith, G.C.S.; Charnock-Jones, D.S.; Ozanne Susan, E.; Koulman, A. A platform for detailed, high throughput lipidomics surveys of a range of mouse and human tissue types at a molecular level. </w:t>
      </w:r>
      <w:r w:rsidR="00132D52" w:rsidRPr="00132D52">
        <w:rPr>
          <w:rFonts w:eastAsia="SimSun"/>
          <w:i/>
          <w:iCs/>
        </w:rPr>
        <w:t>Anal.</w:t>
      </w:r>
      <w:r w:rsidRPr="00132D52">
        <w:rPr>
          <w:rFonts w:eastAsia="SimSun"/>
          <w:i/>
          <w:iCs/>
        </w:rPr>
        <w:t xml:space="preserve"> Bioanal Chem</w:t>
      </w:r>
      <w:r w:rsidRPr="00132D52">
        <w:rPr>
          <w:rFonts w:eastAsia="SimSun"/>
        </w:rPr>
        <w:t xml:space="preserve"> </w:t>
      </w:r>
      <w:r w:rsidRPr="00132D52">
        <w:rPr>
          <w:rFonts w:eastAsia="SimSun"/>
          <w:b/>
          <w:bCs/>
        </w:rPr>
        <w:t>2020</w:t>
      </w:r>
      <w:r w:rsidRPr="00132D52">
        <w:rPr>
          <w:rFonts w:eastAsia="SimSun"/>
        </w:rPr>
        <w:t xml:space="preserve">, </w:t>
      </w:r>
      <w:r w:rsidRPr="00132D52">
        <w:rPr>
          <w:rFonts w:eastAsia="SimSun"/>
          <w:i/>
          <w:iCs/>
        </w:rPr>
        <w:t>412</w:t>
      </w:r>
      <w:r w:rsidRPr="00132D52">
        <w:rPr>
          <w:rFonts w:eastAsia="SimSun"/>
        </w:rPr>
        <w:t>, 2851–2862.</w:t>
      </w:r>
    </w:p>
    <w:p w14:paraId="76276F18" w14:textId="7D0474AE" w:rsidR="002C7483" w:rsidRPr="00132D52" w:rsidRDefault="002C7483" w:rsidP="002C7483">
      <w:pPr>
        <w:pStyle w:val="MDPI71References"/>
        <w:adjustRightInd w:val="0"/>
        <w:snapToGrid w:val="0"/>
        <w:ind w:left="425" w:hanging="425"/>
        <w:rPr>
          <w:rFonts w:eastAsia="SimSun"/>
        </w:rPr>
      </w:pPr>
      <w:r w:rsidRPr="00132D52">
        <w:rPr>
          <w:rFonts w:eastAsia="SimSun"/>
        </w:rPr>
        <w:t>Shoukry</w:t>
      </w:r>
      <w:bookmarkStart w:id="65" w:name="refTemp15"/>
      <w:bookmarkEnd w:id="65"/>
      <w:r w:rsidRPr="00132D52">
        <w:rPr>
          <w:rFonts w:eastAsia="SimSun"/>
        </w:rPr>
        <w:t xml:space="preserve">, M.I. Extraction of lipids from mammalian liver using nontoxic solvents. </w:t>
      </w:r>
      <w:r w:rsidRPr="00132D52">
        <w:rPr>
          <w:rFonts w:eastAsia="SimSun"/>
          <w:i/>
          <w:iCs/>
        </w:rPr>
        <w:t>J. Biochem. Biophys. Methods</w:t>
      </w:r>
      <w:r w:rsidRPr="00132D52">
        <w:rPr>
          <w:rFonts w:eastAsia="SimSun"/>
        </w:rPr>
        <w:t xml:space="preserve"> </w:t>
      </w:r>
      <w:r w:rsidRPr="00132D52">
        <w:rPr>
          <w:rFonts w:eastAsia="SimSun"/>
          <w:b/>
          <w:bCs/>
        </w:rPr>
        <w:t>1980</w:t>
      </w:r>
      <w:r w:rsidRPr="00132D52">
        <w:rPr>
          <w:rFonts w:eastAsia="SimSun"/>
        </w:rPr>
        <w:t xml:space="preserve">, </w:t>
      </w:r>
      <w:r w:rsidRPr="00132D52">
        <w:rPr>
          <w:rFonts w:eastAsia="SimSun"/>
          <w:i/>
          <w:iCs/>
        </w:rPr>
        <w:t>3</w:t>
      </w:r>
      <w:r w:rsidRPr="00132D52">
        <w:rPr>
          <w:rFonts w:eastAsia="SimSun"/>
        </w:rPr>
        <w:t>, 219–224, doi:10.1016/0165-022x(80)90060-3.</w:t>
      </w:r>
    </w:p>
    <w:p w14:paraId="61DDE267" w14:textId="58F7D220" w:rsidR="002C7483" w:rsidRPr="00132D52" w:rsidRDefault="002C7483" w:rsidP="002C7483">
      <w:pPr>
        <w:pStyle w:val="MDPI71References"/>
        <w:adjustRightInd w:val="0"/>
        <w:snapToGrid w:val="0"/>
        <w:ind w:left="425" w:hanging="425"/>
        <w:rPr>
          <w:rFonts w:eastAsia="SimSun"/>
        </w:rPr>
      </w:pPr>
      <w:r w:rsidRPr="00132D52">
        <w:rPr>
          <w:rFonts w:eastAsia="SimSun"/>
        </w:rPr>
        <w:t>Kahlon</w:t>
      </w:r>
      <w:bookmarkStart w:id="66" w:name="refTemp16"/>
      <w:bookmarkEnd w:id="66"/>
      <w:r w:rsidRPr="00132D52">
        <w:rPr>
          <w:rFonts w:eastAsia="SimSun"/>
        </w:rPr>
        <w:t xml:space="preserve">, T.S.; Chow, F.I.; Sayre, R.N. Quantitative extraction of hamster liver lipid and cholesterol with supercritical carbon dioxide. </w:t>
      </w:r>
      <w:r w:rsidRPr="00132D52">
        <w:rPr>
          <w:rFonts w:eastAsia="SimSun"/>
          <w:i/>
          <w:iCs/>
        </w:rPr>
        <w:t>J. Am. Oil Chem. Soc.</w:t>
      </w:r>
      <w:r w:rsidRPr="00132D52">
        <w:rPr>
          <w:rFonts w:eastAsia="SimSun"/>
        </w:rPr>
        <w:t xml:space="preserve"> </w:t>
      </w:r>
      <w:r w:rsidRPr="00132D52">
        <w:rPr>
          <w:rFonts w:eastAsia="SimSun"/>
          <w:b/>
          <w:bCs/>
        </w:rPr>
        <w:t>1996</w:t>
      </w:r>
      <w:r w:rsidRPr="00132D52">
        <w:rPr>
          <w:rFonts w:eastAsia="SimSun"/>
        </w:rPr>
        <w:t xml:space="preserve">, </w:t>
      </w:r>
      <w:r w:rsidRPr="00132D52">
        <w:rPr>
          <w:rFonts w:eastAsia="SimSun"/>
          <w:i/>
          <w:iCs/>
        </w:rPr>
        <w:t>73</w:t>
      </w:r>
      <w:r w:rsidRPr="00132D52">
        <w:rPr>
          <w:rFonts w:eastAsia="SimSun"/>
        </w:rPr>
        <w:t>, 1341–1342, doi:10.1007/bf02525466.</w:t>
      </w:r>
    </w:p>
    <w:p w14:paraId="18437ED5" w14:textId="68E9E369" w:rsidR="002C7483" w:rsidRPr="00132D52" w:rsidRDefault="002C7483" w:rsidP="002C7483">
      <w:pPr>
        <w:pStyle w:val="MDPI71References"/>
        <w:adjustRightInd w:val="0"/>
        <w:snapToGrid w:val="0"/>
        <w:ind w:left="425" w:hanging="425"/>
        <w:rPr>
          <w:rFonts w:eastAsia="SimSun"/>
        </w:rPr>
      </w:pPr>
      <w:r w:rsidRPr="00132D52">
        <w:rPr>
          <w:rFonts w:eastAsia="SimSun"/>
        </w:rPr>
        <w:t>Koulman</w:t>
      </w:r>
      <w:bookmarkStart w:id="67" w:name="refTemp17"/>
      <w:bookmarkEnd w:id="67"/>
      <w:r w:rsidRPr="00132D52">
        <w:rPr>
          <w:rFonts w:eastAsia="SimSun"/>
        </w:rPr>
        <w:t xml:space="preserve">, A.; Prentice, P.; Wong, M.C.Y.; Matthews, L.; Bond, N.; Eiden, M.; Griffin, J.L.; Dunger, D.B. The development and validation of a fast and robust dried blood spot based lipid profiling method to study infant metabolism. </w:t>
      </w:r>
      <w:r w:rsidRPr="00132D52">
        <w:rPr>
          <w:rFonts w:eastAsia="SimSun"/>
          <w:i/>
          <w:iCs/>
        </w:rPr>
        <w:t>Metabolomics</w:t>
      </w:r>
      <w:r w:rsidRPr="00132D52">
        <w:rPr>
          <w:rFonts w:eastAsia="SimSun"/>
        </w:rPr>
        <w:t xml:space="preserve"> </w:t>
      </w:r>
      <w:r w:rsidRPr="00132D52">
        <w:rPr>
          <w:rFonts w:eastAsia="SimSun"/>
          <w:b/>
          <w:bCs/>
        </w:rPr>
        <w:t>2014</w:t>
      </w:r>
      <w:r w:rsidRPr="00132D52">
        <w:rPr>
          <w:rFonts w:eastAsia="SimSun"/>
        </w:rPr>
        <w:t xml:space="preserve">, </w:t>
      </w:r>
      <w:r w:rsidRPr="00132D52">
        <w:rPr>
          <w:rFonts w:eastAsia="SimSun"/>
          <w:i/>
          <w:iCs/>
        </w:rPr>
        <w:t>10</w:t>
      </w:r>
      <w:r w:rsidRPr="00132D52">
        <w:rPr>
          <w:rFonts w:eastAsia="SimSun"/>
        </w:rPr>
        <w:t>, 1018–1025, doi:10.1007/s11306-014-0628-z.</w:t>
      </w:r>
    </w:p>
    <w:p w14:paraId="70657D0E" w14:textId="603F9CE4" w:rsidR="002C7483" w:rsidRPr="00132D52" w:rsidRDefault="002C7483" w:rsidP="002C7483">
      <w:pPr>
        <w:pStyle w:val="MDPI71References"/>
        <w:adjustRightInd w:val="0"/>
        <w:snapToGrid w:val="0"/>
        <w:ind w:left="425" w:hanging="425"/>
        <w:rPr>
          <w:rFonts w:eastAsia="SimSun"/>
        </w:rPr>
      </w:pPr>
      <w:r w:rsidRPr="00132D52">
        <w:rPr>
          <w:rFonts w:eastAsia="SimSun"/>
        </w:rPr>
        <w:t>Kong</w:t>
      </w:r>
      <w:bookmarkStart w:id="68" w:name="refTemp18"/>
      <w:bookmarkEnd w:id="68"/>
      <w:r w:rsidRPr="00132D52">
        <w:rPr>
          <w:rFonts w:eastAsia="SimSun"/>
        </w:rPr>
        <w:t xml:space="preserve">, S.T.; Lin, H.-S.; Ching, J.; Ho, P.C. Evaluation of Dried Blood Spots as Sample Matrix for Gas Chromatography/Mass Spectrometry Based Metabolomic Profiling. </w:t>
      </w:r>
      <w:r w:rsidRPr="00132D52">
        <w:rPr>
          <w:rFonts w:eastAsia="SimSun"/>
          <w:i/>
          <w:iCs/>
        </w:rPr>
        <w:t>Anal. Chem.</w:t>
      </w:r>
      <w:r w:rsidRPr="00132D52">
        <w:rPr>
          <w:rFonts w:eastAsia="SimSun"/>
        </w:rPr>
        <w:t xml:space="preserve"> </w:t>
      </w:r>
      <w:r w:rsidRPr="00132D52">
        <w:rPr>
          <w:rFonts w:eastAsia="SimSun"/>
          <w:b/>
          <w:bCs/>
        </w:rPr>
        <w:t>2011</w:t>
      </w:r>
      <w:r w:rsidRPr="00132D52">
        <w:rPr>
          <w:rFonts w:eastAsia="SimSun"/>
        </w:rPr>
        <w:t xml:space="preserve">, </w:t>
      </w:r>
      <w:r w:rsidRPr="00132D52">
        <w:rPr>
          <w:rFonts w:eastAsia="SimSun"/>
          <w:i/>
          <w:iCs/>
        </w:rPr>
        <w:t>83</w:t>
      </w:r>
      <w:r w:rsidRPr="00132D52">
        <w:rPr>
          <w:rFonts w:eastAsia="SimSun"/>
        </w:rPr>
        <w:t>, 4314–4318, doi:10.1021/ac200662s.</w:t>
      </w:r>
    </w:p>
    <w:p w14:paraId="007B6D76" w14:textId="337F0FDD" w:rsidR="002C7483" w:rsidRPr="00132D52" w:rsidRDefault="002C7483" w:rsidP="002C7483">
      <w:pPr>
        <w:pStyle w:val="MDPI71References"/>
        <w:adjustRightInd w:val="0"/>
        <w:snapToGrid w:val="0"/>
        <w:ind w:left="425" w:hanging="425"/>
        <w:rPr>
          <w:rFonts w:eastAsia="SimSun"/>
        </w:rPr>
      </w:pPr>
      <w:r w:rsidRPr="00132D52">
        <w:rPr>
          <w:rFonts w:eastAsia="SimSun"/>
        </w:rPr>
        <w:t>Affan</w:t>
      </w:r>
      <w:bookmarkStart w:id="69" w:name="refTemp19"/>
      <w:bookmarkEnd w:id="69"/>
      <w:r w:rsidRPr="00132D52">
        <w:rPr>
          <w:rFonts w:eastAsia="SimSun"/>
        </w:rPr>
        <w:t xml:space="preserve">, E.T.; Praveen, D.; Chow, C.K.; Neal, B. Comparability of HbA1c and lipids measured with dried blood spot versus venous samples: a systematic review and meta-analysis. </w:t>
      </w:r>
      <w:r w:rsidRPr="00132D52">
        <w:rPr>
          <w:rFonts w:eastAsia="SimSun"/>
          <w:i/>
          <w:iCs/>
        </w:rPr>
        <w:t>BMC Clin. Pathol.</w:t>
      </w:r>
      <w:r w:rsidRPr="00132D52">
        <w:rPr>
          <w:rFonts w:eastAsia="SimSun"/>
        </w:rPr>
        <w:t xml:space="preserve"> </w:t>
      </w:r>
      <w:r w:rsidRPr="00132D52">
        <w:rPr>
          <w:rFonts w:eastAsia="SimSun"/>
          <w:b/>
          <w:bCs/>
        </w:rPr>
        <w:t>2014</w:t>
      </w:r>
      <w:r w:rsidRPr="00132D52">
        <w:rPr>
          <w:rFonts w:eastAsia="SimSun"/>
        </w:rPr>
        <w:t xml:space="preserve">, </w:t>
      </w:r>
      <w:r w:rsidRPr="00132D52">
        <w:rPr>
          <w:rFonts w:eastAsia="SimSun"/>
          <w:i/>
          <w:iCs/>
        </w:rPr>
        <w:t>14</w:t>
      </w:r>
      <w:r w:rsidRPr="00132D52">
        <w:rPr>
          <w:rFonts w:eastAsia="SimSun"/>
        </w:rPr>
        <w:t>, 21, doi:10.1186/1472-6890-14-21.</w:t>
      </w:r>
    </w:p>
    <w:p w14:paraId="1A230696" w14:textId="260F290D" w:rsidR="002C7483" w:rsidRPr="00132D52" w:rsidRDefault="002C7483" w:rsidP="002C7483">
      <w:pPr>
        <w:pStyle w:val="MDPI71References"/>
        <w:adjustRightInd w:val="0"/>
        <w:snapToGrid w:val="0"/>
        <w:ind w:left="425" w:hanging="425"/>
        <w:rPr>
          <w:rFonts w:eastAsia="SimSun"/>
        </w:rPr>
      </w:pPr>
      <w:r w:rsidRPr="00132D52">
        <w:rPr>
          <w:rFonts w:eastAsia="SimSun"/>
        </w:rPr>
        <w:t>Castro</w:t>
      </w:r>
      <w:bookmarkStart w:id="70" w:name="refTemp20"/>
      <w:bookmarkEnd w:id="70"/>
      <w:r w:rsidRPr="00132D52">
        <w:rPr>
          <w:rFonts w:eastAsia="SimSun"/>
        </w:rPr>
        <w:t xml:space="preserve">-Gómez, M.; Rodríguez-Alcalá, L.M.; Calvo, M.; Romero, J.; Mendiola, J.A.; Ibanez, E.; Fontecha, J. Total milk fat extraction and quantification of polar and neutral lipids of cow, goat, and ewe milk by using a pressurized liquid system and chromatographic techniques. </w:t>
      </w:r>
      <w:r w:rsidRPr="00132D52">
        <w:rPr>
          <w:rFonts w:eastAsia="SimSun"/>
          <w:i/>
          <w:iCs/>
        </w:rPr>
        <w:t>J. Dairy Sci.</w:t>
      </w:r>
      <w:r w:rsidRPr="00132D52">
        <w:rPr>
          <w:rFonts w:eastAsia="SimSun"/>
        </w:rPr>
        <w:t xml:space="preserve"> </w:t>
      </w:r>
      <w:r w:rsidRPr="00132D52">
        <w:rPr>
          <w:rFonts w:eastAsia="SimSun"/>
          <w:b/>
          <w:bCs/>
        </w:rPr>
        <w:t>2014</w:t>
      </w:r>
      <w:r w:rsidRPr="00132D52">
        <w:rPr>
          <w:rFonts w:eastAsia="SimSun"/>
        </w:rPr>
        <w:t xml:space="preserve">, </w:t>
      </w:r>
      <w:r w:rsidRPr="00132D52">
        <w:rPr>
          <w:rFonts w:eastAsia="SimSun"/>
          <w:i/>
          <w:iCs/>
        </w:rPr>
        <w:t>97</w:t>
      </w:r>
      <w:r w:rsidRPr="00132D52">
        <w:rPr>
          <w:rFonts w:eastAsia="SimSun"/>
        </w:rPr>
        <w:t>, 6719–6728, doi:10.3168/jds.2014-8128.</w:t>
      </w:r>
    </w:p>
    <w:p w14:paraId="4CC05D3E" w14:textId="0888D406" w:rsidR="002C7483" w:rsidRPr="00132D52" w:rsidRDefault="002C7483" w:rsidP="002C7483">
      <w:pPr>
        <w:pStyle w:val="MDPI71References"/>
        <w:adjustRightInd w:val="0"/>
        <w:snapToGrid w:val="0"/>
        <w:ind w:left="425" w:hanging="425"/>
        <w:rPr>
          <w:rFonts w:eastAsia="SimSun"/>
        </w:rPr>
      </w:pPr>
      <w:r w:rsidRPr="00132D52">
        <w:rPr>
          <w:rFonts w:eastAsia="SimSun"/>
        </w:rPr>
        <w:t>Furse</w:t>
      </w:r>
      <w:bookmarkStart w:id="71" w:name="refTemp21"/>
      <w:bookmarkEnd w:id="71"/>
      <w:r w:rsidRPr="00132D52">
        <w:rPr>
          <w:rFonts w:eastAsia="SimSun"/>
        </w:rPr>
        <w:t xml:space="preserve">, S.; Koulman, A. The Lipid and Glyceride Profiles of Infant Formula Differ by Manufacturer, Region and Date Sold. </w:t>
      </w:r>
      <w:r w:rsidRPr="00132D52">
        <w:rPr>
          <w:rFonts w:eastAsia="SimSun"/>
          <w:i/>
          <w:iCs/>
        </w:rPr>
        <w:t>Nutrients</w:t>
      </w:r>
      <w:r w:rsidRPr="00132D52">
        <w:rPr>
          <w:rFonts w:eastAsia="SimSun"/>
        </w:rPr>
        <w:t xml:space="preserve"> </w:t>
      </w:r>
      <w:r w:rsidRPr="00132D52">
        <w:rPr>
          <w:rFonts w:eastAsia="SimSun"/>
          <w:b/>
          <w:bCs/>
        </w:rPr>
        <w:t>2019</w:t>
      </w:r>
      <w:r w:rsidRPr="00132D52">
        <w:rPr>
          <w:rFonts w:eastAsia="SimSun"/>
        </w:rPr>
        <w:t xml:space="preserve">, </w:t>
      </w:r>
      <w:r w:rsidRPr="00132D52">
        <w:rPr>
          <w:rFonts w:eastAsia="SimSun"/>
          <w:i/>
          <w:iCs/>
        </w:rPr>
        <w:t>11</w:t>
      </w:r>
      <w:r w:rsidRPr="00132D52">
        <w:rPr>
          <w:rFonts w:eastAsia="SimSun"/>
        </w:rPr>
        <w:t>, 1122, doi:10.3390/nu11051122.</w:t>
      </w:r>
    </w:p>
    <w:p w14:paraId="0AC5F412" w14:textId="69D59CFB" w:rsidR="002C7483" w:rsidRPr="00132D52" w:rsidRDefault="002C7483" w:rsidP="002C7483">
      <w:pPr>
        <w:pStyle w:val="MDPI71References"/>
        <w:adjustRightInd w:val="0"/>
        <w:snapToGrid w:val="0"/>
        <w:ind w:left="425" w:hanging="425"/>
        <w:rPr>
          <w:rFonts w:eastAsia="SimSun"/>
        </w:rPr>
      </w:pPr>
      <w:r w:rsidRPr="00132D52">
        <w:rPr>
          <w:rFonts w:eastAsia="SimSun"/>
        </w:rPr>
        <w:t>Furse</w:t>
      </w:r>
      <w:bookmarkStart w:id="72" w:name="refTemp22"/>
      <w:bookmarkEnd w:id="72"/>
      <w:r w:rsidRPr="00132D52">
        <w:rPr>
          <w:rFonts w:eastAsia="SimSun"/>
        </w:rPr>
        <w:t xml:space="preserve">, S.; Egmond, M.R.; Killian, J.A. Isolation of lipids from biological samples. </w:t>
      </w:r>
      <w:r w:rsidRPr="00132D52">
        <w:rPr>
          <w:rFonts w:eastAsia="SimSun"/>
          <w:i/>
          <w:iCs/>
        </w:rPr>
        <w:t>Mol. Membr. Boil.</w:t>
      </w:r>
      <w:r w:rsidRPr="00132D52">
        <w:rPr>
          <w:rFonts w:eastAsia="SimSun"/>
        </w:rPr>
        <w:t xml:space="preserve"> </w:t>
      </w:r>
      <w:r w:rsidRPr="00132D52">
        <w:rPr>
          <w:rFonts w:eastAsia="SimSun"/>
          <w:b/>
          <w:bCs/>
        </w:rPr>
        <w:t>2015</w:t>
      </w:r>
      <w:r w:rsidRPr="00132D52">
        <w:rPr>
          <w:rFonts w:eastAsia="SimSun"/>
        </w:rPr>
        <w:t xml:space="preserve">, </w:t>
      </w:r>
      <w:r w:rsidRPr="00132D52">
        <w:rPr>
          <w:rFonts w:eastAsia="SimSun"/>
          <w:i/>
          <w:iCs/>
        </w:rPr>
        <w:t>32</w:t>
      </w:r>
      <w:r w:rsidRPr="00132D52">
        <w:rPr>
          <w:rFonts w:eastAsia="SimSun"/>
        </w:rPr>
        <w:t>, 55–64, doi:10.3109/09687688.2015.1050468.</w:t>
      </w:r>
    </w:p>
    <w:p w14:paraId="67311EEB" w14:textId="27B04218" w:rsidR="002C7483" w:rsidRPr="00132D52" w:rsidRDefault="002C7483" w:rsidP="002C7483">
      <w:pPr>
        <w:pStyle w:val="MDPI71References"/>
        <w:adjustRightInd w:val="0"/>
        <w:snapToGrid w:val="0"/>
        <w:ind w:left="425" w:hanging="425"/>
        <w:rPr>
          <w:rFonts w:eastAsia="SimSun"/>
        </w:rPr>
      </w:pPr>
      <w:r w:rsidRPr="00132D52">
        <w:rPr>
          <w:rFonts w:eastAsia="SimSun"/>
        </w:rPr>
        <w:t>Aldana</w:t>
      </w:r>
      <w:bookmarkStart w:id="73" w:name="refTemp23"/>
      <w:bookmarkEnd w:id="73"/>
      <w:r w:rsidRPr="00132D52">
        <w:rPr>
          <w:rFonts w:eastAsia="SimSun"/>
        </w:rPr>
        <w:t xml:space="preserve">, J.; Romero-Otero, A.; Cala, M.P. Exploring the Lipidome: Current Lipid Extraction Techniques for Mass Spectrometry Analysis. </w:t>
      </w:r>
      <w:r w:rsidRPr="00132D52">
        <w:rPr>
          <w:rFonts w:eastAsia="SimSun"/>
          <w:i/>
          <w:iCs/>
        </w:rPr>
        <w:t>Metab.</w:t>
      </w:r>
      <w:r w:rsidRPr="00132D52">
        <w:rPr>
          <w:rFonts w:eastAsia="SimSun"/>
        </w:rPr>
        <w:t xml:space="preserve"> </w:t>
      </w:r>
      <w:r w:rsidRPr="00132D52">
        <w:rPr>
          <w:rFonts w:eastAsia="SimSun"/>
          <w:b/>
          <w:bCs/>
        </w:rPr>
        <w:t>2020</w:t>
      </w:r>
      <w:r w:rsidRPr="00132D52">
        <w:rPr>
          <w:rFonts w:eastAsia="SimSun"/>
        </w:rPr>
        <w:t xml:space="preserve">, </w:t>
      </w:r>
      <w:r w:rsidRPr="00132D52">
        <w:rPr>
          <w:rFonts w:eastAsia="SimSun"/>
          <w:i/>
          <w:iCs/>
        </w:rPr>
        <w:t>10</w:t>
      </w:r>
      <w:r w:rsidRPr="00132D52">
        <w:rPr>
          <w:rFonts w:eastAsia="SimSun"/>
        </w:rPr>
        <w:t>, 231, doi:10.3390/metabo10060231.</w:t>
      </w:r>
    </w:p>
    <w:p w14:paraId="627C090B" w14:textId="153C056B" w:rsidR="002C7483" w:rsidRPr="00132D52" w:rsidRDefault="002C7483" w:rsidP="002C7483">
      <w:pPr>
        <w:pStyle w:val="MDPI71References"/>
        <w:adjustRightInd w:val="0"/>
        <w:snapToGrid w:val="0"/>
        <w:ind w:left="425" w:hanging="425"/>
        <w:rPr>
          <w:rFonts w:eastAsia="SimSun"/>
        </w:rPr>
      </w:pPr>
      <w:r w:rsidRPr="00132D52">
        <w:rPr>
          <w:rFonts w:eastAsia="SimSun"/>
        </w:rPr>
        <w:t>Harshfield</w:t>
      </w:r>
      <w:bookmarkStart w:id="74" w:name="refTemp24"/>
      <w:bookmarkEnd w:id="74"/>
      <w:r w:rsidRPr="00132D52">
        <w:rPr>
          <w:rFonts w:eastAsia="SimSun"/>
        </w:rPr>
        <w:t xml:space="preserve">, E.L.; Koulman, A.; Ziemek, D.; Marney, L.; Fauman, E.B.; Paul, D.S.; Stacey, D.; Rasheed, A.; Lee, J.-J.; Shah, N.; et al. An Unbiased Lipid Phenotyping Approach To Study the Genetic Determinants of Lipids and Their Association with Coronary Heart Disease Risk Factors. </w:t>
      </w:r>
      <w:r w:rsidRPr="00132D52">
        <w:rPr>
          <w:rFonts w:eastAsia="SimSun"/>
          <w:i/>
          <w:iCs/>
        </w:rPr>
        <w:t>J. Proteome Res.</w:t>
      </w:r>
      <w:r w:rsidRPr="00132D52">
        <w:rPr>
          <w:rFonts w:eastAsia="SimSun"/>
        </w:rPr>
        <w:t xml:space="preserve"> </w:t>
      </w:r>
      <w:r w:rsidRPr="00132D52">
        <w:rPr>
          <w:rFonts w:eastAsia="SimSun"/>
          <w:b/>
          <w:bCs/>
        </w:rPr>
        <w:t>2019</w:t>
      </w:r>
      <w:r w:rsidRPr="00132D52">
        <w:rPr>
          <w:rFonts w:eastAsia="SimSun"/>
        </w:rPr>
        <w:t xml:space="preserve">, </w:t>
      </w:r>
      <w:r w:rsidRPr="00132D52">
        <w:rPr>
          <w:rFonts w:eastAsia="SimSun"/>
          <w:i/>
          <w:iCs/>
        </w:rPr>
        <w:t>18</w:t>
      </w:r>
      <w:r w:rsidRPr="00132D52">
        <w:rPr>
          <w:rFonts w:eastAsia="SimSun"/>
        </w:rPr>
        <w:t>, 2397–2410, doi:10.1021/acs.jproteome.8b00786.</w:t>
      </w:r>
    </w:p>
    <w:p w14:paraId="4B73C582" w14:textId="0CB316BF" w:rsidR="002C7483" w:rsidRPr="00132D52" w:rsidRDefault="002C7483" w:rsidP="002C7483">
      <w:pPr>
        <w:pStyle w:val="MDPI71References"/>
        <w:adjustRightInd w:val="0"/>
        <w:snapToGrid w:val="0"/>
        <w:ind w:left="425" w:hanging="425"/>
        <w:rPr>
          <w:rFonts w:eastAsia="SimSun"/>
        </w:rPr>
      </w:pPr>
      <w:r w:rsidRPr="00132D52">
        <w:rPr>
          <w:rFonts w:eastAsia="SimSun"/>
        </w:rPr>
        <w:t>Furse</w:t>
      </w:r>
      <w:bookmarkStart w:id="75" w:name="refTemp25"/>
      <w:bookmarkEnd w:id="75"/>
      <w:r w:rsidRPr="00132D52">
        <w:rPr>
          <w:rFonts w:eastAsia="SimSun"/>
        </w:rPr>
        <w:t xml:space="preserve">, S.; Koulman, A. High throughput extraction methods for isolating the lipid fraction from dired blood spots and dried milk spots. </w:t>
      </w:r>
      <w:commentRangeStart w:id="76"/>
      <w:r w:rsidRPr="00132D52">
        <w:rPr>
          <w:rFonts w:eastAsia="SimSun"/>
          <w:i/>
          <w:iCs/>
        </w:rPr>
        <w:t>BioRxiv</w:t>
      </w:r>
      <w:r w:rsidRPr="00132D52">
        <w:rPr>
          <w:rFonts w:eastAsia="SimSun"/>
        </w:rPr>
        <w:t xml:space="preserve"> </w:t>
      </w:r>
      <w:r w:rsidRPr="00132D52">
        <w:rPr>
          <w:rFonts w:eastAsia="SimSun"/>
          <w:b/>
          <w:bCs/>
        </w:rPr>
        <w:t>2020</w:t>
      </w:r>
      <w:commentRangeEnd w:id="76"/>
      <w:r w:rsidR="00132D52" w:rsidRPr="00132D52">
        <w:rPr>
          <w:rStyle w:val="CommentReference"/>
          <w:rFonts w:ascii="Times New Roman" w:hAnsi="Times New Roman"/>
          <w:snapToGrid/>
          <w:lang w:bidi="ar-SA"/>
        </w:rPr>
        <w:commentReference w:id="76"/>
      </w:r>
      <w:r w:rsidRPr="00132D52">
        <w:rPr>
          <w:rFonts w:eastAsia="SimSun"/>
        </w:rPr>
        <w:t xml:space="preserve">, </w:t>
      </w:r>
      <w:r w:rsidR="00132D52" w:rsidRPr="00132D52">
        <w:rPr>
          <w:rStyle w:val="highwire-cite-metadata-doi"/>
        </w:rPr>
        <w:t>doi.org/10.1101/2020.06.22.165514</w:t>
      </w:r>
    </w:p>
    <w:p w14:paraId="336CF640" w14:textId="09F97012" w:rsidR="002C7483" w:rsidRPr="00132D52" w:rsidRDefault="002C7483" w:rsidP="002C7483">
      <w:pPr>
        <w:pStyle w:val="MDPI71References"/>
        <w:adjustRightInd w:val="0"/>
        <w:snapToGrid w:val="0"/>
        <w:ind w:left="425" w:hanging="425"/>
        <w:rPr>
          <w:rFonts w:eastAsia="SimSun"/>
        </w:rPr>
      </w:pPr>
      <w:r w:rsidRPr="00132D52">
        <w:rPr>
          <w:rFonts w:eastAsia="SimSun"/>
        </w:rPr>
        <w:t>Furse</w:t>
      </w:r>
      <w:bookmarkStart w:id="77" w:name="refTemp26"/>
      <w:bookmarkEnd w:id="77"/>
      <w:r w:rsidRPr="00132D52">
        <w:rPr>
          <w:rFonts w:eastAsia="SimSun"/>
        </w:rPr>
        <w:t xml:space="preserve">, S.; Torres, A.; Koulman, A. Fermentation of Milk into Yoghurt and Cheese Leads to Contrasting Lipid and Glyceride Profiles. </w:t>
      </w:r>
      <w:r w:rsidRPr="00132D52">
        <w:rPr>
          <w:rFonts w:eastAsia="SimSun"/>
          <w:i/>
          <w:iCs/>
        </w:rPr>
        <w:t>Nut</w:t>
      </w:r>
      <w:r w:rsidR="00132D52" w:rsidRPr="00132D52">
        <w:rPr>
          <w:rFonts w:eastAsia="SimSun"/>
          <w:i/>
          <w:iCs/>
        </w:rPr>
        <w:t>rients</w:t>
      </w:r>
      <w:r w:rsidRPr="00132D52">
        <w:rPr>
          <w:rFonts w:eastAsia="SimSun"/>
        </w:rPr>
        <w:t xml:space="preserve"> </w:t>
      </w:r>
      <w:r w:rsidRPr="00132D52">
        <w:rPr>
          <w:rFonts w:eastAsia="SimSun"/>
          <w:b/>
          <w:bCs/>
        </w:rPr>
        <w:t>2019</w:t>
      </w:r>
      <w:r w:rsidRPr="00132D52">
        <w:rPr>
          <w:rFonts w:eastAsia="SimSun"/>
        </w:rPr>
        <w:t xml:space="preserve">, </w:t>
      </w:r>
      <w:r w:rsidRPr="00132D52">
        <w:rPr>
          <w:rFonts w:eastAsia="SimSun"/>
          <w:i/>
          <w:iCs/>
        </w:rPr>
        <w:t>11</w:t>
      </w:r>
      <w:r w:rsidRPr="00132D52">
        <w:rPr>
          <w:rFonts w:eastAsia="SimSun"/>
        </w:rPr>
        <w:t>, 2178, doi:10.3390/nu11092178.</w:t>
      </w:r>
    </w:p>
    <w:p w14:paraId="762FCFE9" w14:textId="654AFD83" w:rsidR="002C7483" w:rsidRPr="00132D52" w:rsidRDefault="002C7483" w:rsidP="002C7483">
      <w:pPr>
        <w:pStyle w:val="MDPI71References"/>
        <w:adjustRightInd w:val="0"/>
        <w:snapToGrid w:val="0"/>
        <w:ind w:left="425" w:hanging="425"/>
        <w:rPr>
          <w:rFonts w:eastAsia="SimSun"/>
        </w:rPr>
      </w:pPr>
      <w:r w:rsidRPr="00132D52">
        <w:rPr>
          <w:rFonts w:eastAsia="SimSun"/>
        </w:rPr>
        <w:t>Watkins</w:t>
      </w:r>
      <w:bookmarkStart w:id="78" w:name="refTemp27"/>
      <w:bookmarkEnd w:id="78"/>
      <w:r w:rsidRPr="00132D52">
        <w:rPr>
          <w:rFonts w:eastAsia="SimSun"/>
        </w:rPr>
        <w:t>, A.J.; Dias, I.H.; Tsuro, H.; Allen, D.; Emes, R.D.; Moreton, J.; Wilson, R.; Ingram, R.J.M.; Sinclair, K.D. Paternal diet programs offspring health through sperm- and seminal plasma-specific pathways in mice. In Proceedings of the Proceedings of the National Academy of Sciences; Proceedings of the National Academy of Sciences, 2018; Vol. 115, pp. 10064–10069.</w:t>
      </w:r>
    </w:p>
    <w:p w14:paraId="2348159B" w14:textId="0D61B06D" w:rsidR="002C7483" w:rsidRPr="00132D52" w:rsidRDefault="002C7483" w:rsidP="002C7483">
      <w:pPr>
        <w:pStyle w:val="MDPI71References"/>
        <w:adjustRightInd w:val="0"/>
        <w:snapToGrid w:val="0"/>
        <w:ind w:left="425" w:hanging="425"/>
        <w:rPr>
          <w:rFonts w:eastAsia="SimSun"/>
        </w:rPr>
      </w:pPr>
      <w:r w:rsidRPr="00132D52">
        <w:rPr>
          <w:rFonts w:eastAsia="SimSun"/>
        </w:rPr>
        <w:t>Furse</w:t>
      </w:r>
      <w:bookmarkStart w:id="79" w:name="refTemp28"/>
      <w:bookmarkEnd w:id="79"/>
      <w:r w:rsidRPr="00132D52">
        <w:rPr>
          <w:rFonts w:eastAsia="SimSun"/>
        </w:rPr>
        <w:t xml:space="preserve">, S.; Watkins, A.; Chiarugi, D.; Hojat, N.; Smith, J.; Williams, H.; Koulman, A. Revealing grand-paternal programming of lipid metabolism using a novel computational tool. </w:t>
      </w:r>
      <w:r w:rsidRPr="00132D52">
        <w:rPr>
          <w:rFonts w:eastAsia="SimSun"/>
          <w:i/>
          <w:iCs/>
        </w:rPr>
        <w:t>bioRxiv</w:t>
      </w:r>
      <w:r w:rsidRPr="00132D52">
        <w:rPr>
          <w:rFonts w:eastAsia="SimSun"/>
        </w:rPr>
        <w:t xml:space="preserve"> </w:t>
      </w:r>
      <w:r w:rsidRPr="00132D52">
        <w:rPr>
          <w:rFonts w:eastAsia="SimSun"/>
          <w:b/>
          <w:bCs/>
        </w:rPr>
        <w:t>2020</w:t>
      </w:r>
      <w:r w:rsidRPr="00132D52">
        <w:rPr>
          <w:rFonts w:eastAsia="SimSun"/>
        </w:rPr>
        <w:t>, doi:10.1101/2020.06.23.166819.</w:t>
      </w:r>
    </w:p>
    <w:p w14:paraId="1F71ADCF" w14:textId="1CFBA9B3" w:rsidR="002C7483" w:rsidRPr="00132D52" w:rsidRDefault="002C7483" w:rsidP="002C7483">
      <w:pPr>
        <w:pStyle w:val="MDPI71References"/>
        <w:adjustRightInd w:val="0"/>
        <w:snapToGrid w:val="0"/>
        <w:ind w:left="425" w:hanging="425"/>
        <w:rPr>
          <w:rFonts w:eastAsia="SimSun"/>
        </w:rPr>
      </w:pPr>
      <w:r w:rsidRPr="00132D52">
        <w:rPr>
          <w:rFonts w:eastAsia="SimSun"/>
        </w:rPr>
        <w:lastRenderedPageBreak/>
        <w:t>Cassim</w:t>
      </w:r>
      <w:bookmarkStart w:id="80" w:name="refTemp29"/>
      <w:bookmarkEnd w:id="80"/>
      <w:r w:rsidRPr="00132D52">
        <w:rPr>
          <w:rFonts w:eastAsia="SimSun"/>
        </w:rPr>
        <w:t xml:space="preserve">, A.M.; Gouguet, P.; Gronnier, J.; Laurent, N.; Germain, V.; Grison, M.S.; Boutté, Y.; Gerbeau-Pissot, P.; Simon-Plas, F.; Mongrand, S. Plant lipids: Key players of plasma membrane organization and function. </w:t>
      </w:r>
      <w:r w:rsidRPr="00132D52">
        <w:rPr>
          <w:rFonts w:eastAsia="SimSun"/>
          <w:i/>
          <w:iCs/>
        </w:rPr>
        <w:t>Prog. Lipid Res.</w:t>
      </w:r>
      <w:r w:rsidRPr="00132D52">
        <w:rPr>
          <w:rFonts w:eastAsia="SimSun"/>
        </w:rPr>
        <w:t xml:space="preserve"> </w:t>
      </w:r>
      <w:r w:rsidRPr="00132D52">
        <w:rPr>
          <w:rFonts w:eastAsia="SimSun"/>
          <w:b/>
          <w:bCs/>
        </w:rPr>
        <w:t>2019</w:t>
      </w:r>
      <w:r w:rsidRPr="00132D52">
        <w:rPr>
          <w:rFonts w:eastAsia="SimSun"/>
        </w:rPr>
        <w:t xml:space="preserve">, </w:t>
      </w:r>
      <w:r w:rsidRPr="00132D52">
        <w:rPr>
          <w:rFonts w:eastAsia="SimSun"/>
          <w:i/>
          <w:iCs/>
        </w:rPr>
        <w:t>73</w:t>
      </w:r>
      <w:r w:rsidRPr="00132D52">
        <w:rPr>
          <w:rFonts w:eastAsia="SimSun"/>
        </w:rPr>
        <w:t>, 1–27, doi:10.1016/j.plipres.2018.11.002.</w:t>
      </w:r>
    </w:p>
    <w:p w14:paraId="7DAA02CD" w14:textId="71F6CCB7" w:rsidR="00132D52" w:rsidRPr="00132D52" w:rsidRDefault="00132D52" w:rsidP="00132D52">
      <w:pPr>
        <w:pStyle w:val="MDPI71References"/>
        <w:numPr>
          <w:ilvl w:val="0"/>
          <w:numId w:val="0"/>
        </w:numPr>
        <w:spacing w:before="240" w:after="240"/>
      </w:pPr>
      <w:r w:rsidRPr="00132D52">
        <w:rPr>
          <w:b/>
        </w:rPr>
        <w:t>Sample Availability:</w:t>
      </w:r>
      <w:r w:rsidRPr="00132D52">
        <w:t xml:space="preserve"> Samples of the compounds </w:t>
      </w:r>
      <w:commentRangeStart w:id="81"/>
      <w:r w:rsidRPr="00132D52">
        <w:t>......</w:t>
      </w:r>
      <w:commentRangeEnd w:id="81"/>
      <w:r w:rsidRPr="00132D52">
        <w:rPr>
          <w:rStyle w:val="CommentReference"/>
          <w:rFonts w:ascii="Times New Roman" w:hAnsi="Times New Roman"/>
          <w:snapToGrid/>
          <w:lang w:bidi="ar-SA"/>
        </w:rPr>
        <w:commentReference w:id="81"/>
      </w:r>
      <w:r w:rsidRPr="00132D52">
        <w:t xml:space="preserve"> are available from </w:t>
      </w:r>
      <w:r w:rsidRPr="00132D52">
        <w:rPr>
          <w:rFonts w:eastAsia="SimSun"/>
          <w:lang w:eastAsia="zh-CN"/>
        </w:rPr>
        <w:t xml:space="preserve">the </w:t>
      </w:r>
      <w:r w:rsidRPr="00132D52">
        <w:t>authors.</w:t>
      </w:r>
    </w:p>
    <w:tbl>
      <w:tblPr>
        <w:tblW w:w="0" w:type="auto"/>
        <w:jc w:val="center"/>
        <w:tblLook w:val="04A0" w:firstRow="1" w:lastRow="0" w:firstColumn="1" w:lastColumn="0" w:noHBand="0" w:noVBand="1"/>
      </w:tblPr>
      <w:tblGrid>
        <w:gridCol w:w="1711"/>
        <w:gridCol w:w="7133"/>
      </w:tblGrid>
      <w:tr w:rsidR="00E9459D" w:rsidRPr="006F5717" w14:paraId="255B376B" w14:textId="77777777" w:rsidTr="00660A7E">
        <w:trPr>
          <w:jc w:val="center"/>
        </w:trPr>
        <w:tc>
          <w:tcPr>
            <w:tcW w:w="0" w:type="auto"/>
            <w:shd w:val="clear" w:color="auto" w:fill="auto"/>
            <w:vAlign w:val="center"/>
          </w:tcPr>
          <w:p w14:paraId="3E528BA6" w14:textId="77777777" w:rsidR="00E9459D" w:rsidRPr="00132D52" w:rsidRDefault="00E9459D" w:rsidP="006F5717">
            <w:pPr>
              <w:pStyle w:val="MDPI71References"/>
              <w:numPr>
                <w:ilvl w:val="0"/>
                <w:numId w:val="0"/>
              </w:numPr>
              <w:adjustRightInd w:val="0"/>
              <w:snapToGrid w:val="0"/>
              <w:ind w:left="-85"/>
              <w:rPr>
                <w:rFonts w:eastAsia="SimSun"/>
                <w:bCs/>
              </w:rPr>
            </w:pPr>
            <w:bookmarkStart w:id="82" w:name="Equation2020" w:colFirst="1" w:colLast="1"/>
            <w:r w:rsidRPr="00132D52">
              <w:rPr>
                <w:rFonts w:eastAsia="SimSun"/>
                <w:bCs/>
                <w:noProof/>
              </w:rPr>
              <w:drawing>
                <wp:inline distT="0" distB="0" distL="0" distR="0" wp14:anchorId="6FF048E1" wp14:editId="7028C4AA">
                  <wp:extent cx="1003300" cy="361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3300" cy="361950"/>
                          </a:xfrm>
                          <a:prstGeom prst="rect">
                            <a:avLst/>
                          </a:prstGeom>
                          <a:noFill/>
                          <a:ln>
                            <a:noFill/>
                          </a:ln>
                        </pic:spPr>
                      </pic:pic>
                    </a:graphicData>
                  </a:graphic>
                </wp:inline>
              </w:drawing>
            </w:r>
          </w:p>
        </w:tc>
        <w:tc>
          <w:tcPr>
            <w:tcW w:w="7149" w:type="dxa"/>
            <w:shd w:val="clear" w:color="auto" w:fill="auto"/>
            <w:vAlign w:val="center"/>
          </w:tcPr>
          <w:p w14:paraId="7FC43611" w14:textId="6295A963" w:rsidR="00E9459D" w:rsidRPr="00132D52" w:rsidRDefault="00132D52" w:rsidP="006F5717">
            <w:pPr>
              <w:pStyle w:val="MDPI71References"/>
              <w:numPr>
                <w:ilvl w:val="0"/>
                <w:numId w:val="0"/>
              </w:numPr>
              <w:adjustRightInd w:val="0"/>
              <w:snapToGrid w:val="0"/>
              <w:ind w:left="-85"/>
              <w:rPr>
                <w:rFonts w:eastAsia="SimSun"/>
                <w:bCs/>
              </w:rPr>
            </w:pPr>
            <w:r w:rsidRPr="00132D52">
              <w:rPr>
                <w:rFonts w:eastAsia="SimSun"/>
                <w:bCs/>
              </w:rPr>
              <w:t>© 2020 by the authors. Licensee MDPI, Basel, Switzerland. This article is an open access article distributed under the terms and conditions of the Creative Commons Attribution (CC BY) license (http://creativecommons.org/licenses/by/4.0/).</w:t>
            </w:r>
          </w:p>
        </w:tc>
      </w:tr>
      <w:bookmarkEnd w:id="82"/>
    </w:tbl>
    <w:p w14:paraId="47EFBA2C" w14:textId="445CA17F" w:rsidR="00605BAA" w:rsidRPr="006F5717" w:rsidRDefault="00605BAA" w:rsidP="006F5717">
      <w:pPr>
        <w:pStyle w:val="MDPI71References"/>
        <w:numPr>
          <w:ilvl w:val="0"/>
          <w:numId w:val="0"/>
        </w:numPr>
        <w:adjustRightInd w:val="0"/>
        <w:snapToGrid w:val="0"/>
        <w:spacing w:before="240" w:after="240" w:line="200" w:lineRule="atLeast"/>
        <w:rPr>
          <w:rFonts w:eastAsia="SimSun"/>
        </w:rPr>
      </w:pPr>
    </w:p>
    <w:sectPr w:rsidR="00605BAA" w:rsidRPr="006F5717" w:rsidSect="006F5717">
      <w:headerReference w:type="even" r:id="rId18"/>
      <w:headerReference w:type="default" r:id="rId19"/>
      <w:footerReference w:type="default" r:id="rId20"/>
      <w:headerReference w:type="first" r:id="rId21"/>
      <w:footerReference w:type="first" r:id="rId22"/>
      <w:type w:val="continuous"/>
      <w:pgSz w:w="11906" w:h="16838" w:code="9"/>
      <w:pgMar w:top="1417" w:right="1531" w:bottom="1077" w:left="1531" w:header="1020" w:footer="850" w:gutter="0"/>
      <w:pgNumType w:start="1"/>
      <w:cols w:space="425"/>
      <w:titlePg/>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2" w:author="MDPI" w:date="2020-07-08T09:06:00Z" w:initials="M">
    <w:p w14:paraId="508C2F89" w14:textId="3A73BF11" w:rsidR="00132D52" w:rsidRDefault="00132D52">
      <w:pPr>
        <w:pStyle w:val="CommentText"/>
      </w:pPr>
      <w:r>
        <w:rPr>
          <w:rStyle w:val="CommentReference"/>
        </w:rPr>
        <w:annotationRef/>
      </w:r>
      <w:r>
        <w:t>Please carefully check the accuracy of names and affiliations.</w:t>
      </w:r>
    </w:p>
  </w:comment>
  <w:comment w:id="3" w:author="MDPI" w:date="2020-07-08T08:50:00Z" w:initials="M">
    <w:p w14:paraId="3B1AAA71" w14:textId="1B3144F7" w:rsidR="006F5717" w:rsidRDefault="006F5717">
      <w:pPr>
        <w:pStyle w:val="CommentText"/>
      </w:pPr>
      <w:r>
        <w:rPr>
          <w:rStyle w:val="CommentReference"/>
        </w:rPr>
        <w:annotationRef/>
      </w:r>
      <w:r>
        <w:t>Please inform the zip code</w:t>
      </w:r>
    </w:p>
  </w:comment>
  <w:comment w:id="37" w:author="MDPI" w:date="2020-07-08T09:25:00Z" w:initials="M">
    <w:p w14:paraId="55F1C369" w14:textId="5557D8F3" w:rsidR="006645F6" w:rsidRDefault="006645F6">
      <w:pPr>
        <w:pStyle w:val="CommentText"/>
      </w:pPr>
      <w:r>
        <w:rPr>
          <w:rStyle w:val="CommentReference"/>
        </w:rPr>
        <w:annotationRef/>
      </w:r>
      <w:r>
        <w:t>Please provide the explanation of these symbols: *,**, ^ in this figure caption</w:t>
      </w:r>
    </w:p>
  </w:comment>
  <w:comment w:id="42" w:author="MDPI" w:date="2020-07-08T09:26:00Z" w:initials="M">
    <w:p w14:paraId="1EFE6775" w14:textId="1E972146" w:rsidR="006645F6" w:rsidRDefault="006645F6">
      <w:pPr>
        <w:pStyle w:val="CommentText"/>
      </w:pPr>
      <w:r>
        <w:rPr>
          <w:rStyle w:val="CommentReference"/>
        </w:rPr>
        <w:annotationRef/>
      </w:r>
      <w:r>
        <w:t>Please provide the explanation of these symbols: *,**, ^ in this figure caption</w:t>
      </w:r>
    </w:p>
  </w:comment>
  <w:comment w:id="46" w:author="MDPI" w:date="2020-07-08T08:56:00Z" w:initials="M">
    <w:p w14:paraId="3CB48E6A" w14:textId="6F215DD5" w:rsidR="002C7483" w:rsidRDefault="002C7483">
      <w:pPr>
        <w:pStyle w:val="CommentText"/>
      </w:pPr>
      <w:r>
        <w:rPr>
          <w:rStyle w:val="CommentReference"/>
        </w:rPr>
        <w:annotationRef/>
      </w:r>
      <w:r>
        <w:t>Is this italics necessary?</w:t>
      </w:r>
    </w:p>
  </w:comment>
  <w:comment w:id="50" w:author="MDPI" w:date="2020-07-08T09:03:00Z" w:initials="M">
    <w:p w14:paraId="5BC86416" w14:textId="7367F569" w:rsidR="00132D52" w:rsidRDefault="00132D52">
      <w:pPr>
        <w:pStyle w:val="CommentText"/>
      </w:pPr>
      <w:r>
        <w:rPr>
          <w:rStyle w:val="CommentReference"/>
        </w:rPr>
        <w:annotationRef/>
      </w:r>
      <w:r>
        <w:t>Please check if the individual contribution of each co-author has been stated.</w:t>
      </w:r>
    </w:p>
  </w:comment>
  <w:comment w:id="76" w:author="MDPI" w:date="2020-07-08T09:03:00Z" w:initials="M">
    <w:p w14:paraId="64D87953" w14:textId="2ECBCEC7" w:rsidR="00132D52" w:rsidRDefault="00132D52">
      <w:pPr>
        <w:pStyle w:val="CommentText"/>
      </w:pPr>
      <w:r>
        <w:rPr>
          <w:rStyle w:val="CommentReference"/>
        </w:rPr>
        <w:annotationRef/>
      </w:r>
      <w:r>
        <w:t>Please add volume number and page number</w:t>
      </w:r>
    </w:p>
  </w:comment>
  <w:comment w:id="81" w:author="MDPI" w:date="2020-03-18T10:44:00Z" w:initials="M">
    <w:p w14:paraId="04B60A4A" w14:textId="77777777" w:rsidR="00132D52" w:rsidRDefault="00132D52" w:rsidP="00132D52">
      <w:pPr>
        <w:pStyle w:val="CommentText"/>
      </w:pPr>
      <w:r>
        <w:rPr>
          <w:rStyle w:val="CommentReference"/>
        </w:rPr>
        <w:annotationRef/>
      </w:r>
      <w:r>
        <w:t>Please add the compound name or write “not available”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508C2F89" w15:done="0"/>
  <w15:commentEx w15:paraId="3B1AAA71" w15:done="0"/>
  <w15:commentEx w15:paraId="55F1C369" w15:done="0"/>
  <w15:commentEx w15:paraId="1EFE6775" w15:done="0"/>
  <w15:commentEx w15:paraId="3CB48E6A" w15:done="0"/>
  <w15:commentEx w15:paraId="5BC86416" w15:done="0"/>
  <w15:commentEx w15:paraId="64D87953" w15:done="0"/>
  <w15:commentEx w15:paraId="04B60A4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00AFC" w16cex:dateUtc="2020-07-08T02:06:00Z"/>
  <w16cex:commentExtensible w16cex:durableId="22B0073E" w16cex:dateUtc="2020-07-08T01:50:00Z"/>
  <w16cex:commentExtensible w16cex:durableId="22B00F9B" w16cex:dateUtc="2020-07-08T02:25:00Z"/>
  <w16cex:commentExtensible w16cex:durableId="22B00FAE" w16cex:dateUtc="2020-07-08T02:26:00Z"/>
  <w16cex:commentExtensible w16cex:durableId="22B008BC" w16cex:dateUtc="2020-07-08T01:56:00Z"/>
  <w16cex:commentExtensible w16cex:durableId="22B00A7C" w16cex:dateUtc="2020-07-08T02:03:00Z"/>
  <w16cex:commentExtensible w16cex:durableId="22B00A67" w16cex:dateUtc="2020-07-08T02: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08C2F89" w16cid:durableId="22B00AFC"/>
  <w16cid:commentId w16cid:paraId="3B1AAA71" w16cid:durableId="22B0073E"/>
  <w16cid:commentId w16cid:paraId="55F1C369" w16cid:durableId="22B00F9B"/>
  <w16cid:commentId w16cid:paraId="1EFE6775" w16cid:durableId="22B00FAE"/>
  <w16cid:commentId w16cid:paraId="3CB48E6A" w16cid:durableId="22B008BC"/>
  <w16cid:commentId w16cid:paraId="5BC86416" w16cid:durableId="22B00A7C"/>
  <w16cid:commentId w16cid:paraId="64D87953" w16cid:durableId="22B00A67"/>
  <w16cid:commentId w16cid:paraId="04B60A4A" w16cid:durableId="221C79F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E1FE36" w14:textId="77777777" w:rsidR="00F276EB" w:rsidRDefault="00F276EB">
      <w:pPr>
        <w:spacing w:line="240" w:lineRule="auto"/>
      </w:pPr>
      <w:r>
        <w:separator/>
      </w:r>
    </w:p>
  </w:endnote>
  <w:endnote w:type="continuationSeparator" w:id="0">
    <w:p w14:paraId="41F783EC" w14:textId="77777777" w:rsidR="00F276EB" w:rsidRDefault="00F276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00"/>
    <w:family w:val="swiss"/>
    <w:pitch w:val="variable"/>
    <w:sig w:usb0="81000003" w:usb1="00000000" w:usb2="00000000" w:usb3="00000000" w:csb0="00010001" w:csb1="00000000"/>
  </w:font>
  <w:font w:name="DengXian">
    <w:altName w:val="等线"/>
    <w:panose1 w:val="02010600030101010101"/>
    <w:charset w:val="86"/>
    <w:family w:val="auto"/>
    <w:pitch w:val="variable"/>
    <w:sig w:usb0="A00002BF" w:usb1="38CF7CFA" w:usb2="00000016" w:usb3="00000000" w:csb0="0004000F" w:csb1="00000000"/>
  </w:font>
  <w:font w:name="VcyfywAdvTTb5929f4c">
    <w:charset w:val="00"/>
    <w:family w:val="swiss"/>
    <w:pitch w:val="default"/>
    <w:sig w:usb0="00000003" w:usb1="00000000" w:usb2="00000000" w:usb3="00000000" w:csb0="00000001" w:csb1="00000000"/>
  </w:font>
  <w:font w:name="Gentium Plus">
    <w:charset w:val="00"/>
    <w:family w:val="auto"/>
    <w:pitch w:val="variable"/>
    <w:sig w:usb0="E00002FF" w:usb1="5200E1FB" w:usb2="02000029" w:usb3="00000000" w:csb0="0000019F" w:csb1="00000000"/>
  </w:font>
  <w:font w:name="Gentium Basic">
    <w:altName w:val="Calibri"/>
    <w:charset w:val="00"/>
    <w:family w:val="auto"/>
    <w:pitch w:val="variable"/>
    <w:sig w:usb0="A000007F" w:usb1="4000204A" w:usb2="00000000" w:usb3="00000000" w:csb0="00000013" w:csb1="00000000"/>
  </w:font>
  <w:font w:name="Cambria">
    <w:panose1 w:val="02040503050406030204"/>
    <w:charset w:val="00"/>
    <w:family w:val="roman"/>
    <w:pitch w:val="variable"/>
    <w:sig w:usb0="E00006FF" w:usb1="420024FF" w:usb2="02000000" w:usb3="00000000" w:csb0="0000019F" w:csb1="00000000"/>
  </w:font>
  <w:font w:name="AdvPTimes">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dvTir_symb">
    <w:charset w:val="00"/>
    <w:family w:val="roman"/>
    <w:pitch w:val="default"/>
    <w:sig w:usb0="00000003" w:usb1="00000000" w:usb2="00000000" w:usb3="00000000" w:csb0="00000001" w:csb1="00000000"/>
  </w:font>
  <w:font w:name="AdvPSSym">
    <w:charset w:val="00"/>
    <w:family w:val="auto"/>
    <w:pitch w:val="default"/>
    <w:sig w:usb0="00000003" w:usb1="00000000" w:usb2="00000000" w:usb3="00000000" w:csb0="00000001" w:csb1="00000000"/>
  </w:font>
  <w:font w:name="Segoe UI Semibold">
    <w:panose1 w:val="020B07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719E8C" w14:textId="77777777" w:rsidR="006F5717" w:rsidRPr="00994E2E" w:rsidRDefault="006F5717" w:rsidP="007D0675">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185515" w14:textId="77777777" w:rsidR="006F5717" w:rsidRPr="008B308E" w:rsidRDefault="006F5717" w:rsidP="005C1668">
    <w:pPr>
      <w:pStyle w:val="MDPIfooterfirstpage"/>
      <w:spacing w:line="240" w:lineRule="auto"/>
      <w:jc w:val="both"/>
      <w:rPr>
        <w:lang w:val="fr-CH"/>
      </w:rPr>
    </w:pPr>
    <w:r>
      <w:rPr>
        <w:i/>
        <w:iCs/>
        <w:lang w:val="fr-CH"/>
      </w:rPr>
      <w:t>Molecules</w:t>
    </w:r>
    <w:r w:rsidRPr="00176A50">
      <w:rPr>
        <w:i/>
        <w:lang w:val="fr-CH"/>
      </w:rPr>
      <w:t xml:space="preserve"> </w:t>
    </w:r>
    <w:r w:rsidRPr="00103C88">
      <w:rPr>
        <w:b/>
        <w:iCs/>
        <w:lang w:val="fr-CH"/>
      </w:rPr>
      <w:t>20</w:t>
    </w:r>
    <w:r>
      <w:rPr>
        <w:b/>
        <w:iCs/>
        <w:lang w:val="fr-CH"/>
      </w:rPr>
      <w:t>20</w:t>
    </w:r>
    <w:r w:rsidRPr="00103C88">
      <w:rPr>
        <w:iCs/>
        <w:lang w:val="fr-CH"/>
      </w:rPr>
      <w:t xml:space="preserve">, </w:t>
    </w:r>
    <w:r w:rsidRPr="00103C88">
      <w:rPr>
        <w:i/>
        <w:iCs/>
        <w:lang w:val="fr-CH"/>
      </w:rPr>
      <w:t>2</w:t>
    </w:r>
    <w:r>
      <w:rPr>
        <w:i/>
        <w:iCs/>
        <w:lang w:val="fr-CH"/>
      </w:rPr>
      <w:t>5</w:t>
    </w:r>
    <w:r w:rsidRPr="00103C88">
      <w:rPr>
        <w:iCs/>
        <w:lang w:val="fr-CH"/>
      </w:rPr>
      <w:t xml:space="preserve">, </w:t>
    </w:r>
    <w:r>
      <w:rPr>
        <w:iCs/>
        <w:lang w:val="fr-CH"/>
      </w:rPr>
      <w:t>x; doi: FOR PEER REVIEW</w:t>
    </w:r>
    <w:r w:rsidRPr="008B308E">
      <w:rPr>
        <w:lang w:val="fr-CH"/>
      </w:rPr>
      <w:tab/>
      <w:t>www.mdpi.com/journal/</w:t>
    </w:r>
    <w:r w:rsidRPr="00F95CB5">
      <w:rPr>
        <w:iCs/>
        <w:lang w:val="fr-CH"/>
      </w:rPr>
      <w:t>molecules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519C29" w14:textId="77777777" w:rsidR="00F276EB" w:rsidRDefault="00F276EB">
      <w:pPr>
        <w:spacing w:line="240" w:lineRule="auto"/>
      </w:pPr>
      <w:r>
        <w:separator/>
      </w:r>
    </w:p>
  </w:footnote>
  <w:footnote w:type="continuationSeparator" w:id="0">
    <w:p w14:paraId="19F48C21" w14:textId="77777777" w:rsidR="00F276EB" w:rsidRDefault="00F276E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A4F5DA" w14:textId="77777777" w:rsidR="006F5717" w:rsidRDefault="006F5717" w:rsidP="007D0675">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6FF0CB" w14:textId="77777777" w:rsidR="006F5717" w:rsidRPr="004C36F8" w:rsidRDefault="006F5717" w:rsidP="005C1668">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Molecules </w:t>
    </w:r>
    <w:r w:rsidRPr="00103C88">
      <w:rPr>
        <w:rFonts w:ascii="Palatino Linotype" w:hAnsi="Palatino Linotype"/>
        <w:b/>
        <w:sz w:val="16"/>
      </w:rPr>
      <w:t>20</w:t>
    </w:r>
    <w:r>
      <w:rPr>
        <w:rFonts w:ascii="Palatino Linotype" w:hAnsi="Palatino Linotype"/>
        <w:b/>
        <w:sz w:val="16"/>
      </w:rPr>
      <w:t>20</w:t>
    </w:r>
    <w:r w:rsidRPr="00103C88">
      <w:rPr>
        <w:rFonts w:ascii="Palatino Linotype" w:hAnsi="Palatino Linotype"/>
        <w:sz w:val="16"/>
      </w:rPr>
      <w:t xml:space="preserve">, </w:t>
    </w:r>
    <w:r w:rsidRPr="00103C88">
      <w:rPr>
        <w:rFonts w:ascii="Palatino Linotype" w:hAnsi="Palatino Linotype"/>
        <w:i/>
        <w:sz w:val="16"/>
      </w:rPr>
      <w:t>2</w:t>
    </w:r>
    <w:r>
      <w:rPr>
        <w:rFonts w:ascii="Palatino Linotype" w:hAnsi="Palatino Linotype"/>
        <w:i/>
        <w:sz w:val="16"/>
      </w:rPr>
      <w:t>5</w:t>
    </w:r>
    <w:r>
      <w:rPr>
        <w:rFonts w:ascii="Palatino Linotype" w:hAnsi="Palatino Linotype"/>
        <w:sz w:val="16"/>
      </w:rPr>
      <w:t>, x FOR PEER REVIEW</w:t>
    </w:r>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Pr>
        <w:rFonts w:ascii="Palatino Linotype" w:hAnsi="Palatino Linotype"/>
        <w:noProof/>
        <w:sz w:val="16"/>
      </w:rPr>
      <w:t>4</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Pr>
        <w:rFonts w:ascii="Palatino Linotype" w:hAnsi="Palatino Linotype"/>
        <w:noProof/>
        <w:sz w:val="16"/>
      </w:rPr>
      <w:t>5</w:t>
    </w:r>
    <w:r>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A71E98" w14:textId="3D5C7075" w:rsidR="006F5717" w:rsidRDefault="006F5717" w:rsidP="007D0675">
    <w:pPr>
      <w:pStyle w:val="MDPIheaderjournallogo"/>
    </w:pPr>
    <w:r w:rsidRPr="00233EF1">
      <w:rPr>
        <w:i w:val="0"/>
        <w:noProof/>
        <w:szCs w:val="16"/>
        <w:lang w:eastAsia="zh-CN"/>
      </w:rPr>
      <mc:AlternateContent>
        <mc:Choice Requires="wps">
          <w:drawing>
            <wp:anchor distT="45720" distB="45720" distL="114300" distR="114300" simplePos="0" relativeHeight="251657728" behindDoc="1" locked="0" layoutInCell="1" allowOverlap="1" wp14:anchorId="59143CBA" wp14:editId="75F7C563">
              <wp:simplePos x="0" y="0"/>
              <wp:positionH relativeFrom="page">
                <wp:posOffset>6029960</wp:posOffset>
              </wp:positionH>
              <wp:positionV relativeFrom="page">
                <wp:posOffset>647700</wp:posOffset>
              </wp:positionV>
              <wp:extent cx="540385" cy="70929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2CFF571D" w14:textId="2A112B74" w:rsidR="006F5717" w:rsidRDefault="006F5717" w:rsidP="007D0675">
                          <w:pPr>
                            <w:pStyle w:val="MDPIheaderjournallogo"/>
                            <w:jc w:val="center"/>
                            <w:textboxTightWrap w:val="allLines"/>
                            <w:rPr>
                              <w:i w:val="0"/>
                              <w:szCs w:val="16"/>
                            </w:rPr>
                          </w:pPr>
                          <w:r w:rsidRPr="00605BAA">
                            <w:rPr>
                              <w:i w:val="0"/>
                              <w:noProof/>
                              <w:szCs w:val="16"/>
                              <w:lang w:eastAsia="zh-CN"/>
                            </w:rPr>
                            <w:drawing>
                              <wp:inline distT="0" distB="0" distL="0" distR="0" wp14:anchorId="65C12897" wp14:editId="225B77D7">
                                <wp:extent cx="539115" cy="354965"/>
                                <wp:effectExtent l="0" t="0" r="0" b="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9115" cy="354965"/>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143CBA" id="_x0000_t202" coordsize="21600,21600" o:spt="202" path="m,l,21600r21600,l21600,xe">
              <v:stroke joinstyle="miter"/>
              <v:path gradientshapeok="t" o:connecttype="rect"/>
            </v:shapetype>
            <v:shape id="Text Box 2" o:spid="_x0000_s1026" type="#_x0000_t202" style="position:absolute;left:0;text-align:left;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" stroked="f">
              <v:textbox inset="0,0,0,0">
                <w:txbxContent>
                  <w:p w14:paraId="2CFF571D" w14:textId="2A112B74" w:rsidR="006F5717" w:rsidRDefault="006F5717" w:rsidP="007D0675">
                    <w:pPr>
                      <w:pStyle w:val="MDPIheaderjournallogo"/>
                      <w:jc w:val="center"/>
                      <w:textboxTightWrap w:val="allLines"/>
                      <w:rPr>
                        <w:i w:val="0"/>
                        <w:szCs w:val="16"/>
                      </w:rPr>
                    </w:pPr>
                    <w:r w:rsidRPr="00605BAA">
                      <w:rPr>
                        <w:i w:val="0"/>
                        <w:noProof/>
                        <w:szCs w:val="16"/>
                        <w:lang w:eastAsia="zh-CN"/>
                      </w:rPr>
                      <w:drawing>
                        <wp:inline distT="0" distB="0" distL="0" distR="0" wp14:anchorId="65C12897" wp14:editId="225B77D7">
                          <wp:extent cx="539115" cy="354965"/>
                          <wp:effectExtent l="0" t="0" r="0" b="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9115" cy="354965"/>
                                  </a:xfrm>
                                  <a:prstGeom prst="rect">
                                    <a:avLst/>
                                  </a:prstGeom>
                                  <a:noFill/>
                                  <a:ln>
                                    <a:noFill/>
                                  </a:ln>
                                </pic:spPr>
                              </pic:pic>
                            </a:graphicData>
                          </a:graphic>
                        </wp:inline>
                      </w:drawing>
                    </w:r>
                  </w:p>
                </w:txbxContent>
              </v:textbox>
              <w10:wrap anchorx="page" anchory="page"/>
            </v:shape>
          </w:pict>
        </mc:Fallback>
      </mc:AlternateContent>
    </w:r>
    <w:r w:rsidRPr="00A04686">
      <w:rPr>
        <w:noProof/>
        <w:lang w:eastAsia="zh-CN"/>
      </w:rPr>
      <w:drawing>
        <wp:inline distT="0" distB="0" distL="0" distR="0" wp14:anchorId="786A9C69" wp14:editId="5071639C">
          <wp:extent cx="1808480" cy="429895"/>
          <wp:effectExtent l="0" t="0" r="0" b="0"/>
          <wp:docPr id="5" name="Picture 5" descr="C:\Users\home\Desktop\logos\molecul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logos\molecules-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8480" cy="42989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0A245F"/>
    <w:multiLevelType w:val="hybridMultilevel"/>
    <w:tmpl w:val="1C3A3F0C"/>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857682CE"/>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369A6535"/>
    <w:multiLevelType w:val="hybridMultilevel"/>
    <w:tmpl w:val="781408B4"/>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num>
  <w:num w:numId="7">
    <w:abstractNumId w:val="0"/>
  </w:num>
  <w:num w:numId="8">
    <w:abstractNumId w:val="1"/>
  </w:num>
  <w:num w:numId="9">
    <w:abstractNumId w:val="2"/>
  </w:num>
  <w:num w:numId="10">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DPI">
    <w15:presenceInfo w15:providerId="None" w15:userId="MDP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attachedTemplate r:id="rId1"/>
  <w:defaultTabStop w:val="420"/>
  <w:drawingGridHorizontalSpacing w:val="120"/>
  <w:drawingGridVerticalSpacing w:val="163"/>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MDPI&lt;/Style&gt;&lt;LeftDelim&gt;{&lt;/LeftDelim&gt;&lt;RightDelim&gt;}&lt;/RightDelim&gt;&lt;FontName&gt;Palatino Linotype&lt;/FontName&gt;&lt;FontSize&gt;9&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sfs52xdqvest2eavxmpwatxpdw09dxawvfv&quot;&gt;References (collected)&lt;record-ids&gt;&lt;item&gt;235&lt;/item&gt;&lt;item&gt;1625&lt;/item&gt;&lt;item&gt;2277&lt;/item&gt;&lt;item&gt;2308&lt;/item&gt;&lt;item&gt;3494&lt;/item&gt;&lt;item&gt;4786&lt;/item&gt;&lt;item&gt;5609&lt;/item&gt;&lt;item&gt;12984&lt;/item&gt;&lt;item&gt;13080&lt;/item&gt;&lt;item&gt;13483&lt;/item&gt;&lt;item&gt;13513&lt;/item&gt;&lt;item&gt;13518&lt;/item&gt;&lt;item&gt;17955&lt;/item&gt;&lt;item&gt;26460&lt;/item&gt;&lt;item&gt;26557&lt;/item&gt;&lt;item&gt;26590&lt;/item&gt;&lt;item&gt;26705&lt;/item&gt;&lt;item&gt;26706&lt;/item&gt;&lt;item&gt;26746&lt;/item&gt;&lt;item&gt;26762&lt;/item&gt;&lt;item&gt;26813&lt;/item&gt;&lt;item&gt;26932&lt;/item&gt;&lt;item&gt;26933&lt;/item&gt;&lt;item&gt;26934&lt;/item&gt;&lt;item&gt;26935&lt;/item&gt;&lt;item&gt;26938&lt;/item&gt;&lt;item&gt;27001&lt;/item&gt;&lt;item&gt;27002&lt;/item&gt;&lt;item&gt;27003&lt;/item&gt;&lt;/record-ids&gt;&lt;/item&gt;&lt;/Libraries&gt;"/>
  </w:docVars>
  <w:rsids>
    <w:rsidRoot w:val="00AD1709"/>
    <w:rsid w:val="000012F2"/>
    <w:rsid w:val="000368A4"/>
    <w:rsid w:val="00036FB7"/>
    <w:rsid w:val="00041C3C"/>
    <w:rsid w:val="00053CD9"/>
    <w:rsid w:val="00056135"/>
    <w:rsid w:val="00080C1D"/>
    <w:rsid w:val="00097E91"/>
    <w:rsid w:val="000B658D"/>
    <w:rsid w:val="000C73A7"/>
    <w:rsid w:val="00103C88"/>
    <w:rsid w:val="00131CEC"/>
    <w:rsid w:val="00132D52"/>
    <w:rsid w:val="00134CDE"/>
    <w:rsid w:val="00141821"/>
    <w:rsid w:val="00145848"/>
    <w:rsid w:val="00177DD2"/>
    <w:rsid w:val="001E2AEB"/>
    <w:rsid w:val="00200F6E"/>
    <w:rsid w:val="002136A6"/>
    <w:rsid w:val="00214689"/>
    <w:rsid w:val="00225955"/>
    <w:rsid w:val="00226A72"/>
    <w:rsid w:val="00236FDF"/>
    <w:rsid w:val="00243C1B"/>
    <w:rsid w:val="00260559"/>
    <w:rsid w:val="00272862"/>
    <w:rsid w:val="002A2B46"/>
    <w:rsid w:val="002B04C7"/>
    <w:rsid w:val="002C0A9B"/>
    <w:rsid w:val="002C7483"/>
    <w:rsid w:val="002C76DB"/>
    <w:rsid w:val="002D1B58"/>
    <w:rsid w:val="0030196D"/>
    <w:rsid w:val="00315288"/>
    <w:rsid w:val="00326141"/>
    <w:rsid w:val="00333699"/>
    <w:rsid w:val="00335D95"/>
    <w:rsid w:val="00362688"/>
    <w:rsid w:val="00364200"/>
    <w:rsid w:val="003767A8"/>
    <w:rsid w:val="003C4E69"/>
    <w:rsid w:val="003C56C8"/>
    <w:rsid w:val="003F52B8"/>
    <w:rsid w:val="003F7E9E"/>
    <w:rsid w:val="00401D30"/>
    <w:rsid w:val="004142BD"/>
    <w:rsid w:val="00420FE7"/>
    <w:rsid w:val="0045743D"/>
    <w:rsid w:val="00467560"/>
    <w:rsid w:val="00470E45"/>
    <w:rsid w:val="004A3995"/>
    <w:rsid w:val="004A5535"/>
    <w:rsid w:val="004A5983"/>
    <w:rsid w:val="004C32BF"/>
    <w:rsid w:val="004D349E"/>
    <w:rsid w:val="004D4D9F"/>
    <w:rsid w:val="004D5213"/>
    <w:rsid w:val="004E2807"/>
    <w:rsid w:val="004E7DF2"/>
    <w:rsid w:val="004F264C"/>
    <w:rsid w:val="00506BA4"/>
    <w:rsid w:val="00511651"/>
    <w:rsid w:val="00520649"/>
    <w:rsid w:val="005238BD"/>
    <w:rsid w:val="00540575"/>
    <w:rsid w:val="00544265"/>
    <w:rsid w:val="00550473"/>
    <w:rsid w:val="00584C50"/>
    <w:rsid w:val="005B22A9"/>
    <w:rsid w:val="005C1668"/>
    <w:rsid w:val="005E7527"/>
    <w:rsid w:val="00602A51"/>
    <w:rsid w:val="00605BAA"/>
    <w:rsid w:val="0061526F"/>
    <w:rsid w:val="00625509"/>
    <w:rsid w:val="00635422"/>
    <w:rsid w:val="006606C3"/>
    <w:rsid w:val="00660A7E"/>
    <w:rsid w:val="006645F6"/>
    <w:rsid w:val="00671776"/>
    <w:rsid w:val="006821C6"/>
    <w:rsid w:val="00692328"/>
    <w:rsid w:val="00692393"/>
    <w:rsid w:val="006D1BD0"/>
    <w:rsid w:val="006F5717"/>
    <w:rsid w:val="006F6D13"/>
    <w:rsid w:val="00704DE7"/>
    <w:rsid w:val="0071438D"/>
    <w:rsid w:val="00716EF1"/>
    <w:rsid w:val="007476A3"/>
    <w:rsid w:val="00751949"/>
    <w:rsid w:val="0078078F"/>
    <w:rsid w:val="0078191D"/>
    <w:rsid w:val="007D0675"/>
    <w:rsid w:val="007E082D"/>
    <w:rsid w:val="007E5B4B"/>
    <w:rsid w:val="007E644E"/>
    <w:rsid w:val="007F6397"/>
    <w:rsid w:val="00817180"/>
    <w:rsid w:val="008221F0"/>
    <w:rsid w:val="00831D9C"/>
    <w:rsid w:val="00835677"/>
    <w:rsid w:val="00837DBE"/>
    <w:rsid w:val="00840D52"/>
    <w:rsid w:val="00853167"/>
    <w:rsid w:val="00881A6D"/>
    <w:rsid w:val="00883C53"/>
    <w:rsid w:val="00886006"/>
    <w:rsid w:val="008D2EBF"/>
    <w:rsid w:val="008E34FF"/>
    <w:rsid w:val="008F2EEE"/>
    <w:rsid w:val="00903BFE"/>
    <w:rsid w:val="009665CF"/>
    <w:rsid w:val="00967D15"/>
    <w:rsid w:val="009704E7"/>
    <w:rsid w:val="00977C35"/>
    <w:rsid w:val="009806F0"/>
    <w:rsid w:val="00983116"/>
    <w:rsid w:val="00986B25"/>
    <w:rsid w:val="009926FC"/>
    <w:rsid w:val="009A3E6A"/>
    <w:rsid w:val="009F70E6"/>
    <w:rsid w:val="00A10E28"/>
    <w:rsid w:val="00A273D6"/>
    <w:rsid w:val="00A57CD3"/>
    <w:rsid w:val="00A71348"/>
    <w:rsid w:val="00A74BEB"/>
    <w:rsid w:val="00A85A32"/>
    <w:rsid w:val="00AA38BE"/>
    <w:rsid w:val="00AD012D"/>
    <w:rsid w:val="00AD1709"/>
    <w:rsid w:val="00AE02A4"/>
    <w:rsid w:val="00B01BB3"/>
    <w:rsid w:val="00B247EA"/>
    <w:rsid w:val="00B53D3C"/>
    <w:rsid w:val="00B610E1"/>
    <w:rsid w:val="00B75C63"/>
    <w:rsid w:val="00BD2410"/>
    <w:rsid w:val="00BE6B2C"/>
    <w:rsid w:val="00C1104E"/>
    <w:rsid w:val="00C468F7"/>
    <w:rsid w:val="00C75FE6"/>
    <w:rsid w:val="00C85C0B"/>
    <w:rsid w:val="00CD28CF"/>
    <w:rsid w:val="00CE2A77"/>
    <w:rsid w:val="00D05A90"/>
    <w:rsid w:val="00D067BE"/>
    <w:rsid w:val="00D21971"/>
    <w:rsid w:val="00D25A36"/>
    <w:rsid w:val="00D6434F"/>
    <w:rsid w:val="00E07A3A"/>
    <w:rsid w:val="00E20A8C"/>
    <w:rsid w:val="00E23090"/>
    <w:rsid w:val="00E2532F"/>
    <w:rsid w:val="00E55545"/>
    <w:rsid w:val="00E55F33"/>
    <w:rsid w:val="00E67956"/>
    <w:rsid w:val="00E71434"/>
    <w:rsid w:val="00E817B4"/>
    <w:rsid w:val="00E84248"/>
    <w:rsid w:val="00E91BA7"/>
    <w:rsid w:val="00E9271D"/>
    <w:rsid w:val="00E9459D"/>
    <w:rsid w:val="00EA3B9D"/>
    <w:rsid w:val="00EB66DB"/>
    <w:rsid w:val="00EC1E94"/>
    <w:rsid w:val="00EC5C17"/>
    <w:rsid w:val="00F02AC6"/>
    <w:rsid w:val="00F276EB"/>
    <w:rsid w:val="00F54B92"/>
    <w:rsid w:val="00F60F9D"/>
    <w:rsid w:val="00F644C5"/>
    <w:rsid w:val="00F849D3"/>
    <w:rsid w:val="00F90AD7"/>
    <w:rsid w:val="00FB5549"/>
    <w:rsid w:val="00FF187E"/>
  </w:rsids>
  <m:mathPr>
    <m:mathFont m:val="Cambria Math"/>
    <m:brkBin m:val="before"/>
    <m:brkBinSub m:val="--"/>
    <m:smallFrac m:val="0"/>
    <m:dispDef/>
    <m:lMargin m:val="0"/>
    <m:rMargin m:val="0"/>
    <m:defJc m:val="centerGroup"/>
    <m:wrapIndent m:val="1440"/>
    <m:intLim m:val="subSup"/>
    <m:naryLim m:val="undOvr"/>
  </m:mathPr>
  <w:themeFontLang w:val="en-GB"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AFA64A"/>
  <w15:chartTrackingRefBased/>
  <w15:docId w15:val="{6CA25AAA-BF11-4975-B010-B90F3B75F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5BAA"/>
    <w:pPr>
      <w:spacing w:line="340" w:lineRule="atLeast"/>
      <w:jc w:val="both"/>
    </w:pPr>
    <w:rPr>
      <w:rFonts w:ascii="Times New Roman" w:eastAsia="Times New Roman" w:hAnsi="Times New Roman"/>
      <w:color w:val="000000"/>
      <w:sz w:val="24"/>
      <w:lang w:val="en-US"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MDPI12title"/>
    <w:qFormat/>
    <w:rsid w:val="006F5717"/>
    <w:pPr>
      <w:adjustRightInd w:val="0"/>
      <w:snapToGrid w:val="0"/>
      <w:spacing w:before="240"/>
    </w:pPr>
    <w:rPr>
      <w:rFonts w:ascii="Palatino Linotype" w:eastAsia="Times New Roman" w:hAnsi="Palatino Linotype"/>
      <w:i/>
      <w:snapToGrid w:val="0"/>
      <w:color w:val="000000"/>
      <w:szCs w:val="22"/>
      <w:lang w:val="en-US" w:eastAsia="de-DE" w:bidi="en-US"/>
    </w:rPr>
  </w:style>
  <w:style w:type="paragraph" w:customStyle="1" w:styleId="MDPI12title">
    <w:name w:val="MDPI_1.2_title"/>
    <w:next w:val="MDPI13authornames"/>
    <w:qFormat/>
    <w:rsid w:val="006F5717"/>
    <w:pPr>
      <w:adjustRightInd w:val="0"/>
      <w:snapToGrid w:val="0"/>
      <w:spacing w:after="240" w:line="240" w:lineRule="atLeast"/>
    </w:pPr>
    <w:rPr>
      <w:rFonts w:ascii="Palatino Linotype" w:eastAsia="Times New Roman" w:hAnsi="Palatino Linotype"/>
      <w:b/>
      <w:snapToGrid w:val="0"/>
      <w:color w:val="000000"/>
      <w:sz w:val="36"/>
      <w:lang w:val="en-US" w:eastAsia="de-DE" w:bidi="en-US"/>
    </w:rPr>
  </w:style>
  <w:style w:type="paragraph" w:customStyle="1" w:styleId="MDPI13authornames">
    <w:name w:val="MDPI_1.3_authornames"/>
    <w:next w:val="MDPI14history"/>
    <w:qFormat/>
    <w:rsid w:val="006F5717"/>
    <w:pPr>
      <w:adjustRightInd w:val="0"/>
      <w:snapToGrid w:val="0"/>
      <w:spacing w:after="120" w:line="260" w:lineRule="atLeast"/>
    </w:pPr>
    <w:rPr>
      <w:rFonts w:ascii="Palatino Linotype" w:eastAsia="Times New Roman" w:hAnsi="Palatino Linotype"/>
      <w:b/>
      <w:color w:val="000000"/>
      <w:szCs w:val="22"/>
      <w:lang w:val="en-US" w:eastAsia="de-DE" w:bidi="en-US"/>
    </w:rPr>
  </w:style>
  <w:style w:type="paragraph" w:customStyle="1" w:styleId="MDPI14history">
    <w:name w:val="MDPI_1.4_history"/>
    <w:basedOn w:val="MDPI62Acknowledgments"/>
    <w:next w:val="MDPI15academiceditor"/>
    <w:qFormat/>
    <w:rsid w:val="006F5717"/>
    <w:pPr>
      <w:ind w:left="113"/>
      <w:jc w:val="left"/>
    </w:pPr>
    <w:rPr>
      <w:snapToGrid/>
    </w:rPr>
  </w:style>
  <w:style w:type="paragraph" w:customStyle="1" w:styleId="MDPI16affiliation">
    <w:name w:val="MDPI_1.6_affiliation"/>
    <w:qFormat/>
    <w:rsid w:val="006F5717"/>
    <w:pPr>
      <w:adjustRightInd w:val="0"/>
      <w:snapToGrid w:val="0"/>
      <w:spacing w:line="260" w:lineRule="atLeast"/>
      <w:ind w:left="311" w:hanging="198"/>
    </w:pPr>
    <w:rPr>
      <w:rFonts w:ascii="Palatino Linotype" w:eastAsia="Times New Roman" w:hAnsi="Palatino Linotype"/>
      <w:color w:val="000000"/>
      <w:sz w:val="18"/>
      <w:szCs w:val="18"/>
      <w:lang w:val="en-US" w:eastAsia="de-DE" w:bidi="en-US"/>
    </w:rPr>
  </w:style>
  <w:style w:type="paragraph" w:customStyle="1" w:styleId="MDPI17abstract">
    <w:name w:val="MDPI_1.7_abstract"/>
    <w:next w:val="Normal"/>
    <w:qFormat/>
    <w:rsid w:val="006F5717"/>
    <w:pPr>
      <w:adjustRightInd w:val="0"/>
      <w:snapToGrid w:val="0"/>
      <w:spacing w:before="240" w:line="260" w:lineRule="atLeast"/>
      <w:ind w:left="113"/>
      <w:jc w:val="both"/>
    </w:pPr>
    <w:rPr>
      <w:rFonts w:ascii="Palatino Linotype" w:eastAsia="Times New Roman" w:hAnsi="Palatino Linotype"/>
      <w:color w:val="000000"/>
      <w:szCs w:val="22"/>
      <w:lang w:val="en-US" w:eastAsia="de-DE" w:bidi="en-US"/>
    </w:rPr>
  </w:style>
  <w:style w:type="paragraph" w:customStyle="1" w:styleId="MDPI18keywords">
    <w:name w:val="MDPI_1.8_keywords"/>
    <w:next w:val="MDPI19classification"/>
    <w:qFormat/>
    <w:rsid w:val="006F5717"/>
    <w:pPr>
      <w:adjustRightInd w:val="0"/>
      <w:snapToGrid w:val="0"/>
      <w:spacing w:before="240" w:line="260" w:lineRule="atLeast"/>
      <w:ind w:left="113"/>
      <w:jc w:val="both"/>
    </w:pPr>
    <w:rPr>
      <w:rFonts w:ascii="Palatino Linotype" w:eastAsia="Times New Roman" w:hAnsi="Palatino Linotype"/>
      <w:snapToGrid w:val="0"/>
      <w:color w:val="000000"/>
      <w:szCs w:val="22"/>
      <w:lang w:val="en-US" w:eastAsia="de-DE" w:bidi="en-US"/>
    </w:rPr>
  </w:style>
  <w:style w:type="paragraph" w:customStyle="1" w:styleId="MDPI19line">
    <w:name w:val="MDPI_1.9_line"/>
    <w:qFormat/>
    <w:rsid w:val="006F5717"/>
    <w:pPr>
      <w:pBdr>
        <w:bottom w:val="single" w:sz="6" w:space="1" w:color="auto"/>
      </w:pBdr>
      <w:spacing w:line="260" w:lineRule="atLeast"/>
      <w:jc w:val="both"/>
    </w:pPr>
    <w:rPr>
      <w:rFonts w:ascii="Palatino Linotype" w:eastAsia="Times New Roman" w:hAnsi="Palatino Linotype" w:cstheme="minorBidi"/>
      <w:color w:val="000000"/>
      <w:szCs w:val="24"/>
      <w:lang w:val="en-US" w:eastAsia="de-DE" w:bidi="en-US"/>
    </w:rPr>
  </w:style>
  <w:style w:type="table" w:customStyle="1" w:styleId="Mdeck5tablebodythreelines">
    <w:name w:val="M_deck_5_table_body_three_lines"/>
    <w:basedOn w:val="TableNormal"/>
    <w:uiPriority w:val="99"/>
    <w:rsid w:val="00605BAA"/>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605BAA"/>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605BAA"/>
    <w:pPr>
      <w:tabs>
        <w:tab w:val="center" w:pos="4153"/>
        <w:tab w:val="right" w:pos="8306"/>
      </w:tabs>
      <w:snapToGrid w:val="0"/>
      <w:spacing w:line="240" w:lineRule="atLeast"/>
    </w:pPr>
    <w:rPr>
      <w:sz w:val="18"/>
      <w:szCs w:val="18"/>
    </w:rPr>
  </w:style>
  <w:style w:type="character" w:customStyle="1" w:styleId="FooterChar">
    <w:name w:val="Footer Char"/>
    <w:link w:val="Footer"/>
    <w:uiPriority w:val="99"/>
    <w:rsid w:val="00605BAA"/>
    <w:rPr>
      <w:rFonts w:ascii="Times New Roman" w:eastAsia="Times New Roman" w:hAnsi="Times New Roman" w:cs="Times New Roman"/>
      <w:color w:val="000000"/>
      <w:kern w:val="0"/>
      <w:sz w:val="18"/>
      <w:szCs w:val="18"/>
      <w:lang w:eastAsia="de-DE"/>
    </w:rPr>
  </w:style>
  <w:style w:type="paragraph" w:styleId="Header">
    <w:name w:val="header"/>
    <w:basedOn w:val="Normal"/>
    <w:link w:val="HeaderChar"/>
    <w:uiPriority w:val="99"/>
    <w:rsid w:val="00605BAA"/>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link w:val="Header"/>
    <w:uiPriority w:val="99"/>
    <w:rsid w:val="00605BAA"/>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6F5717"/>
    <w:pPr>
      <w:adjustRightInd w:val="0"/>
      <w:snapToGrid w:val="0"/>
      <w:spacing w:line="260" w:lineRule="atLeast"/>
      <w:jc w:val="both"/>
    </w:pPr>
    <w:rPr>
      <w:rFonts w:ascii="Palatino Linotype" w:eastAsia="Times New Roman" w:hAnsi="Palatino Linotype"/>
      <w:i/>
      <w:color w:val="000000"/>
      <w:sz w:val="24"/>
      <w:szCs w:val="22"/>
      <w:lang w:val="en-US" w:eastAsia="de-CH"/>
    </w:rPr>
  </w:style>
  <w:style w:type="paragraph" w:customStyle="1" w:styleId="MDPI32textnoindent">
    <w:name w:val="MDPI_3.2_text_no_indent"/>
    <w:qFormat/>
    <w:rsid w:val="006F5717"/>
    <w:pPr>
      <w:adjustRightInd w:val="0"/>
      <w:snapToGrid w:val="0"/>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3textspaceafter">
    <w:name w:val="MDPI_3.3_text_space_after"/>
    <w:qFormat/>
    <w:rsid w:val="006F5717"/>
    <w:pPr>
      <w:spacing w:after="24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4textspacebefore">
    <w:name w:val="MDPI_3.4_text_space_before"/>
    <w:qFormat/>
    <w:rsid w:val="006F5717"/>
    <w:pPr>
      <w:spacing w:before="24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5textbeforelist">
    <w:name w:val="MDPI_3.5_text_before_list"/>
    <w:qFormat/>
    <w:rsid w:val="006F5717"/>
    <w:pPr>
      <w:spacing w:after="12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6textafterlist">
    <w:name w:val="MDPI_3.6_text_after_list"/>
    <w:qFormat/>
    <w:rsid w:val="006F5717"/>
    <w:pPr>
      <w:spacing w:before="12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7itemize">
    <w:name w:val="MDPI_3.7_itemize"/>
    <w:qFormat/>
    <w:rsid w:val="006F5717"/>
    <w:pPr>
      <w:numPr>
        <w:numId w:val="8"/>
      </w:numPr>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8bullet">
    <w:name w:val="MDPI_3.8_bullet"/>
    <w:qFormat/>
    <w:rsid w:val="006F5717"/>
    <w:pPr>
      <w:numPr>
        <w:numId w:val="9"/>
      </w:numPr>
      <w:adjustRightInd w:val="0"/>
      <w:snapToGrid w:val="0"/>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9equation">
    <w:name w:val="MDPI_3.9_equation"/>
    <w:qFormat/>
    <w:rsid w:val="006F5717"/>
    <w:pPr>
      <w:adjustRightInd w:val="0"/>
      <w:snapToGrid w:val="0"/>
      <w:spacing w:before="120" w:after="120" w:line="260" w:lineRule="atLeast"/>
      <w:ind w:left="709"/>
      <w:jc w:val="center"/>
    </w:pPr>
    <w:rPr>
      <w:rFonts w:ascii="Palatino Linotype" w:eastAsia="Times New Roman" w:hAnsi="Palatino Linotype"/>
      <w:snapToGrid w:val="0"/>
      <w:color w:val="000000"/>
      <w:szCs w:val="22"/>
      <w:lang w:val="en-US" w:eastAsia="de-DE" w:bidi="en-US"/>
    </w:rPr>
  </w:style>
  <w:style w:type="paragraph" w:customStyle="1" w:styleId="MDPI3aequationnumber">
    <w:name w:val="MDPI_3.a_equation_number"/>
    <w:qFormat/>
    <w:rsid w:val="006F5717"/>
    <w:pPr>
      <w:spacing w:before="120" w:after="120"/>
      <w:jc w:val="right"/>
    </w:pPr>
    <w:rPr>
      <w:rFonts w:ascii="Palatino Linotype" w:eastAsia="Times New Roman" w:hAnsi="Palatino Linotype"/>
      <w:snapToGrid w:val="0"/>
      <w:color w:val="000000"/>
      <w:szCs w:val="22"/>
      <w:lang w:val="en-US" w:eastAsia="de-DE" w:bidi="en-US"/>
    </w:rPr>
  </w:style>
  <w:style w:type="paragraph" w:customStyle="1" w:styleId="MDPI62Acknowledgments">
    <w:name w:val="MDPI_6.2_Acknowledgments"/>
    <w:qFormat/>
    <w:rsid w:val="006F5717"/>
    <w:pPr>
      <w:adjustRightInd w:val="0"/>
      <w:snapToGrid w:val="0"/>
      <w:spacing w:before="120" w:line="200" w:lineRule="atLeast"/>
      <w:jc w:val="both"/>
    </w:pPr>
    <w:rPr>
      <w:rFonts w:ascii="Palatino Linotype" w:eastAsia="Times New Roman" w:hAnsi="Palatino Linotype"/>
      <w:snapToGrid w:val="0"/>
      <w:color w:val="000000"/>
      <w:sz w:val="18"/>
      <w:lang w:val="en-US" w:eastAsia="de-DE" w:bidi="en-US"/>
    </w:rPr>
  </w:style>
  <w:style w:type="paragraph" w:customStyle="1" w:styleId="MDPI41tablecaption">
    <w:name w:val="MDPI_4.1_table_caption"/>
    <w:qFormat/>
    <w:rsid w:val="006F5717"/>
    <w:pPr>
      <w:adjustRightInd w:val="0"/>
      <w:snapToGrid w:val="0"/>
      <w:spacing w:before="240" w:after="120" w:line="260" w:lineRule="atLeast"/>
      <w:ind w:left="425" w:right="425"/>
      <w:jc w:val="both"/>
    </w:pPr>
    <w:rPr>
      <w:rFonts w:ascii="Palatino Linotype" w:eastAsia="Times New Roman" w:hAnsi="Palatino Linotype" w:cstheme="minorBidi"/>
      <w:color w:val="000000"/>
      <w:sz w:val="18"/>
      <w:szCs w:val="22"/>
      <w:lang w:val="en-US" w:eastAsia="de-DE" w:bidi="en-US"/>
    </w:rPr>
  </w:style>
  <w:style w:type="paragraph" w:customStyle="1" w:styleId="MDPI42tablebody">
    <w:name w:val="MDPI_4.2_table_body"/>
    <w:qFormat/>
    <w:rsid w:val="00036FB7"/>
    <w:pPr>
      <w:adjustRightInd w:val="0"/>
      <w:snapToGrid w:val="0"/>
      <w:spacing w:line="260" w:lineRule="atLeast"/>
      <w:jc w:val="center"/>
    </w:pPr>
    <w:rPr>
      <w:rFonts w:ascii="Palatino Linotype" w:eastAsia="Times New Roman" w:hAnsi="Palatino Linotype"/>
      <w:snapToGrid w:val="0"/>
      <w:color w:val="000000"/>
      <w:lang w:val="en-US" w:eastAsia="de-DE" w:bidi="en-US"/>
    </w:rPr>
  </w:style>
  <w:style w:type="paragraph" w:customStyle="1" w:styleId="MDPI43tablefooter">
    <w:name w:val="MDPI_4.3_table_footer"/>
    <w:next w:val="MDPI31text"/>
    <w:qFormat/>
    <w:rsid w:val="006F5717"/>
    <w:pPr>
      <w:adjustRightInd w:val="0"/>
      <w:snapToGrid w:val="0"/>
      <w:spacing w:after="240" w:line="260" w:lineRule="atLeast"/>
      <w:jc w:val="both"/>
    </w:pPr>
    <w:rPr>
      <w:rFonts w:ascii="Palatino Linotype" w:eastAsia="Times New Roman" w:hAnsi="Palatino Linotype" w:cstheme="minorBidi"/>
      <w:color w:val="000000"/>
      <w:sz w:val="18"/>
      <w:szCs w:val="22"/>
      <w:lang w:val="en-US" w:eastAsia="de-DE" w:bidi="en-US"/>
    </w:rPr>
  </w:style>
  <w:style w:type="paragraph" w:customStyle="1" w:styleId="MDPI51figurecaption">
    <w:name w:val="MDPI_5.1_figure_caption"/>
    <w:qFormat/>
    <w:rsid w:val="006F5717"/>
    <w:pPr>
      <w:adjustRightInd w:val="0"/>
      <w:snapToGrid w:val="0"/>
      <w:spacing w:before="120" w:after="240" w:line="260" w:lineRule="atLeast"/>
      <w:ind w:left="425" w:right="425"/>
      <w:jc w:val="both"/>
    </w:pPr>
    <w:rPr>
      <w:rFonts w:ascii="Palatino Linotype" w:eastAsia="Times New Roman" w:hAnsi="Palatino Linotype"/>
      <w:color w:val="000000"/>
      <w:sz w:val="18"/>
      <w:lang w:val="en-US" w:eastAsia="de-DE" w:bidi="en-US"/>
    </w:rPr>
  </w:style>
  <w:style w:type="paragraph" w:customStyle="1" w:styleId="MDPI52figure">
    <w:name w:val="MDPI_5.2_figure"/>
    <w:qFormat/>
    <w:rsid w:val="006F5717"/>
    <w:pPr>
      <w:adjustRightInd w:val="0"/>
      <w:snapToGrid w:val="0"/>
      <w:spacing w:before="240" w:after="120" w:line="260" w:lineRule="atLeast"/>
      <w:jc w:val="center"/>
    </w:pPr>
    <w:rPr>
      <w:rFonts w:ascii="Palatino Linotype" w:eastAsia="Times New Roman" w:hAnsi="Palatino Linotype"/>
      <w:snapToGrid w:val="0"/>
      <w:color w:val="000000"/>
      <w:lang w:val="en-US" w:eastAsia="de-DE" w:bidi="en-US"/>
    </w:rPr>
  </w:style>
  <w:style w:type="paragraph" w:customStyle="1" w:styleId="MDPI61Supplementary">
    <w:name w:val="MDPI_6.1_Supplementary"/>
    <w:qFormat/>
    <w:rsid w:val="006F5717"/>
    <w:pPr>
      <w:spacing w:before="240" w:line="260" w:lineRule="atLeast"/>
      <w:jc w:val="both"/>
    </w:pPr>
    <w:rPr>
      <w:rFonts w:ascii="Palatino Linotype" w:eastAsia="Times New Roman" w:hAnsi="Palatino Linotype"/>
      <w:snapToGrid w:val="0"/>
      <w:color w:val="000000"/>
      <w:sz w:val="18"/>
      <w:lang w:val="en-US" w:eastAsia="en-US" w:bidi="en-US"/>
    </w:rPr>
  </w:style>
  <w:style w:type="paragraph" w:customStyle="1" w:styleId="MDPI63AuthorContributions">
    <w:name w:val="MDPI_6.3_AuthorContributions"/>
    <w:qFormat/>
    <w:rsid w:val="006F5717"/>
    <w:pPr>
      <w:spacing w:line="260" w:lineRule="atLeast"/>
      <w:jc w:val="both"/>
    </w:pPr>
    <w:rPr>
      <w:rFonts w:ascii="Palatino Linotype" w:hAnsi="Palatino Linotype"/>
      <w:snapToGrid w:val="0"/>
      <w:sz w:val="18"/>
      <w:lang w:val="en-US" w:eastAsia="en-US" w:bidi="en-US"/>
    </w:rPr>
  </w:style>
  <w:style w:type="paragraph" w:customStyle="1" w:styleId="MDPI64CoI">
    <w:name w:val="MDPI_6.4_CoI"/>
    <w:qFormat/>
    <w:rsid w:val="006F5717"/>
    <w:pPr>
      <w:adjustRightInd w:val="0"/>
      <w:snapToGrid w:val="0"/>
      <w:spacing w:before="120" w:after="120" w:line="260" w:lineRule="atLeast"/>
      <w:jc w:val="both"/>
    </w:pPr>
    <w:rPr>
      <w:rFonts w:ascii="Palatino Linotype" w:eastAsia="Times New Roman" w:hAnsi="Palatino Linotype"/>
      <w:snapToGrid w:val="0"/>
      <w:color w:val="000000"/>
      <w:sz w:val="18"/>
      <w:lang w:val="en-US" w:eastAsia="de-DE" w:bidi="en-US"/>
    </w:rPr>
  </w:style>
  <w:style w:type="paragraph" w:customStyle="1" w:styleId="MDPI81theorem">
    <w:name w:val="MDPI_8.1_theorem"/>
    <w:qFormat/>
    <w:rsid w:val="006F5717"/>
    <w:pPr>
      <w:spacing w:line="260" w:lineRule="atLeast"/>
      <w:jc w:val="both"/>
    </w:pPr>
    <w:rPr>
      <w:rFonts w:ascii="Palatino Linotype" w:eastAsia="Times New Roman" w:hAnsi="Palatino Linotype"/>
      <w:i/>
      <w:snapToGrid w:val="0"/>
      <w:color w:val="000000"/>
      <w:szCs w:val="22"/>
      <w:lang w:val="en-US" w:eastAsia="de-DE" w:bidi="en-US"/>
    </w:rPr>
  </w:style>
  <w:style w:type="paragraph" w:customStyle="1" w:styleId="MDPI82proof">
    <w:name w:val="MDPI_8.2_proof"/>
    <w:qFormat/>
    <w:rsid w:val="006F5717"/>
    <w:pPr>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footerfirstpage">
    <w:name w:val="MDPI_footer_firstpage"/>
    <w:qFormat/>
    <w:rsid w:val="006F5717"/>
    <w:pPr>
      <w:tabs>
        <w:tab w:val="right" w:pos="8845"/>
      </w:tabs>
      <w:spacing w:line="160" w:lineRule="exact"/>
    </w:pPr>
    <w:rPr>
      <w:rFonts w:ascii="Palatino Linotype" w:eastAsia="Times New Roman" w:hAnsi="Palatino Linotype"/>
      <w:color w:val="000000"/>
      <w:sz w:val="16"/>
      <w:lang w:val="en-US" w:eastAsia="de-DE"/>
    </w:rPr>
  </w:style>
  <w:style w:type="paragraph" w:customStyle="1" w:styleId="MDPI31text">
    <w:name w:val="MDPI_3.1_text"/>
    <w:qFormat/>
    <w:rsid w:val="006F5717"/>
    <w:pPr>
      <w:adjustRightInd w:val="0"/>
      <w:snapToGrid w:val="0"/>
      <w:spacing w:line="260" w:lineRule="atLeast"/>
      <w:ind w:firstLine="425"/>
      <w:jc w:val="both"/>
    </w:pPr>
    <w:rPr>
      <w:rFonts w:ascii="Palatino Linotype" w:eastAsia="Times New Roman" w:hAnsi="Palatino Linotype"/>
      <w:snapToGrid w:val="0"/>
      <w:color w:val="000000"/>
      <w:szCs w:val="22"/>
      <w:lang w:val="en-US" w:eastAsia="de-DE" w:bidi="en-US"/>
    </w:rPr>
  </w:style>
  <w:style w:type="paragraph" w:customStyle="1" w:styleId="MDPI23heading3">
    <w:name w:val="MDPI_2.3_heading3"/>
    <w:qFormat/>
    <w:rsid w:val="006F5717"/>
    <w:pPr>
      <w:adjustRightInd w:val="0"/>
      <w:snapToGrid w:val="0"/>
      <w:spacing w:before="240" w:after="120" w:line="260" w:lineRule="atLeast"/>
      <w:outlineLvl w:val="2"/>
    </w:pPr>
    <w:rPr>
      <w:rFonts w:ascii="Palatino Linotype" w:eastAsia="Times New Roman" w:hAnsi="Palatino Linotype"/>
      <w:snapToGrid w:val="0"/>
      <w:color w:val="000000"/>
      <w:szCs w:val="22"/>
      <w:lang w:val="en-US" w:eastAsia="de-DE" w:bidi="en-US"/>
    </w:rPr>
  </w:style>
  <w:style w:type="paragraph" w:customStyle="1" w:styleId="MDPI21heading1">
    <w:name w:val="MDPI_2.1_heading1"/>
    <w:qFormat/>
    <w:rsid w:val="006F5717"/>
    <w:pPr>
      <w:adjustRightInd w:val="0"/>
      <w:snapToGrid w:val="0"/>
      <w:spacing w:before="240" w:after="120" w:line="260" w:lineRule="atLeast"/>
      <w:jc w:val="both"/>
      <w:outlineLvl w:val="0"/>
    </w:pPr>
    <w:rPr>
      <w:rFonts w:ascii="Palatino Linotype" w:eastAsia="Times New Roman" w:hAnsi="Palatino Linotype"/>
      <w:b/>
      <w:snapToGrid w:val="0"/>
      <w:color w:val="000000"/>
      <w:szCs w:val="22"/>
      <w:lang w:val="en-US" w:eastAsia="de-DE" w:bidi="en-US"/>
    </w:rPr>
  </w:style>
  <w:style w:type="paragraph" w:customStyle="1" w:styleId="MDPI22heading2">
    <w:name w:val="MDPI_2.2_heading2"/>
    <w:qFormat/>
    <w:rsid w:val="006F5717"/>
    <w:pPr>
      <w:adjustRightInd w:val="0"/>
      <w:snapToGrid w:val="0"/>
      <w:spacing w:before="240" w:after="120" w:line="260" w:lineRule="atLeast"/>
      <w:outlineLvl w:val="1"/>
    </w:pPr>
    <w:rPr>
      <w:rFonts w:ascii="Palatino Linotype" w:eastAsia="Times New Roman" w:hAnsi="Palatino Linotype"/>
      <w:i/>
      <w:noProof/>
      <w:snapToGrid w:val="0"/>
      <w:color w:val="000000"/>
      <w:szCs w:val="22"/>
      <w:lang w:val="en-US" w:eastAsia="de-DE" w:bidi="en-US"/>
    </w:rPr>
  </w:style>
  <w:style w:type="paragraph" w:customStyle="1" w:styleId="MDPI71References">
    <w:name w:val="MDPI_7.1_References"/>
    <w:qFormat/>
    <w:rsid w:val="006F5717"/>
    <w:pPr>
      <w:numPr>
        <w:numId w:val="10"/>
      </w:numPr>
      <w:spacing w:line="260" w:lineRule="atLeast"/>
      <w:jc w:val="both"/>
    </w:pPr>
    <w:rPr>
      <w:rFonts w:ascii="Palatino Linotype" w:eastAsia="Times New Roman" w:hAnsi="Palatino Linotype"/>
      <w:snapToGrid w:val="0"/>
      <w:color w:val="000000"/>
      <w:sz w:val="18"/>
      <w:lang w:val="en-US" w:eastAsia="de-DE" w:bidi="en-US"/>
    </w:rPr>
  </w:style>
  <w:style w:type="paragraph" w:styleId="BalloonText">
    <w:name w:val="Balloon Text"/>
    <w:basedOn w:val="Normal"/>
    <w:link w:val="BalloonTextChar"/>
    <w:uiPriority w:val="99"/>
    <w:semiHidden/>
    <w:unhideWhenUsed/>
    <w:rsid w:val="00605BAA"/>
    <w:pPr>
      <w:spacing w:line="240" w:lineRule="auto"/>
    </w:pPr>
    <w:rPr>
      <w:sz w:val="18"/>
      <w:szCs w:val="18"/>
    </w:rPr>
  </w:style>
  <w:style w:type="character" w:customStyle="1" w:styleId="BalloonTextChar">
    <w:name w:val="Balloon Text Char"/>
    <w:link w:val="BalloonText"/>
    <w:uiPriority w:val="99"/>
    <w:semiHidden/>
    <w:rsid w:val="00605BAA"/>
    <w:rPr>
      <w:rFonts w:ascii="Times New Roman" w:eastAsia="Times New Roman" w:hAnsi="Times New Roman" w:cs="Times New Roman"/>
      <w:color w:val="000000"/>
      <w:kern w:val="0"/>
      <w:sz w:val="18"/>
      <w:szCs w:val="18"/>
      <w:lang w:eastAsia="de-DE"/>
    </w:rPr>
  </w:style>
  <w:style w:type="character" w:styleId="LineNumber">
    <w:name w:val="line number"/>
    <w:basedOn w:val="DefaultParagraphFont"/>
    <w:uiPriority w:val="99"/>
    <w:semiHidden/>
    <w:unhideWhenUsed/>
    <w:rsid w:val="00605BAA"/>
  </w:style>
  <w:style w:type="table" w:customStyle="1" w:styleId="MDPI41threelinetable">
    <w:name w:val="MDPI_4.1_three_line_table"/>
    <w:basedOn w:val="TableNormal"/>
    <w:uiPriority w:val="99"/>
    <w:rsid w:val="006F5717"/>
    <w:pPr>
      <w:adjustRightInd w:val="0"/>
      <w:snapToGrid w:val="0"/>
      <w:jc w:val="center"/>
    </w:pPr>
    <w:rPr>
      <w:rFonts w:ascii="Palatino Linotype" w:eastAsiaTheme="minorEastAsia" w:hAnsi="Palatino Linotype"/>
      <w:color w:val="000000"/>
      <w:lang w:val="en-US" w:eastAsia="zh-CN"/>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unhideWhenUsed/>
    <w:rsid w:val="00097E91"/>
    <w:rPr>
      <w:color w:val="0563C1"/>
      <w:u w:val="single"/>
    </w:rPr>
  </w:style>
  <w:style w:type="character" w:styleId="UnresolvedMention">
    <w:name w:val="Unresolved Mention"/>
    <w:uiPriority w:val="99"/>
    <w:semiHidden/>
    <w:unhideWhenUsed/>
    <w:rsid w:val="00A10E28"/>
    <w:rPr>
      <w:color w:val="605E5C"/>
      <w:shd w:val="clear" w:color="auto" w:fill="E1DFDD"/>
    </w:rPr>
  </w:style>
  <w:style w:type="table" w:styleId="PlainTable4">
    <w:name w:val="Plain Table 4"/>
    <w:basedOn w:val="TableNormal"/>
    <w:uiPriority w:val="44"/>
    <w:rsid w:val="00103C8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normaltextrun">
    <w:name w:val="normaltextrun"/>
    <w:basedOn w:val="DefaultParagraphFont"/>
    <w:rsid w:val="002C76DB"/>
  </w:style>
  <w:style w:type="character" w:customStyle="1" w:styleId="spellingerror">
    <w:name w:val="spellingerror"/>
    <w:basedOn w:val="DefaultParagraphFont"/>
    <w:rsid w:val="002C76DB"/>
  </w:style>
  <w:style w:type="character" w:styleId="CommentReference">
    <w:name w:val="annotation reference"/>
    <w:basedOn w:val="DefaultParagraphFont"/>
    <w:uiPriority w:val="99"/>
    <w:semiHidden/>
    <w:unhideWhenUsed/>
    <w:rsid w:val="00200F6E"/>
    <w:rPr>
      <w:sz w:val="16"/>
      <w:szCs w:val="16"/>
    </w:rPr>
  </w:style>
  <w:style w:type="paragraph" w:styleId="CommentText">
    <w:name w:val="annotation text"/>
    <w:basedOn w:val="Normal"/>
    <w:link w:val="CommentTextChar"/>
    <w:uiPriority w:val="99"/>
    <w:semiHidden/>
    <w:unhideWhenUsed/>
    <w:rsid w:val="00200F6E"/>
    <w:pPr>
      <w:spacing w:line="240" w:lineRule="auto"/>
    </w:pPr>
    <w:rPr>
      <w:sz w:val="20"/>
    </w:rPr>
  </w:style>
  <w:style w:type="character" w:customStyle="1" w:styleId="CommentTextChar">
    <w:name w:val="Comment Text Char"/>
    <w:basedOn w:val="DefaultParagraphFont"/>
    <w:link w:val="CommentText"/>
    <w:uiPriority w:val="99"/>
    <w:semiHidden/>
    <w:rsid w:val="00200F6E"/>
    <w:rPr>
      <w:rFonts w:ascii="Times New Roman" w:eastAsia="Times New Roman" w:hAnsi="Times New Roman"/>
      <w:color w:val="000000"/>
      <w:lang w:val="en-US" w:eastAsia="de-DE"/>
    </w:rPr>
  </w:style>
  <w:style w:type="paragraph" w:styleId="CommentSubject">
    <w:name w:val="annotation subject"/>
    <w:basedOn w:val="CommentText"/>
    <w:next w:val="CommentText"/>
    <w:link w:val="CommentSubjectChar"/>
    <w:uiPriority w:val="99"/>
    <w:semiHidden/>
    <w:unhideWhenUsed/>
    <w:rsid w:val="00200F6E"/>
    <w:rPr>
      <w:b/>
      <w:bCs/>
    </w:rPr>
  </w:style>
  <w:style w:type="character" w:customStyle="1" w:styleId="CommentSubjectChar">
    <w:name w:val="Comment Subject Char"/>
    <w:basedOn w:val="CommentTextChar"/>
    <w:link w:val="CommentSubject"/>
    <w:uiPriority w:val="99"/>
    <w:semiHidden/>
    <w:rsid w:val="00200F6E"/>
    <w:rPr>
      <w:rFonts w:ascii="Times New Roman" w:eastAsia="Times New Roman" w:hAnsi="Times New Roman"/>
      <w:b/>
      <w:bCs/>
      <w:color w:val="000000"/>
      <w:lang w:val="en-US" w:eastAsia="de-DE"/>
    </w:rPr>
  </w:style>
  <w:style w:type="paragraph" w:customStyle="1" w:styleId="MDPI15academiceditor">
    <w:name w:val="MDPI_1.5_academic_editor"/>
    <w:qFormat/>
    <w:rsid w:val="006F5717"/>
    <w:pPr>
      <w:adjustRightInd w:val="0"/>
      <w:snapToGrid w:val="0"/>
      <w:spacing w:line="260" w:lineRule="atLeast"/>
      <w:ind w:left="113"/>
    </w:pPr>
    <w:rPr>
      <w:rFonts w:ascii="Palatino Linotype" w:eastAsia="Times New Roman" w:hAnsi="Palatino Linotype"/>
      <w:color w:val="000000"/>
      <w:sz w:val="18"/>
      <w:szCs w:val="22"/>
      <w:lang w:val="en-US" w:eastAsia="de-DE" w:bidi="en-US"/>
    </w:rPr>
  </w:style>
  <w:style w:type="paragraph" w:customStyle="1" w:styleId="MDPI19classification">
    <w:name w:val="MDPI_1.9_classification"/>
    <w:qFormat/>
    <w:rsid w:val="006F5717"/>
    <w:pPr>
      <w:spacing w:before="240" w:line="260" w:lineRule="atLeast"/>
      <w:ind w:left="113"/>
      <w:jc w:val="both"/>
    </w:pPr>
    <w:rPr>
      <w:rFonts w:ascii="Palatino Linotype" w:eastAsia="Times New Roman" w:hAnsi="Palatino Linotype"/>
      <w:b/>
      <w:color w:val="000000"/>
      <w:szCs w:val="22"/>
      <w:lang w:val="en-US" w:eastAsia="de-DE" w:bidi="en-US"/>
    </w:rPr>
  </w:style>
  <w:style w:type="paragraph" w:customStyle="1" w:styleId="MDPI411onetablecaption">
    <w:name w:val="MDPI_4.1.1_one_table_caption"/>
    <w:qFormat/>
    <w:rsid w:val="006F5717"/>
    <w:pPr>
      <w:adjustRightInd w:val="0"/>
      <w:snapToGrid w:val="0"/>
      <w:spacing w:before="240" w:after="120" w:line="260" w:lineRule="atLeast"/>
      <w:jc w:val="center"/>
    </w:pPr>
    <w:rPr>
      <w:rFonts w:ascii="Palatino Linotype" w:eastAsiaTheme="minorEastAsia" w:hAnsi="Palatino Linotype" w:cstheme="minorBidi"/>
      <w:noProof/>
      <w:color w:val="000000"/>
      <w:sz w:val="18"/>
      <w:szCs w:val="22"/>
      <w:lang w:val="en-US" w:eastAsia="zh-CN" w:bidi="en-US"/>
    </w:rPr>
  </w:style>
  <w:style w:type="paragraph" w:customStyle="1" w:styleId="MDPI511onefigurecaption">
    <w:name w:val="MDPI_5.1.1_one_figure_caption"/>
    <w:qFormat/>
    <w:rsid w:val="006F5717"/>
    <w:pPr>
      <w:adjustRightInd w:val="0"/>
      <w:snapToGrid w:val="0"/>
      <w:spacing w:before="240" w:after="120" w:line="260" w:lineRule="atLeast"/>
      <w:jc w:val="center"/>
    </w:pPr>
    <w:rPr>
      <w:rFonts w:ascii="Palatino Linotype" w:eastAsiaTheme="minorEastAsia" w:hAnsi="Palatino Linotype"/>
      <w:noProof/>
      <w:color w:val="000000"/>
      <w:sz w:val="18"/>
      <w:lang w:val="en-US" w:eastAsia="zh-CN" w:bidi="en-US"/>
    </w:rPr>
  </w:style>
  <w:style w:type="paragraph" w:customStyle="1" w:styleId="MDPI72Copyright">
    <w:name w:val="MDPI_7.2_Copyright"/>
    <w:qFormat/>
    <w:rsid w:val="006F5717"/>
    <w:pPr>
      <w:adjustRightInd w:val="0"/>
      <w:snapToGrid w:val="0"/>
      <w:spacing w:before="400" w:line="260" w:lineRule="atLeast"/>
      <w:jc w:val="both"/>
    </w:pPr>
    <w:rPr>
      <w:rFonts w:ascii="Palatino Linotype" w:eastAsia="Times New Roman" w:hAnsi="Palatino Linotype"/>
      <w:noProof/>
      <w:snapToGrid w:val="0"/>
      <w:color w:val="000000"/>
      <w:spacing w:val="-2"/>
      <w:sz w:val="18"/>
    </w:rPr>
  </w:style>
  <w:style w:type="paragraph" w:customStyle="1" w:styleId="MDPI73CopyrightImage">
    <w:name w:val="MDPI_7.3_CopyrightImage"/>
    <w:rsid w:val="006F5717"/>
    <w:pPr>
      <w:adjustRightInd w:val="0"/>
      <w:snapToGrid w:val="0"/>
      <w:spacing w:after="100" w:line="260" w:lineRule="atLeast"/>
      <w:jc w:val="right"/>
    </w:pPr>
    <w:rPr>
      <w:rFonts w:ascii="Palatino Linotype" w:eastAsia="Times New Roman" w:hAnsi="Palatino Linotype"/>
      <w:color w:val="000000"/>
      <w:lang w:val="en-US" w:eastAsia="de-CH"/>
    </w:rPr>
  </w:style>
  <w:style w:type="paragraph" w:customStyle="1" w:styleId="MDPIequationFram">
    <w:name w:val="MDPI_equationFram"/>
    <w:qFormat/>
    <w:rsid w:val="006F5717"/>
    <w:pPr>
      <w:adjustRightInd w:val="0"/>
      <w:snapToGrid w:val="0"/>
      <w:spacing w:before="120" w:after="120"/>
      <w:jc w:val="center"/>
    </w:pPr>
    <w:rPr>
      <w:rFonts w:ascii="Palatino Linotype" w:eastAsia="Times New Roman" w:hAnsi="Palatino Linotype"/>
      <w:snapToGrid w:val="0"/>
      <w:color w:val="000000"/>
      <w:szCs w:val="22"/>
      <w:lang w:val="en-US" w:eastAsia="de-DE" w:bidi="en-US"/>
    </w:rPr>
  </w:style>
  <w:style w:type="paragraph" w:customStyle="1" w:styleId="MDPIfooter">
    <w:name w:val="MDPI_footer"/>
    <w:qFormat/>
    <w:rsid w:val="006F5717"/>
    <w:pPr>
      <w:adjustRightInd w:val="0"/>
      <w:snapToGrid w:val="0"/>
      <w:spacing w:before="120" w:line="260" w:lineRule="atLeast"/>
      <w:jc w:val="center"/>
    </w:pPr>
    <w:rPr>
      <w:rFonts w:ascii="Palatino Linotype" w:eastAsia="Times New Roman" w:hAnsi="Palatino Linotype"/>
      <w:color w:val="000000"/>
      <w:lang w:val="en-US" w:eastAsia="de-DE"/>
    </w:rPr>
  </w:style>
  <w:style w:type="paragraph" w:customStyle="1" w:styleId="MDPIheader">
    <w:name w:val="MDPI_header"/>
    <w:qFormat/>
    <w:rsid w:val="006F5717"/>
    <w:pPr>
      <w:adjustRightInd w:val="0"/>
      <w:snapToGrid w:val="0"/>
      <w:spacing w:after="240" w:line="260" w:lineRule="atLeast"/>
      <w:jc w:val="both"/>
    </w:pPr>
    <w:rPr>
      <w:rFonts w:ascii="Palatino Linotype" w:eastAsia="Times New Roman" w:hAnsi="Palatino Linotype"/>
      <w:iCs/>
      <w:color w:val="000000"/>
      <w:sz w:val="16"/>
      <w:lang w:val="en-US" w:eastAsia="de-DE"/>
    </w:rPr>
  </w:style>
  <w:style w:type="paragraph" w:customStyle="1" w:styleId="MDPIheadercitation">
    <w:name w:val="MDPI_header_citation"/>
    <w:rsid w:val="006F5717"/>
    <w:pPr>
      <w:spacing w:after="240"/>
    </w:pPr>
    <w:rPr>
      <w:rFonts w:ascii="Palatino Linotype" w:eastAsia="Times New Roman" w:hAnsi="Palatino Linotype"/>
      <w:snapToGrid w:val="0"/>
      <w:color w:val="000000"/>
      <w:sz w:val="18"/>
      <w:lang w:val="en-US" w:eastAsia="de-DE" w:bidi="en-US"/>
    </w:rPr>
  </w:style>
  <w:style w:type="paragraph" w:customStyle="1" w:styleId="MDPIheadermdpilogo">
    <w:name w:val="MDPI_header_mdpi_logo"/>
    <w:qFormat/>
    <w:rsid w:val="006F5717"/>
    <w:pPr>
      <w:adjustRightInd w:val="0"/>
      <w:snapToGrid w:val="0"/>
      <w:spacing w:line="260" w:lineRule="atLeast"/>
      <w:jc w:val="right"/>
    </w:pPr>
    <w:rPr>
      <w:rFonts w:ascii="Palatino Linotype" w:eastAsia="Times New Roman" w:hAnsi="Palatino Linotype"/>
      <w:color w:val="000000"/>
      <w:sz w:val="24"/>
      <w:szCs w:val="22"/>
      <w:lang w:val="en-US" w:eastAsia="de-CH"/>
    </w:rPr>
  </w:style>
  <w:style w:type="paragraph" w:customStyle="1" w:styleId="MDPItext">
    <w:name w:val="MDPI_text"/>
    <w:qFormat/>
    <w:rsid w:val="006F5717"/>
    <w:pPr>
      <w:spacing w:line="260" w:lineRule="atLeast"/>
      <w:ind w:left="425" w:right="425" w:firstLine="284"/>
      <w:jc w:val="both"/>
    </w:pPr>
    <w:rPr>
      <w:rFonts w:ascii="Times New Roman" w:eastAsia="Times New Roman" w:hAnsi="Times New Roman"/>
      <w:noProof/>
      <w:snapToGrid w:val="0"/>
      <w:color w:val="000000"/>
      <w:sz w:val="22"/>
      <w:szCs w:val="22"/>
      <w:lang w:val="en-US" w:eastAsia="de-DE" w:bidi="en-US"/>
    </w:rPr>
  </w:style>
  <w:style w:type="paragraph" w:customStyle="1" w:styleId="MDPItitle">
    <w:name w:val="MDPI_title"/>
    <w:qFormat/>
    <w:rsid w:val="006F5717"/>
    <w:pPr>
      <w:adjustRightInd w:val="0"/>
      <w:snapToGrid w:val="0"/>
      <w:spacing w:after="240" w:line="260" w:lineRule="atLeast"/>
      <w:jc w:val="both"/>
    </w:pPr>
    <w:rPr>
      <w:rFonts w:ascii="Palatino Linotype" w:eastAsia="Times New Roman" w:hAnsi="Palatino Linotype"/>
      <w:b/>
      <w:snapToGrid w:val="0"/>
      <w:color w:val="000000"/>
      <w:sz w:val="36"/>
      <w:lang w:val="en-US" w:eastAsia="de-DE" w:bidi="en-US"/>
    </w:rPr>
  </w:style>
  <w:style w:type="character" w:customStyle="1" w:styleId="highwire-cite-metadata-doi">
    <w:name w:val="highwire-cite-metadata-doi"/>
    <w:basedOn w:val="DefaultParagraphFont"/>
    <w:rsid w:val="00132D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1673310">
      <w:bodyDiv w:val="1"/>
      <w:marLeft w:val="0"/>
      <w:marRight w:val="0"/>
      <w:marTop w:val="0"/>
      <w:marBottom w:val="0"/>
      <w:divBdr>
        <w:top w:val="none" w:sz="0" w:space="0" w:color="auto"/>
        <w:left w:val="none" w:sz="0" w:space="0" w:color="auto"/>
        <w:bottom w:val="none" w:sz="0" w:space="0" w:color="auto"/>
        <w:right w:val="none" w:sz="0" w:space="0" w:color="auto"/>
      </w:divBdr>
    </w:div>
    <w:div w:id="716778124">
      <w:bodyDiv w:val="1"/>
      <w:marLeft w:val="0"/>
      <w:marRight w:val="0"/>
      <w:marTop w:val="0"/>
      <w:marBottom w:val="0"/>
      <w:divBdr>
        <w:top w:val="none" w:sz="0" w:space="0" w:color="auto"/>
        <w:left w:val="none" w:sz="0" w:space="0" w:color="auto"/>
        <w:bottom w:val="none" w:sz="0" w:space="0" w:color="auto"/>
        <w:right w:val="none" w:sz="0" w:space="0" w:color="auto"/>
      </w:divBdr>
      <w:divsChild>
        <w:div w:id="78334401">
          <w:marLeft w:val="0"/>
          <w:marRight w:val="0"/>
          <w:marTop w:val="0"/>
          <w:marBottom w:val="0"/>
          <w:divBdr>
            <w:top w:val="none" w:sz="0" w:space="0" w:color="auto"/>
            <w:left w:val="none" w:sz="0" w:space="0" w:color="auto"/>
            <w:bottom w:val="none" w:sz="0" w:space="0" w:color="auto"/>
            <w:right w:val="none" w:sz="0" w:space="0" w:color="auto"/>
          </w:divBdr>
        </w:div>
        <w:div w:id="2134709231">
          <w:marLeft w:val="0"/>
          <w:marRight w:val="0"/>
          <w:marTop w:val="0"/>
          <w:marBottom w:val="0"/>
          <w:divBdr>
            <w:top w:val="none" w:sz="0" w:space="0" w:color="auto"/>
            <w:left w:val="none" w:sz="0" w:space="0" w:color="auto"/>
            <w:bottom w:val="none" w:sz="0" w:space="0" w:color="auto"/>
            <w:right w:val="none" w:sz="0" w:space="0" w:color="auto"/>
          </w:divBdr>
        </w:div>
        <w:div w:id="1274092857">
          <w:marLeft w:val="0"/>
          <w:marRight w:val="0"/>
          <w:marTop w:val="0"/>
          <w:marBottom w:val="0"/>
          <w:divBdr>
            <w:top w:val="none" w:sz="0" w:space="0" w:color="auto"/>
            <w:left w:val="none" w:sz="0" w:space="0" w:color="auto"/>
            <w:bottom w:val="none" w:sz="0" w:space="0" w:color="auto"/>
            <w:right w:val="none" w:sz="0" w:space="0" w:color="auto"/>
          </w:divBdr>
        </w:div>
        <w:div w:id="341670293">
          <w:marLeft w:val="0"/>
          <w:marRight w:val="0"/>
          <w:marTop w:val="0"/>
          <w:marBottom w:val="0"/>
          <w:divBdr>
            <w:top w:val="none" w:sz="0" w:space="0" w:color="auto"/>
            <w:left w:val="none" w:sz="0" w:space="0" w:color="auto"/>
            <w:bottom w:val="none" w:sz="0" w:space="0" w:color="auto"/>
            <w:right w:val="none" w:sz="0" w:space="0" w:color="auto"/>
          </w:divBdr>
        </w:div>
        <w:div w:id="9458089">
          <w:marLeft w:val="0"/>
          <w:marRight w:val="0"/>
          <w:marTop w:val="0"/>
          <w:marBottom w:val="0"/>
          <w:divBdr>
            <w:top w:val="none" w:sz="0" w:space="0" w:color="auto"/>
            <w:left w:val="none" w:sz="0" w:space="0" w:color="auto"/>
            <w:bottom w:val="none" w:sz="0" w:space="0" w:color="auto"/>
            <w:right w:val="none" w:sz="0" w:space="0" w:color="auto"/>
          </w:divBdr>
        </w:div>
        <w:div w:id="1687369771">
          <w:marLeft w:val="0"/>
          <w:marRight w:val="0"/>
          <w:marTop w:val="0"/>
          <w:marBottom w:val="0"/>
          <w:divBdr>
            <w:top w:val="none" w:sz="0" w:space="0" w:color="auto"/>
            <w:left w:val="none" w:sz="0" w:space="0" w:color="auto"/>
            <w:bottom w:val="none" w:sz="0" w:space="0" w:color="auto"/>
            <w:right w:val="none" w:sz="0" w:space="0" w:color="auto"/>
          </w:divBdr>
        </w:div>
        <w:div w:id="1962422156">
          <w:marLeft w:val="0"/>
          <w:marRight w:val="0"/>
          <w:marTop w:val="0"/>
          <w:marBottom w:val="0"/>
          <w:divBdr>
            <w:top w:val="none" w:sz="0" w:space="0" w:color="auto"/>
            <w:left w:val="none" w:sz="0" w:space="0" w:color="auto"/>
            <w:bottom w:val="none" w:sz="0" w:space="0" w:color="auto"/>
            <w:right w:val="none" w:sz="0" w:space="0" w:color="auto"/>
          </w:divBdr>
        </w:div>
        <w:div w:id="746151426">
          <w:marLeft w:val="0"/>
          <w:marRight w:val="0"/>
          <w:marTop w:val="0"/>
          <w:marBottom w:val="0"/>
          <w:divBdr>
            <w:top w:val="none" w:sz="0" w:space="0" w:color="auto"/>
            <w:left w:val="none" w:sz="0" w:space="0" w:color="auto"/>
            <w:bottom w:val="none" w:sz="0" w:space="0" w:color="auto"/>
            <w:right w:val="none" w:sz="0" w:space="0" w:color="auto"/>
          </w:divBdr>
        </w:div>
        <w:div w:id="128480525">
          <w:marLeft w:val="0"/>
          <w:marRight w:val="0"/>
          <w:marTop w:val="0"/>
          <w:marBottom w:val="0"/>
          <w:divBdr>
            <w:top w:val="none" w:sz="0" w:space="0" w:color="auto"/>
            <w:left w:val="none" w:sz="0" w:space="0" w:color="auto"/>
            <w:bottom w:val="none" w:sz="0" w:space="0" w:color="auto"/>
            <w:right w:val="none" w:sz="0" w:space="0" w:color="auto"/>
          </w:divBdr>
        </w:div>
        <w:div w:id="549807109">
          <w:marLeft w:val="0"/>
          <w:marRight w:val="0"/>
          <w:marTop w:val="0"/>
          <w:marBottom w:val="0"/>
          <w:divBdr>
            <w:top w:val="none" w:sz="0" w:space="0" w:color="auto"/>
            <w:left w:val="none" w:sz="0" w:space="0" w:color="auto"/>
            <w:bottom w:val="none" w:sz="0" w:space="0" w:color="auto"/>
            <w:right w:val="none" w:sz="0" w:space="0" w:color="auto"/>
          </w:divBdr>
        </w:div>
        <w:div w:id="696127050">
          <w:marLeft w:val="0"/>
          <w:marRight w:val="0"/>
          <w:marTop w:val="0"/>
          <w:marBottom w:val="0"/>
          <w:divBdr>
            <w:top w:val="none" w:sz="0" w:space="0" w:color="auto"/>
            <w:left w:val="none" w:sz="0" w:space="0" w:color="auto"/>
            <w:bottom w:val="none" w:sz="0" w:space="0" w:color="auto"/>
            <w:right w:val="none" w:sz="0" w:space="0" w:color="auto"/>
          </w:divBdr>
        </w:div>
        <w:div w:id="696466822">
          <w:marLeft w:val="0"/>
          <w:marRight w:val="0"/>
          <w:marTop w:val="0"/>
          <w:marBottom w:val="0"/>
          <w:divBdr>
            <w:top w:val="none" w:sz="0" w:space="0" w:color="auto"/>
            <w:left w:val="none" w:sz="0" w:space="0" w:color="auto"/>
            <w:bottom w:val="none" w:sz="0" w:space="0" w:color="auto"/>
            <w:right w:val="none" w:sz="0" w:space="0" w:color="auto"/>
          </w:divBdr>
        </w:div>
        <w:div w:id="1350182496">
          <w:marLeft w:val="0"/>
          <w:marRight w:val="0"/>
          <w:marTop w:val="0"/>
          <w:marBottom w:val="0"/>
          <w:divBdr>
            <w:top w:val="none" w:sz="0" w:space="0" w:color="auto"/>
            <w:left w:val="none" w:sz="0" w:space="0" w:color="auto"/>
            <w:bottom w:val="none" w:sz="0" w:space="0" w:color="auto"/>
            <w:right w:val="none" w:sz="0" w:space="0" w:color="auto"/>
          </w:divBdr>
        </w:div>
        <w:div w:id="933585261">
          <w:marLeft w:val="0"/>
          <w:marRight w:val="0"/>
          <w:marTop w:val="0"/>
          <w:marBottom w:val="0"/>
          <w:divBdr>
            <w:top w:val="none" w:sz="0" w:space="0" w:color="auto"/>
            <w:left w:val="none" w:sz="0" w:space="0" w:color="auto"/>
            <w:bottom w:val="none" w:sz="0" w:space="0" w:color="auto"/>
            <w:right w:val="none" w:sz="0" w:space="0" w:color="auto"/>
          </w:divBdr>
        </w:div>
        <w:div w:id="811606680">
          <w:marLeft w:val="0"/>
          <w:marRight w:val="0"/>
          <w:marTop w:val="0"/>
          <w:marBottom w:val="0"/>
          <w:divBdr>
            <w:top w:val="none" w:sz="0" w:space="0" w:color="auto"/>
            <w:left w:val="none" w:sz="0" w:space="0" w:color="auto"/>
            <w:bottom w:val="none" w:sz="0" w:space="0" w:color="auto"/>
            <w:right w:val="none" w:sz="0" w:space="0" w:color="auto"/>
          </w:divBdr>
        </w:div>
        <w:div w:id="1090656784">
          <w:marLeft w:val="0"/>
          <w:marRight w:val="0"/>
          <w:marTop w:val="0"/>
          <w:marBottom w:val="0"/>
          <w:divBdr>
            <w:top w:val="none" w:sz="0" w:space="0" w:color="auto"/>
            <w:left w:val="none" w:sz="0" w:space="0" w:color="auto"/>
            <w:bottom w:val="none" w:sz="0" w:space="0" w:color="auto"/>
            <w:right w:val="none" w:sz="0" w:space="0" w:color="auto"/>
          </w:divBdr>
        </w:div>
        <w:div w:id="1539585900">
          <w:marLeft w:val="0"/>
          <w:marRight w:val="0"/>
          <w:marTop w:val="0"/>
          <w:marBottom w:val="0"/>
          <w:divBdr>
            <w:top w:val="none" w:sz="0" w:space="0" w:color="auto"/>
            <w:left w:val="none" w:sz="0" w:space="0" w:color="auto"/>
            <w:bottom w:val="none" w:sz="0" w:space="0" w:color="auto"/>
            <w:right w:val="none" w:sz="0" w:space="0" w:color="auto"/>
          </w:divBdr>
        </w:div>
        <w:div w:id="821971656">
          <w:marLeft w:val="0"/>
          <w:marRight w:val="0"/>
          <w:marTop w:val="0"/>
          <w:marBottom w:val="0"/>
          <w:divBdr>
            <w:top w:val="none" w:sz="0" w:space="0" w:color="auto"/>
            <w:left w:val="none" w:sz="0" w:space="0" w:color="auto"/>
            <w:bottom w:val="none" w:sz="0" w:space="0" w:color="auto"/>
            <w:right w:val="none" w:sz="0" w:space="0" w:color="auto"/>
          </w:divBdr>
        </w:div>
        <w:div w:id="1909343999">
          <w:marLeft w:val="0"/>
          <w:marRight w:val="0"/>
          <w:marTop w:val="0"/>
          <w:marBottom w:val="0"/>
          <w:divBdr>
            <w:top w:val="none" w:sz="0" w:space="0" w:color="auto"/>
            <w:left w:val="none" w:sz="0" w:space="0" w:color="auto"/>
            <w:bottom w:val="none" w:sz="0" w:space="0" w:color="auto"/>
            <w:right w:val="none" w:sz="0" w:space="0" w:color="auto"/>
          </w:divBdr>
        </w:div>
        <w:div w:id="825782770">
          <w:marLeft w:val="0"/>
          <w:marRight w:val="0"/>
          <w:marTop w:val="0"/>
          <w:marBottom w:val="0"/>
          <w:divBdr>
            <w:top w:val="none" w:sz="0" w:space="0" w:color="auto"/>
            <w:left w:val="none" w:sz="0" w:space="0" w:color="auto"/>
            <w:bottom w:val="none" w:sz="0" w:space="0" w:color="auto"/>
            <w:right w:val="none" w:sz="0" w:space="0" w:color="auto"/>
          </w:divBdr>
        </w:div>
        <w:div w:id="1978678110">
          <w:marLeft w:val="0"/>
          <w:marRight w:val="0"/>
          <w:marTop w:val="0"/>
          <w:marBottom w:val="0"/>
          <w:divBdr>
            <w:top w:val="none" w:sz="0" w:space="0" w:color="auto"/>
            <w:left w:val="none" w:sz="0" w:space="0" w:color="auto"/>
            <w:bottom w:val="none" w:sz="0" w:space="0" w:color="auto"/>
            <w:right w:val="none" w:sz="0" w:space="0" w:color="auto"/>
          </w:divBdr>
        </w:div>
        <w:div w:id="760099512">
          <w:marLeft w:val="0"/>
          <w:marRight w:val="0"/>
          <w:marTop w:val="0"/>
          <w:marBottom w:val="0"/>
          <w:divBdr>
            <w:top w:val="none" w:sz="0" w:space="0" w:color="auto"/>
            <w:left w:val="none" w:sz="0" w:space="0" w:color="auto"/>
            <w:bottom w:val="none" w:sz="0" w:space="0" w:color="auto"/>
            <w:right w:val="none" w:sz="0" w:space="0" w:color="auto"/>
          </w:divBdr>
        </w:div>
        <w:div w:id="1637907778">
          <w:marLeft w:val="0"/>
          <w:marRight w:val="0"/>
          <w:marTop w:val="0"/>
          <w:marBottom w:val="0"/>
          <w:divBdr>
            <w:top w:val="none" w:sz="0" w:space="0" w:color="auto"/>
            <w:left w:val="none" w:sz="0" w:space="0" w:color="auto"/>
            <w:bottom w:val="none" w:sz="0" w:space="0" w:color="auto"/>
            <w:right w:val="none" w:sz="0" w:space="0" w:color="auto"/>
          </w:divBdr>
        </w:div>
        <w:div w:id="222177923">
          <w:marLeft w:val="0"/>
          <w:marRight w:val="0"/>
          <w:marTop w:val="0"/>
          <w:marBottom w:val="0"/>
          <w:divBdr>
            <w:top w:val="none" w:sz="0" w:space="0" w:color="auto"/>
            <w:left w:val="none" w:sz="0" w:space="0" w:color="auto"/>
            <w:bottom w:val="none" w:sz="0" w:space="0" w:color="auto"/>
            <w:right w:val="none" w:sz="0" w:space="0" w:color="auto"/>
          </w:divBdr>
        </w:div>
        <w:div w:id="2136605985">
          <w:marLeft w:val="0"/>
          <w:marRight w:val="0"/>
          <w:marTop w:val="0"/>
          <w:marBottom w:val="0"/>
          <w:divBdr>
            <w:top w:val="none" w:sz="0" w:space="0" w:color="auto"/>
            <w:left w:val="none" w:sz="0" w:space="0" w:color="auto"/>
            <w:bottom w:val="none" w:sz="0" w:space="0" w:color="auto"/>
            <w:right w:val="none" w:sz="0" w:space="0" w:color="auto"/>
          </w:divBdr>
        </w:div>
        <w:div w:id="1423336835">
          <w:marLeft w:val="0"/>
          <w:marRight w:val="0"/>
          <w:marTop w:val="0"/>
          <w:marBottom w:val="0"/>
          <w:divBdr>
            <w:top w:val="none" w:sz="0" w:space="0" w:color="auto"/>
            <w:left w:val="none" w:sz="0" w:space="0" w:color="auto"/>
            <w:bottom w:val="none" w:sz="0" w:space="0" w:color="auto"/>
            <w:right w:val="none" w:sz="0" w:space="0" w:color="auto"/>
          </w:divBdr>
        </w:div>
        <w:div w:id="1798183635">
          <w:marLeft w:val="0"/>
          <w:marRight w:val="0"/>
          <w:marTop w:val="0"/>
          <w:marBottom w:val="0"/>
          <w:divBdr>
            <w:top w:val="none" w:sz="0" w:space="0" w:color="auto"/>
            <w:left w:val="none" w:sz="0" w:space="0" w:color="auto"/>
            <w:bottom w:val="none" w:sz="0" w:space="0" w:color="auto"/>
            <w:right w:val="none" w:sz="0" w:space="0" w:color="auto"/>
          </w:divBdr>
        </w:div>
        <w:div w:id="274794987">
          <w:marLeft w:val="0"/>
          <w:marRight w:val="0"/>
          <w:marTop w:val="0"/>
          <w:marBottom w:val="0"/>
          <w:divBdr>
            <w:top w:val="none" w:sz="0" w:space="0" w:color="auto"/>
            <w:left w:val="none" w:sz="0" w:space="0" w:color="auto"/>
            <w:bottom w:val="none" w:sz="0" w:space="0" w:color="auto"/>
            <w:right w:val="none" w:sz="0" w:space="0" w:color="auto"/>
          </w:divBdr>
        </w:div>
        <w:div w:id="56367700">
          <w:marLeft w:val="0"/>
          <w:marRight w:val="0"/>
          <w:marTop w:val="0"/>
          <w:marBottom w:val="0"/>
          <w:divBdr>
            <w:top w:val="none" w:sz="0" w:space="0" w:color="auto"/>
            <w:left w:val="none" w:sz="0" w:space="0" w:color="auto"/>
            <w:bottom w:val="none" w:sz="0" w:space="0" w:color="auto"/>
            <w:right w:val="none" w:sz="0" w:space="0" w:color="auto"/>
          </w:divBdr>
        </w:div>
      </w:divsChild>
    </w:div>
  </w:divs>
  <w:encoding w:val="iso-8859-6"/>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comments" Target="comment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microsoft.com/office/2011/relationships/people" Target="people.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fontTable" Target="fontTable.xml"/><Relationship Id="rId10" Type="http://schemas.microsoft.com/office/2018/08/relationships/commentsExtensible" Target="commentsExtensible.xml"/><Relationship Id="rId19" Type="http://schemas.openxmlformats.org/officeDocument/2006/relationships/header" Target="header2.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4.png"/><Relationship Id="rId22"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urse\Downloads\molecule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molecules-template.dot</Template>
  <TotalTime>5</TotalTime>
  <Pages>13</Pages>
  <Words>6058</Words>
  <Characters>34554</Characters>
  <Application>Microsoft Office Word</Application>
  <DocSecurity>0</DocSecurity>
  <Lines>529</Lines>
  <Paragraphs>157</Paragraphs>
  <ScaleCrop>false</ScaleCrop>
  <HeadingPairs>
    <vt:vector size="2" baseType="variant">
      <vt:variant>
        <vt:lpstr>Title</vt:lpstr>
      </vt:variant>
      <vt:variant>
        <vt:i4>1</vt:i4>
      </vt:variant>
    </vt:vector>
  </HeadingPairs>
  <TitlesOfParts>
    <vt:vector size="1" baseType="lpstr">
      <vt:lpstr>A</vt:lpstr>
    </vt:vector>
  </TitlesOfParts>
  <Company/>
  <LinksUpToDate>false</LinksUpToDate>
  <CharactersWithSpaces>40416</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MDPI</dc:creator>
  <cp:keywords/>
  <dc:description/>
  <cp:lastModifiedBy>MDPI</cp:lastModifiedBy>
  <cp:revision>3</cp:revision>
  <cp:lastPrinted>2020-06-11T02:31:00Z</cp:lastPrinted>
  <dcterms:created xsi:type="dcterms:W3CDTF">2020-07-08T02:30:00Z</dcterms:created>
  <dcterms:modified xsi:type="dcterms:W3CDTF">2020-07-08T02:32:00Z</dcterms:modified>
</cp:coreProperties>
</file>